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2475FC">
      <w:pPr>
        <w:widowControl/>
        <w:tabs>
          <w:tab w:val="left" w:pos="816"/>
        </w:tabs>
        <w:spacing w:line="360" w:lineRule="auto"/>
        <w:ind w:firstLine="1687" w:firstLineChars="200"/>
        <w:rPr>
          <w:rFonts w:ascii="宋体"/>
          <w:b/>
          <w:color w:val="auto"/>
          <w:sz w:val="72"/>
          <w:szCs w:val="72"/>
          <w:highlight w:val="none"/>
        </w:rPr>
      </w:pPr>
      <w:bookmarkStart w:id="0" w:name="_Toc434315322"/>
      <w:r>
        <w:rPr>
          <w:rFonts w:hint="eastAsia" w:ascii="宋体" w:hAnsi="宋体"/>
          <w:b/>
          <w:color w:val="auto"/>
          <w:sz w:val="84"/>
          <w:szCs w:val="84"/>
          <w:highlight w:val="none"/>
        </w:rPr>
        <w:t>竞争性磋商文件</w:t>
      </w:r>
    </w:p>
    <w:p w14:paraId="5B4E5E96">
      <w:pPr>
        <w:widowControl/>
        <w:spacing w:line="360" w:lineRule="auto"/>
        <w:jc w:val="left"/>
        <w:rPr>
          <w:rFonts w:ascii="宋体"/>
          <w:b/>
          <w:color w:val="auto"/>
          <w:sz w:val="28"/>
          <w:szCs w:val="28"/>
          <w:highlight w:val="none"/>
        </w:rPr>
      </w:pPr>
      <w:r>
        <w:rPr>
          <w:rFonts w:ascii="宋体"/>
          <w:b/>
          <w:color w:val="auto"/>
          <w:sz w:val="72"/>
          <w:szCs w:val="72"/>
          <w:highlight w:val="none"/>
        </w:rPr>
        <w:drawing>
          <wp:anchor distT="0" distB="0" distL="114300" distR="114300" simplePos="0" relativeHeight="251659264" behindDoc="0" locked="0" layoutInCell="1" allowOverlap="1">
            <wp:simplePos x="0" y="0"/>
            <wp:positionH relativeFrom="column">
              <wp:posOffset>575310</wp:posOffset>
            </wp:positionH>
            <wp:positionV relativeFrom="paragraph">
              <wp:posOffset>519430</wp:posOffset>
            </wp:positionV>
            <wp:extent cx="4646295" cy="3232150"/>
            <wp:effectExtent l="0" t="0" r="1905" b="6350"/>
            <wp:wrapTopAndBottom/>
            <wp:docPr id="3" name="图片 4" descr="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华"/>
                    <pic:cNvPicPr>
                      <a:picLocks noChangeAspect="1"/>
                    </pic:cNvPicPr>
                  </pic:nvPicPr>
                  <pic:blipFill>
                    <a:blip r:embed="rId12"/>
                    <a:stretch>
                      <a:fillRect/>
                    </a:stretch>
                  </pic:blipFill>
                  <pic:spPr>
                    <a:xfrm>
                      <a:off x="0" y="0"/>
                      <a:ext cx="4646295" cy="3232150"/>
                    </a:xfrm>
                    <a:prstGeom prst="rect">
                      <a:avLst/>
                    </a:prstGeom>
                    <a:noFill/>
                    <a:ln>
                      <a:noFill/>
                    </a:ln>
                  </pic:spPr>
                </pic:pic>
              </a:graphicData>
            </a:graphic>
          </wp:anchor>
        </w:drawing>
      </w:r>
    </w:p>
    <w:p w14:paraId="6DB0C882">
      <w:pPr>
        <w:widowControl/>
        <w:spacing w:line="360" w:lineRule="auto"/>
        <w:rPr>
          <w:rFonts w:hint="eastAsia" w:ascii="宋体" w:hAnsi="宋体"/>
          <w:b/>
          <w:color w:val="auto"/>
          <w:sz w:val="28"/>
          <w:szCs w:val="28"/>
          <w:highlight w:val="none"/>
        </w:rPr>
      </w:pPr>
    </w:p>
    <w:p w14:paraId="251C6E33">
      <w:pPr>
        <w:widowControl/>
        <w:spacing w:line="360" w:lineRule="auto"/>
        <w:rPr>
          <w:rFonts w:hint="eastAsia" w:ascii="宋体" w:hAnsi="宋体"/>
          <w:b/>
          <w:color w:val="auto"/>
          <w:sz w:val="28"/>
          <w:szCs w:val="28"/>
          <w:highlight w:val="none"/>
        </w:rPr>
      </w:pPr>
      <w:r>
        <w:rPr>
          <w:rFonts w:hint="eastAsia" w:ascii="宋体" w:hAnsi="宋体"/>
          <w:b/>
          <w:color w:val="auto"/>
          <w:sz w:val="28"/>
          <w:szCs w:val="28"/>
          <w:highlight w:val="none"/>
        </w:rPr>
        <w:t>项目名称：2026年乐民镇蒙竹村委农产品加工厂房工程</w:t>
      </w:r>
    </w:p>
    <w:p w14:paraId="5D35A9CA">
      <w:pPr>
        <w:widowControl/>
        <w:spacing w:line="360" w:lineRule="auto"/>
        <w:rPr>
          <w:rFonts w:hint="eastAsia" w:ascii="宋体" w:hAnsi="宋体" w:eastAsia="宋体"/>
          <w:b/>
          <w:color w:val="auto"/>
          <w:sz w:val="28"/>
          <w:szCs w:val="28"/>
          <w:highlight w:val="none"/>
          <w:lang w:val="en-US" w:eastAsia="zh-CN"/>
        </w:rPr>
      </w:pPr>
      <w:r>
        <w:rPr>
          <w:rFonts w:hint="eastAsia" w:ascii="宋体" w:hAnsi="宋体"/>
          <w:b/>
          <w:color w:val="auto"/>
          <w:sz w:val="28"/>
          <w:szCs w:val="28"/>
          <w:highlight w:val="none"/>
        </w:rPr>
        <w:t>项目编号：QZZC2026-C2-220133-GXHC</w:t>
      </w:r>
      <w:r>
        <w:rPr>
          <w:rFonts w:hint="eastAsia" w:ascii="宋体" w:hAnsi="宋体"/>
          <w:b/>
          <w:color w:val="auto"/>
          <w:sz w:val="28"/>
          <w:szCs w:val="28"/>
          <w:highlight w:val="none"/>
          <w:lang w:val="en-US" w:eastAsia="zh-CN"/>
        </w:rPr>
        <w:t xml:space="preserve"> </w:t>
      </w:r>
    </w:p>
    <w:p w14:paraId="1FEEC2B6">
      <w:pPr>
        <w:widowControl/>
        <w:spacing w:line="360" w:lineRule="auto"/>
        <w:rPr>
          <w:rFonts w:ascii="宋体"/>
          <w:b/>
          <w:color w:val="auto"/>
          <w:sz w:val="72"/>
          <w:szCs w:val="72"/>
          <w:highlight w:val="none"/>
        </w:rPr>
      </w:pPr>
      <w:r>
        <w:rPr>
          <w:rFonts w:ascii="宋体" w:hAnsi="宋体"/>
          <w:b/>
          <w:color w:val="auto"/>
          <w:sz w:val="30"/>
          <w:szCs w:val="30"/>
          <w:highlight w:val="none"/>
        </w:rPr>
        <w:t xml:space="preserve">    </w:t>
      </w:r>
      <w:r>
        <w:rPr>
          <w:rFonts w:ascii="宋体" w:hAnsi="宋体"/>
          <w:b/>
          <w:color w:val="auto"/>
          <w:sz w:val="72"/>
          <w:szCs w:val="72"/>
          <w:highlight w:val="none"/>
        </w:rPr>
        <w:t xml:space="preserve">                                                                                                                                                                                                                                                                                                                                                                                                                                                                                                                                                                                                                                                                                                                                                                                                                                                                                                                                                                                                                                                                                                                                                                                                                                                                                                                                                                                                                                                                                                                                                                                                                                                                                                                                                                                                                                                                                                                                                                                                                                                                                                                                                                                                                                                                                                                                                                                                                                                                                                                                                                                                                                                                                                                                                                                                                                                                                                                                                                                                                                                                                                                                                                                                                                                                                                                                                                                                                                                                                                                                                                                                                                                                                                                                                                                                                                                                                                                                                                                                                                                                                                                                                                                                                </w:t>
      </w:r>
      <w:r>
        <w:rPr>
          <w:rFonts w:ascii="宋体" w:hAnsi="宋体"/>
          <w:b/>
          <w:color w:val="auto"/>
          <w:sz w:val="72"/>
          <w:szCs w:val="72"/>
          <w:highlight w:val="none"/>
        </w:rPr>
        <w:t xml:space="preserve">                                                                                                                                                                                                                                                                                                                                                                                                                                                                                                                                                                                                                                                                                                                                                                                                                                                                                                                                                                                                                                                                                                                                                                                                                                                                                                                                                                                                                                                                                                                                                                                                                                                                                                                                                                                                                                                                                                                                                                                                                                                                                                                                                                                                                                                                                                                                                                                                                                                                                                                                                                                                                                                                                                                                                                                                                                                                                                                                                                                                                                                                                                                                                                                                                                                                                                                                                                                                                                                                                                                                                                                                                                                                                                                                                                                                                                                                                                                                                                                                                                                                                                                                                                                                                </w:t>
      </w:r>
      <w:r>
        <w:rPr>
          <w:rFonts w:ascii="宋体" w:hAnsi="宋体"/>
          <w:b/>
          <w:color w:val="auto"/>
          <w:sz w:val="72"/>
          <w:szCs w:val="72"/>
          <w:highlight w:val="none"/>
        </w:rPr>
        <w:t xml:space="preserve">                                                                                                                                                                                                                                                                                                                                                                                                                                                                                                                                                                                                                                                                                                                                                                                                                                                                                                                                                                                                                                                                                                                                                                                                                                                                                                                                                                                                                                                                                                                                                                                                                                                                                                                                                                                                                                                                                                                                                           </w:t>
      </w:r>
    </w:p>
    <w:p w14:paraId="2F57E982">
      <w:pPr>
        <w:widowControl/>
        <w:spacing w:line="360" w:lineRule="auto"/>
        <w:ind w:firstLine="281" w:firstLineChars="100"/>
        <w:jc w:val="left"/>
        <w:rPr>
          <w:rFonts w:hint="eastAsia" w:ascii="宋体" w:hAnsi="宋体"/>
          <w:b/>
          <w:color w:val="auto"/>
          <w:sz w:val="28"/>
          <w:szCs w:val="28"/>
          <w:highlight w:val="none"/>
        </w:rPr>
      </w:pPr>
      <w:r>
        <w:rPr>
          <w:rFonts w:hint="eastAsia" w:ascii="宋体" w:hAnsi="宋体"/>
          <w:b/>
          <w:color w:val="auto"/>
          <w:sz w:val="28"/>
          <w:szCs w:val="28"/>
          <w:highlight w:val="none"/>
        </w:rPr>
        <w:t>招标单位</w:t>
      </w:r>
      <w:r>
        <w:rPr>
          <w:rFonts w:hint="eastAsia" w:ascii="宋体" w:hAnsi="宋体"/>
          <w:b/>
          <w:color w:val="auto"/>
          <w:sz w:val="28"/>
          <w:szCs w:val="28"/>
          <w:highlight w:val="none"/>
          <w:lang w:eastAsia="zh-CN"/>
        </w:rPr>
        <w:t>（</w:t>
      </w:r>
      <w:r>
        <w:rPr>
          <w:rFonts w:hint="eastAsia" w:ascii="宋体" w:hAnsi="宋体"/>
          <w:b/>
          <w:color w:val="auto"/>
          <w:sz w:val="28"/>
          <w:szCs w:val="28"/>
          <w:highlight w:val="none"/>
          <w:lang w:val="en-US" w:eastAsia="zh-CN"/>
        </w:rPr>
        <w:t>盖章）</w:t>
      </w:r>
      <w:r>
        <w:rPr>
          <w:rFonts w:hint="eastAsia" w:ascii="宋体" w:hAnsi="宋体"/>
          <w:b/>
          <w:color w:val="auto"/>
          <w:sz w:val="28"/>
          <w:szCs w:val="28"/>
          <w:highlight w:val="none"/>
        </w:rPr>
        <w:t>：中国共产党浦北县委员会统一战线工作部</w:t>
      </w:r>
    </w:p>
    <w:p w14:paraId="5317AB5F">
      <w:pPr>
        <w:widowControl/>
        <w:spacing w:line="360" w:lineRule="auto"/>
        <w:ind w:firstLine="281" w:firstLineChars="100"/>
        <w:jc w:val="left"/>
        <w:rPr>
          <w:rFonts w:hint="eastAsia" w:ascii="宋体" w:hAnsi="宋体"/>
          <w:b/>
          <w:color w:val="auto"/>
          <w:sz w:val="28"/>
          <w:szCs w:val="28"/>
          <w:highlight w:val="none"/>
          <w:lang w:eastAsia="zh-CN"/>
        </w:rPr>
      </w:pPr>
    </w:p>
    <w:p w14:paraId="63D1339E">
      <w:pPr>
        <w:widowControl/>
        <w:spacing w:line="360" w:lineRule="auto"/>
        <w:ind w:firstLine="281" w:firstLineChars="100"/>
        <w:jc w:val="left"/>
        <w:rPr>
          <w:rFonts w:hint="eastAsia" w:ascii="宋体" w:eastAsia="宋体"/>
          <w:b/>
          <w:color w:val="auto"/>
          <w:sz w:val="28"/>
          <w:szCs w:val="28"/>
          <w:highlight w:val="none"/>
          <w:lang w:val="en-US" w:eastAsia="zh-CN"/>
        </w:rPr>
      </w:pPr>
      <w:r>
        <w:rPr>
          <w:rFonts w:hint="eastAsia" w:ascii="宋体" w:hAnsi="宋体"/>
          <w:b/>
          <w:color w:val="auto"/>
          <w:sz w:val="28"/>
          <w:szCs w:val="28"/>
          <w:highlight w:val="none"/>
        </w:rPr>
        <w:t>招标代理机构</w:t>
      </w:r>
      <w:r>
        <w:rPr>
          <w:rFonts w:hint="eastAsia" w:ascii="宋体" w:hAnsi="宋体"/>
          <w:b/>
          <w:color w:val="auto"/>
          <w:sz w:val="28"/>
          <w:szCs w:val="28"/>
          <w:highlight w:val="none"/>
          <w:lang w:eastAsia="zh-CN"/>
        </w:rPr>
        <w:t>（</w:t>
      </w:r>
      <w:r>
        <w:rPr>
          <w:rFonts w:hint="eastAsia" w:ascii="宋体" w:hAnsi="宋体"/>
          <w:b/>
          <w:color w:val="auto"/>
          <w:sz w:val="28"/>
          <w:szCs w:val="28"/>
          <w:highlight w:val="none"/>
          <w:lang w:val="en-US" w:eastAsia="zh-CN"/>
        </w:rPr>
        <w:t>盖章）</w:t>
      </w:r>
      <w:r>
        <w:rPr>
          <w:rFonts w:hint="eastAsia" w:ascii="宋体" w:hAnsi="宋体"/>
          <w:b/>
          <w:color w:val="auto"/>
          <w:sz w:val="28"/>
          <w:szCs w:val="28"/>
          <w:highlight w:val="none"/>
        </w:rPr>
        <w:t>：广西华诚达建设项目管理有限公司</w:t>
      </w:r>
      <w:r>
        <w:rPr>
          <w:rFonts w:hint="eastAsia" w:ascii="宋体" w:hAnsi="宋体"/>
          <w:b/>
          <w:color w:val="auto"/>
          <w:sz w:val="28"/>
          <w:szCs w:val="28"/>
          <w:highlight w:val="none"/>
          <w:lang w:val="en-US" w:eastAsia="zh-CN"/>
        </w:rPr>
        <w:t xml:space="preserve"> </w:t>
      </w:r>
    </w:p>
    <w:p w14:paraId="33900BCA">
      <w:pPr>
        <w:widowControl/>
        <w:spacing w:line="360" w:lineRule="auto"/>
        <w:ind w:left="420" w:leftChars="200" w:firstLine="3168" w:firstLineChars="1127"/>
        <w:jc w:val="left"/>
        <w:rPr>
          <w:rFonts w:hint="eastAsia" w:ascii="宋体" w:hAnsi="宋体"/>
          <w:b/>
          <w:color w:val="auto"/>
          <w:sz w:val="28"/>
          <w:szCs w:val="28"/>
          <w:highlight w:val="none"/>
        </w:rPr>
      </w:pPr>
    </w:p>
    <w:p w14:paraId="3B3454B1">
      <w:pPr>
        <w:widowControl/>
        <w:spacing w:line="360" w:lineRule="auto"/>
        <w:ind w:left="420" w:leftChars="200" w:firstLine="3168" w:firstLineChars="1127"/>
        <w:jc w:val="left"/>
        <w:rPr>
          <w:rFonts w:hint="eastAsia" w:ascii="宋体" w:hAnsi="宋体" w:eastAsia="宋体"/>
          <w:b/>
          <w:color w:val="auto"/>
          <w:sz w:val="28"/>
          <w:szCs w:val="28"/>
          <w:highlight w:val="none"/>
          <w:lang w:val="en-US" w:eastAsia="zh-CN"/>
        </w:rPr>
      </w:pPr>
      <w:r>
        <w:rPr>
          <w:rFonts w:hint="eastAsia" w:ascii="宋体" w:hAnsi="宋体"/>
          <w:b/>
          <w:color w:val="auto"/>
          <w:sz w:val="28"/>
          <w:szCs w:val="28"/>
          <w:highlight w:val="none"/>
        </w:rPr>
        <w:t>202</w:t>
      </w:r>
      <w:r>
        <w:rPr>
          <w:rFonts w:hint="eastAsia" w:ascii="宋体" w:hAnsi="宋体"/>
          <w:b/>
          <w:color w:val="auto"/>
          <w:sz w:val="28"/>
          <w:szCs w:val="28"/>
          <w:highlight w:val="none"/>
          <w:lang w:val="en-US" w:eastAsia="zh-CN"/>
        </w:rPr>
        <w:t>6</w:t>
      </w:r>
      <w:r>
        <w:rPr>
          <w:rFonts w:hint="eastAsia" w:ascii="宋体" w:hAnsi="宋体"/>
          <w:b/>
          <w:color w:val="auto"/>
          <w:sz w:val="28"/>
          <w:szCs w:val="28"/>
          <w:highlight w:val="none"/>
        </w:rPr>
        <w:t>年</w:t>
      </w:r>
      <w:r>
        <w:rPr>
          <w:rFonts w:hint="eastAsia" w:ascii="宋体" w:hAnsi="宋体"/>
          <w:b/>
          <w:color w:val="auto"/>
          <w:sz w:val="28"/>
          <w:szCs w:val="28"/>
          <w:highlight w:val="none"/>
          <w:lang w:val="en-US" w:eastAsia="zh-CN"/>
        </w:rPr>
        <w:t>08</w:t>
      </w:r>
      <w:r>
        <w:rPr>
          <w:rFonts w:hint="eastAsia" w:ascii="宋体" w:hAnsi="宋体"/>
          <w:b/>
          <w:color w:val="auto"/>
          <w:sz w:val="28"/>
          <w:szCs w:val="28"/>
          <w:highlight w:val="none"/>
        </w:rPr>
        <w:t>月</w:t>
      </w:r>
      <w:r>
        <w:rPr>
          <w:rFonts w:hint="eastAsia" w:ascii="宋体" w:hAnsi="宋体"/>
          <w:b/>
          <w:color w:val="auto"/>
          <w:sz w:val="28"/>
          <w:szCs w:val="28"/>
          <w:highlight w:val="none"/>
          <w:lang w:val="en-US" w:eastAsia="zh-CN"/>
        </w:rPr>
        <w:t xml:space="preserve">25日 </w:t>
      </w:r>
    </w:p>
    <w:sdt>
      <w:sdtPr>
        <w:rPr>
          <w:rFonts w:ascii="宋体" w:hAnsi="宋体" w:eastAsia="宋体" w:cs="Times New Roman"/>
          <w:color w:val="auto"/>
          <w:spacing w:val="0"/>
          <w:kern w:val="2"/>
          <w:position w:val="0"/>
          <w:sz w:val="28"/>
          <w:szCs w:val="36"/>
          <w:highlight w:val="none"/>
          <w:lang w:val="en-US" w:eastAsia="zh-CN" w:bidi="ar-SA"/>
        </w:rPr>
        <w:id w:val="147475717"/>
        <w15:color w:val="DBDBDB"/>
        <w:docPartObj>
          <w:docPartGallery w:val="Table of Contents"/>
          <w:docPartUnique/>
        </w:docPartObj>
      </w:sdtPr>
      <w:sdtEndPr>
        <w:rPr>
          <w:rFonts w:ascii="宋体" w:hAnsi="宋体" w:eastAsia="宋体" w:cs="宋体"/>
          <w:color w:val="auto"/>
          <w:spacing w:val="0"/>
          <w:kern w:val="2"/>
          <w:position w:val="0"/>
          <w:sz w:val="28"/>
          <w:szCs w:val="40"/>
          <w:highlight w:val="none"/>
          <w:lang w:val="en-US" w:eastAsia="zh-CN" w:bidi="ar-SA"/>
        </w:rPr>
      </w:sdtEndPr>
      <w:sdtContent>
        <w:p w14:paraId="7082A176">
          <w:pPr>
            <w:keepNext w:val="0"/>
            <w:keepLines w:val="0"/>
            <w:pageBreakBefore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ascii="宋体" w:hAnsi="宋体" w:eastAsia="宋体" w:cs="Times New Roman"/>
              <w:color w:val="auto"/>
              <w:spacing w:val="0"/>
              <w:kern w:val="2"/>
              <w:position w:val="0"/>
              <w:sz w:val="28"/>
              <w:szCs w:val="36"/>
              <w:highlight w:val="none"/>
              <w:lang w:val="en-US" w:eastAsia="zh-CN" w:bidi="ar-SA"/>
            </w:rPr>
          </w:pPr>
        </w:p>
        <w:p w14:paraId="7301DDBD">
          <w:pPr>
            <w:keepNext w:val="0"/>
            <w:keepLines w:val="0"/>
            <w:pageBreakBefore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color w:val="auto"/>
              <w:spacing w:val="0"/>
              <w:position w:val="0"/>
              <w:sz w:val="44"/>
              <w:szCs w:val="44"/>
              <w:highlight w:val="none"/>
            </w:rPr>
          </w:pPr>
          <w:r>
            <w:rPr>
              <w:rFonts w:ascii="宋体" w:hAnsi="宋体" w:eastAsia="宋体"/>
              <w:b/>
              <w:bCs/>
              <w:color w:val="auto"/>
              <w:spacing w:val="0"/>
              <w:position w:val="0"/>
              <w:sz w:val="44"/>
              <w:szCs w:val="44"/>
              <w:highlight w:val="none"/>
            </w:rPr>
            <w:t>目</w:t>
          </w:r>
          <w:r>
            <w:rPr>
              <w:rFonts w:hint="eastAsia" w:ascii="宋体" w:hAnsi="宋体"/>
              <w:b/>
              <w:bCs/>
              <w:color w:val="auto"/>
              <w:spacing w:val="0"/>
              <w:position w:val="0"/>
              <w:sz w:val="44"/>
              <w:szCs w:val="44"/>
              <w:highlight w:val="none"/>
              <w:lang w:val="en-US" w:eastAsia="zh-CN"/>
            </w:rPr>
            <w:t xml:space="preserve">  </w:t>
          </w:r>
          <w:r>
            <w:rPr>
              <w:rFonts w:ascii="宋体" w:hAnsi="宋体" w:eastAsia="宋体"/>
              <w:b/>
              <w:bCs/>
              <w:color w:val="auto"/>
              <w:spacing w:val="0"/>
              <w:position w:val="0"/>
              <w:sz w:val="44"/>
              <w:szCs w:val="44"/>
              <w:highlight w:val="none"/>
            </w:rPr>
            <w:t>录</w:t>
          </w:r>
        </w:p>
        <w:p w14:paraId="2284BF6B">
          <w:pPr>
            <w:pStyle w:val="20"/>
            <w:tabs>
              <w:tab w:val="right" w:leader="dot" w:pos="9799"/>
            </w:tabs>
            <w:rPr>
              <w:rFonts w:hint="eastAsia" w:ascii="宋体" w:hAnsi="宋体" w:eastAsia="宋体" w:cs="宋体"/>
              <w:color w:val="auto"/>
              <w:spacing w:val="0"/>
              <w:position w:val="0"/>
              <w:sz w:val="28"/>
              <w:szCs w:val="36"/>
              <w:highlight w:val="none"/>
            </w:rPr>
          </w:pPr>
          <w:r>
            <w:rPr>
              <w:rFonts w:ascii="宋体" w:hAnsi="宋体" w:cs="宋体"/>
              <w:color w:val="auto"/>
              <w:spacing w:val="0"/>
              <w:position w:val="0"/>
              <w:sz w:val="32"/>
              <w:szCs w:val="40"/>
              <w:highlight w:val="none"/>
            </w:rPr>
            <w:fldChar w:fldCharType="begin"/>
          </w:r>
          <w:r>
            <w:rPr>
              <w:rFonts w:ascii="宋体" w:hAnsi="宋体" w:cs="宋体"/>
              <w:color w:val="auto"/>
              <w:spacing w:val="0"/>
              <w:position w:val="0"/>
              <w:sz w:val="32"/>
              <w:szCs w:val="40"/>
              <w:highlight w:val="none"/>
            </w:rPr>
            <w:instrText xml:space="preserve">TOC \o "1-1" \h \u </w:instrText>
          </w:r>
          <w:r>
            <w:rPr>
              <w:rFonts w:ascii="宋体" w:hAnsi="宋体" w:cs="宋体"/>
              <w:color w:val="auto"/>
              <w:spacing w:val="0"/>
              <w:position w:val="0"/>
              <w:sz w:val="32"/>
              <w:szCs w:val="40"/>
              <w:highlight w:val="none"/>
            </w:rPr>
            <w:fldChar w:fldCharType="separate"/>
          </w:r>
        </w:p>
        <w:p w14:paraId="6D9514F7">
          <w:pPr>
            <w:pStyle w:val="20"/>
            <w:keepNext w:val="0"/>
            <w:keepLines w:val="0"/>
            <w:pageBreakBefore w:val="0"/>
            <w:widowControl w:val="0"/>
            <w:tabs>
              <w:tab w:val="right" w:leader="dot" w:pos="9799"/>
            </w:tabs>
            <w:kinsoku/>
            <w:wordWrap/>
            <w:overflowPunct/>
            <w:topLinePunct w:val="0"/>
            <w:autoSpaceDE/>
            <w:autoSpaceDN/>
            <w:bidi w:val="0"/>
            <w:adjustRightInd/>
            <w:snapToGrid/>
            <w:spacing w:line="700" w:lineRule="exact"/>
            <w:ind w:left="315" w:leftChars="150" w:right="210" w:rightChars="100"/>
            <w:textAlignment w:val="auto"/>
            <w:rPr>
              <w:rFonts w:hint="eastAsia" w:ascii="宋体" w:hAnsi="宋体" w:eastAsia="宋体" w:cs="宋体"/>
              <w:color w:val="auto"/>
              <w:spacing w:val="0"/>
              <w:position w:val="0"/>
              <w:sz w:val="24"/>
              <w:szCs w:val="24"/>
              <w:highlight w:val="none"/>
            </w:rPr>
          </w:pPr>
          <w:r>
            <w:rPr>
              <w:rFonts w:hint="eastAsia" w:ascii="宋体" w:hAnsi="宋体" w:eastAsia="宋体" w:cs="宋体"/>
              <w:color w:val="auto"/>
              <w:spacing w:val="0"/>
              <w:position w:val="0"/>
              <w:sz w:val="24"/>
              <w:szCs w:val="24"/>
              <w:highlight w:val="none"/>
            </w:rPr>
            <w:fldChar w:fldCharType="begin"/>
          </w:r>
          <w:r>
            <w:rPr>
              <w:rFonts w:hint="eastAsia" w:ascii="宋体" w:hAnsi="宋体" w:eastAsia="宋体" w:cs="宋体"/>
              <w:color w:val="auto"/>
              <w:spacing w:val="0"/>
              <w:position w:val="0"/>
              <w:sz w:val="24"/>
              <w:szCs w:val="24"/>
              <w:highlight w:val="none"/>
            </w:rPr>
            <w:instrText xml:space="preserve"> HYPERLINK \l _Toc29312 </w:instrText>
          </w:r>
          <w:r>
            <w:rPr>
              <w:rFonts w:hint="eastAsia" w:ascii="宋体" w:hAnsi="宋体" w:eastAsia="宋体" w:cs="宋体"/>
              <w:color w:val="auto"/>
              <w:spacing w:val="0"/>
              <w:position w:val="0"/>
              <w:sz w:val="24"/>
              <w:szCs w:val="24"/>
              <w:highlight w:val="none"/>
            </w:rPr>
            <w:fldChar w:fldCharType="separate"/>
          </w:r>
          <w:r>
            <w:rPr>
              <w:rFonts w:hint="eastAsia" w:ascii="宋体" w:hAnsi="宋体" w:eastAsia="宋体" w:cs="宋体"/>
              <w:color w:val="auto"/>
              <w:spacing w:val="0"/>
              <w:position w:val="0"/>
              <w:sz w:val="24"/>
              <w:szCs w:val="24"/>
              <w:highlight w:val="none"/>
            </w:rPr>
            <w:t>第一章</w:t>
          </w:r>
          <w:r>
            <w:rPr>
              <w:rFonts w:hint="eastAsia" w:ascii="宋体" w:hAnsi="宋体" w:cs="宋体"/>
              <w:color w:val="auto"/>
              <w:spacing w:val="0"/>
              <w:position w:val="0"/>
              <w:sz w:val="24"/>
              <w:szCs w:val="24"/>
              <w:highlight w:val="none"/>
              <w:lang w:val="en-US" w:eastAsia="zh-CN"/>
            </w:rPr>
            <w:t xml:space="preserve">  </w:t>
          </w:r>
          <w:r>
            <w:rPr>
              <w:rFonts w:hint="eastAsia" w:ascii="宋体" w:hAnsi="宋体" w:eastAsia="宋体" w:cs="宋体"/>
              <w:color w:val="auto"/>
              <w:spacing w:val="0"/>
              <w:position w:val="0"/>
              <w:sz w:val="24"/>
              <w:szCs w:val="24"/>
              <w:highlight w:val="none"/>
              <w:lang w:val="en-US" w:eastAsia="zh-CN"/>
            </w:rPr>
            <w:t>竞争性磋商公告</w:t>
          </w:r>
          <w:r>
            <w:rPr>
              <w:rFonts w:hint="eastAsia" w:ascii="宋体" w:hAnsi="宋体" w:eastAsia="宋体" w:cs="宋体"/>
              <w:color w:val="auto"/>
              <w:spacing w:val="0"/>
              <w:position w:val="0"/>
              <w:sz w:val="24"/>
              <w:szCs w:val="24"/>
              <w:highlight w:val="none"/>
            </w:rPr>
            <w:tab/>
          </w:r>
          <w:r>
            <w:rPr>
              <w:rFonts w:hint="eastAsia" w:ascii="宋体" w:hAnsi="宋体" w:eastAsia="宋体" w:cs="宋体"/>
              <w:color w:val="auto"/>
              <w:spacing w:val="0"/>
              <w:position w:val="0"/>
              <w:sz w:val="24"/>
              <w:szCs w:val="24"/>
              <w:highlight w:val="none"/>
            </w:rPr>
            <w:fldChar w:fldCharType="begin"/>
          </w:r>
          <w:r>
            <w:rPr>
              <w:rFonts w:hint="eastAsia" w:ascii="宋体" w:hAnsi="宋体" w:eastAsia="宋体" w:cs="宋体"/>
              <w:color w:val="auto"/>
              <w:spacing w:val="0"/>
              <w:position w:val="0"/>
              <w:sz w:val="24"/>
              <w:szCs w:val="24"/>
              <w:highlight w:val="none"/>
            </w:rPr>
            <w:instrText xml:space="preserve"> PAGEREF _Toc29312 \h </w:instrText>
          </w:r>
          <w:r>
            <w:rPr>
              <w:rFonts w:hint="eastAsia" w:ascii="宋体" w:hAnsi="宋体" w:eastAsia="宋体" w:cs="宋体"/>
              <w:color w:val="auto"/>
              <w:spacing w:val="0"/>
              <w:position w:val="0"/>
              <w:sz w:val="24"/>
              <w:szCs w:val="24"/>
              <w:highlight w:val="none"/>
            </w:rPr>
            <w:fldChar w:fldCharType="separate"/>
          </w:r>
          <w:r>
            <w:rPr>
              <w:rFonts w:hint="eastAsia" w:ascii="宋体" w:hAnsi="宋体" w:eastAsia="宋体" w:cs="宋体"/>
              <w:color w:val="auto"/>
              <w:spacing w:val="0"/>
              <w:position w:val="0"/>
              <w:sz w:val="24"/>
              <w:szCs w:val="24"/>
              <w:highlight w:val="none"/>
            </w:rPr>
            <w:t>3</w:t>
          </w:r>
          <w:r>
            <w:rPr>
              <w:rFonts w:hint="eastAsia" w:ascii="宋体" w:hAnsi="宋体" w:eastAsia="宋体" w:cs="宋体"/>
              <w:color w:val="auto"/>
              <w:spacing w:val="0"/>
              <w:position w:val="0"/>
              <w:sz w:val="24"/>
              <w:szCs w:val="24"/>
              <w:highlight w:val="none"/>
            </w:rPr>
            <w:fldChar w:fldCharType="end"/>
          </w:r>
          <w:r>
            <w:rPr>
              <w:rFonts w:hint="eastAsia" w:ascii="宋体" w:hAnsi="宋体" w:eastAsia="宋体" w:cs="宋体"/>
              <w:color w:val="auto"/>
              <w:spacing w:val="0"/>
              <w:position w:val="0"/>
              <w:sz w:val="24"/>
              <w:szCs w:val="24"/>
              <w:highlight w:val="none"/>
            </w:rPr>
            <w:fldChar w:fldCharType="end"/>
          </w:r>
        </w:p>
        <w:p w14:paraId="75A663B1">
          <w:pPr>
            <w:pStyle w:val="20"/>
            <w:keepNext w:val="0"/>
            <w:keepLines w:val="0"/>
            <w:pageBreakBefore w:val="0"/>
            <w:widowControl w:val="0"/>
            <w:tabs>
              <w:tab w:val="right" w:leader="dot" w:pos="9799"/>
            </w:tabs>
            <w:kinsoku/>
            <w:wordWrap/>
            <w:overflowPunct/>
            <w:topLinePunct w:val="0"/>
            <w:autoSpaceDE/>
            <w:autoSpaceDN/>
            <w:bidi w:val="0"/>
            <w:adjustRightInd/>
            <w:snapToGrid/>
            <w:spacing w:line="700" w:lineRule="exact"/>
            <w:ind w:left="315" w:leftChars="150" w:right="210" w:rightChars="100"/>
            <w:textAlignment w:val="auto"/>
            <w:rPr>
              <w:rFonts w:hint="eastAsia" w:ascii="宋体" w:hAnsi="宋体" w:eastAsia="宋体" w:cs="宋体"/>
              <w:color w:val="auto"/>
              <w:spacing w:val="0"/>
              <w:position w:val="0"/>
              <w:sz w:val="24"/>
              <w:szCs w:val="24"/>
              <w:highlight w:val="none"/>
            </w:rPr>
          </w:pPr>
          <w:r>
            <w:rPr>
              <w:rFonts w:hint="eastAsia" w:ascii="宋体" w:hAnsi="宋体" w:eastAsia="宋体" w:cs="宋体"/>
              <w:color w:val="auto"/>
              <w:spacing w:val="0"/>
              <w:position w:val="0"/>
              <w:sz w:val="24"/>
              <w:szCs w:val="24"/>
              <w:highlight w:val="none"/>
            </w:rPr>
            <w:fldChar w:fldCharType="begin"/>
          </w:r>
          <w:r>
            <w:rPr>
              <w:rFonts w:hint="eastAsia" w:ascii="宋体" w:hAnsi="宋体" w:eastAsia="宋体" w:cs="宋体"/>
              <w:color w:val="auto"/>
              <w:spacing w:val="0"/>
              <w:position w:val="0"/>
              <w:sz w:val="24"/>
              <w:szCs w:val="24"/>
              <w:highlight w:val="none"/>
            </w:rPr>
            <w:instrText xml:space="preserve"> HYPERLINK \l _Toc5416 </w:instrText>
          </w:r>
          <w:r>
            <w:rPr>
              <w:rFonts w:hint="eastAsia" w:ascii="宋体" w:hAnsi="宋体" w:eastAsia="宋体" w:cs="宋体"/>
              <w:color w:val="auto"/>
              <w:spacing w:val="0"/>
              <w:position w:val="0"/>
              <w:sz w:val="24"/>
              <w:szCs w:val="24"/>
              <w:highlight w:val="none"/>
            </w:rPr>
            <w:fldChar w:fldCharType="separate"/>
          </w:r>
          <w:r>
            <w:rPr>
              <w:rFonts w:hint="eastAsia" w:ascii="宋体" w:hAnsi="宋体" w:eastAsia="宋体" w:cs="宋体"/>
              <w:bCs/>
              <w:color w:val="auto"/>
              <w:spacing w:val="0"/>
              <w:kern w:val="0"/>
              <w:position w:val="0"/>
              <w:sz w:val="24"/>
              <w:szCs w:val="24"/>
              <w:highlight w:val="none"/>
            </w:rPr>
            <w:t xml:space="preserve">第二章 </w:t>
          </w:r>
          <w:r>
            <w:rPr>
              <w:rFonts w:hint="eastAsia" w:ascii="宋体" w:hAnsi="宋体" w:cs="宋体"/>
              <w:bCs/>
              <w:color w:val="auto"/>
              <w:spacing w:val="0"/>
              <w:kern w:val="0"/>
              <w:position w:val="0"/>
              <w:sz w:val="24"/>
              <w:szCs w:val="24"/>
              <w:highlight w:val="none"/>
              <w:lang w:val="en-US" w:eastAsia="zh-CN"/>
            </w:rPr>
            <w:t xml:space="preserve"> 供应商</w:t>
          </w:r>
          <w:r>
            <w:rPr>
              <w:rFonts w:hint="eastAsia" w:ascii="宋体" w:hAnsi="宋体" w:eastAsia="宋体" w:cs="宋体"/>
              <w:bCs/>
              <w:color w:val="auto"/>
              <w:spacing w:val="0"/>
              <w:kern w:val="0"/>
              <w:position w:val="0"/>
              <w:sz w:val="24"/>
              <w:szCs w:val="24"/>
              <w:highlight w:val="none"/>
            </w:rPr>
            <w:t>须知前附表</w:t>
          </w:r>
          <w:r>
            <w:rPr>
              <w:rFonts w:hint="eastAsia" w:ascii="宋体" w:hAnsi="宋体" w:eastAsia="宋体" w:cs="宋体"/>
              <w:color w:val="auto"/>
              <w:spacing w:val="0"/>
              <w:position w:val="0"/>
              <w:sz w:val="24"/>
              <w:szCs w:val="24"/>
              <w:highlight w:val="none"/>
            </w:rPr>
            <w:tab/>
          </w:r>
          <w:r>
            <w:rPr>
              <w:rFonts w:hint="eastAsia" w:ascii="宋体" w:hAnsi="宋体" w:eastAsia="宋体" w:cs="宋体"/>
              <w:color w:val="auto"/>
              <w:spacing w:val="0"/>
              <w:position w:val="0"/>
              <w:sz w:val="24"/>
              <w:szCs w:val="24"/>
              <w:highlight w:val="none"/>
            </w:rPr>
            <w:fldChar w:fldCharType="begin"/>
          </w:r>
          <w:r>
            <w:rPr>
              <w:rFonts w:hint="eastAsia" w:ascii="宋体" w:hAnsi="宋体" w:eastAsia="宋体" w:cs="宋体"/>
              <w:color w:val="auto"/>
              <w:spacing w:val="0"/>
              <w:position w:val="0"/>
              <w:sz w:val="24"/>
              <w:szCs w:val="24"/>
              <w:highlight w:val="none"/>
            </w:rPr>
            <w:instrText xml:space="preserve"> PAGEREF _Toc5416 \h </w:instrText>
          </w:r>
          <w:r>
            <w:rPr>
              <w:rFonts w:hint="eastAsia" w:ascii="宋体" w:hAnsi="宋体" w:eastAsia="宋体" w:cs="宋体"/>
              <w:color w:val="auto"/>
              <w:spacing w:val="0"/>
              <w:position w:val="0"/>
              <w:sz w:val="24"/>
              <w:szCs w:val="24"/>
              <w:highlight w:val="none"/>
            </w:rPr>
            <w:fldChar w:fldCharType="separate"/>
          </w:r>
          <w:r>
            <w:rPr>
              <w:rFonts w:hint="eastAsia" w:ascii="宋体" w:hAnsi="宋体" w:eastAsia="宋体" w:cs="宋体"/>
              <w:color w:val="auto"/>
              <w:spacing w:val="0"/>
              <w:position w:val="0"/>
              <w:sz w:val="24"/>
              <w:szCs w:val="24"/>
              <w:highlight w:val="none"/>
            </w:rPr>
            <w:t>6</w:t>
          </w:r>
          <w:r>
            <w:rPr>
              <w:rFonts w:hint="eastAsia" w:ascii="宋体" w:hAnsi="宋体" w:eastAsia="宋体" w:cs="宋体"/>
              <w:color w:val="auto"/>
              <w:spacing w:val="0"/>
              <w:position w:val="0"/>
              <w:sz w:val="24"/>
              <w:szCs w:val="24"/>
              <w:highlight w:val="none"/>
            </w:rPr>
            <w:fldChar w:fldCharType="end"/>
          </w:r>
          <w:r>
            <w:rPr>
              <w:rFonts w:hint="eastAsia" w:ascii="宋体" w:hAnsi="宋体" w:eastAsia="宋体" w:cs="宋体"/>
              <w:color w:val="auto"/>
              <w:spacing w:val="0"/>
              <w:position w:val="0"/>
              <w:sz w:val="24"/>
              <w:szCs w:val="24"/>
              <w:highlight w:val="none"/>
            </w:rPr>
            <w:fldChar w:fldCharType="end"/>
          </w:r>
        </w:p>
        <w:p w14:paraId="0A504A1C">
          <w:pPr>
            <w:pStyle w:val="20"/>
            <w:keepNext w:val="0"/>
            <w:keepLines w:val="0"/>
            <w:pageBreakBefore w:val="0"/>
            <w:widowControl w:val="0"/>
            <w:tabs>
              <w:tab w:val="right" w:leader="dot" w:pos="9799"/>
            </w:tabs>
            <w:kinsoku/>
            <w:wordWrap/>
            <w:overflowPunct/>
            <w:topLinePunct w:val="0"/>
            <w:autoSpaceDE/>
            <w:autoSpaceDN/>
            <w:bidi w:val="0"/>
            <w:adjustRightInd/>
            <w:snapToGrid/>
            <w:spacing w:line="700" w:lineRule="exact"/>
            <w:ind w:left="315" w:leftChars="150" w:right="210" w:rightChars="100"/>
            <w:textAlignment w:val="auto"/>
            <w:rPr>
              <w:rFonts w:hint="eastAsia" w:ascii="宋体" w:hAnsi="宋体" w:eastAsia="宋体" w:cs="宋体"/>
              <w:color w:val="auto"/>
              <w:spacing w:val="0"/>
              <w:position w:val="0"/>
              <w:sz w:val="24"/>
              <w:szCs w:val="24"/>
              <w:highlight w:val="none"/>
            </w:rPr>
          </w:pPr>
          <w:r>
            <w:rPr>
              <w:rFonts w:hint="eastAsia" w:ascii="宋体" w:hAnsi="宋体" w:eastAsia="宋体" w:cs="宋体"/>
              <w:color w:val="auto"/>
              <w:spacing w:val="0"/>
              <w:position w:val="0"/>
              <w:sz w:val="24"/>
              <w:szCs w:val="24"/>
              <w:highlight w:val="none"/>
            </w:rPr>
            <w:fldChar w:fldCharType="begin"/>
          </w:r>
          <w:r>
            <w:rPr>
              <w:rFonts w:hint="eastAsia" w:ascii="宋体" w:hAnsi="宋体" w:eastAsia="宋体" w:cs="宋体"/>
              <w:color w:val="auto"/>
              <w:spacing w:val="0"/>
              <w:position w:val="0"/>
              <w:sz w:val="24"/>
              <w:szCs w:val="24"/>
              <w:highlight w:val="none"/>
            </w:rPr>
            <w:instrText xml:space="preserve"> HYPERLINK \l _Toc26558 </w:instrText>
          </w:r>
          <w:r>
            <w:rPr>
              <w:rFonts w:hint="eastAsia" w:ascii="宋体" w:hAnsi="宋体" w:eastAsia="宋体" w:cs="宋体"/>
              <w:color w:val="auto"/>
              <w:spacing w:val="0"/>
              <w:position w:val="0"/>
              <w:sz w:val="24"/>
              <w:szCs w:val="24"/>
              <w:highlight w:val="none"/>
            </w:rPr>
            <w:fldChar w:fldCharType="separate"/>
          </w:r>
          <w:r>
            <w:rPr>
              <w:rFonts w:hint="eastAsia" w:ascii="宋体" w:hAnsi="宋体" w:eastAsia="宋体" w:cs="宋体"/>
              <w:bCs/>
              <w:color w:val="auto"/>
              <w:spacing w:val="0"/>
              <w:kern w:val="0"/>
              <w:position w:val="0"/>
              <w:sz w:val="24"/>
              <w:szCs w:val="24"/>
              <w:highlight w:val="none"/>
            </w:rPr>
            <w:t>第三章  项目基本情况及要求</w:t>
          </w:r>
          <w:r>
            <w:rPr>
              <w:rFonts w:hint="eastAsia" w:ascii="宋体" w:hAnsi="宋体" w:eastAsia="宋体" w:cs="宋体"/>
              <w:color w:val="auto"/>
              <w:spacing w:val="0"/>
              <w:position w:val="0"/>
              <w:sz w:val="24"/>
              <w:szCs w:val="24"/>
              <w:highlight w:val="none"/>
            </w:rPr>
            <w:tab/>
          </w:r>
          <w:r>
            <w:rPr>
              <w:rFonts w:hint="eastAsia" w:ascii="宋体" w:hAnsi="宋体" w:eastAsia="宋体" w:cs="宋体"/>
              <w:color w:val="auto"/>
              <w:spacing w:val="0"/>
              <w:position w:val="0"/>
              <w:sz w:val="24"/>
              <w:szCs w:val="24"/>
              <w:highlight w:val="none"/>
            </w:rPr>
            <w:fldChar w:fldCharType="begin"/>
          </w:r>
          <w:r>
            <w:rPr>
              <w:rFonts w:hint="eastAsia" w:ascii="宋体" w:hAnsi="宋体" w:eastAsia="宋体" w:cs="宋体"/>
              <w:color w:val="auto"/>
              <w:spacing w:val="0"/>
              <w:position w:val="0"/>
              <w:sz w:val="24"/>
              <w:szCs w:val="24"/>
              <w:highlight w:val="none"/>
            </w:rPr>
            <w:instrText xml:space="preserve"> PAGEREF _Toc26558 \h </w:instrText>
          </w:r>
          <w:r>
            <w:rPr>
              <w:rFonts w:hint="eastAsia" w:ascii="宋体" w:hAnsi="宋体" w:eastAsia="宋体" w:cs="宋体"/>
              <w:color w:val="auto"/>
              <w:spacing w:val="0"/>
              <w:position w:val="0"/>
              <w:sz w:val="24"/>
              <w:szCs w:val="24"/>
              <w:highlight w:val="none"/>
            </w:rPr>
            <w:fldChar w:fldCharType="separate"/>
          </w:r>
          <w:r>
            <w:rPr>
              <w:rFonts w:hint="eastAsia" w:ascii="宋体" w:hAnsi="宋体" w:eastAsia="宋体" w:cs="宋体"/>
              <w:color w:val="auto"/>
              <w:spacing w:val="0"/>
              <w:position w:val="0"/>
              <w:sz w:val="24"/>
              <w:szCs w:val="24"/>
              <w:highlight w:val="none"/>
            </w:rPr>
            <w:t>25</w:t>
          </w:r>
          <w:r>
            <w:rPr>
              <w:rFonts w:hint="eastAsia" w:ascii="宋体" w:hAnsi="宋体" w:eastAsia="宋体" w:cs="宋体"/>
              <w:color w:val="auto"/>
              <w:spacing w:val="0"/>
              <w:position w:val="0"/>
              <w:sz w:val="24"/>
              <w:szCs w:val="24"/>
              <w:highlight w:val="none"/>
            </w:rPr>
            <w:fldChar w:fldCharType="end"/>
          </w:r>
          <w:r>
            <w:rPr>
              <w:rFonts w:hint="eastAsia" w:ascii="宋体" w:hAnsi="宋体" w:eastAsia="宋体" w:cs="宋体"/>
              <w:color w:val="auto"/>
              <w:spacing w:val="0"/>
              <w:position w:val="0"/>
              <w:sz w:val="24"/>
              <w:szCs w:val="24"/>
              <w:highlight w:val="none"/>
            </w:rPr>
            <w:fldChar w:fldCharType="end"/>
          </w:r>
        </w:p>
        <w:p w14:paraId="5BDADF38">
          <w:pPr>
            <w:pStyle w:val="20"/>
            <w:keepNext w:val="0"/>
            <w:keepLines w:val="0"/>
            <w:pageBreakBefore w:val="0"/>
            <w:widowControl w:val="0"/>
            <w:tabs>
              <w:tab w:val="right" w:leader="dot" w:pos="9799"/>
            </w:tabs>
            <w:kinsoku/>
            <w:wordWrap/>
            <w:overflowPunct/>
            <w:topLinePunct w:val="0"/>
            <w:autoSpaceDE/>
            <w:autoSpaceDN/>
            <w:bidi w:val="0"/>
            <w:adjustRightInd/>
            <w:snapToGrid/>
            <w:spacing w:line="700" w:lineRule="exact"/>
            <w:ind w:left="315" w:leftChars="150" w:right="210" w:rightChars="100"/>
            <w:textAlignment w:val="auto"/>
            <w:rPr>
              <w:rFonts w:hint="eastAsia" w:ascii="宋体" w:hAnsi="宋体" w:eastAsia="宋体" w:cs="宋体"/>
              <w:color w:val="auto"/>
              <w:spacing w:val="0"/>
              <w:position w:val="0"/>
              <w:sz w:val="24"/>
              <w:szCs w:val="24"/>
              <w:highlight w:val="none"/>
              <w:lang w:val="en-US" w:eastAsia="zh-CN"/>
            </w:rPr>
          </w:pPr>
          <w:r>
            <w:rPr>
              <w:rFonts w:hint="eastAsia" w:ascii="宋体" w:hAnsi="宋体" w:eastAsia="宋体" w:cs="宋体"/>
              <w:color w:val="auto"/>
              <w:spacing w:val="0"/>
              <w:position w:val="0"/>
              <w:sz w:val="24"/>
              <w:szCs w:val="24"/>
              <w:highlight w:val="none"/>
            </w:rPr>
            <w:fldChar w:fldCharType="begin"/>
          </w:r>
          <w:r>
            <w:rPr>
              <w:rFonts w:hint="eastAsia" w:ascii="宋体" w:hAnsi="宋体" w:eastAsia="宋体" w:cs="宋体"/>
              <w:color w:val="auto"/>
              <w:spacing w:val="0"/>
              <w:position w:val="0"/>
              <w:sz w:val="24"/>
              <w:szCs w:val="24"/>
              <w:highlight w:val="none"/>
            </w:rPr>
            <w:instrText xml:space="preserve"> HYPERLINK \l _Toc20069 </w:instrText>
          </w:r>
          <w:r>
            <w:rPr>
              <w:rFonts w:hint="eastAsia" w:ascii="宋体" w:hAnsi="宋体" w:eastAsia="宋体" w:cs="宋体"/>
              <w:color w:val="auto"/>
              <w:spacing w:val="0"/>
              <w:position w:val="0"/>
              <w:sz w:val="24"/>
              <w:szCs w:val="24"/>
              <w:highlight w:val="none"/>
            </w:rPr>
            <w:fldChar w:fldCharType="separate"/>
          </w:r>
          <w:r>
            <w:rPr>
              <w:rFonts w:hint="eastAsia" w:ascii="宋体" w:hAnsi="宋体" w:eastAsia="宋体" w:cs="宋体"/>
              <w:bCs/>
              <w:color w:val="auto"/>
              <w:spacing w:val="0"/>
              <w:kern w:val="0"/>
              <w:position w:val="0"/>
              <w:sz w:val="24"/>
              <w:szCs w:val="24"/>
              <w:highlight w:val="none"/>
              <w:lang w:val="en-US" w:eastAsia="zh-CN"/>
            </w:rPr>
            <w:t>第四章</w:t>
          </w:r>
          <w:r>
            <w:rPr>
              <w:rFonts w:hint="eastAsia" w:ascii="宋体" w:hAnsi="宋体" w:eastAsia="宋体" w:cs="宋体"/>
              <w:bCs/>
              <w:color w:val="auto"/>
              <w:spacing w:val="0"/>
              <w:kern w:val="0"/>
              <w:position w:val="0"/>
              <w:sz w:val="24"/>
              <w:szCs w:val="24"/>
              <w:highlight w:val="none"/>
            </w:rPr>
            <w:t xml:space="preserve"> </w:t>
          </w:r>
          <w:r>
            <w:rPr>
              <w:rFonts w:hint="eastAsia" w:ascii="宋体" w:hAnsi="宋体" w:cs="宋体"/>
              <w:bCs/>
              <w:color w:val="auto"/>
              <w:spacing w:val="0"/>
              <w:kern w:val="0"/>
              <w:position w:val="0"/>
              <w:sz w:val="24"/>
              <w:szCs w:val="24"/>
              <w:highlight w:val="none"/>
              <w:lang w:val="en-US" w:eastAsia="zh-CN"/>
            </w:rPr>
            <w:t xml:space="preserve"> </w:t>
          </w:r>
          <w:r>
            <w:rPr>
              <w:rFonts w:hint="eastAsia" w:ascii="宋体" w:hAnsi="宋体" w:eastAsia="宋体" w:cs="宋体"/>
              <w:bCs/>
              <w:color w:val="auto"/>
              <w:spacing w:val="0"/>
              <w:kern w:val="0"/>
              <w:position w:val="0"/>
              <w:sz w:val="24"/>
              <w:szCs w:val="24"/>
              <w:highlight w:val="none"/>
            </w:rPr>
            <w:t>评审标准</w:t>
          </w:r>
          <w:r>
            <w:rPr>
              <w:rFonts w:hint="eastAsia" w:ascii="宋体" w:hAnsi="宋体" w:eastAsia="宋体" w:cs="宋体"/>
              <w:color w:val="auto"/>
              <w:spacing w:val="0"/>
              <w:position w:val="0"/>
              <w:sz w:val="24"/>
              <w:szCs w:val="24"/>
              <w:highlight w:val="none"/>
            </w:rPr>
            <w:tab/>
          </w:r>
          <w:r>
            <w:rPr>
              <w:rFonts w:hint="eastAsia" w:ascii="宋体" w:hAnsi="宋体" w:cs="宋体"/>
              <w:color w:val="auto"/>
              <w:spacing w:val="0"/>
              <w:position w:val="0"/>
              <w:sz w:val="24"/>
              <w:szCs w:val="24"/>
              <w:highlight w:val="none"/>
              <w:lang w:val="en-US" w:eastAsia="zh-CN"/>
            </w:rPr>
            <w:t>2</w:t>
          </w:r>
          <w:r>
            <w:rPr>
              <w:rFonts w:hint="eastAsia" w:ascii="宋体" w:hAnsi="宋体" w:eastAsia="宋体" w:cs="宋体"/>
              <w:color w:val="auto"/>
              <w:spacing w:val="0"/>
              <w:position w:val="0"/>
              <w:sz w:val="24"/>
              <w:szCs w:val="24"/>
              <w:highlight w:val="none"/>
            </w:rPr>
            <w:fldChar w:fldCharType="end"/>
          </w:r>
          <w:r>
            <w:rPr>
              <w:rFonts w:hint="eastAsia" w:ascii="宋体" w:hAnsi="宋体" w:cs="宋体"/>
              <w:color w:val="auto"/>
              <w:spacing w:val="0"/>
              <w:position w:val="0"/>
              <w:sz w:val="24"/>
              <w:szCs w:val="24"/>
              <w:highlight w:val="none"/>
              <w:lang w:val="en-US" w:eastAsia="zh-CN"/>
            </w:rPr>
            <w:t>6</w:t>
          </w:r>
        </w:p>
        <w:p w14:paraId="1727C2E6">
          <w:pPr>
            <w:pStyle w:val="20"/>
            <w:keepNext w:val="0"/>
            <w:keepLines w:val="0"/>
            <w:pageBreakBefore w:val="0"/>
            <w:widowControl w:val="0"/>
            <w:tabs>
              <w:tab w:val="right" w:leader="dot" w:pos="9799"/>
            </w:tabs>
            <w:kinsoku/>
            <w:wordWrap/>
            <w:overflowPunct/>
            <w:topLinePunct w:val="0"/>
            <w:autoSpaceDE/>
            <w:autoSpaceDN/>
            <w:bidi w:val="0"/>
            <w:adjustRightInd/>
            <w:snapToGrid/>
            <w:spacing w:line="700" w:lineRule="exact"/>
            <w:ind w:left="315" w:leftChars="150" w:right="210" w:rightChars="100"/>
            <w:textAlignment w:val="auto"/>
            <w:rPr>
              <w:rFonts w:hint="eastAsia" w:ascii="宋体" w:hAnsi="宋体" w:eastAsia="宋体" w:cs="宋体"/>
              <w:color w:val="auto"/>
              <w:spacing w:val="0"/>
              <w:position w:val="0"/>
              <w:sz w:val="24"/>
              <w:szCs w:val="24"/>
              <w:highlight w:val="none"/>
            </w:rPr>
          </w:pPr>
          <w:r>
            <w:rPr>
              <w:rFonts w:hint="eastAsia" w:ascii="宋体" w:hAnsi="宋体" w:eastAsia="宋体" w:cs="宋体"/>
              <w:color w:val="auto"/>
              <w:spacing w:val="0"/>
              <w:position w:val="0"/>
              <w:sz w:val="24"/>
              <w:szCs w:val="24"/>
              <w:highlight w:val="none"/>
            </w:rPr>
            <w:fldChar w:fldCharType="begin"/>
          </w:r>
          <w:r>
            <w:rPr>
              <w:rFonts w:hint="eastAsia" w:ascii="宋体" w:hAnsi="宋体" w:eastAsia="宋体" w:cs="宋体"/>
              <w:color w:val="auto"/>
              <w:spacing w:val="0"/>
              <w:position w:val="0"/>
              <w:sz w:val="24"/>
              <w:szCs w:val="24"/>
              <w:highlight w:val="none"/>
            </w:rPr>
            <w:instrText xml:space="preserve"> HYPERLINK \l _Toc15543 </w:instrText>
          </w:r>
          <w:r>
            <w:rPr>
              <w:rFonts w:hint="eastAsia" w:ascii="宋体" w:hAnsi="宋体" w:eastAsia="宋体" w:cs="宋体"/>
              <w:color w:val="auto"/>
              <w:spacing w:val="0"/>
              <w:position w:val="0"/>
              <w:sz w:val="24"/>
              <w:szCs w:val="24"/>
              <w:highlight w:val="none"/>
            </w:rPr>
            <w:fldChar w:fldCharType="separate"/>
          </w:r>
          <w:r>
            <w:rPr>
              <w:rFonts w:hint="eastAsia" w:ascii="宋体" w:hAnsi="宋体" w:eastAsia="宋体" w:cs="宋体"/>
              <w:bCs/>
              <w:color w:val="auto"/>
              <w:spacing w:val="0"/>
              <w:kern w:val="0"/>
              <w:position w:val="0"/>
              <w:sz w:val="24"/>
              <w:szCs w:val="24"/>
              <w:highlight w:val="none"/>
            </w:rPr>
            <w:t>第</w:t>
          </w:r>
          <w:r>
            <w:rPr>
              <w:rFonts w:hint="eastAsia" w:ascii="宋体" w:hAnsi="宋体" w:eastAsia="宋体" w:cs="宋体"/>
              <w:bCs/>
              <w:color w:val="auto"/>
              <w:spacing w:val="0"/>
              <w:kern w:val="0"/>
              <w:position w:val="0"/>
              <w:sz w:val="24"/>
              <w:szCs w:val="24"/>
              <w:highlight w:val="none"/>
              <w:lang w:val="en-US" w:eastAsia="zh-CN"/>
            </w:rPr>
            <w:t>五</w:t>
          </w:r>
          <w:r>
            <w:rPr>
              <w:rFonts w:hint="eastAsia" w:ascii="宋体" w:hAnsi="宋体" w:eastAsia="宋体" w:cs="宋体"/>
              <w:bCs/>
              <w:color w:val="auto"/>
              <w:spacing w:val="0"/>
              <w:kern w:val="0"/>
              <w:position w:val="0"/>
              <w:sz w:val="24"/>
              <w:szCs w:val="24"/>
              <w:highlight w:val="none"/>
            </w:rPr>
            <w:t>章</w:t>
          </w:r>
          <w:r>
            <w:rPr>
              <w:rFonts w:hint="eastAsia" w:ascii="宋体" w:hAnsi="宋体" w:cs="宋体"/>
              <w:bCs/>
              <w:color w:val="auto"/>
              <w:spacing w:val="0"/>
              <w:kern w:val="0"/>
              <w:position w:val="0"/>
              <w:sz w:val="24"/>
              <w:szCs w:val="24"/>
              <w:highlight w:val="none"/>
              <w:lang w:val="en-US" w:eastAsia="zh-CN"/>
            </w:rPr>
            <w:t xml:space="preserve"> </w:t>
          </w:r>
          <w:r>
            <w:rPr>
              <w:rFonts w:hint="eastAsia" w:ascii="宋体" w:hAnsi="宋体" w:eastAsia="宋体" w:cs="宋体"/>
              <w:bCs/>
              <w:color w:val="auto"/>
              <w:spacing w:val="0"/>
              <w:kern w:val="0"/>
              <w:position w:val="0"/>
              <w:sz w:val="24"/>
              <w:szCs w:val="24"/>
              <w:highlight w:val="none"/>
            </w:rPr>
            <w:t xml:space="preserve"> 响应文件（格式）</w:t>
          </w:r>
          <w:r>
            <w:rPr>
              <w:rFonts w:hint="eastAsia" w:ascii="宋体" w:hAnsi="宋体" w:eastAsia="宋体" w:cs="宋体"/>
              <w:color w:val="auto"/>
              <w:spacing w:val="0"/>
              <w:position w:val="0"/>
              <w:sz w:val="24"/>
              <w:szCs w:val="24"/>
              <w:highlight w:val="none"/>
            </w:rPr>
            <w:tab/>
          </w:r>
          <w:r>
            <w:rPr>
              <w:rFonts w:hint="eastAsia" w:ascii="宋体" w:hAnsi="宋体" w:eastAsia="宋体" w:cs="宋体"/>
              <w:color w:val="auto"/>
              <w:spacing w:val="0"/>
              <w:position w:val="0"/>
              <w:sz w:val="24"/>
              <w:szCs w:val="24"/>
              <w:highlight w:val="none"/>
            </w:rPr>
            <w:fldChar w:fldCharType="begin"/>
          </w:r>
          <w:r>
            <w:rPr>
              <w:rFonts w:hint="eastAsia" w:ascii="宋体" w:hAnsi="宋体" w:eastAsia="宋体" w:cs="宋体"/>
              <w:color w:val="auto"/>
              <w:spacing w:val="0"/>
              <w:position w:val="0"/>
              <w:sz w:val="24"/>
              <w:szCs w:val="24"/>
              <w:highlight w:val="none"/>
            </w:rPr>
            <w:instrText xml:space="preserve"> PAGEREF _Toc15543 \h </w:instrText>
          </w:r>
          <w:r>
            <w:rPr>
              <w:rFonts w:hint="eastAsia" w:ascii="宋体" w:hAnsi="宋体" w:eastAsia="宋体" w:cs="宋体"/>
              <w:color w:val="auto"/>
              <w:spacing w:val="0"/>
              <w:position w:val="0"/>
              <w:sz w:val="24"/>
              <w:szCs w:val="24"/>
              <w:highlight w:val="none"/>
            </w:rPr>
            <w:fldChar w:fldCharType="separate"/>
          </w:r>
          <w:r>
            <w:rPr>
              <w:rFonts w:hint="eastAsia" w:ascii="宋体" w:hAnsi="宋体" w:eastAsia="宋体" w:cs="宋体"/>
              <w:color w:val="auto"/>
              <w:spacing w:val="0"/>
              <w:position w:val="0"/>
              <w:sz w:val="24"/>
              <w:szCs w:val="24"/>
              <w:highlight w:val="none"/>
            </w:rPr>
            <w:t>37</w:t>
          </w:r>
          <w:r>
            <w:rPr>
              <w:rFonts w:hint="eastAsia" w:ascii="宋体" w:hAnsi="宋体" w:eastAsia="宋体" w:cs="宋体"/>
              <w:color w:val="auto"/>
              <w:spacing w:val="0"/>
              <w:position w:val="0"/>
              <w:sz w:val="24"/>
              <w:szCs w:val="24"/>
              <w:highlight w:val="none"/>
            </w:rPr>
            <w:fldChar w:fldCharType="end"/>
          </w:r>
          <w:r>
            <w:rPr>
              <w:rFonts w:hint="eastAsia" w:ascii="宋体" w:hAnsi="宋体" w:eastAsia="宋体" w:cs="宋体"/>
              <w:color w:val="auto"/>
              <w:spacing w:val="0"/>
              <w:position w:val="0"/>
              <w:sz w:val="24"/>
              <w:szCs w:val="24"/>
              <w:highlight w:val="none"/>
            </w:rPr>
            <w:fldChar w:fldCharType="end"/>
          </w:r>
        </w:p>
        <w:p w14:paraId="7924571D">
          <w:pPr>
            <w:pStyle w:val="20"/>
            <w:keepNext w:val="0"/>
            <w:keepLines w:val="0"/>
            <w:pageBreakBefore w:val="0"/>
            <w:widowControl w:val="0"/>
            <w:tabs>
              <w:tab w:val="right" w:leader="dot" w:pos="9799"/>
            </w:tabs>
            <w:kinsoku/>
            <w:wordWrap/>
            <w:overflowPunct/>
            <w:topLinePunct w:val="0"/>
            <w:autoSpaceDE/>
            <w:autoSpaceDN/>
            <w:bidi w:val="0"/>
            <w:adjustRightInd/>
            <w:snapToGrid/>
            <w:spacing w:line="700" w:lineRule="exact"/>
            <w:ind w:left="315" w:leftChars="150" w:right="210" w:rightChars="100"/>
            <w:textAlignment w:val="auto"/>
            <w:rPr>
              <w:rFonts w:hint="eastAsia" w:ascii="宋体" w:hAnsi="宋体" w:eastAsia="宋体" w:cs="宋体"/>
              <w:color w:val="auto"/>
              <w:spacing w:val="0"/>
              <w:position w:val="0"/>
              <w:sz w:val="24"/>
              <w:szCs w:val="32"/>
              <w:highlight w:val="none"/>
            </w:rPr>
          </w:pPr>
          <w:r>
            <w:rPr>
              <w:rFonts w:hint="eastAsia" w:ascii="宋体" w:hAnsi="宋体" w:eastAsia="宋体" w:cs="宋体"/>
              <w:color w:val="auto"/>
              <w:spacing w:val="0"/>
              <w:position w:val="0"/>
              <w:sz w:val="24"/>
              <w:szCs w:val="24"/>
              <w:highlight w:val="none"/>
            </w:rPr>
            <w:fldChar w:fldCharType="begin"/>
          </w:r>
          <w:r>
            <w:rPr>
              <w:rFonts w:hint="eastAsia" w:ascii="宋体" w:hAnsi="宋体" w:eastAsia="宋体" w:cs="宋体"/>
              <w:color w:val="auto"/>
              <w:spacing w:val="0"/>
              <w:position w:val="0"/>
              <w:sz w:val="24"/>
              <w:szCs w:val="24"/>
              <w:highlight w:val="none"/>
            </w:rPr>
            <w:instrText xml:space="preserve"> HYPERLINK \l _Toc3612 </w:instrText>
          </w:r>
          <w:r>
            <w:rPr>
              <w:rFonts w:hint="eastAsia" w:ascii="宋体" w:hAnsi="宋体" w:eastAsia="宋体" w:cs="宋体"/>
              <w:color w:val="auto"/>
              <w:spacing w:val="0"/>
              <w:position w:val="0"/>
              <w:sz w:val="24"/>
              <w:szCs w:val="24"/>
              <w:highlight w:val="none"/>
            </w:rPr>
            <w:fldChar w:fldCharType="separate"/>
          </w:r>
          <w:r>
            <w:rPr>
              <w:rFonts w:hint="eastAsia" w:ascii="宋体" w:hAnsi="宋体" w:eastAsia="宋体" w:cs="宋体"/>
              <w:color w:val="auto"/>
              <w:spacing w:val="0"/>
              <w:kern w:val="0"/>
              <w:position w:val="0"/>
              <w:sz w:val="24"/>
              <w:szCs w:val="24"/>
              <w:highlight w:val="none"/>
            </w:rPr>
            <w:t xml:space="preserve">第六章 </w:t>
          </w:r>
          <w:r>
            <w:rPr>
              <w:rFonts w:hint="eastAsia" w:ascii="宋体" w:hAnsi="宋体" w:cs="宋体"/>
              <w:color w:val="auto"/>
              <w:spacing w:val="0"/>
              <w:kern w:val="0"/>
              <w:position w:val="0"/>
              <w:sz w:val="24"/>
              <w:szCs w:val="24"/>
              <w:highlight w:val="none"/>
              <w:lang w:val="en-US" w:eastAsia="zh-CN"/>
            </w:rPr>
            <w:t xml:space="preserve"> </w:t>
          </w:r>
          <w:r>
            <w:rPr>
              <w:rFonts w:hint="eastAsia" w:ascii="宋体" w:hAnsi="宋体" w:eastAsia="宋体" w:cs="宋体"/>
              <w:color w:val="auto"/>
              <w:spacing w:val="0"/>
              <w:kern w:val="0"/>
              <w:position w:val="0"/>
              <w:sz w:val="24"/>
              <w:szCs w:val="24"/>
              <w:highlight w:val="none"/>
            </w:rPr>
            <w:t>合同主要条款</w:t>
          </w:r>
          <w:r>
            <w:rPr>
              <w:rFonts w:hint="eastAsia" w:ascii="宋体" w:hAnsi="宋体" w:cs="宋体"/>
              <w:color w:val="auto"/>
              <w:spacing w:val="0"/>
              <w:kern w:val="0"/>
              <w:position w:val="0"/>
              <w:sz w:val="24"/>
              <w:szCs w:val="24"/>
              <w:highlight w:val="none"/>
              <w:lang w:eastAsia="zh-CN"/>
            </w:rPr>
            <w:t>（</w:t>
          </w:r>
          <w:r>
            <w:rPr>
              <w:rFonts w:hint="eastAsia" w:ascii="宋体" w:hAnsi="宋体" w:eastAsia="宋体" w:cs="宋体"/>
              <w:color w:val="auto"/>
              <w:spacing w:val="0"/>
              <w:kern w:val="0"/>
              <w:position w:val="0"/>
              <w:sz w:val="24"/>
              <w:szCs w:val="24"/>
              <w:highlight w:val="none"/>
            </w:rPr>
            <w:t>参考格式</w:t>
          </w:r>
          <w:r>
            <w:rPr>
              <w:rFonts w:hint="eastAsia" w:ascii="宋体" w:hAnsi="宋体" w:cs="宋体"/>
              <w:color w:val="auto"/>
              <w:spacing w:val="0"/>
              <w:kern w:val="0"/>
              <w:position w:val="0"/>
              <w:sz w:val="24"/>
              <w:szCs w:val="24"/>
              <w:highlight w:val="none"/>
              <w:lang w:eastAsia="zh-CN"/>
            </w:rPr>
            <w:t>）</w:t>
          </w:r>
          <w:r>
            <w:rPr>
              <w:rFonts w:hint="eastAsia" w:ascii="宋体" w:hAnsi="宋体" w:eastAsia="宋体" w:cs="宋体"/>
              <w:color w:val="auto"/>
              <w:spacing w:val="0"/>
              <w:position w:val="0"/>
              <w:sz w:val="24"/>
              <w:szCs w:val="24"/>
              <w:highlight w:val="none"/>
            </w:rPr>
            <w:tab/>
          </w:r>
          <w:r>
            <w:rPr>
              <w:rFonts w:hint="eastAsia" w:ascii="宋体" w:hAnsi="宋体" w:eastAsia="宋体" w:cs="宋体"/>
              <w:color w:val="auto"/>
              <w:spacing w:val="0"/>
              <w:position w:val="0"/>
              <w:sz w:val="24"/>
              <w:szCs w:val="24"/>
              <w:highlight w:val="none"/>
            </w:rPr>
            <w:fldChar w:fldCharType="begin"/>
          </w:r>
          <w:r>
            <w:rPr>
              <w:rFonts w:hint="eastAsia" w:ascii="宋体" w:hAnsi="宋体" w:eastAsia="宋体" w:cs="宋体"/>
              <w:color w:val="auto"/>
              <w:spacing w:val="0"/>
              <w:position w:val="0"/>
              <w:sz w:val="24"/>
              <w:szCs w:val="24"/>
              <w:highlight w:val="none"/>
            </w:rPr>
            <w:instrText xml:space="preserve"> PAGEREF _Toc3612 \h </w:instrText>
          </w:r>
          <w:r>
            <w:rPr>
              <w:rFonts w:hint="eastAsia" w:ascii="宋体" w:hAnsi="宋体" w:eastAsia="宋体" w:cs="宋体"/>
              <w:color w:val="auto"/>
              <w:spacing w:val="0"/>
              <w:position w:val="0"/>
              <w:sz w:val="24"/>
              <w:szCs w:val="24"/>
              <w:highlight w:val="none"/>
            </w:rPr>
            <w:fldChar w:fldCharType="separate"/>
          </w:r>
          <w:r>
            <w:rPr>
              <w:rFonts w:hint="eastAsia" w:ascii="宋体" w:hAnsi="宋体" w:eastAsia="宋体" w:cs="宋体"/>
              <w:color w:val="auto"/>
              <w:spacing w:val="0"/>
              <w:position w:val="0"/>
              <w:sz w:val="24"/>
              <w:szCs w:val="24"/>
              <w:highlight w:val="none"/>
            </w:rPr>
            <w:t>64</w:t>
          </w:r>
          <w:r>
            <w:rPr>
              <w:rFonts w:hint="eastAsia" w:ascii="宋体" w:hAnsi="宋体" w:eastAsia="宋体" w:cs="宋体"/>
              <w:color w:val="auto"/>
              <w:spacing w:val="0"/>
              <w:position w:val="0"/>
              <w:sz w:val="24"/>
              <w:szCs w:val="24"/>
              <w:highlight w:val="none"/>
            </w:rPr>
            <w:fldChar w:fldCharType="end"/>
          </w:r>
          <w:r>
            <w:rPr>
              <w:rFonts w:hint="eastAsia" w:ascii="宋体" w:hAnsi="宋体" w:eastAsia="宋体" w:cs="宋体"/>
              <w:color w:val="auto"/>
              <w:spacing w:val="0"/>
              <w:position w:val="0"/>
              <w:sz w:val="24"/>
              <w:szCs w:val="24"/>
              <w:highlight w:val="none"/>
            </w:rPr>
            <w:fldChar w:fldCharType="end"/>
          </w:r>
        </w:p>
        <w:p w14:paraId="21869EAD">
          <w:pPr>
            <w:pStyle w:val="20"/>
            <w:tabs>
              <w:tab w:val="right" w:leader="dot" w:pos="9799"/>
            </w:tabs>
            <w:spacing w:line="360" w:lineRule="auto"/>
            <w:rPr>
              <w:color w:val="auto"/>
              <w:spacing w:val="0"/>
              <w:position w:val="0"/>
              <w:sz w:val="20"/>
              <w:szCs w:val="22"/>
              <w:highlight w:val="none"/>
            </w:rPr>
          </w:pPr>
        </w:p>
        <w:p w14:paraId="69A79163">
          <w:pPr>
            <w:pStyle w:val="20"/>
            <w:keepNext w:val="0"/>
            <w:keepLines w:val="0"/>
            <w:pageBreakBefore w:val="0"/>
            <w:tabs>
              <w:tab w:val="center" w:pos="4899"/>
            </w:tabs>
            <w:kinsoku/>
            <w:wordWrap/>
            <w:overflowPunct/>
            <w:topLinePunct w:val="0"/>
            <w:autoSpaceDE/>
            <w:autoSpaceDN/>
            <w:bidi w:val="0"/>
            <w:adjustRightInd/>
            <w:snapToGrid/>
            <w:spacing w:line="360" w:lineRule="auto"/>
            <w:textAlignment w:val="auto"/>
            <w:rPr>
              <w:rFonts w:ascii="宋体" w:hAnsi="宋体" w:cs="宋体"/>
              <w:color w:val="auto"/>
              <w:spacing w:val="0"/>
              <w:position w:val="0"/>
              <w:sz w:val="32"/>
              <w:szCs w:val="40"/>
              <w:highlight w:val="none"/>
            </w:rPr>
          </w:pPr>
          <w:r>
            <w:rPr>
              <w:rFonts w:ascii="宋体" w:hAnsi="宋体" w:cs="宋体"/>
              <w:color w:val="auto"/>
              <w:spacing w:val="0"/>
              <w:position w:val="0"/>
              <w:szCs w:val="40"/>
              <w:highlight w:val="none"/>
            </w:rPr>
            <w:fldChar w:fldCharType="end"/>
          </w:r>
          <w:r>
            <w:rPr>
              <w:rFonts w:hint="eastAsia" w:ascii="宋体" w:hAnsi="宋体" w:cs="宋体"/>
              <w:color w:val="auto"/>
              <w:spacing w:val="0"/>
              <w:position w:val="0"/>
              <w:szCs w:val="40"/>
              <w:highlight w:val="none"/>
              <w:lang w:eastAsia="zh-CN"/>
            </w:rPr>
            <w:tab/>
          </w:r>
        </w:p>
      </w:sdtContent>
    </w:sdt>
    <w:p w14:paraId="2A8AFAF5">
      <w:pPr>
        <w:pStyle w:val="10"/>
        <w:tabs>
          <w:tab w:val="left" w:pos="4386"/>
        </w:tabs>
        <w:autoSpaceDE/>
        <w:autoSpaceDN/>
        <w:adjustRightInd/>
        <w:spacing w:line="320" w:lineRule="exact"/>
        <w:jc w:val="left"/>
        <w:rPr>
          <w:rFonts w:hint="eastAsia" w:hAnsi="宋体" w:eastAsia="宋体" w:cs="宋体"/>
          <w:b/>
          <w:bCs/>
          <w:color w:val="auto"/>
          <w:spacing w:val="0"/>
          <w:position w:val="0"/>
          <w:sz w:val="36"/>
          <w:szCs w:val="36"/>
          <w:highlight w:val="none"/>
          <w:lang w:eastAsia="zh-CN"/>
        </w:rPr>
      </w:pPr>
      <w:r>
        <w:rPr>
          <w:rFonts w:hint="eastAsia" w:hAnsi="宋体" w:cs="宋体"/>
          <w:b/>
          <w:bCs/>
          <w:color w:val="auto"/>
          <w:spacing w:val="0"/>
          <w:position w:val="0"/>
          <w:sz w:val="36"/>
          <w:szCs w:val="36"/>
          <w:highlight w:val="none"/>
          <w:lang w:eastAsia="zh-CN"/>
        </w:rPr>
        <w:tab/>
      </w:r>
    </w:p>
    <w:p w14:paraId="33AB45EB">
      <w:pPr>
        <w:tabs>
          <w:tab w:val="left" w:pos="6703"/>
        </w:tabs>
        <w:bidi w:val="0"/>
        <w:jc w:val="left"/>
        <w:rPr>
          <w:rFonts w:hint="eastAsia" w:eastAsia="宋体"/>
          <w:color w:val="auto"/>
          <w:spacing w:val="0"/>
          <w:position w:val="0"/>
          <w:highlight w:val="none"/>
          <w:lang w:eastAsia="zh-CN"/>
        </w:rPr>
        <w:sectPr>
          <w:headerReference r:id="rId3" w:type="default"/>
          <w:footerReference r:id="rId4" w:type="default"/>
          <w:pgSz w:w="11906" w:h="16838"/>
          <w:pgMar w:top="1440" w:right="1080" w:bottom="1440" w:left="460" w:header="851" w:footer="794" w:gutter="567"/>
          <w:pgNumType w:fmt="decimal" w:start="1"/>
          <w:cols w:space="720" w:num="1"/>
        </w:sectPr>
      </w:pPr>
      <w:r>
        <w:rPr>
          <w:rFonts w:hint="eastAsia"/>
          <w:color w:val="auto"/>
          <w:spacing w:val="0"/>
          <w:position w:val="0"/>
          <w:highlight w:val="none"/>
          <w:lang w:eastAsia="zh-CN"/>
        </w:rPr>
        <w:tab/>
      </w:r>
    </w:p>
    <w:p w14:paraId="3A4CEB61">
      <w:pPr>
        <w:pStyle w:val="2"/>
        <w:keepNext/>
        <w:keepLines/>
        <w:pageBreakBefore w:val="0"/>
        <w:widowControl w:val="0"/>
        <w:kinsoku/>
        <w:wordWrap/>
        <w:overflowPunct/>
        <w:topLinePunct w:val="0"/>
        <w:autoSpaceDE/>
        <w:autoSpaceDN/>
        <w:bidi w:val="0"/>
        <w:adjustRightInd/>
        <w:snapToGrid/>
        <w:spacing w:before="0" w:after="0" w:afterLines="50" w:line="520" w:lineRule="exact"/>
        <w:jc w:val="center"/>
        <w:textAlignment w:val="auto"/>
        <w:rPr>
          <w:rFonts w:hint="eastAsia"/>
          <w:color w:val="auto"/>
          <w:spacing w:val="0"/>
          <w:position w:val="0"/>
          <w:sz w:val="30"/>
          <w:szCs w:val="30"/>
          <w:highlight w:val="none"/>
          <w:lang w:eastAsia="zh-CN"/>
        </w:rPr>
      </w:pPr>
      <w:bookmarkStart w:id="1" w:name="_Toc29312"/>
      <w:r>
        <w:rPr>
          <w:rFonts w:hint="eastAsia"/>
          <w:color w:val="auto"/>
          <w:spacing w:val="0"/>
          <w:position w:val="0"/>
          <w:sz w:val="30"/>
          <w:szCs w:val="30"/>
          <w:highlight w:val="none"/>
        </w:rPr>
        <w:t>第一章</w:t>
      </w:r>
      <w:bookmarkEnd w:id="0"/>
      <w:bookmarkEnd w:id="1"/>
      <w:bookmarkStart w:id="2" w:name="_Toc434315323"/>
      <w:r>
        <w:rPr>
          <w:rFonts w:hint="eastAsia"/>
          <w:color w:val="auto"/>
          <w:spacing w:val="0"/>
          <w:position w:val="0"/>
          <w:sz w:val="30"/>
          <w:szCs w:val="30"/>
          <w:highlight w:val="none"/>
          <w:lang w:val="en-US" w:eastAsia="zh-CN"/>
        </w:rPr>
        <w:t xml:space="preserve">  竞争性</w:t>
      </w:r>
      <w:r>
        <w:rPr>
          <w:rFonts w:hint="eastAsia"/>
          <w:color w:val="auto"/>
          <w:spacing w:val="0"/>
          <w:position w:val="0"/>
          <w:sz w:val="30"/>
          <w:szCs w:val="30"/>
          <w:highlight w:val="none"/>
          <w:lang w:eastAsia="zh-CN"/>
        </w:rPr>
        <w:t>磋商公告</w:t>
      </w:r>
    </w:p>
    <w:p w14:paraId="6023D959">
      <w:pPr>
        <w:keepNext w:val="0"/>
        <w:keepLines w:val="0"/>
        <w:pageBreakBefore w:val="0"/>
        <w:widowControl w:val="0"/>
        <w:kinsoku/>
        <w:wordWrap/>
        <w:overflowPunct/>
        <w:topLinePunct w:val="0"/>
        <w:autoSpaceDE/>
        <w:autoSpaceDN/>
        <w:bidi w:val="0"/>
        <w:adjustRightInd/>
        <w:snapToGrid/>
        <w:spacing w:after="0" w:afterLines="50" w:line="460" w:lineRule="exact"/>
        <w:jc w:val="center"/>
        <w:textAlignment w:val="auto"/>
        <w:rPr>
          <w:color w:val="auto"/>
          <w:spacing w:val="0"/>
          <w:position w:val="0"/>
          <w:sz w:val="30"/>
          <w:szCs w:val="30"/>
          <w:highlight w:val="none"/>
        </w:rPr>
      </w:pPr>
      <w:r>
        <w:rPr>
          <w:rFonts w:hint="eastAsia" w:ascii="宋体" w:hAnsi="宋体"/>
          <w:b/>
          <w:color w:val="auto"/>
          <w:spacing w:val="0"/>
          <w:position w:val="0"/>
          <w:sz w:val="30"/>
          <w:szCs w:val="30"/>
          <w:highlight w:val="none"/>
          <w:lang w:val="en-US" w:eastAsia="zh-CN"/>
        </w:rPr>
        <w:t>广西华诚达建设项目管理有限公司</w:t>
      </w:r>
      <w:r>
        <w:rPr>
          <w:rFonts w:hint="eastAsia" w:ascii="宋体" w:hAnsi="宋体"/>
          <w:b/>
          <w:color w:val="auto"/>
          <w:spacing w:val="0"/>
          <w:position w:val="0"/>
          <w:sz w:val="30"/>
          <w:szCs w:val="30"/>
          <w:highlight w:val="none"/>
        </w:rPr>
        <w:t>关于</w:t>
      </w:r>
      <w:bookmarkStart w:id="3" w:name="_Toc2948"/>
      <w:r>
        <w:rPr>
          <w:rFonts w:hint="eastAsia" w:ascii="宋体" w:hAnsi="宋体"/>
          <w:b/>
          <w:color w:val="auto"/>
          <w:spacing w:val="0"/>
          <w:position w:val="0"/>
          <w:sz w:val="30"/>
          <w:szCs w:val="30"/>
          <w:highlight w:val="none"/>
        </w:rPr>
        <w:t>2026年乐民镇蒙竹村委农产品加工厂房工程</w:t>
      </w:r>
      <w:r>
        <w:rPr>
          <w:rFonts w:hint="eastAsia" w:ascii="宋体" w:hAnsi="宋体"/>
          <w:b/>
          <w:color w:val="auto"/>
          <w:sz w:val="30"/>
          <w:szCs w:val="30"/>
          <w:highlight w:val="none"/>
          <w:u w:val="none"/>
          <w:lang w:val="en-US" w:eastAsia="zh-CN"/>
        </w:rPr>
        <w:t>（QZZC2026-C2-220133-GXHC）</w:t>
      </w:r>
      <w:r>
        <w:rPr>
          <w:rFonts w:hint="eastAsia" w:ascii="宋体" w:hAnsi="宋体"/>
          <w:b/>
          <w:color w:val="auto"/>
          <w:spacing w:val="0"/>
          <w:position w:val="0"/>
          <w:sz w:val="30"/>
          <w:szCs w:val="30"/>
          <w:highlight w:val="none"/>
          <w:u w:val="none"/>
          <w:lang w:val="en-US" w:eastAsia="zh-CN"/>
        </w:rPr>
        <w:t>竞争</w:t>
      </w:r>
      <w:r>
        <w:rPr>
          <w:rFonts w:hint="eastAsia" w:ascii="宋体" w:hAnsi="宋体" w:eastAsia="宋体"/>
          <w:b/>
          <w:color w:val="auto"/>
          <w:spacing w:val="0"/>
          <w:position w:val="0"/>
          <w:sz w:val="30"/>
          <w:szCs w:val="30"/>
          <w:highlight w:val="none"/>
          <w:lang w:val="en-US" w:eastAsia="zh-CN"/>
        </w:rPr>
        <w:t>性</w:t>
      </w:r>
      <w:r>
        <w:rPr>
          <w:rFonts w:hint="eastAsia" w:ascii="宋体" w:hAnsi="宋体" w:eastAsia="宋体"/>
          <w:b/>
          <w:color w:val="auto"/>
          <w:spacing w:val="0"/>
          <w:position w:val="0"/>
          <w:sz w:val="30"/>
          <w:szCs w:val="30"/>
          <w:highlight w:val="none"/>
          <w:lang w:eastAsia="zh-CN"/>
        </w:rPr>
        <w:t>磋商公告</w:t>
      </w:r>
      <w:bookmarkEnd w:id="3"/>
    </w:p>
    <w:tbl>
      <w:tblPr>
        <w:tblStyle w:val="30"/>
        <w:tblW w:w="92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6"/>
      </w:tblGrid>
      <w:tr w14:paraId="61AB4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266" w:type="dxa"/>
          </w:tcPr>
          <w:p w14:paraId="0B74C4C1">
            <w:pPr>
              <w:spacing w:line="400" w:lineRule="exact"/>
              <w:rPr>
                <w:rFonts w:ascii="宋体" w:hAnsi="宋体" w:cs="宋体"/>
                <w:b/>
                <w:bCs/>
                <w:color w:val="auto"/>
                <w:spacing w:val="0"/>
                <w:position w:val="0"/>
                <w:szCs w:val="21"/>
                <w:highlight w:val="none"/>
              </w:rPr>
            </w:pPr>
            <w:r>
              <w:rPr>
                <w:rFonts w:hint="eastAsia" w:ascii="宋体" w:hAnsi="宋体" w:cs="宋体"/>
                <w:b/>
                <w:bCs/>
                <w:color w:val="auto"/>
                <w:spacing w:val="0"/>
                <w:position w:val="0"/>
                <w:szCs w:val="21"/>
                <w:highlight w:val="none"/>
              </w:rPr>
              <w:t>项目概况</w:t>
            </w:r>
          </w:p>
          <w:p w14:paraId="325E0301">
            <w:pPr>
              <w:spacing w:line="400" w:lineRule="exact"/>
              <w:ind w:firstLine="420" w:firstLineChars="200"/>
              <w:rPr>
                <w:color w:val="auto"/>
                <w:spacing w:val="0"/>
                <w:position w:val="0"/>
                <w:highlight w:val="none"/>
              </w:rPr>
            </w:pPr>
            <w:r>
              <w:rPr>
                <w:rFonts w:hint="eastAsia" w:ascii="宋体" w:hAnsi="宋体" w:cs="宋体"/>
                <w:b w:val="0"/>
                <w:bCs w:val="0"/>
                <w:color w:val="auto"/>
                <w:sz w:val="21"/>
                <w:szCs w:val="21"/>
                <w:u w:val="single"/>
                <w:lang w:val="en-US" w:eastAsia="zh-CN"/>
              </w:rPr>
              <w:t>2026年乐民镇蒙竹村委农产品加工厂房工程</w:t>
            </w:r>
            <w:r>
              <w:rPr>
                <w:rFonts w:hint="eastAsia" w:ascii="宋体" w:hAnsi="宋体" w:cs="宋体"/>
                <w:color w:val="auto"/>
                <w:spacing w:val="0"/>
                <w:position w:val="0"/>
                <w:szCs w:val="21"/>
                <w:highlight w:val="none"/>
              </w:rPr>
              <w:t>采购项目的潜在供应商应在</w:t>
            </w:r>
            <w:r>
              <w:rPr>
                <w:rFonts w:hint="eastAsia" w:ascii="宋体" w:hAnsi="宋体" w:cs="宋体"/>
                <w:color w:val="auto"/>
                <w:spacing w:val="0"/>
                <w:position w:val="0"/>
                <w:szCs w:val="21"/>
                <w:highlight w:val="none"/>
                <w:u w:val="single"/>
                <w:lang w:eastAsia="zh-CN"/>
              </w:rPr>
              <w:t>广西政府采购云平台（https://www.gcy.zfcg.gxzf.gov.cn/）</w:t>
            </w:r>
            <w:r>
              <w:rPr>
                <w:rFonts w:hint="eastAsia" w:ascii="宋体" w:hAnsi="宋体" w:cs="宋体"/>
                <w:color w:val="auto"/>
                <w:spacing w:val="0"/>
                <w:position w:val="0"/>
                <w:szCs w:val="21"/>
                <w:highlight w:val="none"/>
              </w:rPr>
              <w:t>获取</w:t>
            </w:r>
            <w:r>
              <w:rPr>
                <w:rFonts w:hint="eastAsia" w:ascii="宋体" w:hAnsi="宋体" w:cs="宋体"/>
                <w:color w:val="auto"/>
                <w:spacing w:val="0"/>
                <w:position w:val="0"/>
                <w:highlight w:val="none"/>
              </w:rPr>
              <w:t>采购文件</w:t>
            </w:r>
            <w:r>
              <w:rPr>
                <w:rFonts w:hint="eastAsia" w:ascii="宋体" w:hAnsi="宋体" w:cs="宋体"/>
                <w:color w:val="auto"/>
                <w:spacing w:val="0"/>
                <w:position w:val="0"/>
                <w:szCs w:val="21"/>
                <w:highlight w:val="none"/>
              </w:rPr>
              <w:t>，并于</w:t>
            </w:r>
            <w:r>
              <w:rPr>
                <w:rFonts w:hint="eastAsia" w:ascii="宋体" w:hAnsi="宋体" w:cs="宋体"/>
                <w:color w:val="auto"/>
                <w:spacing w:val="0"/>
                <w:position w:val="0"/>
                <w:szCs w:val="21"/>
                <w:highlight w:val="none"/>
                <w:u w:val="single"/>
                <w:lang w:val="en-US" w:eastAsia="zh-CN"/>
              </w:rPr>
              <w:t>2026</w:t>
            </w:r>
            <w:r>
              <w:rPr>
                <w:rFonts w:hint="eastAsia" w:ascii="宋体" w:hAnsi="宋体" w:cs="宋体"/>
                <w:color w:val="auto"/>
                <w:spacing w:val="0"/>
                <w:position w:val="0"/>
                <w:szCs w:val="21"/>
                <w:highlight w:val="none"/>
                <w:u w:val="single"/>
                <w:lang w:eastAsia="zh-CN"/>
              </w:rPr>
              <w:t>年</w:t>
            </w:r>
            <w:r>
              <w:rPr>
                <w:rFonts w:hint="eastAsia" w:ascii="宋体" w:hAnsi="宋体" w:cs="宋体"/>
                <w:color w:val="auto"/>
                <w:spacing w:val="0"/>
                <w:position w:val="0"/>
                <w:szCs w:val="21"/>
                <w:highlight w:val="none"/>
                <w:u w:val="single"/>
                <w:lang w:val="en-US" w:eastAsia="zh-CN"/>
              </w:rPr>
              <w:t>09</w:t>
            </w:r>
            <w:r>
              <w:rPr>
                <w:rFonts w:hint="eastAsia" w:ascii="宋体" w:hAnsi="宋体" w:cs="宋体"/>
                <w:color w:val="auto"/>
                <w:spacing w:val="0"/>
                <w:position w:val="0"/>
                <w:szCs w:val="21"/>
                <w:highlight w:val="none"/>
                <w:u w:val="single"/>
              </w:rPr>
              <w:t>月</w:t>
            </w:r>
            <w:r>
              <w:rPr>
                <w:rFonts w:hint="eastAsia" w:ascii="宋体" w:hAnsi="宋体" w:cs="宋体"/>
                <w:color w:val="auto"/>
                <w:spacing w:val="0"/>
                <w:position w:val="0"/>
                <w:szCs w:val="21"/>
                <w:highlight w:val="none"/>
                <w:u w:val="single"/>
                <w:lang w:val="en-US" w:eastAsia="zh-CN"/>
              </w:rPr>
              <w:t>04</w:t>
            </w:r>
            <w:r>
              <w:rPr>
                <w:rFonts w:hint="eastAsia" w:ascii="宋体" w:hAnsi="宋体" w:cs="宋体"/>
                <w:color w:val="auto"/>
                <w:spacing w:val="0"/>
                <w:position w:val="0"/>
                <w:szCs w:val="21"/>
                <w:highlight w:val="none"/>
                <w:u w:val="single"/>
              </w:rPr>
              <w:t>日</w:t>
            </w:r>
            <w:r>
              <w:rPr>
                <w:rFonts w:hint="eastAsia" w:ascii="宋体" w:hAnsi="宋体" w:cs="宋体"/>
                <w:color w:val="auto"/>
                <w:spacing w:val="0"/>
                <w:position w:val="0"/>
                <w:szCs w:val="21"/>
                <w:highlight w:val="none"/>
                <w:u w:val="single"/>
                <w:lang w:val="en-US" w:eastAsia="zh-CN"/>
              </w:rPr>
              <w:t>09</w:t>
            </w:r>
            <w:r>
              <w:rPr>
                <w:rFonts w:hint="eastAsia" w:ascii="宋体" w:hAnsi="宋体" w:cs="宋体"/>
                <w:color w:val="auto"/>
                <w:spacing w:val="0"/>
                <w:position w:val="0"/>
                <w:szCs w:val="21"/>
                <w:highlight w:val="none"/>
                <w:u w:val="single"/>
              </w:rPr>
              <w:t>时</w:t>
            </w:r>
            <w:r>
              <w:rPr>
                <w:rFonts w:hint="eastAsia" w:ascii="宋体" w:hAnsi="宋体" w:cs="宋体"/>
                <w:color w:val="auto"/>
                <w:spacing w:val="0"/>
                <w:position w:val="0"/>
                <w:szCs w:val="21"/>
                <w:highlight w:val="none"/>
                <w:u w:val="single"/>
                <w:lang w:val="en-US" w:eastAsia="zh-CN"/>
              </w:rPr>
              <w:t xml:space="preserve">30 </w:t>
            </w:r>
            <w:r>
              <w:rPr>
                <w:rFonts w:hint="eastAsia" w:ascii="宋体" w:hAnsi="宋体" w:cs="宋体"/>
                <w:color w:val="auto"/>
                <w:spacing w:val="0"/>
                <w:position w:val="0"/>
                <w:szCs w:val="21"/>
                <w:highlight w:val="none"/>
                <w:u w:val="single"/>
              </w:rPr>
              <w:t>分（北京时间）</w:t>
            </w:r>
            <w:r>
              <w:rPr>
                <w:rFonts w:hint="eastAsia" w:ascii="宋体" w:hAnsi="宋体" w:cs="宋体"/>
                <w:color w:val="auto"/>
                <w:spacing w:val="0"/>
                <w:position w:val="0"/>
                <w:szCs w:val="21"/>
                <w:highlight w:val="none"/>
              </w:rPr>
              <w:t>前提交响应文件。</w:t>
            </w:r>
          </w:p>
        </w:tc>
      </w:tr>
    </w:tbl>
    <w:p w14:paraId="105458B7">
      <w:pPr>
        <w:pStyle w:val="3"/>
        <w:pageBreakBefore w:val="0"/>
        <w:widowControl w:val="0"/>
        <w:kinsoku/>
        <w:wordWrap/>
        <w:overflowPunct/>
        <w:topLinePunct w:val="0"/>
        <w:autoSpaceDE/>
        <w:autoSpaceDN/>
        <w:bidi w:val="0"/>
        <w:adjustRightInd/>
        <w:spacing w:line="360" w:lineRule="auto"/>
        <w:ind w:left="0" w:leftChars="0" w:firstLine="422" w:firstLineChars="200"/>
        <w:textAlignment w:val="auto"/>
        <w:outlineLvl w:val="0"/>
        <w:rPr>
          <w:rFonts w:ascii="宋体" w:hAnsi="宋体" w:eastAsia="宋体" w:cs="宋体"/>
          <w:bCs w:val="0"/>
          <w:color w:val="auto"/>
          <w:spacing w:val="0"/>
          <w:position w:val="0"/>
          <w:sz w:val="21"/>
          <w:szCs w:val="21"/>
          <w:highlight w:val="none"/>
        </w:rPr>
      </w:pPr>
      <w:bookmarkStart w:id="4" w:name="_Toc28359012"/>
      <w:bookmarkStart w:id="5" w:name="_Toc35393629"/>
      <w:bookmarkStart w:id="6" w:name="_Toc9324"/>
      <w:bookmarkStart w:id="7" w:name="_Toc31859"/>
      <w:bookmarkStart w:id="8" w:name="_Toc35393798"/>
      <w:bookmarkStart w:id="9" w:name="_Toc28359089"/>
      <w:r>
        <w:rPr>
          <w:rFonts w:hint="eastAsia" w:ascii="宋体" w:hAnsi="宋体" w:eastAsia="宋体" w:cs="宋体"/>
          <w:bCs w:val="0"/>
          <w:color w:val="auto"/>
          <w:spacing w:val="0"/>
          <w:position w:val="0"/>
          <w:sz w:val="21"/>
          <w:szCs w:val="21"/>
          <w:highlight w:val="none"/>
        </w:rPr>
        <w:t>一、项目基本情况</w:t>
      </w:r>
      <w:bookmarkEnd w:id="4"/>
      <w:bookmarkEnd w:id="5"/>
      <w:bookmarkEnd w:id="6"/>
      <w:bookmarkEnd w:id="7"/>
      <w:bookmarkEnd w:id="8"/>
      <w:bookmarkEnd w:id="9"/>
    </w:p>
    <w:p w14:paraId="49D3CEEC">
      <w:pPr>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pacing w:val="0"/>
          <w:position w:val="0"/>
          <w:szCs w:val="21"/>
          <w:highlight w:val="none"/>
          <w:lang w:eastAsia="zh-CN"/>
        </w:rPr>
      </w:pPr>
      <w:r>
        <w:rPr>
          <w:rFonts w:hint="eastAsia" w:ascii="宋体" w:hAnsi="宋体" w:cs="宋体"/>
          <w:color w:val="auto"/>
          <w:spacing w:val="0"/>
          <w:position w:val="0"/>
          <w:szCs w:val="21"/>
          <w:highlight w:val="none"/>
        </w:rPr>
        <w:t>项目编号：QZZC2026-C2-220133-GXHC</w:t>
      </w:r>
    </w:p>
    <w:p w14:paraId="51887D7C">
      <w:pPr>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default" w:ascii="宋体" w:hAnsi="宋体" w:eastAsia="宋体" w:cs="宋体"/>
          <w:color w:val="auto"/>
          <w:spacing w:val="0"/>
          <w:position w:val="0"/>
          <w:szCs w:val="21"/>
          <w:highlight w:val="none"/>
          <w:u w:val="single"/>
          <w:lang w:val="en-US" w:eastAsia="zh-CN"/>
        </w:rPr>
      </w:pPr>
      <w:r>
        <w:rPr>
          <w:rFonts w:hint="eastAsia" w:ascii="宋体" w:hAnsi="宋体" w:cs="宋体"/>
          <w:color w:val="auto"/>
          <w:spacing w:val="0"/>
          <w:position w:val="0"/>
          <w:szCs w:val="21"/>
          <w:highlight w:val="none"/>
        </w:rPr>
        <w:t>项目名称：</w:t>
      </w:r>
      <w:r>
        <w:rPr>
          <w:rFonts w:hint="eastAsia" w:ascii="宋体" w:hAnsi="宋体" w:cs="宋体"/>
          <w:b w:val="0"/>
          <w:bCs w:val="0"/>
          <w:color w:val="auto"/>
          <w:sz w:val="21"/>
          <w:szCs w:val="21"/>
          <w:u w:val="none"/>
          <w:lang w:val="en-US" w:eastAsia="zh-CN"/>
        </w:rPr>
        <w:t xml:space="preserve">2026年乐民镇蒙竹村委农产品加工厂房工程 </w:t>
      </w:r>
    </w:p>
    <w:p w14:paraId="1FF2EA9C">
      <w:pPr>
        <w:pageBreakBefore w:val="0"/>
        <w:widowControl w:val="0"/>
        <w:kinsoku/>
        <w:wordWrap/>
        <w:overflowPunct/>
        <w:topLinePunct w:val="0"/>
        <w:autoSpaceDE/>
        <w:autoSpaceDN/>
        <w:bidi w:val="0"/>
        <w:adjustRightInd/>
        <w:spacing w:line="360" w:lineRule="auto"/>
        <w:ind w:left="0" w:leftChars="0" w:firstLine="420" w:firstLineChars="200"/>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采购方式：</w:t>
      </w:r>
      <w:r>
        <w:rPr>
          <w:rFonts w:hint="eastAsia" w:ascii="宋体" w:hAnsi="宋体" w:cs="宋体"/>
          <w:color w:val="auto"/>
          <w:spacing w:val="0"/>
          <w:position w:val="0"/>
          <w:highlight w:val="none"/>
        </w:rPr>
        <w:t>竞争性磋商</w:t>
      </w:r>
    </w:p>
    <w:p w14:paraId="1E8D75AF">
      <w:pPr>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default" w:ascii="宋体" w:hAnsi="宋体" w:eastAsia="宋体" w:cs="宋体"/>
          <w:b w:val="0"/>
          <w:bCs w:val="0"/>
          <w:color w:val="auto"/>
          <w:sz w:val="21"/>
          <w:szCs w:val="21"/>
          <w:u w:val="none"/>
          <w:lang w:val="en-US" w:eastAsia="zh-CN"/>
        </w:rPr>
      </w:pPr>
      <w:r>
        <w:rPr>
          <w:rFonts w:hint="eastAsia" w:ascii="宋体" w:hAnsi="宋体" w:cs="宋体"/>
          <w:color w:val="auto"/>
          <w:spacing w:val="0"/>
          <w:position w:val="0"/>
          <w:szCs w:val="21"/>
          <w:highlight w:val="none"/>
          <w:lang w:val="en-US" w:eastAsia="zh-CN"/>
        </w:rPr>
        <w:t>采购预算金额</w:t>
      </w:r>
      <w:r>
        <w:rPr>
          <w:rFonts w:hint="eastAsia" w:ascii="宋体" w:hAnsi="宋体" w:cs="宋体"/>
          <w:color w:val="auto"/>
          <w:spacing w:val="0"/>
          <w:position w:val="0"/>
          <w:szCs w:val="21"/>
          <w:highlight w:val="none"/>
        </w:rPr>
        <w:t>（元）：</w:t>
      </w:r>
      <w:r>
        <w:rPr>
          <w:rFonts w:hint="eastAsia" w:ascii="宋体" w:hAnsi="宋体" w:cs="宋体"/>
          <w:color w:val="auto"/>
          <w:spacing w:val="0"/>
          <w:position w:val="0"/>
          <w:szCs w:val="21"/>
          <w:highlight w:val="none"/>
          <w:lang w:val="en-US" w:eastAsia="zh-CN"/>
        </w:rPr>
        <w:t>1100000.00</w:t>
      </w:r>
    </w:p>
    <w:p w14:paraId="7D42A2E5">
      <w:pPr>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default" w:ascii="宋体" w:hAnsi="宋体" w:cs="宋体"/>
          <w:color w:val="auto"/>
          <w:spacing w:val="0"/>
          <w:position w:val="0"/>
          <w:szCs w:val="21"/>
          <w:highlight w:val="none"/>
          <w:lang w:val="en-US" w:eastAsia="zh-CN"/>
        </w:rPr>
      </w:pPr>
      <w:r>
        <w:rPr>
          <w:rFonts w:hint="eastAsia" w:ascii="宋体" w:hAnsi="宋体" w:cs="宋体"/>
          <w:color w:val="auto"/>
          <w:spacing w:val="0"/>
          <w:position w:val="0"/>
          <w:szCs w:val="21"/>
          <w:highlight w:val="none"/>
        </w:rPr>
        <w:t>最高限价（元）：</w:t>
      </w:r>
      <w:r>
        <w:rPr>
          <w:rFonts w:hint="eastAsia" w:ascii="宋体" w:hAnsi="宋体" w:cs="宋体"/>
          <w:color w:val="auto"/>
          <w:spacing w:val="0"/>
          <w:position w:val="0"/>
          <w:szCs w:val="21"/>
          <w:highlight w:val="none"/>
          <w:lang w:val="en-US" w:eastAsia="zh-CN"/>
        </w:rPr>
        <w:t>1100000.00</w:t>
      </w:r>
    </w:p>
    <w:p w14:paraId="76C85188">
      <w:pPr>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default" w:ascii="宋体" w:hAnsi="宋体" w:eastAsia="宋体" w:cs="宋体"/>
          <w:b w:val="0"/>
          <w:bCs w:val="0"/>
          <w:color w:val="auto"/>
          <w:sz w:val="21"/>
          <w:szCs w:val="21"/>
          <w:u w:val="none"/>
          <w:lang w:val="en-US" w:eastAsia="zh-CN"/>
        </w:rPr>
      </w:pPr>
      <w:r>
        <w:rPr>
          <w:rFonts w:hint="default" w:ascii="宋体" w:hAnsi="宋体" w:eastAsia="宋体" w:cs="宋体"/>
          <w:b w:val="0"/>
          <w:bCs w:val="0"/>
          <w:color w:val="auto"/>
          <w:sz w:val="21"/>
          <w:szCs w:val="21"/>
          <w:u w:val="none"/>
          <w:lang w:val="en-US" w:eastAsia="zh-CN"/>
        </w:rPr>
        <w:t>简要规格描述或项目基本概况介绍、用途：新建约500平方米框架结构厂房及水电等配套设施</w:t>
      </w:r>
      <w:r>
        <w:rPr>
          <w:rFonts w:hint="eastAsia" w:ascii="宋体" w:hAnsi="宋体" w:cs="宋体"/>
          <w:b w:val="0"/>
          <w:bCs w:val="0"/>
          <w:color w:val="auto"/>
          <w:sz w:val="21"/>
          <w:szCs w:val="21"/>
          <w:u w:val="none"/>
          <w:lang w:val="en-US" w:eastAsia="zh-CN"/>
        </w:rPr>
        <w:t>，</w:t>
      </w:r>
      <w:r>
        <w:rPr>
          <w:rFonts w:hint="default" w:ascii="宋体" w:hAnsi="宋体" w:eastAsia="宋体" w:cs="宋体"/>
          <w:b w:val="0"/>
          <w:bCs w:val="0"/>
          <w:color w:val="auto"/>
          <w:sz w:val="21"/>
          <w:szCs w:val="21"/>
          <w:u w:val="none"/>
          <w:lang w:val="en-US" w:eastAsia="zh-CN"/>
        </w:rPr>
        <w:t>具体详见竞争性磋商文件、工程量清单。</w:t>
      </w:r>
    </w:p>
    <w:p w14:paraId="2153C37D">
      <w:pPr>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pacing w:val="0"/>
          <w:position w:val="0"/>
          <w:szCs w:val="21"/>
          <w:highlight w:val="none"/>
          <w:lang w:eastAsia="zh-CN"/>
        </w:rPr>
      </w:pPr>
      <w:r>
        <w:rPr>
          <w:rFonts w:hint="eastAsia" w:ascii="宋体" w:hAnsi="宋体" w:cs="宋体"/>
          <w:color w:val="auto"/>
          <w:spacing w:val="0"/>
          <w:position w:val="0"/>
          <w:szCs w:val="21"/>
          <w:highlight w:val="none"/>
        </w:rPr>
        <w:t>合同履约期限：</w:t>
      </w:r>
      <w:r>
        <w:rPr>
          <w:rFonts w:hint="eastAsia" w:ascii="宋体" w:hAnsi="宋体" w:cs="宋体"/>
          <w:color w:val="auto"/>
          <w:spacing w:val="0"/>
          <w:position w:val="0"/>
          <w:szCs w:val="21"/>
          <w:highlight w:val="none"/>
          <w:lang w:val="en-US" w:eastAsia="zh-CN"/>
        </w:rPr>
        <w:t>工期60个</w:t>
      </w:r>
      <w:r>
        <w:rPr>
          <w:rFonts w:hint="eastAsia" w:ascii="宋体" w:hAnsi="宋体" w:cs="宋体"/>
          <w:color w:val="auto"/>
          <w:spacing w:val="0"/>
          <w:position w:val="0"/>
          <w:szCs w:val="21"/>
          <w:highlight w:val="none"/>
          <w:lang w:eastAsia="zh-CN"/>
        </w:rPr>
        <w:t>日历天。</w:t>
      </w:r>
    </w:p>
    <w:p w14:paraId="528A995B">
      <w:pPr>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pacing w:val="0"/>
          <w:position w:val="0"/>
          <w:szCs w:val="21"/>
          <w:highlight w:val="none"/>
          <w:lang w:eastAsia="zh-CN"/>
        </w:rPr>
      </w:pPr>
      <w:r>
        <w:rPr>
          <w:rFonts w:hint="eastAsia" w:ascii="宋体" w:hAnsi="宋体" w:cs="宋体"/>
          <w:color w:val="auto"/>
          <w:spacing w:val="0"/>
          <w:position w:val="0"/>
          <w:szCs w:val="21"/>
          <w:highlight w:val="none"/>
        </w:rPr>
        <w:t>本标项（否）接受</w:t>
      </w:r>
      <w:r>
        <w:rPr>
          <w:rFonts w:hint="eastAsia" w:ascii="宋体" w:hAnsi="宋体" w:cs="宋体"/>
          <w:color w:val="auto"/>
          <w:spacing w:val="0"/>
          <w:position w:val="0"/>
          <w:szCs w:val="21"/>
          <w:highlight w:val="none"/>
          <w:lang w:eastAsia="zh-CN"/>
        </w:rPr>
        <w:t>联合体竞标</w:t>
      </w:r>
    </w:p>
    <w:p w14:paraId="7264060F">
      <w:pPr>
        <w:pStyle w:val="3"/>
        <w:pageBreakBefore w:val="0"/>
        <w:widowControl w:val="0"/>
        <w:kinsoku/>
        <w:wordWrap/>
        <w:overflowPunct/>
        <w:topLinePunct w:val="0"/>
        <w:autoSpaceDE/>
        <w:autoSpaceDN/>
        <w:bidi w:val="0"/>
        <w:adjustRightInd/>
        <w:spacing w:line="360" w:lineRule="auto"/>
        <w:ind w:left="0" w:leftChars="0" w:firstLine="422" w:firstLineChars="200"/>
        <w:textAlignment w:val="auto"/>
        <w:outlineLvl w:val="0"/>
        <w:rPr>
          <w:rFonts w:ascii="宋体" w:hAnsi="宋体" w:eastAsia="宋体" w:cs="宋体"/>
          <w:bCs w:val="0"/>
          <w:color w:val="auto"/>
          <w:spacing w:val="0"/>
          <w:position w:val="0"/>
          <w:sz w:val="21"/>
          <w:szCs w:val="21"/>
          <w:highlight w:val="none"/>
        </w:rPr>
      </w:pPr>
      <w:bookmarkStart w:id="10" w:name="_Toc35393630"/>
      <w:bookmarkStart w:id="11" w:name="_Toc35393799"/>
      <w:bookmarkStart w:id="12" w:name="_Toc21513"/>
      <w:bookmarkStart w:id="13" w:name="_Toc28359090"/>
      <w:bookmarkStart w:id="14" w:name="_Toc28359013"/>
      <w:r>
        <w:rPr>
          <w:rFonts w:hint="eastAsia" w:ascii="宋体" w:hAnsi="宋体" w:eastAsia="宋体" w:cs="宋体"/>
          <w:bCs w:val="0"/>
          <w:color w:val="auto"/>
          <w:spacing w:val="0"/>
          <w:position w:val="0"/>
          <w:sz w:val="21"/>
          <w:szCs w:val="21"/>
          <w:highlight w:val="none"/>
        </w:rPr>
        <w:t>二、申请人的资格要求：</w:t>
      </w:r>
      <w:bookmarkEnd w:id="10"/>
      <w:bookmarkEnd w:id="11"/>
      <w:bookmarkEnd w:id="12"/>
      <w:bookmarkEnd w:id="13"/>
      <w:bookmarkEnd w:id="14"/>
    </w:p>
    <w:p w14:paraId="0081D239">
      <w:pPr>
        <w:pageBreakBefore w:val="0"/>
        <w:widowControl w:val="0"/>
        <w:kinsoku/>
        <w:wordWrap/>
        <w:overflowPunct/>
        <w:topLinePunct w:val="0"/>
        <w:autoSpaceDE/>
        <w:autoSpaceDN/>
        <w:bidi w:val="0"/>
        <w:adjustRightInd/>
        <w:snapToGrid w:val="0"/>
        <w:spacing w:line="360" w:lineRule="auto"/>
        <w:ind w:left="0" w:leftChars="0" w:firstLine="420" w:firstLineChars="200"/>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1.符合《中华人民共和国政府采购法》第二十二条规定</w:t>
      </w:r>
      <w:r>
        <w:rPr>
          <w:rFonts w:hint="eastAsia" w:ascii="宋体" w:hAnsi="宋体" w:cs="宋体"/>
          <w:color w:val="auto"/>
          <w:spacing w:val="0"/>
          <w:position w:val="0"/>
          <w:szCs w:val="21"/>
          <w:highlight w:val="none"/>
          <w:lang w:eastAsia="zh-CN"/>
        </w:rPr>
        <w:t>；</w:t>
      </w:r>
      <w:r>
        <w:rPr>
          <w:rFonts w:hint="eastAsia" w:ascii="宋体" w:hAnsi="宋体" w:cs="宋体"/>
          <w:color w:val="auto"/>
          <w:spacing w:val="0"/>
          <w:position w:val="0"/>
          <w:szCs w:val="21"/>
          <w:highlight w:val="none"/>
        </w:rPr>
        <w:t xml:space="preserve"> </w:t>
      </w:r>
    </w:p>
    <w:p w14:paraId="792240F8">
      <w:pPr>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pacing w:val="0"/>
          <w:position w:val="0"/>
          <w:szCs w:val="21"/>
          <w:highlight w:val="none"/>
          <w:lang w:eastAsia="zh-CN"/>
        </w:rPr>
      </w:pPr>
      <w:r>
        <w:rPr>
          <w:rFonts w:hint="eastAsia" w:ascii="宋体" w:hAnsi="宋体" w:cs="宋体"/>
          <w:color w:val="auto"/>
          <w:spacing w:val="0"/>
          <w:position w:val="0"/>
          <w:szCs w:val="21"/>
          <w:highlight w:val="none"/>
        </w:rPr>
        <w:t>2.落实政府采购政策需满足的资格要求：</w:t>
      </w:r>
      <w:r>
        <w:rPr>
          <w:rFonts w:hint="eastAsia" w:ascii="宋体" w:hAnsi="宋体" w:cs="宋体"/>
          <w:color w:val="auto"/>
          <w:spacing w:val="0"/>
          <w:position w:val="0"/>
          <w:szCs w:val="21"/>
          <w:highlight w:val="none"/>
          <w:lang w:eastAsia="zh-CN"/>
        </w:rPr>
        <w:t>本项目属于专门面向中小企业采购的项目，供应商须为中小企业或监狱企业或残疾人福利性单位。</w:t>
      </w:r>
    </w:p>
    <w:p w14:paraId="2D3C2EEE">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hAnsi="宋体" w:cs="宋体"/>
          <w:color w:val="auto"/>
          <w:spacing w:val="0"/>
          <w:position w:val="0"/>
          <w:sz w:val="21"/>
          <w:szCs w:val="21"/>
          <w:highlight w:val="none"/>
        </w:rPr>
      </w:pPr>
      <w:bookmarkStart w:id="15" w:name="_Toc28359091"/>
      <w:bookmarkStart w:id="16" w:name="_Toc28359014"/>
      <w:r>
        <w:rPr>
          <w:rFonts w:hint="eastAsia" w:hAnsi="宋体" w:cs="宋体"/>
          <w:color w:val="auto"/>
          <w:spacing w:val="0"/>
          <w:position w:val="0"/>
          <w:sz w:val="21"/>
          <w:szCs w:val="21"/>
          <w:highlight w:val="none"/>
        </w:rPr>
        <w:t>3.本项目的特定资格要求：</w:t>
      </w:r>
    </w:p>
    <w:p w14:paraId="2F0882FB">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color w:val="auto"/>
          <w:spacing w:val="0"/>
          <w:position w:val="0"/>
          <w:sz w:val="21"/>
          <w:szCs w:val="21"/>
          <w:highlight w:val="yellow"/>
          <w:lang w:val="en-US" w:eastAsia="zh-CN"/>
        </w:rPr>
      </w:pPr>
      <w:r>
        <w:rPr>
          <w:rFonts w:hint="eastAsia" w:hAnsi="宋体" w:cs="宋体"/>
          <w:color w:val="auto"/>
          <w:spacing w:val="0"/>
          <w:position w:val="0"/>
          <w:sz w:val="21"/>
          <w:szCs w:val="21"/>
          <w:highlight w:val="none"/>
          <w:lang w:eastAsia="zh-CN"/>
        </w:rPr>
        <w:t>（</w:t>
      </w:r>
      <w:r>
        <w:rPr>
          <w:rFonts w:hint="eastAsia" w:hAnsi="宋体" w:cs="宋体"/>
          <w:color w:val="auto"/>
          <w:spacing w:val="0"/>
          <w:position w:val="0"/>
          <w:sz w:val="21"/>
          <w:szCs w:val="21"/>
          <w:highlight w:val="none"/>
        </w:rPr>
        <w:t>1）</w:t>
      </w:r>
      <w:r>
        <w:rPr>
          <w:rFonts w:hint="eastAsia" w:hAnsi="宋体" w:cs="宋体"/>
          <w:color w:val="auto"/>
          <w:spacing w:val="0"/>
          <w:position w:val="0"/>
          <w:sz w:val="21"/>
          <w:szCs w:val="21"/>
          <w:highlight w:val="none"/>
          <w:lang w:eastAsia="zh-CN"/>
        </w:rPr>
        <w:t>具备</w:t>
      </w:r>
      <w:r>
        <w:rPr>
          <w:rFonts w:hint="eastAsia" w:hAnsi="宋体" w:cs="宋体"/>
          <w:color w:val="auto"/>
          <w:spacing w:val="0"/>
          <w:position w:val="0"/>
          <w:sz w:val="21"/>
          <w:szCs w:val="21"/>
          <w:highlight w:val="none"/>
          <w:u w:val="single"/>
          <w:lang w:val="en-US" w:eastAsia="zh-CN"/>
        </w:rPr>
        <w:t>房屋建筑</w:t>
      </w:r>
      <w:r>
        <w:rPr>
          <w:rFonts w:hint="eastAsia" w:hAnsi="宋体" w:cs="宋体"/>
          <w:color w:val="auto"/>
          <w:spacing w:val="0"/>
          <w:position w:val="0"/>
          <w:sz w:val="21"/>
          <w:szCs w:val="21"/>
          <w:highlight w:val="none"/>
          <w:u w:val="single"/>
          <w:lang w:eastAsia="zh-CN"/>
        </w:rPr>
        <w:t>工程施工总承包叁级(含叁级)以上资质</w:t>
      </w:r>
      <w:r>
        <w:rPr>
          <w:rFonts w:hint="eastAsia" w:hAnsi="宋体" w:cs="宋体"/>
          <w:color w:val="auto"/>
          <w:spacing w:val="0"/>
          <w:position w:val="0"/>
          <w:sz w:val="21"/>
          <w:szCs w:val="21"/>
          <w:highlight w:val="none"/>
          <w:lang w:eastAsia="zh-CN"/>
        </w:rPr>
        <w:t>以及有效的安全生产许可证，在人员、设备、资金等方面具备相应的施工能力</w:t>
      </w:r>
      <w:r>
        <w:rPr>
          <w:rFonts w:hint="eastAsia" w:hAnsi="宋体" w:cs="宋体"/>
          <w:color w:val="auto"/>
          <w:spacing w:val="0"/>
          <w:position w:val="0"/>
          <w:sz w:val="21"/>
          <w:szCs w:val="21"/>
          <w:highlight w:val="none"/>
        </w:rPr>
        <w:t>；</w:t>
      </w:r>
      <w:r>
        <w:rPr>
          <w:rFonts w:hint="eastAsia" w:hAnsi="宋体" w:cs="宋体"/>
          <w:color w:val="auto"/>
          <w:spacing w:val="0"/>
          <w:position w:val="0"/>
          <w:sz w:val="21"/>
          <w:szCs w:val="21"/>
          <w:highlight w:val="none"/>
        </w:rPr>
        <w:br w:type="textWrapping"/>
      </w:r>
      <w:r>
        <w:rPr>
          <w:rFonts w:hint="eastAsia" w:hAnsi="宋体" w:cs="宋体"/>
          <w:color w:val="auto"/>
          <w:spacing w:val="0"/>
          <w:position w:val="0"/>
          <w:sz w:val="21"/>
          <w:szCs w:val="21"/>
          <w:highlight w:val="none"/>
          <w:lang w:val="en-US" w:eastAsia="zh-CN"/>
        </w:rPr>
        <w:t xml:space="preserve">    </w:t>
      </w:r>
      <w:r>
        <w:rPr>
          <w:rFonts w:hint="eastAsia" w:hAnsi="宋体" w:cs="宋体"/>
          <w:color w:val="auto"/>
          <w:spacing w:val="0"/>
          <w:position w:val="0"/>
          <w:sz w:val="21"/>
          <w:szCs w:val="21"/>
          <w:highlight w:val="none"/>
        </w:rPr>
        <w:t>（2）拟投入本项目的项目经理必须具备有效的</w:t>
      </w:r>
      <w:r>
        <w:rPr>
          <w:rFonts w:hint="eastAsia" w:hAnsi="宋体" w:cs="宋体"/>
          <w:color w:val="auto"/>
          <w:spacing w:val="0"/>
          <w:position w:val="0"/>
          <w:sz w:val="21"/>
          <w:szCs w:val="21"/>
          <w:highlight w:val="none"/>
          <w:u w:val="single"/>
          <w:lang w:val="en-US" w:eastAsia="zh-CN"/>
        </w:rPr>
        <w:t>房屋建筑</w:t>
      </w:r>
      <w:r>
        <w:rPr>
          <w:rFonts w:hint="eastAsia" w:hAnsi="宋体" w:cs="宋体"/>
          <w:color w:val="auto"/>
          <w:spacing w:val="0"/>
          <w:position w:val="0"/>
          <w:sz w:val="21"/>
          <w:szCs w:val="21"/>
          <w:highlight w:val="none"/>
          <w:u w:val="single"/>
          <w:lang w:eastAsia="zh-CN"/>
        </w:rPr>
        <w:t>工程专业贰级（含贰级）</w:t>
      </w:r>
      <w:r>
        <w:rPr>
          <w:rFonts w:hint="eastAsia" w:hAnsi="宋体" w:cs="宋体"/>
          <w:color w:val="auto"/>
          <w:spacing w:val="0"/>
          <w:position w:val="0"/>
          <w:sz w:val="21"/>
          <w:szCs w:val="21"/>
          <w:highlight w:val="none"/>
          <w:lang w:eastAsia="zh-CN"/>
        </w:rPr>
        <w:t>以上</w:t>
      </w:r>
      <w:r>
        <w:rPr>
          <w:rFonts w:hint="eastAsia" w:hAnsi="宋体" w:cs="宋体"/>
          <w:color w:val="auto"/>
          <w:spacing w:val="0"/>
          <w:position w:val="0"/>
          <w:sz w:val="21"/>
          <w:szCs w:val="21"/>
          <w:highlight w:val="none"/>
        </w:rPr>
        <w:t>注册建造师证书，并获得B类安全生产考核合格证</w:t>
      </w:r>
      <w:r>
        <w:rPr>
          <w:rFonts w:hint="eastAsia" w:hAnsi="宋体" w:cs="宋体"/>
          <w:color w:val="auto"/>
          <w:spacing w:val="0"/>
          <w:position w:val="0"/>
          <w:sz w:val="21"/>
          <w:szCs w:val="21"/>
          <w:highlight w:val="none"/>
          <w:lang w:eastAsia="zh-CN"/>
        </w:rPr>
        <w:t>；本项目不接受有在建、已中标未开工或已列为其他项目中标候选人第一名的建造师作为项目经理</w:t>
      </w:r>
      <w:r>
        <w:rPr>
          <w:rFonts w:hint="eastAsia" w:ascii="宋体" w:hAnsi="宋体" w:eastAsia="宋体" w:cs="宋体"/>
          <w:color w:val="auto"/>
          <w:spacing w:val="0"/>
          <w:position w:val="0"/>
          <w:sz w:val="21"/>
          <w:szCs w:val="21"/>
          <w:highlight w:val="none"/>
          <w:lang w:val="en-US" w:eastAsia="zh-CN"/>
        </w:rPr>
        <w:t>。</w:t>
      </w:r>
    </w:p>
    <w:p w14:paraId="252A586E">
      <w:pPr>
        <w:pStyle w:val="3"/>
        <w:pageBreakBefore w:val="0"/>
        <w:widowControl w:val="0"/>
        <w:kinsoku/>
        <w:wordWrap/>
        <w:overflowPunct/>
        <w:topLinePunct w:val="0"/>
        <w:autoSpaceDE/>
        <w:autoSpaceDN/>
        <w:bidi w:val="0"/>
        <w:adjustRightInd/>
        <w:spacing w:line="360" w:lineRule="auto"/>
        <w:ind w:left="0" w:leftChars="0" w:firstLine="422" w:firstLineChars="200"/>
        <w:textAlignment w:val="auto"/>
        <w:outlineLvl w:val="0"/>
        <w:rPr>
          <w:rFonts w:hint="eastAsia" w:ascii="宋体" w:hAnsi="宋体" w:eastAsia="宋体" w:cs="宋体"/>
          <w:bCs w:val="0"/>
          <w:color w:val="auto"/>
          <w:spacing w:val="0"/>
          <w:position w:val="0"/>
          <w:sz w:val="21"/>
          <w:szCs w:val="21"/>
          <w:highlight w:val="none"/>
        </w:rPr>
      </w:pPr>
      <w:bookmarkStart w:id="17" w:name="_Toc13777"/>
      <w:bookmarkStart w:id="18" w:name="_Toc9125"/>
      <w:bookmarkStart w:id="19" w:name="_Toc35393631"/>
      <w:bookmarkStart w:id="20" w:name="_Toc35393800"/>
      <w:r>
        <w:rPr>
          <w:rFonts w:hint="eastAsia" w:ascii="宋体" w:hAnsi="宋体" w:eastAsia="宋体" w:cs="宋体"/>
          <w:bCs w:val="0"/>
          <w:color w:val="auto"/>
          <w:spacing w:val="0"/>
          <w:position w:val="0"/>
          <w:sz w:val="21"/>
          <w:szCs w:val="21"/>
          <w:highlight w:val="none"/>
        </w:rPr>
        <w:t>三、获取采购文件</w:t>
      </w:r>
      <w:bookmarkEnd w:id="15"/>
      <w:bookmarkEnd w:id="16"/>
      <w:bookmarkEnd w:id="17"/>
      <w:bookmarkEnd w:id="18"/>
      <w:bookmarkEnd w:id="19"/>
      <w:bookmarkEnd w:id="20"/>
    </w:p>
    <w:p w14:paraId="5A6AD4E8">
      <w:pPr>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pacing w:val="0"/>
          <w:position w:val="0"/>
          <w:szCs w:val="21"/>
          <w:highlight w:val="none"/>
          <w:u w:val="none"/>
          <w:lang w:eastAsia="zh-CN"/>
        </w:rPr>
      </w:pPr>
      <w:r>
        <w:rPr>
          <w:rFonts w:hint="eastAsia" w:ascii="宋体" w:hAnsi="宋体" w:cs="宋体"/>
          <w:color w:val="auto"/>
          <w:spacing w:val="0"/>
          <w:position w:val="0"/>
          <w:szCs w:val="21"/>
          <w:highlight w:val="none"/>
          <w:u w:val="none"/>
        </w:rPr>
        <w:t>时间：</w:t>
      </w:r>
      <w:r>
        <w:rPr>
          <w:rFonts w:hint="eastAsia" w:ascii="宋体" w:hAnsi="宋体" w:cs="宋体"/>
          <w:color w:val="auto"/>
          <w:spacing w:val="0"/>
          <w:position w:val="0"/>
          <w:szCs w:val="21"/>
          <w:highlight w:val="none"/>
          <w:u w:val="none"/>
          <w:lang w:val="en-US" w:eastAsia="zh-CN"/>
        </w:rPr>
        <w:t>2026</w:t>
      </w:r>
      <w:r>
        <w:rPr>
          <w:rFonts w:hint="eastAsia" w:ascii="宋体" w:hAnsi="宋体" w:cs="宋体"/>
          <w:color w:val="auto"/>
          <w:spacing w:val="0"/>
          <w:position w:val="0"/>
          <w:szCs w:val="21"/>
          <w:highlight w:val="none"/>
          <w:u w:val="none"/>
          <w:lang w:eastAsia="zh-CN"/>
        </w:rPr>
        <w:t>年</w:t>
      </w:r>
      <w:r>
        <w:rPr>
          <w:rFonts w:hint="eastAsia" w:ascii="宋体" w:hAnsi="宋体" w:cs="宋体"/>
          <w:color w:val="auto"/>
          <w:spacing w:val="0"/>
          <w:position w:val="0"/>
          <w:szCs w:val="21"/>
          <w:highlight w:val="none"/>
          <w:u w:val="none"/>
          <w:lang w:val="en-US" w:eastAsia="zh-CN"/>
        </w:rPr>
        <w:t>08</w:t>
      </w:r>
      <w:r>
        <w:rPr>
          <w:rFonts w:hint="eastAsia" w:ascii="宋体" w:hAnsi="宋体" w:cs="宋体"/>
          <w:color w:val="auto"/>
          <w:spacing w:val="0"/>
          <w:position w:val="0"/>
          <w:szCs w:val="21"/>
          <w:highlight w:val="none"/>
          <w:u w:val="none"/>
        </w:rPr>
        <w:t>月</w:t>
      </w:r>
      <w:r>
        <w:rPr>
          <w:rFonts w:hint="eastAsia" w:ascii="宋体" w:hAnsi="宋体" w:cs="宋体"/>
          <w:color w:val="auto"/>
          <w:spacing w:val="0"/>
          <w:position w:val="0"/>
          <w:szCs w:val="21"/>
          <w:highlight w:val="none"/>
          <w:u w:val="none"/>
          <w:lang w:val="en-US" w:eastAsia="zh-CN"/>
        </w:rPr>
        <w:t>25</w:t>
      </w:r>
      <w:r>
        <w:rPr>
          <w:rFonts w:hint="eastAsia" w:ascii="宋体" w:hAnsi="宋体" w:cs="宋体"/>
          <w:color w:val="auto"/>
          <w:spacing w:val="0"/>
          <w:position w:val="0"/>
          <w:szCs w:val="21"/>
          <w:highlight w:val="none"/>
          <w:u w:val="none"/>
        </w:rPr>
        <w:t>日至</w:t>
      </w:r>
      <w:r>
        <w:rPr>
          <w:rFonts w:hint="eastAsia" w:ascii="宋体" w:hAnsi="宋体" w:cs="宋体"/>
          <w:color w:val="auto"/>
          <w:spacing w:val="0"/>
          <w:position w:val="0"/>
          <w:szCs w:val="21"/>
          <w:highlight w:val="none"/>
          <w:u w:val="none"/>
          <w:lang w:val="en-US" w:eastAsia="zh-CN"/>
        </w:rPr>
        <w:t>2026</w:t>
      </w:r>
      <w:r>
        <w:rPr>
          <w:rFonts w:hint="eastAsia" w:ascii="宋体" w:hAnsi="宋体" w:cs="宋体"/>
          <w:color w:val="auto"/>
          <w:spacing w:val="0"/>
          <w:position w:val="0"/>
          <w:szCs w:val="21"/>
          <w:highlight w:val="none"/>
          <w:u w:val="none"/>
          <w:lang w:eastAsia="zh-CN"/>
        </w:rPr>
        <w:t>年</w:t>
      </w:r>
      <w:r>
        <w:rPr>
          <w:rFonts w:hint="eastAsia" w:ascii="宋体" w:hAnsi="宋体" w:cs="宋体"/>
          <w:color w:val="auto"/>
          <w:spacing w:val="0"/>
          <w:position w:val="0"/>
          <w:szCs w:val="21"/>
          <w:highlight w:val="none"/>
          <w:u w:val="none"/>
          <w:lang w:val="en-US" w:eastAsia="zh-CN"/>
        </w:rPr>
        <w:t>09</w:t>
      </w:r>
      <w:r>
        <w:rPr>
          <w:rFonts w:hint="eastAsia" w:ascii="宋体" w:hAnsi="宋体" w:cs="宋体"/>
          <w:color w:val="auto"/>
          <w:spacing w:val="0"/>
          <w:position w:val="0"/>
          <w:szCs w:val="21"/>
          <w:highlight w:val="none"/>
          <w:u w:val="none"/>
          <w:lang w:eastAsia="zh-CN"/>
        </w:rPr>
        <w:t>月</w:t>
      </w:r>
      <w:r>
        <w:rPr>
          <w:rFonts w:hint="eastAsia" w:ascii="宋体" w:hAnsi="宋体" w:cs="宋体"/>
          <w:color w:val="auto"/>
          <w:spacing w:val="0"/>
          <w:position w:val="0"/>
          <w:szCs w:val="21"/>
          <w:highlight w:val="none"/>
          <w:u w:val="none"/>
          <w:lang w:val="en-US" w:eastAsia="zh-CN"/>
        </w:rPr>
        <w:t>01</w:t>
      </w:r>
      <w:r>
        <w:rPr>
          <w:rFonts w:hint="eastAsia" w:ascii="宋体" w:hAnsi="宋体" w:cs="宋体"/>
          <w:color w:val="auto"/>
          <w:spacing w:val="0"/>
          <w:position w:val="0"/>
          <w:szCs w:val="21"/>
          <w:highlight w:val="none"/>
          <w:u w:val="none"/>
          <w:lang w:eastAsia="zh-CN"/>
        </w:rPr>
        <w:t>日</w:t>
      </w:r>
      <w:r>
        <w:rPr>
          <w:rFonts w:hint="eastAsia" w:ascii="宋体" w:hAnsi="宋体" w:cs="宋体"/>
          <w:color w:val="auto"/>
          <w:spacing w:val="0"/>
          <w:position w:val="0"/>
          <w:szCs w:val="21"/>
          <w:highlight w:val="none"/>
          <w:u w:val="none"/>
        </w:rPr>
        <w:t>，每天上午8</w:t>
      </w:r>
      <w:r>
        <w:rPr>
          <w:rFonts w:hint="eastAsia" w:ascii="宋体" w:hAnsi="宋体" w:cs="宋体"/>
          <w:color w:val="auto"/>
          <w:spacing w:val="0"/>
          <w:position w:val="0"/>
          <w:szCs w:val="21"/>
          <w:highlight w:val="none"/>
          <w:u w:val="none"/>
          <w:lang w:eastAsia="zh-CN"/>
        </w:rPr>
        <w:t>：</w:t>
      </w:r>
      <w:r>
        <w:rPr>
          <w:rFonts w:hint="eastAsia" w:ascii="宋体" w:hAnsi="宋体" w:cs="宋体"/>
          <w:color w:val="auto"/>
          <w:spacing w:val="0"/>
          <w:position w:val="0"/>
          <w:szCs w:val="21"/>
          <w:highlight w:val="none"/>
          <w:u w:val="none"/>
        </w:rPr>
        <w:t>00至12</w:t>
      </w:r>
      <w:r>
        <w:rPr>
          <w:rFonts w:hint="eastAsia" w:ascii="宋体" w:hAnsi="宋体" w:cs="宋体"/>
          <w:color w:val="auto"/>
          <w:spacing w:val="0"/>
          <w:position w:val="0"/>
          <w:szCs w:val="21"/>
          <w:highlight w:val="none"/>
          <w:u w:val="none"/>
          <w:lang w:eastAsia="zh-CN"/>
        </w:rPr>
        <w:t>：</w:t>
      </w:r>
      <w:r>
        <w:rPr>
          <w:rFonts w:hint="eastAsia" w:ascii="宋体" w:hAnsi="宋体" w:cs="宋体"/>
          <w:color w:val="auto"/>
          <w:spacing w:val="0"/>
          <w:position w:val="0"/>
          <w:szCs w:val="21"/>
          <w:highlight w:val="none"/>
          <w:u w:val="none"/>
        </w:rPr>
        <w:t>00，下午</w:t>
      </w:r>
      <w:r>
        <w:rPr>
          <w:rFonts w:hint="eastAsia" w:ascii="宋体" w:hAnsi="宋体" w:cs="宋体"/>
          <w:color w:val="auto"/>
          <w:spacing w:val="0"/>
          <w:position w:val="0"/>
          <w:szCs w:val="21"/>
          <w:highlight w:val="none"/>
          <w:u w:val="none"/>
          <w:lang w:val="en-US" w:eastAsia="zh-CN"/>
        </w:rPr>
        <w:t>15</w:t>
      </w:r>
      <w:r>
        <w:rPr>
          <w:rFonts w:hint="eastAsia" w:ascii="宋体" w:hAnsi="宋体" w:cs="宋体"/>
          <w:color w:val="auto"/>
          <w:spacing w:val="0"/>
          <w:position w:val="0"/>
          <w:szCs w:val="21"/>
          <w:highlight w:val="none"/>
          <w:u w:val="none"/>
          <w:lang w:eastAsia="zh-CN"/>
        </w:rPr>
        <w:t>：</w:t>
      </w:r>
      <w:r>
        <w:rPr>
          <w:rFonts w:hint="eastAsia" w:ascii="宋体" w:hAnsi="宋体" w:cs="宋体"/>
          <w:color w:val="auto"/>
          <w:spacing w:val="0"/>
          <w:position w:val="0"/>
          <w:szCs w:val="21"/>
          <w:highlight w:val="none"/>
          <w:u w:val="none"/>
        </w:rPr>
        <w:t>00至</w:t>
      </w:r>
      <w:r>
        <w:rPr>
          <w:rFonts w:hint="eastAsia" w:ascii="宋体" w:hAnsi="宋体" w:cs="宋体"/>
          <w:color w:val="auto"/>
          <w:spacing w:val="0"/>
          <w:position w:val="0"/>
          <w:szCs w:val="21"/>
          <w:highlight w:val="none"/>
          <w:u w:val="none"/>
          <w:lang w:val="en-US" w:eastAsia="zh-CN"/>
        </w:rPr>
        <w:t>18</w:t>
      </w:r>
      <w:r>
        <w:rPr>
          <w:rFonts w:hint="eastAsia" w:ascii="宋体" w:hAnsi="宋体" w:cs="宋体"/>
          <w:color w:val="auto"/>
          <w:spacing w:val="0"/>
          <w:position w:val="0"/>
          <w:szCs w:val="21"/>
          <w:highlight w:val="none"/>
          <w:u w:val="none"/>
          <w:lang w:eastAsia="zh-CN"/>
        </w:rPr>
        <w:t>：</w:t>
      </w:r>
      <w:r>
        <w:rPr>
          <w:rFonts w:hint="eastAsia" w:ascii="宋体" w:hAnsi="宋体" w:cs="宋体"/>
          <w:color w:val="auto"/>
          <w:spacing w:val="0"/>
          <w:position w:val="0"/>
          <w:szCs w:val="21"/>
          <w:highlight w:val="none"/>
          <w:u w:val="none"/>
          <w:lang w:val="en-US" w:eastAsia="zh-CN"/>
        </w:rPr>
        <w:t>00</w:t>
      </w:r>
      <w:r>
        <w:rPr>
          <w:rFonts w:hint="eastAsia" w:ascii="宋体" w:hAnsi="宋体" w:cs="宋体"/>
          <w:color w:val="auto"/>
          <w:spacing w:val="0"/>
          <w:position w:val="0"/>
          <w:szCs w:val="21"/>
          <w:highlight w:val="none"/>
          <w:u w:val="none"/>
        </w:rPr>
        <w:t>（北京时间，法定节假日除外）</w:t>
      </w:r>
      <w:r>
        <w:rPr>
          <w:rFonts w:hint="eastAsia" w:ascii="宋体" w:hAnsi="宋体" w:cs="宋体"/>
          <w:color w:val="auto"/>
          <w:spacing w:val="0"/>
          <w:position w:val="0"/>
          <w:szCs w:val="21"/>
          <w:highlight w:val="none"/>
          <w:u w:val="none"/>
          <w:lang w:eastAsia="zh-CN"/>
        </w:rPr>
        <w:t>。</w:t>
      </w:r>
    </w:p>
    <w:p w14:paraId="591D0702">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cs="Times New Roman"/>
          <w:color w:val="auto"/>
          <w:spacing w:val="0"/>
          <w:position w:val="0"/>
          <w:szCs w:val="21"/>
          <w:highlight w:val="none"/>
          <w:u w:val="none"/>
          <w:lang w:eastAsia="zh-CN"/>
        </w:rPr>
      </w:pPr>
      <w:r>
        <w:rPr>
          <w:rFonts w:hint="eastAsia" w:ascii="宋体" w:hAnsi="宋体" w:eastAsia="宋体" w:cs="宋体"/>
          <w:color w:val="auto"/>
          <w:spacing w:val="0"/>
          <w:position w:val="0"/>
          <w:sz w:val="21"/>
          <w:szCs w:val="21"/>
          <w:highlight w:val="none"/>
          <w:u w:val="none"/>
        </w:rPr>
        <w:t>地</w:t>
      </w:r>
      <w:r>
        <w:rPr>
          <w:rFonts w:hint="eastAsia" w:ascii="宋体" w:hAnsi="宋体" w:cs="宋体"/>
          <w:color w:val="auto"/>
          <w:spacing w:val="0"/>
          <w:position w:val="0"/>
          <w:sz w:val="21"/>
          <w:szCs w:val="21"/>
          <w:highlight w:val="none"/>
          <w:u w:val="none"/>
          <w:lang w:eastAsia="zh-CN"/>
        </w:rPr>
        <w:t>点</w:t>
      </w:r>
      <w:r>
        <w:rPr>
          <w:rFonts w:hint="eastAsia" w:ascii="宋体" w:hAnsi="宋体" w:cs="宋体"/>
          <w:color w:val="auto"/>
          <w:spacing w:val="0"/>
          <w:position w:val="0"/>
          <w:sz w:val="21"/>
          <w:szCs w:val="21"/>
          <w:highlight w:val="none"/>
          <w:u w:val="none"/>
          <w:lang w:val="en-US" w:eastAsia="zh-CN"/>
        </w:rPr>
        <w:t>（网址）</w:t>
      </w:r>
      <w:r>
        <w:rPr>
          <w:rFonts w:hint="eastAsia" w:ascii="宋体" w:hAnsi="宋体" w:eastAsia="宋体" w:cs="宋体"/>
          <w:color w:val="auto"/>
          <w:spacing w:val="0"/>
          <w:position w:val="0"/>
          <w:sz w:val="21"/>
          <w:szCs w:val="21"/>
          <w:highlight w:val="none"/>
          <w:u w:val="none"/>
          <w:lang w:val="en-US" w:eastAsia="zh-CN"/>
        </w:rPr>
        <w:t>：</w:t>
      </w:r>
      <w:r>
        <w:rPr>
          <w:rFonts w:hint="eastAsia" w:ascii="宋体" w:hAnsi="宋体" w:cs="Times New Roman"/>
          <w:color w:val="auto"/>
          <w:spacing w:val="0"/>
          <w:position w:val="0"/>
          <w:szCs w:val="21"/>
          <w:highlight w:val="none"/>
          <w:u w:val="none"/>
          <w:lang w:eastAsia="zh-CN"/>
        </w:rPr>
        <w:t>广西政府采购云平台（https://www.gcy.zfcg.gxzf.gov.cn/）</w:t>
      </w:r>
    </w:p>
    <w:p w14:paraId="61B578E1">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auto"/>
        <w:rPr>
          <w:color w:val="auto"/>
          <w:spacing w:val="0"/>
          <w:position w:val="0"/>
          <w:highlight w:val="none"/>
        </w:rPr>
      </w:pPr>
      <w:r>
        <w:rPr>
          <w:rFonts w:hint="eastAsia" w:ascii="宋体" w:hAnsi="宋体"/>
          <w:color w:val="auto"/>
          <w:spacing w:val="0"/>
          <w:position w:val="0"/>
          <w:szCs w:val="21"/>
          <w:highlight w:val="none"/>
        </w:rPr>
        <w:t>方式</w:t>
      </w:r>
      <w:r>
        <w:rPr>
          <w:rFonts w:hint="eastAsia" w:ascii="宋体" w:hAnsi="宋体"/>
          <w:color w:val="auto"/>
          <w:spacing w:val="0"/>
          <w:position w:val="0"/>
          <w:szCs w:val="21"/>
          <w:highlight w:val="none"/>
          <w:lang w:eastAsia="zh-CN"/>
        </w:rPr>
        <w:t>：供应商登录广西政府采购云平台（https://www.gcy.zfcg.gxzf.gov.cn/）在线申请获取采购文件（进入“项目采购”应用，在获取采购文件菜单中选择项目，申请获取采购文件）。</w:t>
      </w:r>
    </w:p>
    <w:p w14:paraId="3444B166">
      <w:pPr>
        <w:pStyle w:val="3"/>
        <w:pageBreakBefore w:val="0"/>
        <w:widowControl w:val="0"/>
        <w:kinsoku/>
        <w:wordWrap/>
        <w:overflowPunct/>
        <w:topLinePunct w:val="0"/>
        <w:autoSpaceDE/>
        <w:autoSpaceDN/>
        <w:bidi w:val="0"/>
        <w:adjustRightInd/>
        <w:spacing w:line="360" w:lineRule="auto"/>
        <w:ind w:left="0" w:leftChars="0" w:firstLine="422" w:firstLineChars="200"/>
        <w:textAlignment w:val="auto"/>
        <w:outlineLvl w:val="0"/>
        <w:rPr>
          <w:rFonts w:ascii="宋体" w:hAnsi="宋体" w:eastAsia="宋体" w:cs="宋体"/>
          <w:bCs w:val="0"/>
          <w:color w:val="auto"/>
          <w:spacing w:val="0"/>
          <w:position w:val="0"/>
          <w:sz w:val="21"/>
          <w:szCs w:val="21"/>
          <w:highlight w:val="none"/>
        </w:rPr>
      </w:pPr>
      <w:bookmarkStart w:id="21" w:name="_Toc28359092"/>
      <w:bookmarkStart w:id="22" w:name="_Toc28970"/>
      <w:bookmarkStart w:id="23" w:name="_Toc28359015"/>
      <w:bookmarkStart w:id="24" w:name="_Toc18110"/>
      <w:bookmarkStart w:id="25" w:name="_Toc35393632"/>
      <w:bookmarkStart w:id="26" w:name="_Toc35393801"/>
      <w:r>
        <w:rPr>
          <w:rFonts w:hint="eastAsia" w:ascii="宋体" w:hAnsi="宋体" w:eastAsia="宋体" w:cs="宋体"/>
          <w:bCs w:val="0"/>
          <w:color w:val="auto"/>
          <w:spacing w:val="0"/>
          <w:position w:val="0"/>
          <w:sz w:val="21"/>
          <w:szCs w:val="21"/>
          <w:highlight w:val="none"/>
        </w:rPr>
        <w:t>四、响应文件提交</w:t>
      </w:r>
      <w:bookmarkEnd w:id="21"/>
      <w:bookmarkEnd w:id="22"/>
      <w:bookmarkEnd w:id="23"/>
      <w:bookmarkEnd w:id="24"/>
      <w:bookmarkEnd w:id="25"/>
      <w:bookmarkEnd w:id="26"/>
    </w:p>
    <w:p w14:paraId="6975C319">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pacing w:val="0"/>
          <w:position w:val="0"/>
          <w:szCs w:val="21"/>
          <w:highlight w:val="none"/>
          <w:u w:val="none"/>
          <w:lang w:eastAsia="zh-CN"/>
        </w:rPr>
      </w:pPr>
      <w:r>
        <w:rPr>
          <w:rFonts w:hint="eastAsia" w:ascii="宋体" w:hAnsi="宋体"/>
          <w:bCs/>
          <w:color w:val="auto"/>
          <w:spacing w:val="0"/>
          <w:position w:val="0"/>
          <w:szCs w:val="21"/>
          <w:highlight w:val="none"/>
          <w:u w:val="none"/>
        </w:rPr>
        <w:t>截止时间：</w:t>
      </w:r>
      <w:r>
        <w:rPr>
          <w:rFonts w:hint="eastAsia" w:ascii="宋体" w:hAnsi="宋体" w:cs="宋体"/>
          <w:color w:val="auto"/>
          <w:spacing w:val="0"/>
          <w:position w:val="0"/>
          <w:szCs w:val="21"/>
          <w:highlight w:val="none"/>
          <w:u w:val="none"/>
          <w:lang w:val="en-US" w:eastAsia="zh-CN"/>
        </w:rPr>
        <w:t>2026</w:t>
      </w:r>
      <w:r>
        <w:rPr>
          <w:rFonts w:hint="eastAsia" w:ascii="宋体" w:hAnsi="宋体" w:cs="宋体"/>
          <w:color w:val="auto"/>
          <w:spacing w:val="0"/>
          <w:position w:val="0"/>
          <w:szCs w:val="21"/>
          <w:highlight w:val="none"/>
          <w:u w:val="none"/>
          <w:lang w:eastAsia="zh-CN"/>
        </w:rPr>
        <w:t>年</w:t>
      </w:r>
      <w:r>
        <w:rPr>
          <w:rFonts w:hint="eastAsia" w:ascii="宋体" w:hAnsi="宋体" w:cs="宋体"/>
          <w:color w:val="auto"/>
          <w:spacing w:val="0"/>
          <w:position w:val="0"/>
          <w:szCs w:val="21"/>
          <w:highlight w:val="none"/>
          <w:u w:val="none"/>
          <w:lang w:val="en-US" w:eastAsia="zh-CN"/>
        </w:rPr>
        <w:t>09</w:t>
      </w:r>
      <w:r>
        <w:rPr>
          <w:rFonts w:hint="eastAsia" w:ascii="宋体" w:hAnsi="宋体" w:cs="宋体"/>
          <w:color w:val="auto"/>
          <w:spacing w:val="0"/>
          <w:position w:val="0"/>
          <w:szCs w:val="21"/>
          <w:highlight w:val="none"/>
          <w:u w:val="none"/>
        </w:rPr>
        <w:t>月</w:t>
      </w:r>
      <w:r>
        <w:rPr>
          <w:rFonts w:hint="eastAsia" w:ascii="宋体" w:hAnsi="宋体" w:cs="宋体"/>
          <w:color w:val="auto"/>
          <w:spacing w:val="0"/>
          <w:position w:val="0"/>
          <w:szCs w:val="21"/>
          <w:highlight w:val="none"/>
          <w:u w:val="none"/>
          <w:lang w:val="en-US" w:eastAsia="zh-CN"/>
        </w:rPr>
        <w:t>04</w:t>
      </w:r>
      <w:r>
        <w:rPr>
          <w:rFonts w:hint="eastAsia" w:ascii="宋体" w:hAnsi="宋体" w:cs="宋体"/>
          <w:color w:val="auto"/>
          <w:spacing w:val="0"/>
          <w:position w:val="0"/>
          <w:szCs w:val="21"/>
          <w:highlight w:val="none"/>
          <w:u w:val="none"/>
        </w:rPr>
        <w:t>日</w:t>
      </w:r>
      <w:r>
        <w:rPr>
          <w:rFonts w:hint="eastAsia" w:ascii="宋体" w:hAnsi="宋体" w:cs="宋体"/>
          <w:color w:val="auto"/>
          <w:spacing w:val="0"/>
          <w:position w:val="0"/>
          <w:szCs w:val="21"/>
          <w:highlight w:val="none"/>
          <w:u w:val="none"/>
          <w:lang w:val="en-US" w:eastAsia="zh-CN"/>
        </w:rPr>
        <w:t xml:space="preserve"> 09 </w:t>
      </w:r>
      <w:r>
        <w:rPr>
          <w:rFonts w:hint="eastAsia" w:ascii="宋体" w:hAnsi="宋体" w:cs="宋体"/>
          <w:color w:val="auto"/>
          <w:spacing w:val="0"/>
          <w:position w:val="0"/>
          <w:szCs w:val="21"/>
          <w:highlight w:val="none"/>
          <w:u w:val="none"/>
        </w:rPr>
        <w:t>时</w:t>
      </w:r>
      <w:r>
        <w:rPr>
          <w:rFonts w:hint="eastAsia" w:ascii="宋体" w:hAnsi="宋体" w:cs="宋体"/>
          <w:color w:val="auto"/>
          <w:spacing w:val="0"/>
          <w:position w:val="0"/>
          <w:szCs w:val="21"/>
          <w:highlight w:val="none"/>
          <w:u w:val="none"/>
          <w:lang w:val="en-US" w:eastAsia="zh-CN"/>
        </w:rPr>
        <w:t>30</w:t>
      </w:r>
      <w:r>
        <w:rPr>
          <w:rFonts w:hint="eastAsia" w:ascii="宋体" w:hAnsi="宋体" w:cs="宋体"/>
          <w:color w:val="auto"/>
          <w:spacing w:val="0"/>
          <w:position w:val="0"/>
          <w:szCs w:val="21"/>
          <w:highlight w:val="none"/>
          <w:u w:val="none"/>
        </w:rPr>
        <w:t>分</w:t>
      </w:r>
      <w:r>
        <w:rPr>
          <w:rFonts w:hint="eastAsia" w:ascii="宋体" w:hAnsi="宋体"/>
          <w:bCs/>
          <w:color w:val="auto"/>
          <w:spacing w:val="0"/>
          <w:position w:val="0"/>
          <w:szCs w:val="21"/>
          <w:highlight w:val="none"/>
          <w:u w:val="none"/>
        </w:rPr>
        <w:t>（北京时间）</w:t>
      </w:r>
    </w:p>
    <w:p w14:paraId="1B04A1BB">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auto"/>
        <w:rPr>
          <w:rFonts w:ascii="宋体" w:hAnsi="宋体" w:cs="宋体"/>
          <w:bCs/>
          <w:color w:val="auto"/>
          <w:spacing w:val="0"/>
          <w:position w:val="0"/>
          <w:szCs w:val="21"/>
          <w:highlight w:val="none"/>
          <w:u w:val="none"/>
        </w:rPr>
      </w:pPr>
      <w:r>
        <w:rPr>
          <w:rFonts w:hint="eastAsia" w:ascii="宋体" w:hAnsi="宋体"/>
          <w:color w:val="auto"/>
          <w:spacing w:val="0"/>
          <w:position w:val="0"/>
          <w:szCs w:val="21"/>
          <w:highlight w:val="none"/>
          <w:u w:val="none"/>
        </w:rPr>
        <w:t>地点（网址）：</w:t>
      </w:r>
      <w:r>
        <w:rPr>
          <w:rFonts w:hint="eastAsia" w:ascii="宋体" w:hAnsi="宋体" w:cs="宋体"/>
          <w:bCs/>
          <w:color w:val="auto"/>
          <w:spacing w:val="0"/>
          <w:position w:val="0"/>
          <w:szCs w:val="21"/>
          <w:highlight w:val="none"/>
        </w:rPr>
        <w:t>通过</w:t>
      </w:r>
      <w:r>
        <w:rPr>
          <w:rFonts w:hint="eastAsia" w:ascii="宋体" w:hAnsi="宋体" w:cs="宋体"/>
          <w:color w:val="auto"/>
          <w:spacing w:val="0"/>
          <w:position w:val="0"/>
          <w:highlight w:val="none"/>
          <w:lang w:eastAsia="zh-CN"/>
        </w:rPr>
        <w:t>广西政府采购云平台（https://www.gcy.zfcg.gxzf.gov.cn/）</w:t>
      </w:r>
      <w:r>
        <w:rPr>
          <w:rFonts w:hint="eastAsia" w:ascii="宋体" w:hAnsi="宋体" w:cs="宋体"/>
          <w:color w:val="auto"/>
          <w:spacing w:val="0"/>
          <w:position w:val="0"/>
          <w:szCs w:val="21"/>
          <w:highlight w:val="none"/>
        </w:rPr>
        <w:t>上传响应文件，并在线竞标。</w:t>
      </w:r>
    </w:p>
    <w:p w14:paraId="578D1B3A">
      <w:pPr>
        <w:pStyle w:val="3"/>
        <w:pageBreakBefore w:val="0"/>
        <w:widowControl w:val="0"/>
        <w:kinsoku/>
        <w:wordWrap/>
        <w:overflowPunct/>
        <w:topLinePunct w:val="0"/>
        <w:autoSpaceDE/>
        <w:autoSpaceDN/>
        <w:bidi w:val="0"/>
        <w:adjustRightInd/>
        <w:spacing w:line="360" w:lineRule="auto"/>
        <w:ind w:left="0" w:leftChars="0" w:firstLine="422" w:firstLineChars="200"/>
        <w:textAlignment w:val="auto"/>
        <w:outlineLvl w:val="0"/>
        <w:rPr>
          <w:rFonts w:ascii="宋体" w:hAnsi="宋体" w:eastAsia="宋体" w:cs="宋体"/>
          <w:bCs w:val="0"/>
          <w:color w:val="auto"/>
          <w:spacing w:val="0"/>
          <w:position w:val="0"/>
          <w:sz w:val="21"/>
          <w:szCs w:val="21"/>
          <w:highlight w:val="none"/>
          <w:u w:val="none"/>
        </w:rPr>
      </w:pPr>
      <w:bookmarkStart w:id="27" w:name="_Toc3197"/>
      <w:bookmarkStart w:id="28" w:name="_Toc28359093"/>
      <w:bookmarkStart w:id="29" w:name="_Toc35393802"/>
      <w:bookmarkStart w:id="30" w:name="_Toc35393633"/>
      <w:bookmarkStart w:id="31" w:name="_Toc24973"/>
      <w:bookmarkStart w:id="32" w:name="_Toc28359016"/>
      <w:r>
        <w:rPr>
          <w:rFonts w:hint="eastAsia" w:ascii="宋体" w:hAnsi="宋体" w:eastAsia="宋体" w:cs="宋体"/>
          <w:bCs w:val="0"/>
          <w:color w:val="auto"/>
          <w:spacing w:val="0"/>
          <w:position w:val="0"/>
          <w:sz w:val="21"/>
          <w:szCs w:val="21"/>
          <w:highlight w:val="none"/>
          <w:u w:val="none"/>
        </w:rPr>
        <w:t>五、响应文件开启</w:t>
      </w:r>
      <w:bookmarkEnd w:id="27"/>
      <w:bookmarkEnd w:id="28"/>
      <w:bookmarkEnd w:id="29"/>
      <w:bookmarkEnd w:id="30"/>
      <w:bookmarkEnd w:id="31"/>
      <w:bookmarkEnd w:id="32"/>
    </w:p>
    <w:p w14:paraId="2292996C">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bCs/>
          <w:color w:val="auto"/>
          <w:spacing w:val="0"/>
          <w:position w:val="0"/>
          <w:szCs w:val="21"/>
          <w:highlight w:val="none"/>
          <w:u w:val="none"/>
          <w:lang w:eastAsia="zh-CN"/>
        </w:rPr>
      </w:pPr>
      <w:r>
        <w:rPr>
          <w:rFonts w:hint="eastAsia" w:ascii="宋体" w:hAnsi="宋体"/>
          <w:bCs/>
          <w:color w:val="auto"/>
          <w:spacing w:val="0"/>
          <w:position w:val="0"/>
          <w:szCs w:val="21"/>
          <w:highlight w:val="none"/>
          <w:u w:val="none"/>
        </w:rPr>
        <w:t>开启时间：</w:t>
      </w:r>
      <w:r>
        <w:rPr>
          <w:rFonts w:hint="eastAsia" w:ascii="宋体" w:hAnsi="宋体" w:cs="宋体"/>
          <w:color w:val="auto"/>
          <w:spacing w:val="0"/>
          <w:position w:val="0"/>
          <w:szCs w:val="21"/>
          <w:highlight w:val="none"/>
          <w:u w:val="none"/>
          <w:lang w:val="en-US" w:eastAsia="zh-CN"/>
        </w:rPr>
        <w:t>2026</w:t>
      </w:r>
      <w:r>
        <w:rPr>
          <w:rFonts w:hint="eastAsia" w:ascii="宋体" w:hAnsi="宋体" w:cs="宋体"/>
          <w:color w:val="auto"/>
          <w:spacing w:val="0"/>
          <w:position w:val="0"/>
          <w:szCs w:val="21"/>
          <w:highlight w:val="none"/>
          <w:u w:val="none"/>
          <w:lang w:eastAsia="zh-CN"/>
        </w:rPr>
        <w:t>年</w:t>
      </w:r>
      <w:r>
        <w:rPr>
          <w:rFonts w:hint="eastAsia" w:ascii="宋体" w:hAnsi="宋体" w:cs="宋体"/>
          <w:color w:val="auto"/>
          <w:spacing w:val="0"/>
          <w:position w:val="0"/>
          <w:szCs w:val="21"/>
          <w:highlight w:val="none"/>
          <w:u w:val="none"/>
          <w:lang w:val="en-US" w:eastAsia="zh-CN"/>
        </w:rPr>
        <w:t xml:space="preserve"> 09</w:t>
      </w:r>
      <w:r>
        <w:rPr>
          <w:rFonts w:hint="eastAsia" w:ascii="宋体" w:hAnsi="宋体" w:cs="宋体"/>
          <w:color w:val="auto"/>
          <w:spacing w:val="0"/>
          <w:position w:val="0"/>
          <w:szCs w:val="21"/>
          <w:highlight w:val="none"/>
          <w:u w:val="none"/>
        </w:rPr>
        <w:t>月</w:t>
      </w:r>
      <w:r>
        <w:rPr>
          <w:rFonts w:hint="eastAsia" w:ascii="宋体" w:hAnsi="宋体" w:cs="宋体"/>
          <w:color w:val="auto"/>
          <w:spacing w:val="0"/>
          <w:position w:val="0"/>
          <w:szCs w:val="21"/>
          <w:highlight w:val="none"/>
          <w:u w:val="none"/>
          <w:lang w:val="en-US" w:eastAsia="zh-CN"/>
        </w:rPr>
        <w:t xml:space="preserve"> 04</w:t>
      </w:r>
      <w:r>
        <w:rPr>
          <w:rFonts w:hint="eastAsia" w:ascii="宋体" w:hAnsi="宋体" w:cs="宋体"/>
          <w:color w:val="auto"/>
          <w:spacing w:val="0"/>
          <w:position w:val="0"/>
          <w:szCs w:val="21"/>
          <w:highlight w:val="none"/>
          <w:u w:val="none"/>
        </w:rPr>
        <w:t>日</w:t>
      </w:r>
      <w:r>
        <w:rPr>
          <w:rFonts w:hint="eastAsia" w:ascii="宋体" w:hAnsi="宋体" w:cs="宋体"/>
          <w:color w:val="auto"/>
          <w:spacing w:val="0"/>
          <w:position w:val="0"/>
          <w:szCs w:val="21"/>
          <w:highlight w:val="none"/>
          <w:u w:val="none"/>
          <w:lang w:val="en-US" w:eastAsia="zh-CN"/>
        </w:rPr>
        <w:t>09</w:t>
      </w:r>
      <w:r>
        <w:rPr>
          <w:rFonts w:hint="eastAsia" w:ascii="宋体" w:hAnsi="宋体" w:cs="宋体"/>
          <w:color w:val="auto"/>
          <w:spacing w:val="0"/>
          <w:position w:val="0"/>
          <w:szCs w:val="21"/>
          <w:highlight w:val="none"/>
          <w:u w:val="none"/>
        </w:rPr>
        <w:t>时</w:t>
      </w:r>
      <w:r>
        <w:rPr>
          <w:rFonts w:hint="eastAsia" w:ascii="宋体" w:hAnsi="宋体" w:cs="宋体"/>
          <w:color w:val="auto"/>
          <w:spacing w:val="0"/>
          <w:position w:val="0"/>
          <w:szCs w:val="21"/>
          <w:highlight w:val="none"/>
          <w:u w:val="none"/>
          <w:lang w:val="en-US" w:eastAsia="zh-CN"/>
        </w:rPr>
        <w:t>30</w:t>
      </w:r>
      <w:r>
        <w:rPr>
          <w:rFonts w:hint="eastAsia" w:ascii="宋体" w:hAnsi="宋体" w:cs="宋体"/>
          <w:color w:val="auto"/>
          <w:spacing w:val="0"/>
          <w:position w:val="0"/>
          <w:szCs w:val="21"/>
          <w:highlight w:val="none"/>
          <w:u w:val="none"/>
        </w:rPr>
        <w:t>分</w:t>
      </w:r>
      <w:r>
        <w:rPr>
          <w:rFonts w:hint="eastAsia" w:ascii="宋体" w:hAnsi="宋体"/>
          <w:bCs/>
          <w:color w:val="auto"/>
          <w:spacing w:val="0"/>
          <w:position w:val="0"/>
          <w:szCs w:val="21"/>
          <w:highlight w:val="none"/>
          <w:u w:val="none"/>
        </w:rPr>
        <w:t>（北京时间）</w:t>
      </w:r>
    </w:p>
    <w:p w14:paraId="1EECD7CB">
      <w:pPr>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bCs/>
          <w:color w:val="auto"/>
          <w:spacing w:val="0"/>
          <w:position w:val="0"/>
          <w:szCs w:val="21"/>
          <w:highlight w:val="none"/>
          <w:u w:val="none"/>
          <w:lang w:val="en-US" w:eastAsia="zh-CN"/>
        </w:rPr>
      </w:pPr>
      <w:r>
        <w:rPr>
          <w:rFonts w:hint="eastAsia" w:ascii="宋体" w:hAnsi="宋体"/>
          <w:bCs/>
          <w:color w:val="auto"/>
          <w:spacing w:val="0"/>
          <w:position w:val="0"/>
          <w:szCs w:val="21"/>
          <w:highlight w:val="none"/>
          <w:u w:val="none"/>
        </w:rPr>
        <w:t>地点：</w:t>
      </w:r>
      <w:r>
        <w:rPr>
          <w:rFonts w:hint="eastAsia" w:ascii="宋体" w:hAnsi="宋体"/>
          <w:bCs/>
          <w:color w:val="auto"/>
          <w:spacing w:val="0"/>
          <w:position w:val="0"/>
          <w:szCs w:val="21"/>
          <w:highlight w:val="none"/>
          <w:u w:val="none"/>
          <w:lang w:eastAsia="zh-CN"/>
        </w:rPr>
        <w:t>广西政府采购云平台</w:t>
      </w:r>
      <w:r>
        <w:rPr>
          <w:rFonts w:hint="eastAsia" w:ascii="宋体" w:hAnsi="宋体"/>
          <w:bCs/>
          <w:color w:val="auto"/>
          <w:spacing w:val="0"/>
          <w:position w:val="0"/>
          <w:szCs w:val="21"/>
          <w:highlight w:val="none"/>
          <w:u w:val="none"/>
        </w:rPr>
        <w:t>电子开标大厅在线解密开启</w:t>
      </w:r>
      <w:r>
        <w:rPr>
          <w:rFonts w:hint="eastAsia" w:ascii="宋体" w:hAnsi="宋体"/>
          <w:bCs/>
          <w:color w:val="auto"/>
          <w:spacing w:val="0"/>
          <w:position w:val="0"/>
          <w:szCs w:val="21"/>
          <w:highlight w:val="none"/>
          <w:u w:val="none"/>
          <w:lang w:eastAsia="zh-CN"/>
        </w:rPr>
        <w:t>。</w:t>
      </w:r>
    </w:p>
    <w:p w14:paraId="52BF06B8">
      <w:pPr>
        <w:pStyle w:val="3"/>
        <w:pageBreakBefore w:val="0"/>
        <w:widowControl w:val="0"/>
        <w:kinsoku/>
        <w:wordWrap/>
        <w:overflowPunct/>
        <w:topLinePunct w:val="0"/>
        <w:autoSpaceDE/>
        <w:autoSpaceDN/>
        <w:bidi w:val="0"/>
        <w:adjustRightInd/>
        <w:spacing w:line="360" w:lineRule="auto"/>
        <w:ind w:left="0" w:leftChars="0" w:firstLine="422" w:firstLineChars="200"/>
        <w:textAlignment w:val="auto"/>
        <w:outlineLvl w:val="0"/>
        <w:rPr>
          <w:rFonts w:ascii="宋体" w:hAnsi="宋体" w:eastAsia="宋体" w:cs="宋体"/>
          <w:bCs w:val="0"/>
          <w:color w:val="auto"/>
          <w:spacing w:val="0"/>
          <w:position w:val="0"/>
          <w:sz w:val="21"/>
          <w:szCs w:val="21"/>
          <w:highlight w:val="none"/>
          <w:u w:val="none"/>
        </w:rPr>
      </w:pPr>
      <w:bookmarkStart w:id="33" w:name="_Toc28359017"/>
      <w:bookmarkStart w:id="34" w:name="_Toc5452"/>
      <w:bookmarkStart w:id="35" w:name="_Toc35393803"/>
      <w:bookmarkStart w:id="36" w:name="_Toc17419"/>
      <w:bookmarkStart w:id="37" w:name="_Toc35393634"/>
      <w:bookmarkStart w:id="38" w:name="_Toc28359094"/>
      <w:r>
        <w:rPr>
          <w:rFonts w:hint="eastAsia" w:ascii="宋体" w:hAnsi="宋体" w:eastAsia="宋体" w:cs="宋体"/>
          <w:bCs w:val="0"/>
          <w:color w:val="auto"/>
          <w:spacing w:val="0"/>
          <w:position w:val="0"/>
          <w:sz w:val="21"/>
          <w:szCs w:val="21"/>
          <w:highlight w:val="none"/>
          <w:u w:val="none"/>
        </w:rPr>
        <w:t>六、公告期限</w:t>
      </w:r>
      <w:bookmarkEnd w:id="33"/>
      <w:bookmarkEnd w:id="34"/>
      <w:bookmarkEnd w:id="35"/>
      <w:bookmarkEnd w:id="36"/>
      <w:bookmarkEnd w:id="37"/>
      <w:bookmarkEnd w:id="38"/>
    </w:p>
    <w:p w14:paraId="1F2A3223">
      <w:pPr>
        <w:pageBreakBefore w:val="0"/>
        <w:widowControl w:val="0"/>
        <w:kinsoku/>
        <w:wordWrap/>
        <w:overflowPunct/>
        <w:topLinePunct w:val="0"/>
        <w:autoSpaceDE/>
        <w:autoSpaceDN/>
        <w:bidi w:val="0"/>
        <w:adjustRightInd/>
        <w:spacing w:line="360" w:lineRule="auto"/>
        <w:ind w:left="0" w:leftChars="0" w:firstLine="420" w:firstLineChars="200"/>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自本公告发布之日起5个工作日。</w:t>
      </w:r>
    </w:p>
    <w:p w14:paraId="4959DA96">
      <w:pPr>
        <w:pStyle w:val="3"/>
        <w:pageBreakBefore w:val="0"/>
        <w:widowControl w:val="0"/>
        <w:kinsoku/>
        <w:wordWrap/>
        <w:overflowPunct/>
        <w:topLinePunct w:val="0"/>
        <w:autoSpaceDE/>
        <w:autoSpaceDN/>
        <w:bidi w:val="0"/>
        <w:adjustRightInd/>
        <w:spacing w:line="360" w:lineRule="auto"/>
        <w:ind w:left="0" w:leftChars="0" w:firstLine="422" w:firstLineChars="200"/>
        <w:textAlignment w:val="auto"/>
        <w:outlineLvl w:val="0"/>
        <w:rPr>
          <w:rFonts w:ascii="宋体" w:hAnsi="宋体" w:eastAsia="宋体" w:cs="宋体"/>
          <w:bCs w:val="0"/>
          <w:color w:val="auto"/>
          <w:spacing w:val="0"/>
          <w:position w:val="0"/>
          <w:sz w:val="21"/>
          <w:szCs w:val="21"/>
          <w:highlight w:val="none"/>
        </w:rPr>
      </w:pPr>
      <w:bookmarkStart w:id="39" w:name="_Toc35393804"/>
      <w:bookmarkStart w:id="40" w:name="_Toc321"/>
      <w:bookmarkStart w:id="41" w:name="_Toc35393635"/>
      <w:bookmarkStart w:id="42" w:name="_Toc26297"/>
      <w:r>
        <w:rPr>
          <w:rFonts w:hint="eastAsia" w:ascii="宋体" w:hAnsi="宋体" w:eastAsia="宋体" w:cs="宋体"/>
          <w:bCs w:val="0"/>
          <w:color w:val="auto"/>
          <w:spacing w:val="0"/>
          <w:position w:val="0"/>
          <w:sz w:val="21"/>
          <w:szCs w:val="21"/>
          <w:highlight w:val="none"/>
        </w:rPr>
        <w:t>七、其他补充事宜</w:t>
      </w:r>
      <w:bookmarkEnd w:id="39"/>
      <w:bookmarkEnd w:id="40"/>
      <w:bookmarkEnd w:id="41"/>
      <w:bookmarkEnd w:id="42"/>
    </w:p>
    <w:p w14:paraId="261F9456">
      <w:pPr>
        <w:pageBreakBefore w:val="0"/>
        <w:kinsoku/>
        <w:wordWrap/>
        <w:overflowPunct/>
        <w:topLinePunct w:val="0"/>
        <w:autoSpaceDE/>
        <w:autoSpaceDN/>
        <w:bidi w:val="0"/>
        <w:adjustRightInd/>
        <w:spacing w:line="360" w:lineRule="auto"/>
        <w:ind w:left="0" w:leftChars="0" w:firstLine="420" w:firstLineChars="200"/>
        <w:jc w:val="left"/>
        <w:textAlignment w:val="auto"/>
        <w:rPr>
          <w:rFonts w:hint="eastAsia" w:ascii="宋体" w:hAnsi="宋体" w:cs="宋体"/>
          <w:color w:val="auto"/>
          <w:spacing w:val="0"/>
          <w:position w:val="0"/>
          <w:szCs w:val="21"/>
          <w:highlight w:val="none"/>
        </w:rPr>
      </w:pPr>
      <w:bookmarkStart w:id="43" w:name="_Toc28359095"/>
      <w:bookmarkStart w:id="44" w:name="_Toc35393805"/>
      <w:bookmarkStart w:id="45" w:name="_Toc28359018"/>
      <w:bookmarkStart w:id="46" w:name="_Toc35393636"/>
      <w:r>
        <w:rPr>
          <w:rFonts w:hint="eastAsia" w:ascii="宋体" w:hAnsi="宋体" w:cs="宋体"/>
          <w:color w:val="auto"/>
          <w:spacing w:val="0"/>
          <w:position w:val="0"/>
          <w:szCs w:val="21"/>
          <w:highlight w:val="none"/>
        </w:rPr>
        <w:t>1.本项目为全流程电子化政府采购项目，供应商应按照本项目采购文件和</w:t>
      </w:r>
      <w:r>
        <w:rPr>
          <w:rFonts w:hint="eastAsia" w:ascii="宋体" w:hAnsi="宋体" w:cs="宋体"/>
          <w:color w:val="auto"/>
          <w:spacing w:val="0"/>
          <w:position w:val="0"/>
          <w:szCs w:val="21"/>
          <w:highlight w:val="none"/>
          <w:lang w:eastAsia="zh-CN"/>
        </w:rPr>
        <w:t>广西政府采购云平台</w:t>
      </w:r>
      <w:r>
        <w:rPr>
          <w:rFonts w:hint="eastAsia" w:ascii="宋体" w:hAnsi="宋体" w:cs="宋体"/>
          <w:color w:val="auto"/>
          <w:spacing w:val="0"/>
          <w:position w:val="0"/>
          <w:szCs w:val="21"/>
          <w:highlight w:val="none"/>
        </w:rPr>
        <w:t>的要求编制、加密并提交电子响应文件。未完成</w:t>
      </w:r>
      <w:r>
        <w:rPr>
          <w:rFonts w:hint="eastAsia" w:ascii="宋体" w:hAnsi="宋体" w:cs="宋体"/>
          <w:color w:val="auto"/>
          <w:spacing w:val="0"/>
          <w:position w:val="0"/>
          <w:szCs w:val="21"/>
          <w:highlight w:val="none"/>
          <w:lang w:eastAsia="zh-CN"/>
        </w:rPr>
        <w:t>广西政府采购云平台</w:t>
      </w:r>
      <w:r>
        <w:rPr>
          <w:rFonts w:hint="eastAsia" w:ascii="宋体" w:hAnsi="宋体" w:cs="宋体"/>
          <w:color w:val="auto"/>
          <w:spacing w:val="0"/>
          <w:position w:val="0"/>
          <w:szCs w:val="21"/>
          <w:highlight w:val="none"/>
        </w:rPr>
        <w:t>供应商注册入驻并办理数字证书（CA认证）的供应商将无法参与本项目政府采购活动。供应商在使用</w:t>
      </w:r>
      <w:r>
        <w:rPr>
          <w:rFonts w:hint="eastAsia" w:ascii="宋体" w:hAnsi="宋体" w:cs="宋体"/>
          <w:color w:val="auto"/>
          <w:spacing w:val="0"/>
          <w:position w:val="0"/>
          <w:szCs w:val="21"/>
          <w:highlight w:val="none"/>
          <w:lang w:eastAsia="zh-CN"/>
        </w:rPr>
        <w:t>广西政府采购云平台</w:t>
      </w:r>
      <w:r>
        <w:rPr>
          <w:rFonts w:hint="eastAsia" w:ascii="宋体" w:hAnsi="宋体" w:cs="宋体"/>
          <w:color w:val="auto"/>
          <w:spacing w:val="0"/>
          <w:position w:val="0"/>
          <w:szCs w:val="21"/>
          <w:highlight w:val="none"/>
        </w:rPr>
        <w:t>参与</w:t>
      </w:r>
      <w:r>
        <w:rPr>
          <w:rFonts w:hint="eastAsia" w:ascii="宋体" w:hAnsi="宋体" w:cs="宋体"/>
          <w:color w:val="auto"/>
          <w:spacing w:val="0"/>
          <w:position w:val="0"/>
          <w:szCs w:val="21"/>
          <w:highlight w:val="none"/>
          <w:lang w:eastAsia="zh-CN"/>
        </w:rPr>
        <w:t>竞标</w:t>
      </w:r>
      <w:r>
        <w:rPr>
          <w:rFonts w:hint="eastAsia" w:ascii="宋体" w:hAnsi="宋体" w:cs="宋体"/>
          <w:color w:val="auto"/>
          <w:spacing w:val="0"/>
          <w:position w:val="0"/>
          <w:szCs w:val="21"/>
          <w:highlight w:val="none"/>
        </w:rPr>
        <w:t>过程中遇到涉及平台使用的任何问题，</w:t>
      </w:r>
      <w:r>
        <w:rPr>
          <w:rFonts w:hint="eastAsia" w:ascii="宋体" w:hAnsi="宋体"/>
          <w:color w:val="auto"/>
          <w:spacing w:val="0"/>
          <w:position w:val="0"/>
          <w:szCs w:val="21"/>
          <w:highlight w:val="none"/>
        </w:rPr>
        <w:t>可致电</w:t>
      </w:r>
      <w:r>
        <w:rPr>
          <w:rFonts w:hint="eastAsia" w:ascii="宋体" w:hAnsi="宋体"/>
          <w:color w:val="auto"/>
          <w:spacing w:val="0"/>
          <w:position w:val="0"/>
          <w:szCs w:val="21"/>
          <w:highlight w:val="none"/>
          <w:lang w:eastAsia="zh-CN"/>
        </w:rPr>
        <w:t>广西政府采购云平台</w:t>
      </w:r>
      <w:r>
        <w:rPr>
          <w:rFonts w:hint="eastAsia" w:ascii="宋体" w:hAnsi="宋体"/>
          <w:color w:val="auto"/>
          <w:spacing w:val="0"/>
          <w:position w:val="0"/>
          <w:szCs w:val="21"/>
          <w:highlight w:val="none"/>
        </w:rPr>
        <w:t>技术支持热线咨询</w:t>
      </w:r>
      <w:r>
        <w:rPr>
          <w:rFonts w:hint="eastAsia" w:ascii="宋体" w:hAnsi="宋体" w:cs="宋体"/>
          <w:color w:val="auto"/>
          <w:spacing w:val="0"/>
          <w:position w:val="0"/>
          <w:szCs w:val="21"/>
          <w:highlight w:val="none"/>
        </w:rPr>
        <w:t>：</w:t>
      </w:r>
      <w:r>
        <w:rPr>
          <w:rFonts w:hint="eastAsia" w:ascii="宋体" w:hAnsi="宋体" w:cs="宋体"/>
          <w:color w:val="auto"/>
          <w:spacing w:val="0"/>
          <w:kern w:val="0"/>
          <w:position w:val="0"/>
          <w:szCs w:val="21"/>
          <w:highlight w:val="none"/>
        </w:rPr>
        <w:t>95763</w:t>
      </w:r>
      <w:r>
        <w:rPr>
          <w:rFonts w:hint="eastAsia" w:ascii="宋体"/>
          <w:color w:val="auto"/>
          <w:spacing w:val="0"/>
          <w:position w:val="0"/>
          <w:szCs w:val="21"/>
          <w:highlight w:val="none"/>
        </w:rPr>
        <w:t>。</w:t>
      </w:r>
    </w:p>
    <w:p w14:paraId="2342CC25">
      <w:pPr>
        <w:pageBreakBefore w:val="0"/>
        <w:kinsoku/>
        <w:wordWrap/>
        <w:overflowPunct/>
        <w:topLinePunct w:val="0"/>
        <w:autoSpaceDE/>
        <w:autoSpaceDN/>
        <w:bidi w:val="0"/>
        <w:adjustRightInd/>
        <w:spacing w:line="360" w:lineRule="auto"/>
        <w:ind w:left="0" w:leftChars="0" w:firstLine="420" w:firstLineChars="200"/>
        <w:jc w:val="left"/>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（1）供应商应及时熟悉掌握电子</w:t>
      </w:r>
      <w:r>
        <w:rPr>
          <w:rFonts w:hint="eastAsia" w:ascii="宋体" w:hAnsi="宋体" w:cs="宋体"/>
          <w:color w:val="auto"/>
          <w:spacing w:val="0"/>
          <w:position w:val="0"/>
          <w:szCs w:val="21"/>
          <w:highlight w:val="none"/>
          <w:lang w:val="en-US" w:eastAsia="zh-CN"/>
        </w:rPr>
        <w:t>招</w:t>
      </w:r>
      <w:r>
        <w:rPr>
          <w:rFonts w:hint="eastAsia" w:ascii="宋体" w:hAnsi="宋体" w:cs="宋体"/>
          <w:color w:val="auto"/>
          <w:spacing w:val="0"/>
          <w:position w:val="0"/>
          <w:szCs w:val="21"/>
          <w:highlight w:val="none"/>
        </w:rPr>
        <w:t>标系统操作指南（见</w:t>
      </w:r>
      <w:r>
        <w:rPr>
          <w:rFonts w:hint="eastAsia" w:ascii="宋体" w:hAnsi="宋体" w:cs="宋体"/>
          <w:color w:val="auto"/>
          <w:spacing w:val="0"/>
          <w:position w:val="0"/>
          <w:szCs w:val="21"/>
          <w:highlight w:val="none"/>
          <w:lang w:eastAsia="zh-CN"/>
        </w:rPr>
        <w:t>广西政府采购云平台电子卖场</w:t>
      </w:r>
      <w:r>
        <w:rPr>
          <w:rFonts w:hint="eastAsia" w:ascii="宋体" w:hAnsi="宋体" w:cs="宋体"/>
          <w:color w:val="auto"/>
          <w:spacing w:val="0"/>
          <w:position w:val="0"/>
          <w:szCs w:val="21"/>
          <w:highlight w:val="none"/>
        </w:rPr>
        <w:t>首页右上角—服务中心—帮助</w:t>
      </w:r>
      <w:r>
        <w:rPr>
          <w:rFonts w:hint="eastAsia" w:ascii="宋体" w:hAnsi="宋体" w:cs="宋体"/>
          <w:color w:val="auto"/>
          <w:spacing w:val="0"/>
          <w:position w:val="0"/>
          <w:szCs w:val="21"/>
          <w:highlight w:val="none"/>
          <w:lang w:eastAsia="zh-CN"/>
        </w:rPr>
        <w:t>文档</w:t>
      </w:r>
      <w:r>
        <w:rPr>
          <w:rFonts w:hint="eastAsia" w:ascii="宋体" w:hAnsi="宋体" w:cs="宋体"/>
          <w:color w:val="auto"/>
          <w:spacing w:val="0"/>
          <w:position w:val="0"/>
          <w:szCs w:val="21"/>
          <w:highlight w:val="none"/>
        </w:rPr>
        <w:t>—项目采购）：https</w:t>
      </w:r>
      <w:r>
        <w:rPr>
          <w:rFonts w:hint="eastAsia" w:ascii="宋体" w:hAnsi="宋体" w:cs="宋体"/>
          <w:color w:val="auto"/>
          <w:spacing w:val="0"/>
          <w:position w:val="0"/>
          <w:szCs w:val="21"/>
          <w:highlight w:val="none"/>
          <w:lang w:eastAsia="zh-CN"/>
        </w:rPr>
        <w:t>：</w:t>
      </w:r>
      <w:r>
        <w:rPr>
          <w:rFonts w:hint="eastAsia" w:ascii="宋体" w:hAnsi="宋体" w:cs="宋体"/>
          <w:color w:val="auto"/>
          <w:spacing w:val="0"/>
          <w:position w:val="0"/>
          <w:szCs w:val="21"/>
          <w:highlight w:val="none"/>
        </w:rPr>
        <w:t>//service.zcygov.cn/#/knowledges/tree?tag=AG1DtGwBFdiHxlNdhY0r。</w:t>
      </w:r>
    </w:p>
    <w:p w14:paraId="583EB1CB">
      <w:pPr>
        <w:pageBreakBefore w:val="0"/>
        <w:kinsoku/>
        <w:wordWrap/>
        <w:overflowPunct/>
        <w:topLinePunct w:val="0"/>
        <w:autoSpaceDE/>
        <w:autoSpaceDN/>
        <w:bidi w:val="0"/>
        <w:adjustRightInd/>
        <w:spacing w:line="360" w:lineRule="auto"/>
        <w:ind w:left="0" w:leftChars="0" w:firstLine="420" w:firstLineChars="200"/>
        <w:jc w:val="left"/>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（2）供应商应及时完成</w:t>
      </w:r>
      <w:r>
        <w:rPr>
          <w:rFonts w:hint="eastAsia" w:ascii="宋体" w:hAnsi="宋体" w:cs="宋体"/>
          <w:color w:val="auto"/>
          <w:spacing w:val="0"/>
          <w:position w:val="0"/>
          <w:szCs w:val="21"/>
          <w:highlight w:val="none"/>
          <w:lang w:eastAsia="zh-CN"/>
        </w:rPr>
        <w:t>广西政府采购云平台</w:t>
      </w:r>
      <w:r>
        <w:rPr>
          <w:rFonts w:hint="eastAsia" w:ascii="宋体" w:hAnsi="宋体" w:cs="宋体"/>
          <w:color w:val="auto"/>
          <w:spacing w:val="0"/>
          <w:position w:val="0"/>
          <w:szCs w:val="21"/>
          <w:highlight w:val="none"/>
        </w:rPr>
        <w:t>供应商注册入驻和办理</w:t>
      </w:r>
      <w:r>
        <w:rPr>
          <w:rFonts w:hint="eastAsia" w:ascii="宋体" w:hAnsi="宋体" w:cs="宋体"/>
          <w:color w:val="auto"/>
          <w:spacing w:val="0"/>
          <w:position w:val="0"/>
          <w:szCs w:val="21"/>
          <w:highlight w:val="none"/>
          <w:lang w:eastAsia="zh-CN"/>
        </w:rPr>
        <w:t>广西政府采购云平台</w:t>
      </w:r>
      <w:r>
        <w:rPr>
          <w:rFonts w:hint="eastAsia" w:ascii="宋体" w:hAnsi="宋体" w:cs="宋体"/>
          <w:color w:val="auto"/>
          <w:spacing w:val="0"/>
          <w:position w:val="0"/>
          <w:szCs w:val="21"/>
          <w:highlight w:val="none"/>
        </w:rPr>
        <w:t>CA证书申领和绑定（</w:t>
      </w:r>
      <w:r>
        <w:rPr>
          <w:rFonts w:hint="eastAsia" w:ascii="宋体" w:hAnsi="宋体" w:cs="宋体"/>
          <w:color w:val="auto"/>
          <w:spacing w:val="0"/>
          <w:position w:val="0"/>
          <w:szCs w:val="21"/>
          <w:highlight w:val="none"/>
          <w:lang w:val="en-US" w:eastAsia="zh-CN"/>
        </w:rPr>
        <w:t>详</w:t>
      </w:r>
      <w:r>
        <w:rPr>
          <w:rFonts w:hint="eastAsia" w:ascii="宋体" w:hAnsi="宋体" w:cs="宋体"/>
          <w:color w:val="auto"/>
          <w:spacing w:val="0"/>
          <w:position w:val="0"/>
          <w:szCs w:val="21"/>
          <w:highlight w:val="none"/>
        </w:rPr>
        <w:t>见广西壮族自治区政府采购网—办事服务—下载专区-CA证书申请操作指南</w:t>
      </w:r>
      <w:r>
        <w:rPr>
          <w:rFonts w:hint="eastAsia" w:ascii="宋体" w:hAnsi="宋体" w:cs="宋体"/>
          <w:color w:val="auto"/>
          <w:spacing w:val="0"/>
          <w:position w:val="0"/>
          <w:szCs w:val="21"/>
          <w:highlight w:val="none"/>
          <w:lang w:eastAsia="zh-CN"/>
        </w:rPr>
        <w:t>或广西政采云西部CA办理方式</w:t>
      </w:r>
      <w:r>
        <w:rPr>
          <w:rFonts w:hint="eastAsia" w:ascii="宋体" w:hAnsi="宋体" w:cs="宋体"/>
          <w:color w:val="auto"/>
          <w:spacing w:val="0"/>
          <w:position w:val="0"/>
          <w:szCs w:val="21"/>
          <w:highlight w:val="none"/>
        </w:rPr>
        <w:t>）。</w:t>
      </w:r>
    </w:p>
    <w:p w14:paraId="2D5BEB4E">
      <w:pPr>
        <w:pageBreakBefore w:val="0"/>
        <w:kinsoku/>
        <w:wordWrap/>
        <w:overflowPunct/>
        <w:topLinePunct w:val="0"/>
        <w:autoSpaceDE/>
        <w:autoSpaceDN/>
        <w:bidi w:val="0"/>
        <w:adjustRightInd/>
        <w:spacing w:line="360" w:lineRule="auto"/>
        <w:ind w:left="0" w:leftChars="0" w:firstLine="420" w:firstLineChars="200"/>
        <w:jc w:val="left"/>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（3）供应商须通过</w:t>
      </w:r>
      <w:r>
        <w:rPr>
          <w:rFonts w:hint="eastAsia" w:ascii="宋体" w:hAnsi="宋体" w:cs="宋体"/>
          <w:color w:val="auto"/>
          <w:spacing w:val="0"/>
          <w:position w:val="0"/>
          <w:szCs w:val="21"/>
          <w:highlight w:val="none"/>
          <w:lang w:eastAsia="zh-CN"/>
        </w:rPr>
        <w:t>广西政府采购云平台</w:t>
      </w:r>
      <w:r>
        <w:rPr>
          <w:rFonts w:hint="eastAsia" w:ascii="宋体" w:hAnsi="宋体" w:cs="宋体"/>
          <w:color w:val="auto"/>
          <w:spacing w:val="0"/>
          <w:position w:val="0"/>
          <w:szCs w:val="21"/>
          <w:highlight w:val="none"/>
        </w:rPr>
        <w:t>供应商客户端软件制作电子响应文件，</w:t>
      </w:r>
      <w:r>
        <w:rPr>
          <w:rFonts w:hint="eastAsia" w:ascii="宋体" w:hAnsi="宋体" w:cs="宋体"/>
          <w:color w:val="auto"/>
          <w:spacing w:val="0"/>
          <w:position w:val="0"/>
          <w:szCs w:val="21"/>
          <w:highlight w:val="none"/>
          <w:lang w:eastAsia="zh-CN"/>
        </w:rPr>
        <w:t>广西政府采购云平台</w:t>
      </w:r>
      <w:r>
        <w:rPr>
          <w:rFonts w:hint="eastAsia" w:ascii="宋体" w:hAnsi="宋体" w:cs="宋体"/>
          <w:color w:val="auto"/>
          <w:spacing w:val="0"/>
          <w:position w:val="0"/>
          <w:szCs w:val="21"/>
          <w:highlight w:val="none"/>
        </w:rPr>
        <w:t>供应商客户端软件请供应商自行前往下载并安装（</w:t>
      </w:r>
      <w:r>
        <w:rPr>
          <w:rFonts w:hint="eastAsia" w:ascii="宋体" w:hAnsi="宋体" w:cs="宋体"/>
          <w:color w:val="auto"/>
          <w:spacing w:val="0"/>
          <w:kern w:val="0"/>
          <w:position w:val="0"/>
          <w:szCs w:val="21"/>
          <w:highlight w:val="none"/>
          <w:lang w:val="en-US" w:eastAsia="zh-CN"/>
        </w:rPr>
        <w:t>客户端下载路径：广西政府采购网（访问地址http：//zfcg.gxzf.gov.cn/）—办事服务—下载专区-广西政府采购云平台新版客户端</w:t>
      </w:r>
      <w:r>
        <w:rPr>
          <w:rFonts w:hint="eastAsia" w:ascii="宋体" w:hAnsi="宋体" w:cs="宋体"/>
          <w:color w:val="auto"/>
          <w:spacing w:val="0"/>
          <w:position w:val="0"/>
          <w:szCs w:val="21"/>
          <w:highlight w:val="none"/>
        </w:rPr>
        <w:t>）。</w:t>
      </w:r>
    </w:p>
    <w:p w14:paraId="1B33A337">
      <w:pPr>
        <w:pageBreakBefore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2.本项目需要落实的政府采购政策</w:t>
      </w:r>
    </w:p>
    <w:p w14:paraId="6D5B73F6">
      <w:pPr>
        <w:pageBreakBefore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（1）政府采购促进中小企业发展。</w:t>
      </w:r>
    </w:p>
    <w:p w14:paraId="173374D4">
      <w:pPr>
        <w:pageBreakBefore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（2）政府采购支持采用本国产品的政策。</w:t>
      </w:r>
    </w:p>
    <w:p w14:paraId="24B77D07">
      <w:pPr>
        <w:pageBreakBefore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（3）强制采购节能产品；优先采购节能产品、环境标志产品。</w:t>
      </w:r>
    </w:p>
    <w:p w14:paraId="36432A57">
      <w:pPr>
        <w:pageBreakBefore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cs="宋体"/>
          <w:color w:val="auto"/>
          <w:spacing w:val="0"/>
          <w:position w:val="0"/>
          <w:szCs w:val="21"/>
          <w:highlight w:val="none"/>
        </w:rPr>
        <w:t>（4）政府采购促</w:t>
      </w:r>
      <w:r>
        <w:rPr>
          <w:rFonts w:hint="eastAsia" w:ascii="宋体" w:hAnsi="宋体" w:eastAsia="宋体" w:cs="宋体"/>
          <w:color w:val="auto"/>
          <w:spacing w:val="0"/>
          <w:position w:val="0"/>
          <w:szCs w:val="21"/>
          <w:highlight w:val="none"/>
        </w:rPr>
        <w:t>进残疾人就业政策。</w:t>
      </w:r>
    </w:p>
    <w:p w14:paraId="47982C4A">
      <w:pPr>
        <w:pageBreakBefore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（5）政府采购支持监狱企业发展。</w:t>
      </w:r>
    </w:p>
    <w:p w14:paraId="348C3ED7">
      <w:pPr>
        <w:pageBreakBefore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3.网上查询地址</w:t>
      </w:r>
    </w:p>
    <w:p w14:paraId="0B6B939D">
      <w:pPr>
        <w:keepNext w:val="0"/>
        <w:keepLines w:val="0"/>
        <w:pageBreakBefore w:val="0"/>
        <w:widowControl w:val="0"/>
        <w:shd w:val="clear"/>
        <w:kinsoku/>
        <w:wordWrap/>
        <w:overflowPunct/>
        <w:topLinePunct w:val="0"/>
        <w:autoSpaceDE/>
        <w:autoSpaceDN/>
        <w:bidi w:val="0"/>
        <w:adjustRightInd/>
        <w:snapToGrid/>
        <w:spacing w:line="360" w:lineRule="auto"/>
        <w:ind w:left="420" w:leftChars="200" w:firstLine="0" w:firstLineChars="0"/>
        <w:jc w:val="left"/>
        <w:textAlignment w:val="auto"/>
        <w:rPr>
          <w:rFonts w:hint="eastAsia" w:ascii="宋体" w:hAnsi="宋体" w:cs="宋体"/>
          <w:color w:val="auto"/>
          <w:kern w:val="0"/>
          <w:szCs w:val="21"/>
          <w:highlight w:val="none"/>
          <w:lang w:eastAsia="zh-CN"/>
        </w:rPr>
      </w:pPr>
      <w:r>
        <w:rPr>
          <w:rFonts w:hint="eastAsia" w:ascii="宋体" w:hAnsi="宋体" w:cs="宋体"/>
          <w:color w:val="auto"/>
          <w:kern w:val="0"/>
          <w:szCs w:val="21"/>
          <w:highlight w:val="none"/>
          <w:lang w:eastAsia="zh-CN"/>
        </w:rPr>
        <w:fldChar w:fldCharType="begin"/>
      </w:r>
      <w:r>
        <w:rPr>
          <w:rFonts w:hint="eastAsia" w:ascii="宋体" w:hAnsi="宋体" w:cs="宋体"/>
          <w:color w:val="auto"/>
          <w:kern w:val="0"/>
          <w:szCs w:val="21"/>
          <w:highlight w:val="none"/>
          <w:lang w:eastAsia="zh-CN"/>
        </w:rPr>
        <w:instrText xml:space="preserve"> HYPERLINK "http://zfcg.gxzf.gov.cn/（广西壮族自治区政府采购网）、http:/ggzy.jgswj.gxzf.gov.cn/pbggzy/全国公共资源交易平台（广西•浦北）、http:/ggzy.jgswj.gxzf.gov.cn/qzggzy/全国公共资源交易平台（广西•钦州）、http:/www.gxpb.gov.cn/zwgk/（浦北县人民政府网）" </w:instrText>
      </w:r>
      <w:r>
        <w:rPr>
          <w:rFonts w:hint="eastAsia" w:ascii="宋体" w:hAnsi="宋体" w:cs="宋体"/>
          <w:color w:val="auto"/>
          <w:kern w:val="0"/>
          <w:szCs w:val="21"/>
          <w:highlight w:val="none"/>
          <w:lang w:eastAsia="zh-CN"/>
        </w:rPr>
        <w:fldChar w:fldCharType="separate"/>
      </w:r>
      <w:r>
        <w:rPr>
          <w:rFonts w:hint="eastAsia" w:ascii="宋体" w:hAnsi="宋体" w:cs="宋体"/>
          <w:color w:val="auto"/>
          <w:kern w:val="0"/>
          <w:szCs w:val="21"/>
          <w:highlight w:val="none"/>
          <w:lang w:eastAsia="zh-CN"/>
        </w:rPr>
        <w:t>http://zfcg.gxzf.gov.cn/（广西壮族自治区政府采购网）、http://ggzy.jgswj.gxzf.gov.cn/pbggzy/</w:t>
      </w:r>
      <w:r>
        <w:rPr>
          <w:rFonts w:hint="eastAsia" w:ascii="宋体" w:hAnsi="宋体" w:cs="宋体"/>
          <w:color w:val="auto"/>
          <w:kern w:val="0"/>
          <w:szCs w:val="21"/>
          <w:highlight w:val="none"/>
          <w:lang w:val="zh-CN" w:eastAsia="zh-CN"/>
        </w:rPr>
        <w:t>全国公共资源交易平台</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zh-CN" w:eastAsia="zh-CN"/>
        </w:rPr>
        <w:t>广西</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zh-CN" w:eastAsia="zh-CN"/>
        </w:rPr>
        <w:t>浦北</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zh-CN" w:eastAsia="zh-CN"/>
        </w:rPr>
        <w:t>、</w:t>
      </w:r>
      <w:r>
        <w:rPr>
          <w:rFonts w:hint="eastAsia" w:ascii="宋体" w:hAnsi="宋体" w:cs="宋体"/>
          <w:color w:val="auto"/>
          <w:kern w:val="0"/>
          <w:szCs w:val="21"/>
          <w:highlight w:val="none"/>
          <w:lang w:eastAsia="zh-CN"/>
        </w:rPr>
        <w:t>http://ggzy.jgswj.gxzf.gov.cn/qzggzy/</w:t>
      </w:r>
      <w:r>
        <w:rPr>
          <w:rFonts w:hint="eastAsia" w:ascii="宋体" w:hAnsi="宋体" w:cs="宋体"/>
          <w:color w:val="auto"/>
          <w:kern w:val="0"/>
          <w:szCs w:val="21"/>
          <w:highlight w:val="none"/>
          <w:lang w:val="zh-CN" w:eastAsia="zh-CN"/>
        </w:rPr>
        <w:t>全国公共资源交易平台</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zh-CN" w:eastAsia="zh-CN"/>
        </w:rPr>
        <w:t>广西</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zh-CN" w:eastAsia="zh-CN"/>
        </w:rPr>
        <w:t>钦州</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eastAsia="zh-CN"/>
        </w:rPr>
        <w:fldChar w:fldCharType="end"/>
      </w:r>
      <w:r>
        <w:rPr>
          <w:rFonts w:hint="eastAsia" w:ascii="宋体" w:hAnsi="宋体" w:cs="宋体"/>
          <w:color w:val="auto"/>
          <w:kern w:val="0"/>
          <w:szCs w:val="21"/>
          <w:highlight w:val="none"/>
          <w:lang w:eastAsia="zh-CN"/>
        </w:rPr>
        <w:t>、</w:t>
      </w:r>
    </w:p>
    <w:p w14:paraId="5B512E2D">
      <w:pPr>
        <w:pageBreakBefore w:val="0"/>
        <w:widowControl/>
        <w:kinsoku/>
        <w:wordWrap/>
        <w:overflowPunct/>
        <w:topLinePunct w:val="0"/>
        <w:autoSpaceDE/>
        <w:autoSpaceDN/>
        <w:bidi w:val="0"/>
        <w:adjustRightInd/>
        <w:spacing w:line="360" w:lineRule="auto"/>
        <w:ind w:left="0" w:leftChars="0" w:firstLine="420" w:firstLineChars="200"/>
        <w:jc w:val="left"/>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4.</w:t>
      </w:r>
      <w:r>
        <w:rPr>
          <w:rFonts w:hint="eastAsia" w:ascii="宋体" w:hAnsi="宋体" w:cs="宋体"/>
          <w:color w:val="auto"/>
          <w:spacing w:val="0"/>
          <w:position w:val="0"/>
          <w:szCs w:val="21"/>
          <w:highlight w:val="none"/>
          <w:lang w:bidi="ar"/>
        </w:rPr>
        <w:t>监督部门：浦北县政府采购监督管理办公室   联系电话：0777-8314622</w:t>
      </w:r>
    </w:p>
    <w:p w14:paraId="33430E99">
      <w:pPr>
        <w:pStyle w:val="3"/>
        <w:pageBreakBefore w:val="0"/>
        <w:widowControl w:val="0"/>
        <w:kinsoku/>
        <w:wordWrap/>
        <w:overflowPunct/>
        <w:topLinePunct w:val="0"/>
        <w:autoSpaceDE/>
        <w:autoSpaceDN/>
        <w:bidi w:val="0"/>
        <w:adjustRightInd/>
        <w:spacing w:line="360" w:lineRule="auto"/>
        <w:ind w:left="0" w:leftChars="0" w:firstLine="422" w:firstLineChars="200"/>
        <w:textAlignment w:val="auto"/>
        <w:outlineLvl w:val="0"/>
        <w:rPr>
          <w:rFonts w:hint="eastAsia" w:ascii="宋体" w:hAnsi="宋体" w:eastAsia="宋体" w:cs="宋体"/>
          <w:bCs w:val="0"/>
          <w:color w:val="auto"/>
          <w:spacing w:val="0"/>
          <w:position w:val="0"/>
          <w:sz w:val="21"/>
          <w:szCs w:val="21"/>
          <w:highlight w:val="none"/>
        </w:rPr>
      </w:pPr>
      <w:bookmarkStart w:id="47" w:name="_Toc227"/>
      <w:bookmarkStart w:id="48" w:name="_Toc23726"/>
      <w:r>
        <w:rPr>
          <w:rFonts w:hint="eastAsia" w:ascii="宋体" w:hAnsi="宋体" w:eastAsia="宋体" w:cs="宋体"/>
          <w:bCs w:val="0"/>
          <w:color w:val="auto"/>
          <w:spacing w:val="0"/>
          <w:position w:val="0"/>
          <w:sz w:val="21"/>
          <w:szCs w:val="21"/>
          <w:highlight w:val="none"/>
        </w:rPr>
        <w:t>八、凡对本次采购提出询问，请按以下方式联系</w:t>
      </w:r>
      <w:bookmarkEnd w:id="43"/>
      <w:bookmarkEnd w:id="44"/>
      <w:bookmarkEnd w:id="45"/>
      <w:bookmarkEnd w:id="46"/>
      <w:bookmarkEnd w:id="47"/>
      <w:bookmarkEnd w:id="48"/>
    </w:p>
    <w:p w14:paraId="7CE6F8FD">
      <w:pPr>
        <w:pStyle w:val="3"/>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pPr>
      <w:bookmarkStart w:id="49" w:name="_Toc35393637"/>
      <w:bookmarkStart w:id="50" w:name="_Toc35393806"/>
      <w:bookmarkStart w:id="51" w:name="_Toc28359096"/>
      <w:bookmarkStart w:id="52" w:name="_Toc28359019"/>
      <w:r>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t>1.采购人信息</w:t>
      </w:r>
      <w:bookmarkEnd w:id="49"/>
      <w:bookmarkEnd w:id="50"/>
      <w:bookmarkEnd w:id="51"/>
      <w:bookmarkEnd w:id="52"/>
    </w:p>
    <w:p w14:paraId="499B9364">
      <w:pPr>
        <w:pageBreakBefore w:val="0"/>
        <w:widowControl w:val="0"/>
        <w:kinsoku/>
        <w:wordWrap/>
        <w:overflowPunct/>
        <w:topLinePunct w:val="0"/>
        <w:autoSpaceDE/>
        <w:autoSpaceDN/>
        <w:bidi w:val="0"/>
        <w:adjustRightInd/>
        <w:spacing w:line="360" w:lineRule="auto"/>
        <w:ind w:left="0" w:leftChars="0" w:firstLine="420" w:firstLineChars="200"/>
        <w:jc w:val="left"/>
        <w:textAlignment w:val="auto"/>
        <w:rPr>
          <w:rFonts w:hint="default" w:asciiTheme="minorEastAsia" w:hAnsiTheme="minorEastAsia" w:eastAsiaTheme="minorEastAsia" w:cstheme="minorEastAsia"/>
          <w:b w:val="0"/>
          <w:bCs w:val="0"/>
          <w:color w:val="auto"/>
          <w:spacing w:val="0"/>
          <w:kern w:val="0"/>
          <w:position w:val="0"/>
          <w:sz w:val="21"/>
          <w:szCs w:val="21"/>
          <w:highlight w:val="none"/>
          <w:lang w:val="en-US" w:eastAsia="zh-CN" w:bidi="ar-SA"/>
        </w:rPr>
      </w:pPr>
      <w:r>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t>名    称：中国共产党浦北县委员会统一战线工作部</w:t>
      </w:r>
    </w:p>
    <w:p w14:paraId="26CB9FA4">
      <w:pPr>
        <w:pageBreakBefore w:val="0"/>
        <w:widowControl w:val="0"/>
        <w:kinsoku/>
        <w:wordWrap/>
        <w:overflowPunct/>
        <w:topLinePunct w:val="0"/>
        <w:autoSpaceDE/>
        <w:autoSpaceDN/>
        <w:bidi w:val="0"/>
        <w:adjustRightInd/>
        <w:spacing w:line="360" w:lineRule="auto"/>
        <w:ind w:left="0" w:leftChars="0" w:firstLine="420" w:firstLineChars="200"/>
        <w:jc w:val="left"/>
        <w:textAlignment w:val="auto"/>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pPr>
      <w:r>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t>地    址：浦北县投资大厦七楼   </w:t>
      </w:r>
    </w:p>
    <w:p w14:paraId="52C11910">
      <w:pPr>
        <w:pageBreakBefore w:val="0"/>
        <w:widowControl w:val="0"/>
        <w:kinsoku/>
        <w:wordWrap/>
        <w:overflowPunct/>
        <w:topLinePunct w:val="0"/>
        <w:autoSpaceDE/>
        <w:autoSpaceDN/>
        <w:bidi w:val="0"/>
        <w:adjustRightInd/>
        <w:spacing w:line="360" w:lineRule="auto"/>
        <w:ind w:left="0" w:leftChars="0" w:firstLine="420" w:firstLineChars="200"/>
        <w:jc w:val="left"/>
        <w:textAlignment w:val="auto"/>
        <w:rPr>
          <w:rFonts w:hint="default" w:asciiTheme="minorEastAsia" w:hAnsiTheme="minorEastAsia" w:eastAsiaTheme="minorEastAsia" w:cstheme="minorEastAsia"/>
          <w:b w:val="0"/>
          <w:bCs w:val="0"/>
          <w:color w:val="auto"/>
          <w:spacing w:val="0"/>
          <w:kern w:val="0"/>
          <w:position w:val="0"/>
          <w:sz w:val="21"/>
          <w:szCs w:val="21"/>
          <w:highlight w:val="none"/>
          <w:lang w:val="en-US" w:eastAsia="zh-CN" w:bidi="ar-SA"/>
        </w:rPr>
      </w:pPr>
      <w:r>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t>项目联系人：刘工</w:t>
      </w:r>
    </w:p>
    <w:p w14:paraId="65BCE368">
      <w:pPr>
        <w:pageBreakBefore w:val="0"/>
        <w:widowControl w:val="0"/>
        <w:kinsoku/>
        <w:wordWrap/>
        <w:overflowPunct/>
        <w:topLinePunct w:val="0"/>
        <w:autoSpaceDE/>
        <w:autoSpaceDN/>
        <w:bidi w:val="0"/>
        <w:adjustRightInd/>
        <w:spacing w:line="360" w:lineRule="auto"/>
        <w:ind w:left="0" w:leftChars="0" w:firstLine="420" w:firstLineChars="200"/>
        <w:jc w:val="left"/>
        <w:textAlignment w:val="auto"/>
        <w:rPr>
          <w:rFonts w:hint="default" w:asciiTheme="minorEastAsia" w:hAnsiTheme="minorEastAsia" w:eastAsiaTheme="minorEastAsia" w:cstheme="minorEastAsia"/>
          <w:b w:val="0"/>
          <w:bCs w:val="0"/>
          <w:color w:val="auto"/>
          <w:spacing w:val="0"/>
          <w:kern w:val="0"/>
          <w:position w:val="0"/>
          <w:sz w:val="21"/>
          <w:szCs w:val="21"/>
          <w:highlight w:val="none"/>
          <w:lang w:val="en-US" w:eastAsia="zh-CN" w:bidi="ar-SA"/>
        </w:rPr>
      </w:pPr>
      <w:r>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t xml:space="preserve">项目联系方式：0777-8212876 </w:t>
      </w:r>
    </w:p>
    <w:p w14:paraId="1B682B77">
      <w:pPr>
        <w:pStyle w:val="3"/>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pPr>
      <w:bookmarkStart w:id="53" w:name="_Toc28359097"/>
      <w:bookmarkStart w:id="54" w:name="_Toc35393807"/>
      <w:bookmarkStart w:id="55" w:name="_Toc35393638"/>
      <w:bookmarkStart w:id="56" w:name="_Toc28359020"/>
      <w:r>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t>2.采购代理机构信息</w:t>
      </w:r>
      <w:bookmarkEnd w:id="53"/>
      <w:bookmarkEnd w:id="54"/>
      <w:bookmarkEnd w:id="55"/>
      <w:bookmarkEnd w:id="56"/>
    </w:p>
    <w:p w14:paraId="242B7010">
      <w:pPr>
        <w:pageBreakBefore w:val="0"/>
        <w:widowControl w:val="0"/>
        <w:kinsoku/>
        <w:wordWrap/>
        <w:overflowPunct/>
        <w:topLinePunct w:val="0"/>
        <w:bidi w:val="0"/>
        <w:adjustRightInd/>
        <w:spacing w:line="360" w:lineRule="auto"/>
        <w:ind w:firstLine="420" w:firstLineChars="200"/>
        <w:textAlignment w:val="auto"/>
        <w:rPr>
          <w:rFonts w:hint="eastAsia" w:asciiTheme="minorEastAsia" w:hAnsiTheme="minorEastAsia" w:eastAsiaTheme="minorEastAsia" w:cstheme="minorEastAsia"/>
          <w:b w:val="0"/>
          <w:bCs w:val="0"/>
          <w:color w:val="auto"/>
          <w:kern w:val="0"/>
          <w:sz w:val="21"/>
          <w:szCs w:val="21"/>
          <w:highlight w:val="none"/>
          <w:lang w:val="en-US" w:eastAsia="zh-CN" w:bidi="ar-SA"/>
        </w:rPr>
      </w:pPr>
      <w:r>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t>名    称：</w:t>
      </w:r>
      <w:r>
        <w:rPr>
          <w:rFonts w:hint="eastAsia" w:asciiTheme="minorEastAsia" w:hAnsiTheme="minorEastAsia" w:eastAsiaTheme="minorEastAsia" w:cstheme="minorEastAsia"/>
          <w:b w:val="0"/>
          <w:bCs w:val="0"/>
          <w:color w:val="auto"/>
          <w:kern w:val="0"/>
          <w:sz w:val="21"/>
          <w:szCs w:val="21"/>
          <w:highlight w:val="none"/>
          <w:lang w:val="en-US" w:eastAsia="zh-CN" w:bidi="ar-SA"/>
        </w:rPr>
        <w:t>广西华诚达建设项目管理有限公司　</w:t>
      </w:r>
    </w:p>
    <w:p w14:paraId="526A7807">
      <w:pPr>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pPr>
      <w:r>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t>地　　址：</w:t>
      </w:r>
      <w:bookmarkStart w:id="57" w:name="_Toc28359098"/>
      <w:bookmarkStart w:id="58" w:name="_Toc28359021"/>
      <w:bookmarkStart w:id="59" w:name="_Toc35393808"/>
      <w:bookmarkStart w:id="60" w:name="_Toc35393639"/>
      <w:r>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t>浦北县晨华广场64栋-111号（二楼）         </w:t>
      </w:r>
    </w:p>
    <w:p w14:paraId="5B75B05D">
      <w:pPr>
        <w:pageBreakBefore w:val="0"/>
        <w:widowControl w:val="0"/>
        <w:kinsoku/>
        <w:wordWrap/>
        <w:overflowPunct/>
        <w:topLinePunct w:val="0"/>
        <w:autoSpaceDE/>
        <w:autoSpaceDN/>
        <w:bidi w:val="0"/>
        <w:adjustRightInd/>
        <w:spacing w:line="360" w:lineRule="auto"/>
        <w:ind w:firstLine="420" w:firstLineChars="200"/>
        <w:textAlignment w:val="auto"/>
        <w:rPr>
          <w:rFonts w:hint="default" w:asciiTheme="minorEastAsia" w:hAnsiTheme="minorEastAsia" w:eastAsiaTheme="minorEastAsia" w:cstheme="minorEastAsia"/>
          <w:b w:val="0"/>
          <w:bCs w:val="0"/>
          <w:color w:val="auto"/>
          <w:spacing w:val="0"/>
          <w:kern w:val="0"/>
          <w:position w:val="0"/>
          <w:sz w:val="21"/>
          <w:szCs w:val="21"/>
          <w:highlight w:val="none"/>
          <w:lang w:val="en-US" w:eastAsia="zh-CN" w:bidi="ar-SA"/>
        </w:rPr>
      </w:pPr>
      <w:r>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t>项目联系人：陈敏</w:t>
      </w:r>
    </w:p>
    <w:p w14:paraId="72473EEB">
      <w:pPr>
        <w:pStyle w:val="3"/>
        <w:pageBreakBefore w:val="0"/>
        <w:widowControl w:val="0"/>
        <w:kinsoku/>
        <w:wordWrap/>
        <w:overflowPunct/>
        <w:topLinePunct w:val="0"/>
        <w:bidi w:val="0"/>
        <w:adjustRightInd/>
        <w:spacing w:line="360" w:lineRule="auto"/>
        <w:ind w:firstLine="420" w:firstLineChars="200"/>
        <w:textAlignment w:val="auto"/>
        <w:rPr>
          <w:rFonts w:hint="default" w:asciiTheme="minorEastAsia" w:hAnsiTheme="minorEastAsia" w:eastAsiaTheme="minorEastAsia" w:cstheme="minorEastAsia"/>
          <w:b w:val="0"/>
          <w:bCs w:val="0"/>
          <w:color w:val="auto"/>
          <w:kern w:val="0"/>
          <w:sz w:val="21"/>
          <w:szCs w:val="21"/>
          <w:highlight w:val="none"/>
          <w:lang w:val="en-US" w:eastAsia="zh-CN" w:bidi="ar-SA"/>
        </w:rPr>
      </w:pPr>
      <w:r>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t>项目联系方式：</w:t>
      </w:r>
      <w:bookmarkEnd w:id="57"/>
      <w:bookmarkEnd w:id="58"/>
      <w:bookmarkEnd w:id="59"/>
      <w:bookmarkEnd w:id="60"/>
      <w:r>
        <w:rPr>
          <w:rFonts w:hint="eastAsia" w:asciiTheme="minorEastAsia" w:hAnsiTheme="minorEastAsia" w:eastAsiaTheme="minorEastAsia" w:cstheme="minorEastAsia"/>
          <w:b w:val="0"/>
          <w:bCs w:val="0"/>
          <w:color w:val="auto"/>
          <w:kern w:val="0"/>
          <w:sz w:val="21"/>
          <w:szCs w:val="21"/>
          <w:highlight w:val="none"/>
          <w:lang w:val="en-US" w:eastAsia="zh-CN" w:bidi="ar-SA"/>
        </w:rPr>
        <w:t>0777-8381599</w:t>
      </w:r>
    </w:p>
    <w:p w14:paraId="1FC3B803">
      <w:pPr>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default" w:asciiTheme="minorEastAsia" w:hAnsiTheme="minorEastAsia" w:eastAsiaTheme="minorEastAsia" w:cstheme="minorEastAsia"/>
          <w:b w:val="0"/>
          <w:bCs w:val="0"/>
          <w:color w:val="auto"/>
          <w:spacing w:val="0"/>
          <w:kern w:val="0"/>
          <w:position w:val="0"/>
          <w:sz w:val="21"/>
          <w:szCs w:val="21"/>
          <w:highlight w:val="none"/>
          <w:lang w:val="en-US" w:eastAsia="zh-CN" w:bidi="ar-SA"/>
        </w:rPr>
      </w:pPr>
    </w:p>
    <w:p w14:paraId="64102B44">
      <w:pPr>
        <w:pStyle w:val="39"/>
        <w:pageBreakBefore w:val="0"/>
        <w:numPr>
          <w:ilvl w:val="0"/>
          <w:numId w:val="0"/>
        </w:numPr>
        <w:kinsoku/>
        <w:wordWrap/>
        <w:overflowPunct/>
        <w:topLinePunct w:val="0"/>
        <w:bidi w:val="0"/>
        <w:spacing w:line="360" w:lineRule="auto"/>
        <w:textAlignment w:val="auto"/>
        <w:rPr>
          <w:rFonts w:hint="default"/>
          <w:color w:val="auto"/>
          <w:spacing w:val="0"/>
          <w:position w:val="0"/>
          <w:highlight w:val="none"/>
          <w:lang w:val="en-US" w:eastAsia="zh-CN"/>
        </w:rPr>
      </w:pPr>
    </w:p>
    <w:p w14:paraId="4A3D25BE">
      <w:pPr>
        <w:pageBreakBefore w:val="0"/>
        <w:kinsoku/>
        <w:wordWrap/>
        <w:overflowPunct/>
        <w:topLinePunct w:val="0"/>
        <w:bidi w:val="0"/>
        <w:spacing w:line="360" w:lineRule="auto"/>
        <w:textAlignment w:val="auto"/>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pPr>
    </w:p>
    <w:p w14:paraId="712BDA48">
      <w:pPr>
        <w:pageBreakBefore w:val="0"/>
        <w:kinsoku/>
        <w:wordWrap/>
        <w:overflowPunct/>
        <w:topLinePunct w:val="0"/>
        <w:bidi w:val="0"/>
        <w:spacing w:line="360" w:lineRule="auto"/>
        <w:ind w:firstLine="420" w:firstLineChars="200"/>
        <w:jc w:val="center"/>
        <w:textAlignment w:val="auto"/>
        <w:rPr>
          <w:rFonts w:hint="eastAsia" w:ascii="宋体" w:hAnsi="宋体" w:eastAsia="宋体" w:cs="宋体"/>
          <w:color w:val="auto"/>
          <w:spacing w:val="0"/>
          <w:position w:val="0"/>
          <w:highlight w:val="none"/>
          <w:lang w:eastAsia="zh-CN"/>
        </w:rPr>
      </w:pPr>
      <w:r>
        <w:rPr>
          <w:rFonts w:hint="eastAsia" w:ascii="宋体" w:hAnsi="宋体" w:cs="宋体"/>
          <w:color w:val="auto"/>
          <w:spacing w:val="0"/>
          <w:position w:val="0"/>
          <w:highlight w:val="none"/>
        </w:rPr>
        <w:t xml:space="preserve">                                                    </w:t>
      </w:r>
      <w:r>
        <w:rPr>
          <w:rFonts w:hint="eastAsia" w:asciiTheme="minorEastAsia" w:hAnsiTheme="minorEastAsia" w:eastAsiaTheme="minorEastAsia" w:cstheme="minorEastAsia"/>
          <w:b w:val="0"/>
          <w:bCs w:val="0"/>
          <w:color w:val="auto"/>
          <w:kern w:val="0"/>
          <w:sz w:val="21"/>
          <w:szCs w:val="21"/>
          <w:highlight w:val="none"/>
          <w:lang w:val="en-US" w:eastAsia="zh-CN" w:bidi="ar-SA"/>
        </w:rPr>
        <w:t>广西华诚达建设项目管理有限公司</w:t>
      </w:r>
    </w:p>
    <w:p w14:paraId="51D5F168">
      <w:pPr>
        <w:pStyle w:val="10"/>
        <w:pageBreakBefore w:val="0"/>
        <w:kinsoku/>
        <w:wordWrap/>
        <w:overflowPunct/>
        <w:topLinePunct w:val="0"/>
        <w:bidi w:val="0"/>
        <w:spacing w:after="0" w:line="360" w:lineRule="auto"/>
        <w:jc w:val="center"/>
        <w:textAlignment w:val="auto"/>
        <w:rPr>
          <w:rFonts w:hint="eastAsia" w:ascii="宋体" w:hAnsi="宋体" w:cs="宋体"/>
          <w:b/>
          <w:bCs/>
          <w:color w:val="auto"/>
          <w:spacing w:val="0"/>
          <w:position w:val="0"/>
          <w:sz w:val="28"/>
          <w:szCs w:val="28"/>
          <w:highlight w:val="none"/>
        </w:rPr>
      </w:pPr>
      <w:r>
        <w:rPr>
          <w:rFonts w:hint="eastAsia" w:hAnsi="宋体" w:cs="宋体"/>
          <w:color w:val="auto"/>
          <w:spacing w:val="0"/>
          <w:kern w:val="2"/>
          <w:position w:val="0"/>
          <w:sz w:val="21"/>
          <w:szCs w:val="24"/>
          <w:highlight w:val="none"/>
          <w:lang w:val="en-US" w:eastAsia="zh-CN" w:bidi="ar-SA"/>
        </w:rPr>
        <w:t xml:space="preserve">                                                            2026</w:t>
      </w:r>
      <w:r>
        <w:rPr>
          <w:rFonts w:hint="eastAsia" w:ascii="宋体" w:hAnsi="宋体" w:eastAsia="宋体" w:cs="宋体"/>
          <w:color w:val="auto"/>
          <w:spacing w:val="0"/>
          <w:kern w:val="2"/>
          <w:position w:val="0"/>
          <w:sz w:val="21"/>
          <w:szCs w:val="24"/>
          <w:highlight w:val="none"/>
          <w:lang w:val="en-US" w:eastAsia="zh-CN" w:bidi="ar-SA"/>
        </w:rPr>
        <w:t>年</w:t>
      </w:r>
      <w:r>
        <w:rPr>
          <w:rFonts w:hint="eastAsia" w:hAnsi="宋体" w:cs="宋体"/>
          <w:color w:val="auto"/>
          <w:spacing w:val="0"/>
          <w:kern w:val="2"/>
          <w:position w:val="0"/>
          <w:sz w:val="21"/>
          <w:szCs w:val="24"/>
          <w:highlight w:val="none"/>
          <w:lang w:val="en-US" w:eastAsia="zh-CN" w:bidi="ar-SA"/>
        </w:rPr>
        <w:t>08</w:t>
      </w:r>
      <w:r>
        <w:rPr>
          <w:rFonts w:hint="eastAsia" w:ascii="宋体" w:hAnsi="宋体" w:eastAsia="宋体" w:cs="宋体"/>
          <w:color w:val="auto"/>
          <w:spacing w:val="0"/>
          <w:kern w:val="2"/>
          <w:position w:val="0"/>
          <w:sz w:val="21"/>
          <w:szCs w:val="24"/>
          <w:highlight w:val="none"/>
          <w:lang w:val="en-US" w:eastAsia="zh-CN" w:bidi="ar-SA"/>
        </w:rPr>
        <w:t>月</w:t>
      </w:r>
      <w:r>
        <w:rPr>
          <w:rFonts w:hint="eastAsia" w:hAnsi="宋体" w:cs="宋体"/>
          <w:color w:val="auto"/>
          <w:spacing w:val="0"/>
          <w:kern w:val="2"/>
          <w:position w:val="0"/>
          <w:sz w:val="21"/>
          <w:szCs w:val="24"/>
          <w:highlight w:val="none"/>
          <w:lang w:val="en-US" w:eastAsia="zh-CN" w:bidi="ar-SA"/>
        </w:rPr>
        <w:t xml:space="preserve">25 </w:t>
      </w:r>
      <w:r>
        <w:rPr>
          <w:rFonts w:hint="eastAsia" w:ascii="宋体" w:hAnsi="宋体" w:eastAsia="宋体" w:cs="宋体"/>
          <w:color w:val="auto"/>
          <w:spacing w:val="0"/>
          <w:kern w:val="2"/>
          <w:position w:val="0"/>
          <w:sz w:val="21"/>
          <w:szCs w:val="24"/>
          <w:highlight w:val="none"/>
          <w:lang w:val="en-US" w:eastAsia="zh-CN" w:bidi="ar-SA"/>
        </w:rPr>
        <w:t>日</w:t>
      </w:r>
    </w:p>
    <w:p w14:paraId="0790A454">
      <w:pPr>
        <w:pStyle w:val="39"/>
        <w:rPr>
          <w:rFonts w:hint="eastAsia" w:asciiTheme="minorEastAsia" w:hAnsiTheme="minorEastAsia" w:eastAsiaTheme="minorEastAsia" w:cstheme="minorEastAsia"/>
          <w:b w:val="0"/>
          <w:bCs w:val="0"/>
          <w:color w:val="auto"/>
          <w:spacing w:val="0"/>
          <w:kern w:val="0"/>
          <w:position w:val="0"/>
          <w:sz w:val="21"/>
          <w:szCs w:val="21"/>
          <w:highlight w:val="none"/>
          <w:lang w:val="en-US" w:eastAsia="zh-CN" w:bidi="ar-SA"/>
        </w:rPr>
      </w:pPr>
    </w:p>
    <w:p w14:paraId="08D65976">
      <w:pPr>
        <w:pStyle w:val="39"/>
        <w:rPr>
          <w:rFonts w:hint="eastAsia" w:ascii="宋体" w:hAnsi="宋体" w:eastAsia="宋体" w:cs="宋体"/>
          <w:b w:val="0"/>
          <w:color w:val="auto"/>
          <w:spacing w:val="0"/>
          <w:position w:val="0"/>
          <w:sz w:val="21"/>
          <w:szCs w:val="21"/>
          <w:highlight w:val="none"/>
          <w:lang w:val="en-US" w:eastAsia="zh-CN"/>
        </w:rPr>
      </w:pPr>
    </w:p>
    <w:p w14:paraId="372FDE01">
      <w:pPr>
        <w:pStyle w:val="39"/>
        <w:rPr>
          <w:rFonts w:hint="eastAsia" w:ascii="宋体" w:hAnsi="宋体" w:eastAsia="宋体" w:cs="宋体"/>
          <w:b w:val="0"/>
          <w:color w:val="auto"/>
          <w:spacing w:val="0"/>
          <w:position w:val="0"/>
          <w:sz w:val="21"/>
          <w:szCs w:val="21"/>
          <w:highlight w:val="none"/>
          <w:lang w:val="en-US" w:eastAsia="zh-CN"/>
        </w:rPr>
      </w:pPr>
    </w:p>
    <w:p w14:paraId="74735B2D">
      <w:pPr>
        <w:pStyle w:val="39"/>
        <w:rPr>
          <w:rFonts w:hint="eastAsia" w:ascii="宋体" w:hAnsi="宋体" w:eastAsia="宋体" w:cs="宋体"/>
          <w:b w:val="0"/>
          <w:color w:val="auto"/>
          <w:spacing w:val="0"/>
          <w:position w:val="0"/>
          <w:sz w:val="21"/>
          <w:szCs w:val="21"/>
          <w:highlight w:val="none"/>
          <w:lang w:val="en-US" w:eastAsia="zh-CN"/>
        </w:rPr>
      </w:pPr>
    </w:p>
    <w:p w14:paraId="7B2033A8">
      <w:pPr>
        <w:pStyle w:val="39"/>
        <w:rPr>
          <w:rFonts w:hint="eastAsia" w:ascii="宋体" w:hAnsi="宋体" w:eastAsia="宋体" w:cs="宋体"/>
          <w:b w:val="0"/>
          <w:color w:val="auto"/>
          <w:spacing w:val="0"/>
          <w:position w:val="0"/>
          <w:sz w:val="21"/>
          <w:szCs w:val="21"/>
          <w:highlight w:val="none"/>
          <w:lang w:val="en-US" w:eastAsia="zh-CN"/>
        </w:rPr>
      </w:pPr>
    </w:p>
    <w:p w14:paraId="460C8A6C">
      <w:pPr>
        <w:pStyle w:val="39"/>
        <w:rPr>
          <w:rFonts w:hint="eastAsia" w:ascii="宋体" w:hAnsi="宋体" w:eastAsia="宋体" w:cs="宋体"/>
          <w:b w:val="0"/>
          <w:color w:val="auto"/>
          <w:spacing w:val="0"/>
          <w:position w:val="0"/>
          <w:sz w:val="21"/>
          <w:szCs w:val="21"/>
          <w:highlight w:val="none"/>
          <w:lang w:val="en-US" w:eastAsia="zh-CN"/>
        </w:rPr>
      </w:pPr>
    </w:p>
    <w:p w14:paraId="05F89474">
      <w:pPr>
        <w:pStyle w:val="39"/>
        <w:rPr>
          <w:rFonts w:hint="eastAsia" w:ascii="宋体" w:hAnsi="宋体" w:eastAsia="宋体" w:cs="宋体"/>
          <w:b w:val="0"/>
          <w:color w:val="auto"/>
          <w:spacing w:val="0"/>
          <w:position w:val="0"/>
          <w:sz w:val="21"/>
          <w:szCs w:val="21"/>
          <w:highlight w:val="none"/>
          <w:lang w:val="en-US" w:eastAsia="zh-CN"/>
        </w:rPr>
      </w:pPr>
    </w:p>
    <w:p w14:paraId="63BB3078">
      <w:pPr>
        <w:pStyle w:val="39"/>
        <w:rPr>
          <w:rFonts w:hint="eastAsia" w:ascii="宋体" w:hAnsi="宋体" w:eastAsia="宋体" w:cs="宋体"/>
          <w:b w:val="0"/>
          <w:color w:val="auto"/>
          <w:spacing w:val="0"/>
          <w:position w:val="0"/>
          <w:sz w:val="21"/>
          <w:szCs w:val="21"/>
          <w:highlight w:val="none"/>
          <w:lang w:val="en-US" w:eastAsia="zh-CN"/>
        </w:rPr>
      </w:pPr>
    </w:p>
    <w:p w14:paraId="0E15911D">
      <w:pPr>
        <w:pStyle w:val="39"/>
        <w:rPr>
          <w:rFonts w:hint="eastAsia" w:ascii="宋体" w:hAnsi="宋体" w:eastAsia="宋体" w:cs="宋体"/>
          <w:b w:val="0"/>
          <w:color w:val="auto"/>
          <w:spacing w:val="0"/>
          <w:position w:val="0"/>
          <w:sz w:val="21"/>
          <w:szCs w:val="21"/>
          <w:highlight w:val="none"/>
          <w:lang w:val="en-US" w:eastAsia="zh-CN"/>
        </w:rPr>
      </w:pPr>
    </w:p>
    <w:p w14:paraId="2904C3CC">
      <w:pPr>
        <w:pStyle w:val="39"/>
        <w:rPr>
          <w:rFonts w:hint="eastAsia" w:ascii="宋体" w:hAnsi="宋体" w:eastAsia="宋体" w:cs="宋体"/>
          <w:b w:val="0"/>
          <w:color w:val="auto"/>
          <w:spacing w:val="0"/>
          <w:position w:val="0"/>
          <w:sz w:val="21"/>
          <w:szCs w:val="21"/>
          <w:highlight w:val="none"/>
          <w:lang w:val="en-US" w:eastAsia="zh-CN"/>
        </w:rPr>
      </w:pPr>
    </w:p>
    <w:p w14:paraId="5074408D">
      <w:pPr>
        <w:numPr>
          <w:ilvl w:val="0"/>
          <w:numId w:val="1"/>
        </w:numPr>
        <w:jc w:val="center"/>
        <w:outlineLvl w:val="0"/>
        <w:rPr>
          <w:rFonts w:ascii="宋体" w:hAnsi="宋体" w:cs="宋体"/>
          <w:b/>
          <w:bCs/>
          <w:color w:val="auto"/>
          <w:spacing w:val="0"/>
          <w:kern w:val="0"/>
          <w:position w:val="0"/>
          <w:sz w:val="36"/>
          <w:szCs w:val="36"/>
          <w:highlight w:val="none"/>
        </w:rPr>
      </w:pPr>
      <w:bookmarkStart w:id="61" w:name="_Toc5416"/>
      <w:r>
        <w:rPr>
          <w:rFonts w:hint="eastAsia" w:ascii="宋体" w:hAnsi="宋体" w:cs="宋体"/>
          <w:b/>
          <w:bCs/>
          <w:color w:val="auto"/>
          <w:spacing w:val="0"/>
          <w:kern w:val="0"/>
          <w:position w:val="0"/>
          <w:sz w:val="36"/>
          <w:szCs w:val="36"/>
          <w:highlight w:val="none"/>
          <w:lang w:eastAsia="zh-CN"/>
        </w:rPr>
        <w:t>供应商</w:t>
      </w:r>
      <w:r>
        <w:rPr>
          <w:rFonts w:hint="eastAsia" w:ascii="宋体" w:hAnsi="宋体" w:cs="宋体"/>
          <w:b/>
          <w:bCs/>
          <w:color w:val="auto"/>
          <w:spacing w:val="0"/>
          <w:kern w:val="0"/>
          <w:position w:val="0"/>
          <w:sz w:val="36"/>
          <w:szCs w:val="36"/>
          <w:highlight w:val="none"/>
        </w:rPr>
        <w:t>须知前附表</w:t>
      </w:r>
      <w:bookmarkEnd w:id="61"/>
    </w:p>
    <w:bookmarkEnd w:id="2"/>
    <w:tbl>
      <w:tblPr>
        <w:tblStyle w:val="30"/>
        <w:tblpPr w:leftFromText="180" w:rightFromText="180" w:vertAnchor="text" w:horzAnchor="page" w:tblpX="1215" w:tblpY="304"/>
        <w:tblOverlap w:val="never"/>
        <w:tblW w:w="96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602"/>
        <w:gridCol w:w="7399"/>
      </w:tblGrid>
      <w:tr w14:paraId="2306B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48" w:type="dxa"/>
            <w:tcBorders>
              <w:top w:val="single" w:color="auto" w:sz="4" w:space="0"/>
              <w:left w:val="single" w:color="auto" w:sz="4" w:space="0"/>
              <w:bottom w:val="single" w:color="auto" w:sz="4" w:space="0"/>
              <w:right w:val="single" w:color="auto" w:sz="4" w:space="0"/>
            </w:tcBorders>
            <w:vAlign w:val="center"/>
          </w:tcPr>
          <w:p w14:paraId="6907A2C1">
            <w:pPr>
              <w:keepNext w:val="0"/>
              <w:keepLines w:val="0"/>
              <w:pageBreakBefore w:val="0"/>
              <w:widowControl w:val="0"/>
              <w:kinsoku/>
              <w:wordWrap/>
              <w:overflowPunct/>
              <w:topLinePunct w:val="0"/>
              <w:autoSpaceDE/>
              <w:autoSpaceDN/>
              <w:bidi w:val="0"/>
              <w:adjustRightInd/>
              <w:spacing w:line="360" w:lineRule="auto"/>
              <w:jc w:val="center"/>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序号</w:t>
            </w:r>
          </w:p>
        </w:tc>
        <w:tc>
          <w:tcPr>
            <w:tcW w:w="1602" w:type="dxa"/>
            <w:tcBorders>
              <w:top w:val="single" w:color="auto" w:sz="4" w:space="0"/>
              <w:left w:val="single" w:color="auto" w:sz="4" w:space="0"/>
              <w:bottom w:val="single" w:color="auto" w:sz="4" w:space="0"/>
              <w:right w:val="single" w:color="auto" w:sz="4" w:space="0"/>
            </w:tcBorders>
            <w:vAlign w:val="center"/>
          </w:tcPr>
          <w:p w14:paraId="0351449B">
            <w:pPr>
              <w:keepNext w:val="0"/>
              <w:keepLines w:val="0"/>
              <w:pageBreakBefore w:val="0"/>
              <w:widowControl w:val="0"/>
              <w:kinsoku/>
              <w:wordWrap/>
              <w:overflowPunct/>
              <w:topLinePunct w:val="0"/>
              <w:autoSpaceDE/>
              <w:autoSpaceDN/>
              <w:bidi w:val="0"/>
              <w:adjustRightInd/>
              <w:spacing w:line="360" w:lineRule="auto"/>
              <w:jc w:val="center"/>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条款名称</w:t>
            </w:r>
          </w:p>
        </w:tc>
        <w:tc>
          <w:tcPr>
            <w:tcW w:w="7399" w:type="dxa"/>
            <w:tcBorders>
              <w:top w:val="single" w:color="auto" w:sz="4" w:space="0"/>
              <w:left w:val="single" w:color="auto" w:sz="4" w:space="0"/>
              <w:bottom w:val="single" w:color="auto" w:sz="4" w:space="0"/>
              <w:right w:val="single" w:color="auto" w:sz="4" w:space="0"/>
            </w:tcBorders>
            <w:vAlign w:val="center"/>
          </w:tcPr>
          <w:p w14:paraId="78EED2BE">
            <w:pPr>
              <w:keepNext w:val="0"/>
              <w:keepLines w:val="0"/>
              <w:pageBreakBefore w:val="0"/>
              <w:widowControl w:val="0"/>
              <w:kinsoku/>
              <w:wordWrap/>
              <w:overflowPunct/>
              <w:topLinePunct w:val="0"/>
              <w:autoSpaceDE/>
              <w:autoSpaceDN/>
              <w:bidi w:val="0"/>
              <w:adjustRightInd/>
              <w:spacing w:line="360" w:lineRule="auto"/>
              <w:jc w:val="center"/>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内容</w:t>
            </w:r>
          </w:p>
        </w:tc>
      </w:tr>
      <w:tr w14:paraId="2922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8" w:type="dxa"/>
            <w:tcBorders>
              <w:top w:val="single" w:color="auto" w:sz="4" w:space="0"/>
              <w:left w:val="single" w:color="auto" w:sz="4" w:space="0"/>
              <w:bottom w:val="single" w:color="auto" w:sz="4" w:space="0"/>
              <w:right w:val="single" w:color="auto" w:sz="4" w:space="0"/>
            </w:tcBorders>
            <w:vAlign w:val="center"/>
          </w:tcPr>
          <w:p w14:paraId="4B27AB9C">
            <w:pPr>
              <w:keepNext w:val="0"/>
              <w:keepLines w:val="0"/>
              <w:pageBreakBefore w:val="0"/>
              <w:widowControl w:val="0"/>
              <w:kinsoku/>
              <w:wordWrap/>
              <w:overflowPunct/>
              <w:topLinePunct w:val="0"/>
              <w:autoSpaceDE/>
              <w:autoSpaceDN/>
              <w:bidi w:val="0"/>
              <w:adjustRightInd/>
              <w:spacing w:line="360" w:lineRule="auto"/>
              <w:jc w:val="center"/>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1</w:t>
            </w:r>
          </w:p>
        </w:tc>
        <w:tc>
          <w:tcPr>
            <w:tcW w:w="1602" w:type="dxa"/>
            <w:tcBorders>
              <w:top w:val="single" w:color="auto" w:sz="4" w:space="0"/>
              <w:left w:val="single" w:color="auto" w:sz="4" w:space="0"/>
              <w:bottom w:val="single" w:color="auto" w:sz="4" w:space="0"/>
              <w:right w:val="single" w:color="auto" w:sz="4" w:space="0"/>
            </w:tcBorders>
            <w:vAlign w:val="center"/>
          </w:tcPr>
          <w:p w14:paraId="772CF50A">
            <w:pPr>
              <w:keepNext w:val="0"/>
              <w:keepLines w:val="0"/>
              <w:pageBreakBefore w:val="0"/>
              <w:widowControl w:val="0"/>
              <w:kinsoku/>
              <w:wordWrap/>
              <w:overflowPunct/>
              <w:topLinePunct w:val="0"/>
              <w:autoSpaceDE/>
              <w:autoSpaceDN/>
              <w:bidi w:val="0"/>
              <w:adjustRightInd/>
              <w:spacing w:line="360" w:lineRule="auto"/>
              <w:jc w:val="center"/>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项目名称和编号</w:t>
            </w:r>
          </w:p>
        </w:tc>
        <w:tc>
          <w:tcPr>
            <w:tcW w:w="7399" w:type="dxa"/>
            <w:tcBorders>
              <w:top w:val="single" w:color="auto" w:sz="4" w:space="0"/>
              <w:left w:val="single" w:color="auto" w:sz="4" w:space="0"/>
              <w:bottom w:val="single" w:color="auto" w:sz="4" w:space="0"/>
              <w:right w:val="single" w:color="auto" w:sz="4" w:space="0"/>
            </w:tcBorders>
            <w:vAlign w:val="center"/>
          </w:tcPr>
          <w:p w14:paraId="424D406E">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cs="宋体"/>
                <w:color w:val="auto"/>
                <w:spacing w:val="0"/>
                <w:position w:val="0"/>
                <w:szCs w:val="21"/>
                <w:highlight w:val="none"/>
                <w:lang w:eastAsia="zh-CN"/>
              </w:rPr>
            </w:pPr>
            <w:r>
              <w:rPr>
                <w:rFonts w:hint="eastAsia" w:ascii="宋体" w:hAnsi="宋体" w:cs="宋体"/>
                <w:color w:val="auto"/>
                <w:spacing w:val="0"/>
                <w:position w:val="0"/>
                <w:szCs w:val="21"/>
                <w:highlight w:val="none"/>
              </w:rPr>
              <w:t>项目名称：</w:t>
            </w:r>
            <w:r>
              <w:rPr>
                <w:rFonts w:hint="eastAsia" w:ascii="宋体" w:hAnsi="宋体" w:cs="宋体"/>
                <w:b w:val="0"/>
                <w:bCs w:val="0"/>
                <w:color w:val="auto"/>
                <w:sz w:val="21"/>
                <w:szCs w:val="21"/>
                <w:u w:val="none"/>
                <w:lang w:val="en-US" w:eastAsia="zh-CN"/>
              </w:rPr>
              <w:t>2026年乐民镇蒙竹村委农产品加工厂房工程</w:t>
            </w:r>
          </w:p>
          <w:p w14:paraId="2EFCC219">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spacing w:val="0"/>
                <w:position w:val="0"/>
                <w:szCs w:val="21"/>
                <w:highlight w:val="none"/>
                <w:u w:val="single"/>
                <w:lang w:eastAsia="zh-CN"/>
              </w:rPr>
            </w:pPr>
            <w:r>
              <w:rPr>
                <w:rFonts w:hint="eastAsia" w:ascii="宋体" w:hAnsi="宋体" w:cs="宋体"/>
                <w:color w:val="auto"/>
                <w:spacing w:val="0"/>
                <w:position w:val="0"/>
                <w:szCs w:val="21"/>
                <w:highlight w:val="none"/>
                <w:lang w:val="en-US" w:eastAsia="zh-CN"/>
              </w:rPr>
              <w:t>项目</w:t>
            </w:r>
            <w:r>
              <w:rPr>
                <w:rFonts w:hint="eastAsia" w:ascii="宋体" w:hAnsi="宋体" w:cs="宋体"/>
                <w:color w:val="auto"/>
                <w:spacing w:val="0"/>
                <w:position w:val="0"/>
                <w:szCs w:val="21"/>
                <w:highlight w:val="none"/>
              </w:rPr>
              <w:t>编号：</w:t>
            </w:r>
            <w:r>
              <w:rPr>
                <w:rFonts w:hint="eastAsia" w:ascii="宋体" w:hAnsi="宋体" w:cs="宋体"/>
                <w:color w:val="auto"/>
                <w:spacing w:val="0"/>
                <w:position w:val="0"/>
                <w:szCs w:val="21"/>
                <w:highlight w:val="none"/>
                <w:lang w:val="en-US" w:eastAsia="zh-CN"/>
              </w:rPr>
              <w:t>QZZC2026-C2-220133-GXHC</w:t>
            </w:r>
          </w:p>
        </w:tc>
      </w:tr>
      <w:tr w14:paraId="19C5C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648" w:type="dxa"/>
            <w:tcBorders>
              <w:top w:val="single" w:color="auto" w:sz="4" w:space="0"/>
              <w:left w:val="single" w:color="auto" w:sz="4" w:space="0"/>
              <w:bottom w:val="single" w:color="auto" w:sz="4" w:space="0"/>
              <w:right w:val="single" w:color="auto" w:sz="4" w:space="0"/>
            </w:tcBorders>
            <w:vAlign w:val="center"/>
          </w:tcPr>
          <w:p w14:paraId="33147689">
            <w:pPr>
              <w:keepNext w:val="0"/>
              <w:keepLines w:val="0"/>
              <w:pageBreakBefore w:val="0"/>
              <w:widowControl w:val="0"/>
              <w:kinsoku/>
              <w:wordWrap/>
              <w:overflowPunct/>
              <w:topLinePunct w:val="0"/>
              <w:autoSpaceDE/>
              <w:autoSpaceDN/>
              <w:bidi w:val="0"/>
              <w:adjustRightInd/>
              <w:spacing w:line="360" w:lineRule="auto"/>
              <w:jc w:val="center"/>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2</w:t>
            </w:r>
          </w:p>
        </w:tc>
        <w:tc>
          <w:tcPr>
            <w:tcW w:w="1602" w:type="dxa"/>
            <w:tcBorders>
              <w:top w:val="single" w:color="auto" w:sz="4" w:space="0"/>
              <w:left w:val="single" w:color="auto" w:sz="4" w:space="0"/>
              <w:bottom w:val="single" w:color="auto" w:sz="4" w:space="0"/>
              <w:right w:val="single" w:color="auto" w:sz="4" w:space="0"/>
            </w:tcBorders>
            <w:vAlign w:val="center"/>
          </w:tcPr>
          <w:p w14:paraId="5291353E">
            <w:pPr>
              <w:pStyle w:val="13"/>
              <w:keepNext w:val="0"/>
              <w:keepLines w:val="0"/>
              <w:pageBreakBefore w:val="0"/>
              <w:widowControl w:val="0"/>
              <w:kinsoku/>
              <w:wordWrap/>
              <w:overflowPunct/>
              <w:topLinePunct w:val="0"/>
              <w:autoSpaceDE/>
              <w:autoSpaceDN/>
              <w:bidi w:val="0"/>
              <w:adjustRightInd/>
              <w:spacing w:line="360" w:lineRule="auto"/>
              <w:jc w:val="center"/>
              <w:textAlignment w:val="auto"/>
              <w:rPr>
                <w:rFonts w:hAnsi="宋体" w:cs="宋体"/>
                <w:color w:val="auto"/>
                <w:spacing w:val="0"/>
                <w:position w:val="0"/>
                <w:highlight w:val="none"/>
              </w:rPr>
            </w:pPr>
            <w:r>
              <w:rPr>
                <w:rFonts w:hint="eastAsia"/>
                <w:color w:val="auto"/>
                <w:spacing w:val="0"/>
                <w:position w:val="0"/>
                <w:highlight w:val="none"/>
                <w:lang w:eastAsia="zh-CN"/>
              </w:rPr>
              <w:t>供应商</w:t>
            </w:r>
            <w:r>
              <w:rPr>
                <w:rFonts w:hint="eastAsia"/>
                <w:color w:val="auto"/>
                <w:spacing w:val="0"/>
                <w:position w:val="0"/>
                <w:highlight w:val="none"/>
              </w:rPr>
              <w:t>资格</w:t>
            </w:r>
          </w:p>
        </w:tc>
        <w:tc>
          <w:tcPr>
            <w:tcW w:w="7399" w:type="dxa"/>
            <w:tcBorders>
              <w:top w:val="single" w:color="auto" w:sz="4" w:space="0"/>
              <w:left w:val="single" w:color="auto" w:sz="4" w:space="0"/>
              <w:bottom w:val="single" w:color="auto" w:sz="4" w:space="0"/>
              <w:right w:val="single" w:color="auto" w:sz="4" w:space="0"/>
            </w:tcBorders>
            <w:vAlign w:val="center"/>
          </w:tcPr>
          <w:p w14:paraId="1AB5A805">
            <w:pPr>
              <w:keepNext w:val="0"/>
              <w:keepLines w:val="0"/>
              <w:pageBreakBefore w:val="0"/>
              <w:widowControl w:val="0"/>
              <w:kinsoku/>
              <w:wordWrap/>
              <w:overflowPunct/>
              <w:topLinePunct w:val="0"/>
              <w:autoSpaceDE/>
              <w:autoSpaceDN/>
              <w:bidi w:val="0"/>
              <w:adjustRightInd/>
              <w:spacing w:line="360" w:lineRule="auto"/>
              <w:jc w:val="left"/>
              <w:textAlignment w:val="auto"/>
              <w:rPr>
                <w:b/>
                <w:bCs/>
                <w:color w:val="auto"/>
                <w:spacing w:val="0"/>
                <w:position w:val="0"/>
                <w:highlight w:val="none"/>
              </w:rPr>
            </w:pPr>
            <w:bookmarkStart w:id="62" w:name="OLE_LINK8"/>
            <w:r>
              <w:rPr>
                <w:rFonts w:hint="eastAsia"/>
                <w:b/>
                <w:bCs/>
                <w:color w:val="auto"/>
                <w:spacing w:val="0"/>
                <w:position w:val="0"/>
                <w:highlight w:val="none"/>
                <w:lang w:eastAsia="zh-CN"/>
              </w:rPr>
              <w:t>供应商</w:t>
            </w:r>
            <w:r>
              <w:rPr>
                <w:rFonts w:hint="eastAsia"/>
                <w:b/>
                <w:bCs/>
                <w:color w:val="auto"/>
                <w:spacing w:val="0"/>
                <w:position w:val="0"/>
                <w:highlight w:val="none"/>
              </w:rPr>
              <w:t>资格</w:t>
            </w:r>
            <w:r>
              <w:rPr>
                <w:rFonts w:hint="eastAsia"/>
                <w:b/>
                <w:bCs/>
                <w:color w:val="auto"/>
                <w:spacing w:val="0"/>
                <w:position w:val="0"/>
                <w:highlight w:val="none"/>
                <w:lang w:eastAsia="zh-CN"/>
              </w:rPr>
              <w:t>要求</w:t>
            </w:r>
            <w:r>
              <w:rPr>
                <w:rFonts w:hint="eastAsia"/>
                <w:b/>
                <w:bCs/>
                <w:color w:val="auto"/>
                <w:spacing w:val="0"/>
                <w:position w:val="0"/>
                <w:highlight w:val="none"/>
              </w:rPr>
              <w:t>：</w:t>
            </w:r>
          </w:p>
          <w:bookmarkEnd w:id="62"/>
          <w:p w14:paraId="4119E220">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 xml:space="preserve">1.符合《中华人民共和国政府采购法》第二十二条规定。 </w:t>
            </w:r>
          </w:p>
          <w:p w14:paraId="4CAE5A3F">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pacing w:val="0"/>
                <w:position w:val="0"/>
                <w:szCs w:val="21"/>
                <w:highlight w:val="none"/>
                <w:lang w:val="en-US" w:eastAsia="zh-CN"/>
              </w:rPr>
            </w:pPr>
            <w:r>
              <w:rPr>
                <w:rFonts w:hint="eastAsia" w:ascii="宋体" w:hAnsi="宋体" w:cs="宋体"/>
                <w:color w:val="auto"/>
                <w:spacing w:val="0"/>
                <w:position w:val="0"/>
                <w:szCs w:val="21"/>
                <w:highlight w:val="none"/>
              </w:rPr>
              <w:t>2.落实政府采购政策需满足的资格要求：</w:t>
            </w:r>
            <w:r>
              <w:rPr>
                <w:rFonts w:hint="eastAsia" w:ascii="宋体" w:hAnsi="宋体" w:cs="宋体"/>
                <w:color w:val="auto"/>
                <w:spacing w:val="0"/>
                <w:position w:val="0"/>
                <w:szCs w:val="21"/>
                <w:highlight w:val="none"/>
                <w:lang w:eastAsia="zh-CN"/>
              </w:rPr>
              <w:t>本项目属于专门面向中小企业采购的项目，供应商须为中小企业或监狱企业或残疾人福利性单位。</w:t>
            </w:r>
          </w:p>
          <w:p w14:paraId="702069AA">
            <w:pPr>
              <w:pStyle w:val="10"/>
              <w:keepNext w:val="0"/>
              <w:keepLines w:val="0"/>
              <w:pageBreakBefore w:val="0"/>
              <w:widowControl w:val="0"/>
              <w:kinsoku/>
              <w:wordWrap/>
              <w:overflowPunct/>
              <w:topLinePunct w:val="0"/>
              <w:autoSpaceDE/>
              <w:autoSpaceDN/>
              <w:bidi w:val="0"/>
              <w:adjustRightInd/>
              <w:spacing w:after="0" w:line="360" w:lineRule="auto"/>
              <w:textAlignment w:val="auto"/>
              <w:rPr>
                <w:rFonts w:hint="eastAsia" w:hAnsi="宋体" w:cs="宋体"/>
                <w:color w:val="auto"/>
                <w:spacing w:val="0"/>
                <w:position w:val="0"/>
                <w:sz w:val="21"/>
                <w:szCs w:val="21"/>
                <w:highlight w:val="none"/>
              </w:rPr>
            </w:pPr>
            <w:r>
              <w:rPr>
                <w:rFonts w:hint="eastAsia" w:hAnsi="宋体" w:cs="宋体"/>
                <w:color w:val="auto"/>
                <w:spacing w:val="0"/>
                <w:position w:val="0"/>
                <w:sz w:val="21"/>
                <w:szCs w:val="21"/>
                <w:highlight w:val="none"/>
              </w:rPr>
              <w:t>3.本项目的特定资格要求：</w:t>
            </w:r>
          </w:p>
          <w:p w14:paraId="0355A949">
            <w:pPr>
              <w:pStyle w:val="10"/>
              <w:keepNext w:val="0"/>
              <w:keepLines w:val="0"/>
              <w:pageBreakBefore w:val="0"/>
              <w:widowControl w:val="0"/>
              <w:kinsoku/>
              <w:wordWrap/>
              <w:overflowPunct/>
              <w:topLinePunct w:val="0"/>
              <w:autoSpaceDE/>
              <w:autoSpaceDN/>
              <w:bidi w:val="0"/>
              <w:adjustRightInd/>
              <w:spacing w:after="0" w:line="360" w:lineRule="auto"/>
              <w:ind w:firstLine="420" w:firstLineChars="200"/>
              <w:textAlignment w:val="auto"/>
              <w:rPr>
                <w:rFonts w:hint="eastAsia" w:ascii="宋体" w:hAnsi="宋体" w:eastAsia="宋体" w:cs="宋体"/>
                <w:color w:val="auto"/>
                <w:spacing w:val="0"/>
                <w:position w:val="0"/>
                <w:sz w:val="21"/>
                <w:szCs w:val="21"/>
                <w:highlight w:val="none"/>
                <w:lang w:val="en-US" w:eastAsia="zh-CN"/>
              </w:rPr>
            </w:pPr>
            <w:r>
              <w:rPr>
                <w:rFonts w:hint="eastAsia" w:hAnsi="宋体" w:cs="宋体"/>
                <w:color w:val="auto"/>
                <w:spacing w:val="0"/>
                <w:position w:val="0"/>
                <w:sz w:val="21"/>
                <w:szCs w:val="21"/>
                <w:highlight w:val="none"/>
                <w:lang w:eastAsia="zh-CN"/>
              </w:rPr>
              <w:t>（</w:t>
            </w:r>
            <w:r>
              <w:rPr>
                <w:rFonts w:hint="eastAsia" w:hAnsi="宋体" w:cs="宋体"/>
                <w:color w:val="auto"/>
                <w:spacing w:val="0"/>
                <w:position w:val="0"/>
                <w:sz w:val="21"/>
                <w:szCs w:val="21"/>
                <w:highlight w:val="none"/>
              </w:rPr>
              <w:t>1）</w:t>
            </w:r>
            <w:r>
              <w:rPr>
                <w:rFonts w:hint="eastAsia" w:hAnsi="宋体" w:cs="宋体"/>
                <w:color w:val="auto"/>
                <w:spacing w:val="0"/>
                <w:position w:val="0"/>
                <w:sz w:val="21"/>
                <w:szCs w:val="21"/>
                <w:highlight w:val="none"/>
                <w:lang w:eastAsia="zh-CN"/>
              </w:rPr>
              <w:t>具备</w:t>
            </w:r>
            <w:r>
              <w:rPr>
                <w:rFonts w:hint="eastAsia" w:hAnsi="宋体" w:cs="宋体"/>
                <w:b w:val="0"/>
                <w:bCs w:val="0"/>
                <w:color w:val="auto"/>
                <w:sz w:val="21"/>
                <w:szCs w:val="21"/>
                <w:u w:val="single"/>
                <w:lang w:val="en-US" w:eastAsia="zh-CN"/>
              </w:rPr>
              <w:t>房屋建筑</w:t>
            </w:r>
            <w:r>
              <w:rPr>
                <w:rFonts w:hint="eastAsia" w:ascii="宋体" w:hAnsi="宋体" w:eastAsia="宋体" w:cs="宋体"/>
                <w:b w:val="0"/>
                <w:bCs w:val="0"/>
                <w:color w:val="auto"/>
                <w:sz w:val="21"/>
                <w:szCs w:val="21"/>
                <w:u w:val="single"/>
              </w:rPr>
              <w:t>工程施工总承包叁级(含叁级)</w:t>
            </w:r>
            <w:r>
              <w:rPr>
                <w:rFonts w:hint="eastAsia" w:hAnsi="宋体" w:cs="宋体"/>
                <w:color w:val="auto"/>
                <w:spacing w:val="0"/>
                <w:position w:val="0"/>
                <w:sz w:val="21"/>
                <w:szCs w:val="21"/>
                <w:highlight w:val="none"/>
                <w:lang w:eastAsia="zh-CN"/>
              </w:rPr>
              <w:t>以上资质以及有效的安全生产许可证，在人员、设备、资金等方面具备相应的施工能力</w:t>
            </w:r>
            <w:r>
              <w:rPr>
                <w:rFonts w:hint="eastAsia" w:hAnsi="宋体" w:cs="宋体"/>
                <w:color w:val="auto"/>
                <w:spacing w:val="0"/>
                <w:position w:val="0"/>
                <w:sz w:val="21"/>
                <w:szCs w:val="21"/>
                <w:highlight w:val="none"/>
              </w:rPr>
              <w:t>；</w:t>
            </w:r>
            <w:r>
              <w:rPr>
                <w:rFonts w:hint="eastAsia" w:hAnsi="宋体" w:cs="宋体"/>
                <w:color w:val="auto"/>
                <w:spacing w:val="0"/>
                <w:position w:val="0"/>
                <w:sz w:val="21"/>
                <w:szCs w:val="21"/>
                <w:highlight w:val="none"/>
              </w:rPr>
              <w:br w:type="textWrapping"/>
            </w:r>
            <w:r>
              <w:rPr>
                <w:rFonts w:hint="eastAsia" w:hAnsi="宋体" w:cs="宋体"/>
                <w:color w:val="auto"/>
                <w:spacing w:val="0"/>
                <w:position w:val="0"/>
                <w:sz w:val="21"/>
                <w:szCs w:val="21"/>
                <w:highlight w:val="none"/>
                <w:lang w:val="en-US" w:eastAsia="zh-CN"/>
              </w:rPr>
              <w:t xml:space="preserve">    </w:t>
            </w:r>
            <w:r>
              <w:rPr>
                <w:rFonts w:hint="eastAsia" w:hAnsi="宋体" w:cs="宋体"/>
                <w:color w:val="auto"/>
                <w:spacing w:val="0"/>
                <w:position w:val="0"/>
                <w:sz w:val="21"/>
                <w:szCs w:val="21"/>
                <w:highlight w:val="none"/>
              </w:rPr>
              <w:t>（2）拟投入本项目的项目经理必须具备有效的</w:t>
            </w:r>
            <w:r>
              <w:rPr>
                <w:rFonts w:hint="eastAsia" w:hAnsi="宋体" w:cs="宋体"/>
                <w:b w:val="0"/>
                <w:bCs w:val="0"/>
                <w:color w:val="auto"/>
                <w:sz w:val="21"/>
                <w:szCs w:val="21"/>
                <w:u w:val="single"/>
                <w:lang w:val="en-US" w:eastAsia="zh-CN"/>
              </w:rPr>
              <w:t>房屋建筑</w:t>
            </w:r>
            <w:r>
              <w:rPr>
                <w:rFonts w:hint="eastAsia" w:asciiTheme="minorEastAsia" w:hAnsiTheme="minorEastAsia" w:eastAsiaTheme="minorEastAsia" w:cstheme="minorEastAsia"/>
                <w:color w:val="auto"/>
                <w:sz w:val="21"/>
                <w:szCs w:val="21"/>
                <w:u w:val="single"/>
                <w:lang w:eastAsia="zh-CN"/>
              </w:rPr>
              <w:t>工程</w:t>
            </w:r>
            <w:r>
              <w:rPr>
                <w:rFonts w:hint="eastAsia" w:asciiTheme="minorEastAsia" w:hAnsiTheme="minorEastAsia" w:eastAsiaTheme="minorEastAsia" w:cstheme="minorEastAsia"/>
                <w:color w:val="auto"/>
                <w:sz w:val="21"/>
                <w:szCs w:val="21"/>
                <w:u w:val="single"/>
                <w:lang w:val="en-US" w:eastAsia="zh-CN"/>
              </w:rPr>
              <w:t>专业</w:t>
            </w:r>
            <w:r>
              <w:rPr>
                <w:rFonts w:hint="eastAsia" w:asciiTheme="minorEastAsia" w:hAnsiTheme="minorEastAsia" w:eastAsiaTheme="minorEastAsia" w:cstheme="minorEastAsia"/>
                <w:color w:val="auto"/>
                <w:sz w:val="21"/>
                <w:szCs w:val="21"/>
                <w:u w:val="single"/>
                <w:lang w:eastAsia="zh-CN"/>
              </w:rPr>
              <w:t>贰级（含贰级）</w:t>
            </w:r>
            <w:r>
              <w:rPr>
                <w:rFonts w:hint="eastAsia" w:hAnsi="宋体" w:cs="宋体"/>
                <w:color w:val="auto"/>
                <w:spacing w:val="0"/>
                <w:position w:val="0"/>
                <w:sz w:val="21"/>
                <w:szCs w:val="21"/>
                <w:highlight w:val="none"/>
              </w:rPr>
              <w:t>以上注册建造师证书，并获得B类安全生产考核合格证</w:t>
            </w:r>
            <w:r>
              <w:rPr>
                <w:rFonts w:hint="eastAsia" w:hAnsi="宋体" w:cs="宋体"/>
                <w:color w:val="auto"/>
                <w:spacing w:val="0"/>
                <w:position w:val="0"/>
                <w:sz w:val="21"/>
                <w:szCs w:val="21"/>
                <w:highlight w:val="none"/>
                <w:lang w:eastAsia="zh-CN"/>
              </w:rPr>
              <w:t>；本项目不接受有在建、已中标未开工或已列为其他项目中标候选人第一名的建造师作为项目经理</w:t>
            </w:r>
            <w:r>
              <w:rPr>
                <w:rFonts w:hint="eastAsia" w:ascii="宋体" w:hAnsi="宋体" w:eastAsia="宋体" w:cs="宋体"/>
                <w:color w:val="auto"/>
                <w:spacing w:val="0"/>
                <w:position w:val="0"/>
                <w:sz w:val="21"/>
                <w:szCs w:val="21"/>
                <w:highlight w:val="none"/>
                <w:lang w:val="en-US" w:eastAsia="zh-CN"/>
              </w:rPr>
              <w:t>。</w:t>
            </w:r>
          </w:p>
          <w:p w14:paraId="58890E0E">
            <w:pPr>
              <w:keepNext w:val="0"/>
              <w:keepLines w:val="0"/>
              <w:pageBreakBefore w:val="0"/>
              <w:widowControl w:val="0"/>
              <w:kinsoku/>
              <w:wordWrap/>
              <w:overflowPunct/>
              <w:topLinePunct w:val="0"/>
              <w:bidi w:val="0"/>
              <w:adjustRightInd/>
              <w:spacing w:line="360" w:lineRule="auto"/>
              <w:textAlignment w:val="auto"/>
              <w:rPr>
                <w:rFonts w:ascii="宋体" w:hAnsi="宋体" w:cs="宋体"/>
                <w:b/>
                <w:bCs w:val="0"/>
                <w:color w:val="auto"/>
                <w:spacing w:val="0"/>
                <w:position w:val="0"/>
                <w:szCs w:val="21"/>
                <w:highlight w:val="none"/>
              </w:rPr>
            </w:pPr>
            <w:r>
              <w:rPr>
                <w:rFonts w:hint="eastAsia" w:ascii="宋体" w:hAnsi="宋体" w:cs="宋体"/>
                <w:b/>
                <w:bCs w:val="0"/>
                <w:color w:val="auto"/>
                <w:spacing w:val="0"/>
                <w:position w:val="0"/>
                <w:szCs w:val="21"/>
                <w:highlight w:val="none"/>
              </w:rPr>
              <w:t>供应商出现下列情形之一的，不得参加政府采购活动：</w:t>
            </w:r>
          </w:p>
          <w:p w14:paraId="6D3C6555">
            <w:pPr>
              <w:keepNext w:val="0"/>
              <w:keepLines w:val="0"/>
              <w:pageBreakBefore w:val="0"/>
              <w:widowControl w:val="0"/>
              <w:kinsoku/>
              <w:wordWrap/>
              <w:overflowPunct/>
              <w:topLinePunct w:val="0"/>
              <w:bidi w:val="0"/>
              <w:adjustRightInd/>
              <w:spacing w:line="360" w:lineRule="auto"/>
              <w:textAlignment w:val="auto"/>
              <w:rPr>
                <w:rFonts w:hint="eastAsia" w:ascii="宋体" w:hAnsi="宋体" w:eastAsia="宋体" w:cs="宋体"/>
                <w:color w:val="auto"/>
                <w:spacing w:val="0"/>
                <w:position w:val="0"/>
                <w:szCs w:val="21"/>
                <w:highlight w:val="none"/>
              </w:rPr>
            </w:pPr>
            <w:r>
              <w:rPr>
                <w:rFonts w:hint="eastAsia" w:ascii="宋体" w:hAnsi="宋体" w:cs="宋体"/>
                <w:color w:val="auto"/>
                <w:spacing w:val="0"/>
                <w:position w:val="0"/>
                <w:szCs w:val="21"/>
                <w:highlight w:val="none"/>
                <w:lang w:val="en-US" w:eastAsia="zh-CN"/>
              </w:rPr>
              <w:t>1.</w:t>
            </w:r>
            <w:r>
              <w:rPr>
                <w:rFonts w:hint="eastAsia" w:ascii="宋体" w:hAnsi="宋体" w:cs="宋体"/>
                <w:color w:val="auto"/>
                <w:spacing w:val="0"/>
                <w:position w:val="0"/>
                <w:szCs w:val="21"/>
                <w:highlight w:val="none"/>
              </w:rPr>
              <w:t>单位负责人为同</w:t>
            </w:r>
            <w:r>
              <w:rPr>
                <w:rFonts w:hint="eastAsia" w:ascii="宋体" w:hAnsi="宋体" w:eastAsia="宋体" w:cs="宋体"/>
                <w:color w:val="auto"/>
                <w:spacing w:val="0"/>
                <w:position w:val="0"/>
                <w:szCs w:val="21"/>
                <w:highlight w:val="none"/>
              </w:rPr>
              <w:t>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4D4A24E">
            <w:pPr>
              <w:keepNext w:val="0"/>
              <w:keepLines w:val="0"/>
              <w:pageBreakBefore w:val="0"/>
              <w:widowControl w:val="0"/>
              <w:kinsoku/>
              <w:wordWrap/>
              <w:overflowPunct/>
              <w:topLinePunct w:val="0"/>
              <w:bidi w:val="0"/>
              <w:adjustRightInd/>
              <w:spacing w:line="360" w:lineRule="auto"/>
              <w:textAlignment w:val="auto"/>
              <w:rPr>
                <w:rFonts w:hint="eastAsia" w:ascii="宋体" w:hAnsi="宋体" w:eastAsia="宋体" w:cs="宋体"/>
                <w:color w:val="auto"/>
                <w:spacing w:val="0"/>
                <w:position w:val="0"/>
                <w:sz w:val="21"/>
                <w:szCs w:val="21"/>
                <w:highlight w:val="none"/>
                <w:lang w:val="en-US" w:eastAsia="zh-CN"/>
              </w:rPr>
            </w:pPr>
            <w:r>
              <w:rPr>
                <w:rFonts w:hint="eastAsia" w:ascii="宋体" w:hAnsi="宋体" w:eastAsia="宋体" w:cs="宋体"/>
                <w:color w:val="auto"/>
                <w:spacing w:val="0"/>
                <w:position w:val="0"/>
                <w:szCs w:val="21"/>
                <w:highlight w:val="none"/>
                <w:lang w:val="en-US" w:eastAsia="zh-CN"/>
              </w:rPr>
              <w:t>2.</w:t>
            </w:r>
            <w:r>
              <w:rPr>
                <w:rFonts w:hint="eastAsia" w:ascii="宋体" w:hAnsi="宋体" w:eastAsia="宋体" w:cs="宋体"/>
                <w:color w:val="auto"/>
                <w:spacing w:val="0"/>
                <w:position w:val="0"/>
                <w:szCs w:val="21"/>
                <w:highlight w:val="none"/>
              </w:rPr>
              <w:t>对在“信用中国”网站（www.creditchina.gov.cn</w:t>
            </w:r>
            <w:r>
              <w:rPr>
                <w:rFonts w:hint="eastAsia" w:ascii="宋体" w:hAnsi="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65565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648" w:type="dxa"/>
            <w:tcBorders>
              <w:top w:val="single" w:color="auto" w:sz="4" w:space="0"/>
              <w:left w:val="single" w:color="auto" w:sz="4" w:space="0"/>
              <w:bottom w:val="single" w:color="auto" w:sz="4" w:space="0"/>
              <w:right w:val="single" w:color="auto" w:sz="4" w:space="0"/>
            </w:tcBorders>
            <w:vAlign w:val="center"/>
          </w:tcPr>
          <w:p w14:paraId="3A9FF489">
            <w:pPr>
              <w:keepNext w:val="0"/>
              <w:keepLines w:val="0"/>
              <w:pageBreakBefore w:val="0"/>
              <w:widowControl w:val="0"/>
              <w:kinsoku/>
              <w:wordWrap/>
              <w:overflowPunct/>
              <w:topLinePunct w:val="0"/>
              <w:autoSpaceDE/>
              <w:autoSpaceDN/>
              <w:bidi w:val="0"/>
              <w:adjustRightInd/>
              <w:spacing w:line="360" w:lineRule="auto"/>
              <w:jc w:val="center"/>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3</w:t>
            </w:r>
          </w:p>
        </w:tc>
        <w:tc>
          <w:tcPr>
            <w:tcW w:w="1602" w:type="dxa"/>
            <w:tcBorders>
              <w:top w:val="single" w:color="auto" w:sz="4" w:space="0"/>
              <w:left w:val="single" w:color="auto" w:sz="4" w:space="0"/>
              <w:bottom w:val="single" w:color="auto" w:sz="4" w:space="0"/>
              <w:right w:val="single" w:color="auto" w:sz="4" w:space="0"/>
            </w:tcBorders>
            <w:vAlign w:val="center"/>
          </w:tcPr>
          <w:p w14:paraId="30B2A548">
            <w:pPr>
              <w:keepNext w:val="0"/>
              <w:keepLines w:val="0"/>
              <w:pageBreakBefore w:val="0"/>
              <w:widowControl w:val="0"/>
              <w:kinsoku/>
              <w:wordWrap/>
              <w:overflowPunct/>
              <w:topLinePunct w:val="0"/>
              <w:autoSpaceDE/>
              <w:autoSpaceDN/>
              <w:bidi w:val="0"/>
              <w:adjustRightInd/>
              <w:spacing w:line="360" w:lineRule="auto"/>
              <w:jc w:val="center"/>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lang w:eastAsia="zh-CN"/>
              </w:rPr>
              <w:t>竞标</w:t>
            </w:r>
            <w:r>
              <w:rPr>
                <w:rFonts w:hint="eastAsia" w:ascii="宋体" w:hAnsi="宋体" w:cs="宋体"/>
                <w:color w:val="auto"/>
                <w:spacing w:val="0"/>
                <w:position w:val="0"/>
                <w:szCs w:val="21"/>
                <w:highlight w:val="none"/>
              </w:rPr>
              <w:t>报价</w:t>
            </w:r>
          </w:p>
        </w:tc>
        <w:tc>
          <w:tcPr>
            <w:tcW w:w="7399" w:type="dxa"/>
            <w:tcBorders>
              <w:top w:val="single" w:color="auto" w:sz="4" w:space="0"/>
              <w:left w:val="single" w:color="auto" w:sz="4" w:space="0"/>
              <w:bottom w:val="single" w:color="auto" w:sz="4" w:space="0"/>
              <w:right w:val="single" w:color="auto" w:sz="4" w:space="0"/>
            </w:tcBorders>
            <w:vAlign w:val="center"/>
          </w:tcPr>
          <w:p w14:paraId="4884B1FB">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cs="宋体"/>
                <w:color w:val="auto"/>
                <w:spacing w:val="0"/>
                <w:position w:val="0"/>
                <w:highlight w:val="none"/>
                <w:lang w:eastAsia="zh-CN"/>
              </w:rPr>
            </w:pPr>
            <w:r>
              <w:rPr>
                <w:rFonts w:hint="eastAsia" w:ascii="宋体" w:hAnsi="宋体" w:cs="宋体"/>
                <w:color w:val="auto"/>
                <w:spacing w:val="0"/>
                <w:position w:val="0"/>
                <w:highlight w:val="none"/>
                <w:lang w:val="en-US" w:eastAsia="zh-CN"/>
              </w:rPr>
              <w:t>竞标</w:t>
            </w:r>
            <w:r>
              <w:rPr>
                <w:rFonts w:hint="eastAsia" w:ascii="宋体" w:hAnsi="宋体" w:cs="宋体"/>
                <w:color w:val="auto"/>
                <w:spacing w:val="0"/>
                <w:position w:val="0"/>
                <w:highlight w:val="none"/>
                <w:lang w:eastAsia="zh-CN"/>
              </w:rPr>
              <w:t>报价：</w:t>
            </w:r>
          </w:p>
          <w:p w14:paraId="7213A7AB">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cs="宋体"/>
                <w:color w:val="auto"/>
                <w:spacing w:val="0"/>
                <w:position w:val="0"/>
                <w:highlight w:val="none"/>
                <w:lang w:eastAsia="zh-CN"/>
              </w:rPr>
            </w:pPr>
            <w:r>
              <w:rPr>
                <w:rFonts w:hint="eastAsia" w:ascii="宋体" w:hAnsi="宋体" w:cs="宋体"/>
                <w:color w:val="auto"/>
                <w:spacing w:val="0"/>
                <w:position w:val="0"/>
                <w:highlight w:val="none"/>
                <w:lang w:eastAsia="zh-CN"/>
              </w:rPr>
              <w:t xml:space="preserve">1.供应商必须就所投项目的全部内容作完整唯一报价，漏项报价的或有选择的或有条件的报价，其磋商将视为无效。                        </w:t>
            </w:r>
          </w:p>
          <w:p w14:paraId="7C049948">
            <w:pPr>
              <w:keepNext w:val="0"/>
              <w:keepLines w:val="0"/>
              <w:pageBreakBefore w:val="0"/>
              <w:widowControl w:val="0"/>
              <w:kinsoku/>
              <w:wordWrap/>
              <w:overflowPunct/>
              <w:topLinePunct w:val="0"/>
              <w:autoSpaceDE/>
              <w:autoSpaceDN/>
              <w:bidi w:val="0"/>
              <w:adjustRightInd/>
              <w:spacing w:line="360" w:lineRule="auto"/>
              <w:jc w:val="left"/>
              <w:textAlignment w:val="auto"/>
              <w:rPr>
                <w:rFonts w:ascii="宋体" w:hAnsi="宋体" w:cs="宋体"/>
                <w:color w:val="auto"/>
                <w:spacing w:val="0"/>
                <w:position w:val="0"/>
                <w:szCs w:val="21"/>
                <w:highlight w:val="none"/>
              </w:rPr>
            </w:pPr>
            <w:r>
              <w:rPr>
                <w:rFonts w:hint="eastAsia" w:ascii="宋体" w:hAnsi="宋体" w:cs="宋体"/>
                <w:color w:val="auto"/>
                <w:spacing w:val="0"/>
                <w:position w:val="0"/>
                <w:highlight w:val="none"/>
                <w:lang w:eastAsia="zh-CN"/>
              </w:rPr>
              <w:t>2.本项目报价采用</w:t>
            </w:r>
            <w:r>
              <w:rPr>
                <w:rFonts w:hint="eastAsia" w:ascii="宋体" w:hAnsi="宋体" w:cs="宋体"/>
                <w:color w:val="auto"/>
                <w:spacing w:val="0"/>
                <w:position w:val="0"/>
                <w:highlight w:val="none"/>
                <w:lang w:val="en-US" w:eastAsia="zh-CN"/>
              </w:rPr>
              <w:t>工程量清单报价</w:t>
            </w:r>
            <w:r>
              <w:rPr>
                <w:rFonts w:hint="eastAsia" w:ascii="宋体" w:hAnsi="宋体" w:cs="宋体"/>
                <w:color w:val="auto"/>
                <w:spacing w:val="0"/>
                <w:position w:val="0"/>
                <w:highlight w:val="none"/>
                <w:lang w:eastAsia="zh-CN"/>
              </w:rPr>
              <w:t>方式，合同价在合同实施期间因市场价格波动可调整合同价格，合同价含服务资料、人员成本、服务费、管理、材料、利润、税金、政策性文件规定及合同包含的应有风险、责任等各项应有费用。</w:t>
            </w:r>
          </w:p>
        </w:tc>
      </w:tr>
      <w:tr w14:paraId="2B7A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648" w:type="dxa"/>
            <w:tcBorders>
              <w:top w:val="single" w:color="auto" w:sz="4" w:space="0"/>
              <w:left w:val="single" w:color="auto" w:sz="4" w:space="0"/>
              <w:bottom w:val="single" w:color="auto" w:sz="4" w:space="0"/>
              <w:right w:val="single" w:color="auto" w:sz="4" w:space="0"/>
            </w:tcBorders>
            <w:vAlign w:val="center"/>
          </w:tcPr>
          <w:p w14:paraId="3C310503">
            <w:pPr>
              <w:keepNext w:val="0"/>
              <w:keepLines w:val="0"/>
              <w:pageBreakBefore w:val="0"/>
              <w:widowControl w:val="0"/>
              <w:kinsoku/>
              <w:wordWrap/>
              <w:overflowPunct/>
              <w:topLinePunct w:val="0"/>
              <w:autoSpaceDE/>
              <w:autoSpaceDN/>
              <w:bidi w:val="0"/>
              <w:adjustRightInd/>
              <w:spacing w:line="360" w:lineRule="auto"/>
              <w:jc w:val="center"/>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4</w:t>
            </w:r>
          </w:p>
        </w:tc>
        <w:tc>
          <w:tcPr>
            <w:tcW w:w="1602" w:type="dxa"/>
            <w:tcBorders>
              <w:top w:val="single" w:color="auto" w:sz="4" w:space="0"/>
              <w:left w:val="single" w:color="auto" w:sz="4" w:space="0"/>
              <w:bottom w:val="single" w:color="auto" w:sz="4" w:space="0"/>
              <w:right w:val="single" w:color="auto" w:sz="4" w:space="0"/>
            </w:tcBorders>
            <w:vAlign w:val="center"/>
          </w:tcPr>
          <w:p w14:paraId="2373CC80">
            <w:pPr>
              <w:keepNext w:val="0"/>
              <w:keepLines w:val="0"/>
              <w:pageBreakBefore w:val="0"/>
              <w:widowControl w:val="0"/>
              <w:kinsoku/>
              <w:wordWrap/>
              <w:overflowPunct/>
              <w:topLinePunct w:val="0"/>
              <w:autoSpaceDE/>
              <w:autoSpaceDN/>
              <w:bidi w:val="0"/>
              <w:adjustRightInd/>
              <w:spacing w:line="360" w:lineRule="auto"/>
              <w:jc w:val="center"/>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响应文件电子版要求</w:t>
            </w:r>
          </w:p>
        </w:tc>
        <w:tc>
          <w:tcPr>
            <w:tcW w:w="7399" w:type="dxa"/>
            <w:tcBorders>
              <w:top w:val="single" w:color="auto" w:sz="4" w:space="0"/>
              <w:left w:val="single" w:color="auto" w:sz="4" w:space="0"/>
              <w:bottom w:val="single" w:color="auto" w:sz="4" w:space="0"/>
              <w:right w:val="single" w:color="auto" w:sz="4" w:space="0"/>
            </w:tcBorders>
            <w:vAlign w:val="center"/>
          </w:tcPr>
          <w:p w14:paraId="1EF07D23">
            <w:pPr>
              <w:keepNext w:val="0"/>
              <w:keepLines w:val="0"/>
              <w:pageBreakBefore w:val="0"/>
              <w:widowControl w:val="0"/>
              <w:kinsoku/>
              <w:wordWrap/>
              <w:overflowPunct/>
              <w:topLinePunct w:val="0"/>
              <w:autoSpaceDE/>
              <w:autoSpaceDN/>
              <w:bidi w:val="0"/>
              <w:adjustRightInd/>
              <w:snapToGrid w:val="0"/>
              <w:spacing w:line="360" w:lineRule="auto"/>
              <w:ind w:left="0"/>
              <w:jc w:val="left"/>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1.响应文件电子版要求：按照本采购文件“</w:t>
            </w:r>
            <w:r>
              <w:rPr>
                <w:rFonts w:hint="eastAsia" w:ascii="宋体" w:hAnsi="宋体"/>
                <w:color w:val="auto"/>
                <w:spacing w:val="0"/>
                <w:position w:val="0"/>
                <w:szCs w:val="21"/>
                <w:highlight w:val="none"/>
              </w:rPr>
              <w:t>第五章 响应文件格式</w:t>
            </w:r>
            <w:r>
              <w:rPr>
                <w:rFonts w:hint="eastAsia" w:ascii="宋体" w:hAnsi="宋体" w:cs="宋体"/>
                <w:color w:val="auto"/>
                <w:spacing w:val="0"/>
                <w:position w:val="0"/>
                <w:szCs w:val="21"/>
                <w:highlight w:val="none"/>
              </w:rPr>
              <w:t>”编写（第五章未附格式的，由供应商自行拟定），不可涂改并在规定加盖公章处加盖电子公章，</w:t>
            </w:r>
            <w:r>
              <w:rPr>
                <w:rFonts w:hint="eastAsia" w:ascii="宋体" w:hAnsi="宋体" w:cs="宋体"/>
                <w:b/>
                <w:color w:val="auto"/>
                <w:spacing w:val="0"/>
                <w:position w:val="0"/>
                <w:szCs w:val="21"/>
                <w:highlight w:val="none"/>
              </w:rPr>
              <w:t>否则响应文件按无效响应处理</w:t>
            </w:r>
            <w:r>
              <w:rPr>
                <w:rFonts w:hint="eastAsia" w:ascii="宋体" w:hAnsi="宋体" w:cs="宋体"/>
                <w:color w:val="auto"/>
                <w:spacing w:val="0"/>
                <w:position w:val="0"/>
                <w:szCs w:val="21"/>
                <w:highlight w:val="none"/>
              </w:rPr>
              <w:t>。</w:t>
            </w:r>
          </w:p>
          <w:p w14:paraId="10C4794F">
            <w:pPr>
              <w:keepNext w:val="0"/>
              <w:keepLines w:val="0"/>
              <w:pageBreakBefore w:val="0"/>
              <w:widowControl w:val="0"/>
              <w:kinsoku/>
              <w:wordWrap/>
              <w:overflowPunct/>
              <w:topLinePunct w:val="0"/>
              <w:autoSpaceDE/>
              <w:autoSpaceDN/>
              <w:bidi w:val="0"/>
              <w:adjustRightInd/>
              <w:spacing w:line="360" w:lineRule="auto"/>
              <w:jc w:val="left"/>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2</w:t>
            </w:r>
            <w:r>
              <w:rPr>
                <w:rFonts w:hint="eastAsia" w:ascii="宋体" w:hAnsi="宋体" w:cs="Courier New"/>
                <w:color w:val="auto"/>
                <w:spacing w:val="0"/>
                <w:position w:val="0"/>
                <w:szCs w:val="21"/>
                <w:highlight w:val="none"/>
              </w:rPr>
              <w:t>.响应文件电子版密封方式：电子响应文件通过平台有效CA加密后在</w:t>
            </w:r>
            <w:r>
              <w:rPr>
                <w:rFonts w:hint="eastAsia" w:ascii="宋体" w:hAnsi="宋体" w:cs="Courier New"/>
                <w:color w:val="auto"/>
                <w:spacing w:val="0"/>
                <w:position w:val="0"/>
                <w:szCs w:val="21"/>
                <w:highlight w:val="none"/>
                <w:lang w:eastAsia="zh-CN"/>
              </w:rPr>
              <w:t>广西政府采购云平台递交</w:t>
            </w:r>
            <w:r>
              <w:rPr>
                <w:rFonts w:hint="eastAsia" w:ascii="宋体" w:hAnsi="宋体" w:cs="Courier New"/>
                <w:color w:val="auto"/>
                <w:spacing w:val="0"/>
                <w:position w:val="0"/>
                <w:szCs w:val="21"/>
                <w:highlight w:val="none"/>
              </w:rPr>
              <w:t>。</w:t>
            </w:r>
          </w:p>
        </w:tc>
      </w:tr>
      <w:tr w14:paraId="577F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648" w:type="dxa"/>
            <w:tcBorders>
              <w:top w:val="single" w:color="auto" w:sz="4" w:space="0"/>
              <w:left w:val="single" w:color="auto" w:sz="4" w:space="0"/>
              <w:bottom w:val="single" w:color="auto" w:sz="4" w:space="0"/>
              <w:right w:val="single" w:color="auto" w:sz="4" w:space="0"/>
            </w:tcBorders>
            <w:vAlign w:val="center"/>
          </w:tcPr>
          <w:p w14:paraId="2707C85A">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pacing w:val="0"/>
                <w:position w:val="0"/>
                <w:szCs w:val="21"/>
                <w:highlight w:val="none"/>
                <w:lang w:val="en-US" w:eastAsia="zh-CN"/>
              </w:rPr>
            </w:pPr>
            <w:r>
              <w:rPr>
                <w:rFonts w:hint="eastAsia" w:ascii="宋体" w:hAnsi="宋体" w:cs="宋体"/>
                <w:color w:val="auto"/>
                <w:spacing w:val="0"/>
                <w:position w:val="0"/>
                <w:szCs w:val="21"/>
                <w:highlight w:val="none"/>
                <w:lang w:val="en-US" w:eastAsia="zh-CN"/>
              </w:rPr>
              <w:t>5</w:t>
            </w:r>
          </w:p>
        </w:tc>
        <w:tc>
          <w:tcPr>
            <w:tcW w:w="1602" w:type="dxa"/>
            <w:tcBorders>
              <w:top w:val="single" w:color="auto" w:sz="4" w:space="0"/>
              <w:left w:val="single" w:color="auto" w:sz="4" w:space="0"/>
              <w:bottom w:val="single" w:color="auto" w:sz="4" w:space="0"/>
              <w:right w:val="single" w:color="auto" w:sz="4" w:space="0"/>
            </w:tcBorders>
            <w:vAlign w:val="center"/>
          </w:tcPr>
          <w:p w14:paraId="51654F43">
            <w:pPr>
              <w:keepNext w:val="0"/>
              <w:keepLines w:val="0"/>
              <w:pageBreakBefore w:val="0"/>
              <w:widowControl w:val="0"/>
              <w:kinsoku/>
              <w:wordWrap/>
              <w:overflowPunct/>
              <w:topLinePunct w:val="0"/>
              <w:autoSpaceDE/>
              <w:autoSpaceDN/>
              <w:bidi w:val="0"/>
              <w:adjustRightInd/>
              <w:spacing w:line="360" w:lineRule="auto"/>
              <w:ind w:left="0" w:leftChars="0"/>
              <w:jc w:val="center"/>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备份响应文件</w:t>
            </w:r>
          </w:p>
        </w:tc>
        <w:tc>
          <w:tcPr>
            <w:tcW w:w="7399" w:type="dxa"/>
            <w:tcBorders>
              <w:top w:val="single" w:color="auto" w:sz="4" w:space="0"/>
              <w:left w:val="single" w:color="auto" w:sz="4" w:space="0"/>
              <w:bottom w:val="single" w:color="auto" w:sz="4" w:space="0"/>
              <w:right w:val="single" w:color="auto" w:sz="4" w:space="0"/>
            </w:tcBorders>
            <w:vAlign w:val="center"/>
          </w:tcPr>
          <w:p w14:paraId="4E94E252">
            <w:pPr>
              <w:pStyle w:val="9"/>
              <w:keepNext w:val="0"/>
              <w:keepLines w:val="0"/>
              <w:pageBreakBefore w:val="0"/>
              <w:widowControl w:val="0"/>
              <w:kinsoku/>
              <w:wordWrap/>
              <w:overflowPunct/>
              <w:topLinePunct w:val="0"/>
              <w:autoSpaceDE/>
              <w:autoSpaceDN/>
              <w:bidi w:val="0"/>
              <w:adjustRightInd/>
              <w:spacing w:line="360" w:lineRule="auto"/>
              <w:ind w:left="0"/>
              <w:textAlignment w:val="auto"/>
              <w:rPr>
                <w:rFonts w:hint="eastAsia" w:ascii="宋体" w:hAnsi="宋体" w:eastAsia="宋体"/>
                <w:color w:val="auto"/>
                <w:spacing w:val="0"/>
                <w:position w:val="0"/>
                <w:szCs w:val="21"/>
                <w:highlight w:val="none"/>
                <w:lang w:val="en-US" w:eastAsia="zh-CN"/>
              </w:rPr>
            </w:pPr>
            <w:r>
              <w:rPr>
                <w:rFonts w:hint="eastAsia" w:ascii="宋体" w:hAnsi="宋体"/>
                <w:color w:val="auto"/>
                <w:spacing w:val="0"/>
                <w:position w:val="0"/>
                <w:szCs w:val="21"/>
                <w:highlight w:val="none"/>
                <w:lang w:val="en-US" w:eastAsia="zh-CN"/>
              </w:rPr>
              <w:t>☑</w:t>
            </w:r>
            <w:r>
              <w:rPr>
                <w:rFonts w:hint="eastAsia" w:ascii="宋体" w:hAnsi="宋体"/>
                <w:color w:val="auto"/>
                <w:spacing w:val="0"/>
                <w:position w:val="0"/>
                <w:szCs w:val="21"/>
                <w:highlight w:val="none"/>
              </w:rPr>
              <w:t>本项目不接受</w:t>
            </w:r>
            <w:r>
              <w:rPr>
                <w:color w:val="auto"/>
                <w:spacing w:val="0"/>
                <w:position w:val="0"/>
                <w:sz w:val="21"/>
                <w:highlight w:val="none"/>
              </w:rPr>
              <w:t>电子备份响应文件</w:t>
            </w:r>
            <w:r>
              <w:rPr>
                <w:rFonts w:hint="eastAsia"/>
                <w:color w:val="auto"/>
                <w:spacing w:val="0"/>
                <w:position w:val="0"/>
                <w:sz w:val="21"/>
                <w:highlight w:val="none"/>
                <w:lang w:eastAsia="zh-CN"/>
              </w:rPr>
              <w:t>。</w:t>
            </w:r>
          </w:p>
          <w:p w14:paraId="4BFD5645">
            <w:pPr>
              <w:pStyle w:val="9"/>
              <w:keepNext w:val="0"/>
              <w:keepLines w:val="0"/>
              <w:pageBreakBefore w:val="0"/>
              <w:widowControl w:val="0"/>
              <w:kinsoku/>
              <w:wordWrap/>
              <w:overflowPunct/>
              <w:topLinePunct w:val="0"/>
              <w:autoSpaceDE/>
              <w:autoSpaceDN/>
              <w:bidi w:val="0"/>
              <w:adjustRightInd/>
              <w:spacing w:line="360" w:lineRule="auto"/>
              <w:ind w:left="0"/>
              <w:textAlignment w:val="auto"/>
              <w:rPr>
                <w:rFonts w:hint="eastAsia" w:ascii="宋体" w:hAnsi="宋体" w:cs="宋体"/>
                <w:color w:val="auto"/>
                <w:spacing w:val="0"/>
                <w:position w:val="0"/>
                <w:szCs w:val="21"/>
                <w:highlight w:val="none"/>
              </w:rPr>
            </w:pPr>
            <w:r>
              <w:rPr>
                <w:rFonts w:hint="eastAsia" w:ascii="宋体" w:hAnsi="宋体"/>
                <w:color w:val="auto"/>
                <w:spacing w:val="0"/>
                <w:position w:val="0"/>
                <w:szCs w:val="21"/>
                <w:highlight w:val="none"/>
                <w:lang w:val="en-US" w:eastAsia="zh-CN"/>
              </w:rPr>
              <w:t>□</w:t>
            </w:r>
            <w:r>
              <w:rPr>
                <w:rFonts w:hint="eastAsia" w:ascii="宋体" w:hAnsi="宋体"/>
                <w:color w:val="auto"/>
                <w:spacing w:val="0"/>
                <w:position w:val="0"/>
                <w:szCs w:val="21"/>
                <w:highlight w:val="none"/>
              </w:rPr>
              <w:t>本项目接受</w:t>
            </w:r>
            <w:r>
              <w:rPr>
                <w:color w:val="auto"/>
                <w:spacing w:val="0"/>
                <w:position w:val="0"/>
                <w:sz w:val="21"/>
                <w:highlight w:val="none"/>
              </w:rPr>
              <w:t>电子备份响应文件</w:t>
            </w:r>
            <w:r>
              <w:rPr>
                <w:rFonts w:hint="eastAsia" w:ascii="宋体" w:hAnsi="宋体"/>
                <w:color w:val="auto"/>
                <w:spacing w:val="0"/>
                <w:position w:val="0"/>
                <w:szCs w:val="21"/>
                <w:highlight w:val="none"/>
                <w:lang w:eastAsia="zh-CN"/>
              </w:rPr>
              <w:t>。</w:t>
            </w:r>
          </w:p>
        </w:tc>
      </w:tr>
      <w:tr w14:paraId="7A90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48" w:type="dxa"/>
            <w:tcBorders>
              <w:top w:val="single" w:color="auto" w:sz="4" w:space="0"/>
              <w:left w:val="single" w:color="auto" w:sz="4" w:space="0"/>
              <w:bottom w:val="single" w:color="auto" w:sz="4" w:space="0"/>
              <w:right w:val="single" w:color="auto" w:sz="4" w:space="0"/>
            </w:tcBorders>
            <w:vAlign w:val="center"/>
          </w:tcPr>
          <w:p w14:paraId="0700197C">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pacing w:val="0"/>
                <w:position w:val="0"/>
                <w:szCs w:val="21"/>
                <w:highlight w:val="none"/>
                <w:lang w:eastAsia="zh-CN"/>
              </w:rPr>
            </w:pPr>
            <w:r>
              <w:rPr>
                <w:rFonts w:hint="eastAsia" w:ascii="宋体" w:hAnsi="宋体" w:cs="宋体"/>
                <w:color w:val="auto"/>
                <w:spacing w:val="0"/>
                <w:position w:val="0"/>
                <w:szCs w:val="21"/>
                <w:highlight w:val="none"/>
                <w:lang w:val="en-US" w:eastAsia="zh-CN"/>
              </w:rPr>
              <w:t>6</w:t>
            </w:r>
          </w:p>
        </w:tc>
        <w:tc>
          <w:tcPr>
            <w:tcW w:w="1602" w:type="dxa"/>
            <w:tcBorders>
              <w:top w:val="single" w:color="auto" w:sz="4" w:space="0"/>
              <w:left w:val="single" w:color="auto" w:sz="4" w:space="0"/>
              <w:bottom w:val="single" w:color="auto" w:sz="4" w:space="0"/>
              <w:right w:val="single" w:color="auto" w:sz="4" w:space="0"/>
            </w:tcBorders>
            <w:vAlign w:val="center"/>
          </w:tcPr>
          <w:p w14:paraId="62AA2836">
            <w:pPr>
              <w:keepNext w:val="0"/>
              <w:keepLines w:val="0"/>
              <w:pageBreakBefore w:val="0"/>
              <w:widowControl w:val="0"/>
              <w:kinsoku/>
              <w:wordWrap/>
              <w:overflowPunct/>
              <w:topLinePunct w:val="0"/>
              <w:autoSpaceDE/>
              <w:autoSpaceDN/>
              <w:bidi w:val="0"/>
              <w:adjustRightInd/>
              <w:spacing w:line="360" w:lineRule="auto"/>
              <w:jc w:val="center"/>
              <w:textAlignment w:val="auto"/>
              <w:rPr>
                <w:color w:val="auto"/>
                <w:spacing w:val="0"/>
                <w:position w:val="0"/>
                <w:highlight w:val="none"/>
              </w:rPr>
            </w:pPr>
            <w:r>
              <w:rPr>
                <w:rFonts w:hint="eastAsia"/>
                <w:color w:val="auto"/>
                <w:spacing w:val="0"/>
                <w:position w:val="0"/>
                <w:highlight w:val="none"/>
                <w:lang w:eastAsia="zh-CN"/>
              </w:rPr>
              <w:t>竞标</w:t>
            </w:r>
            <w:r>
              <w:rPr>
                <w:rFonts w:hint="eastAsia"/>
                <w:color w:val="auto"/>
                <w:spacing w:val="0"/>
                <w:position w:val="0"/>
                <w:highlight w:val="none"/>
              </w:rPr>
              <w:t>有效期</w:t>
            </w:r>
          </w:p>
        </w:tc>
        <w:tc>
          <w:tcPr>
            <w:tcW w:w="7399" w:type="dxa"/>
            <w:tcBorders>
              <w:top w:val="single" w:color="auto" w:sz="4" w:space="0"/>
              <w:left w:val="single" w:color="auto" w:sz="4" w:space="0"/>
              <w:bottom w:val="single" w:color="auto" w:sz="4" w:space="0"/>
              <w:right w:val="single" w:color="auto" w:sz="4" w:space="0"/>
            </w:tcBorders>
            <w:vAlign w:val="center"/>
          </w:tcPr>
          <w:p w14:paraId="477C97F3">
            <w:pPr>
              <w:keepNext w:val="0"/>
              <w:keepLines w:val="0"/>
              <w:pageBreakBefore w:val="0"/>
              <w:widowControl w:val="0"/>
              <w:kinsoku/>
              <w:wordWrap/>
              <w:overflowPunct/>
              <w:topLinePunct w:val="0"/>
              <w:autoSpaceDE/>
              <w:autoSpaceDN/>
              <w:bidi w:val="0"/>
              <w:adjustRightInd/>
              <w:spacing w:line="360" w:lineRule="auto"/>
              <w:jc w:val="left"/>
              <w:textAlignment w:val="auto"/>
              <w:rPr>
                <w:rFonts w:ascii="宋体" w:hAnsi="宋体" w:cs="宋体"/>
                <w:color w:val="auto"/>
                <w:spacing w:val="0"/>
                <w:position w:val="0"/>
                <w:szCs w:val="21"/>
                <w:highlight w:val="none"/>
              </w:rPr>
            </w:pPr>
            <w:r>
              <w:rPr>
                <w:rFonts w:hint="eastAsia"/>
                <w:color w:val="auto"/>
                <w:spacing w:val="0"/>
                <w:position w:val="0"/>
                <w:highlight w:val="none"/>
                <w:lang w:eastAsia="zh-CN"/>
              </w:rPr>
              <w:t>竞</w:t>
            </w:r>
            <w:r>
              <w:rPr>
                <w:rFonts w:hint="eastAsia" w:ascii="宋体" w:hAnsi="宋体" w:cs="宋体"/>
                <w:color w:val="auto"/>
                <w:spacing w:val="0"/>
                <w:position w:val="0"/>
                <w:szCs w:val="21"/>
                <w:highlight w:val="none"/>
                <w:lang w:eastAsia="zh-CN"/>
              </w:rPr>
              <w:t>标</w:t>
            </w:r>
            <w:r>
              <w:rPr>
                <w:rFonts w:hint="eastAsia" w:ascii="宋体" w:hAnsi="宋体" w:cs="宋体"/>
                <w:color w:val="auto"/>
                <w:spacing w:val="0"/>
                <w:position w:val="0"/>
                <w:szCs w:val="21"/>
                <w:highlight w:val="none"/>
              </w:rPr>
              <w:t>有效期：</w:t>
            </w:r>
            <w:r>
              <w:rPr>
                <w:rFonts w:hint="eastAsia"/>
                <w:color w:val="auto"/>
                <w:spacing w:val="0"/>
                <w:position w:val="0"/>
                <w:highlight w:val="none"/>
                <w:lang w:eastAsia="zh-CN"/>
              </w:rPr>
              <w:t>竞</w:t>
            </w:r>
            <w:r>
              <w:rPr>
                <w:rFonts w:hint="eastAsia" w:ascii="宋体" w:hAnsi="宋体" w:cs="宋体"/>
                <w:color w:val="auto"/>
                <w:spacing w:val="0"/>
                <w:position w:val="0"/>
                <w:szCs w:val="21"/>
                <w:highlight w:val="none"/>
                <w:lang w:eastAsia="zh-CN"/>
              </w:rPr>
              <w:t>标</w:t>
            </w:r>
            <w:r>
              <w:rPr>
                <w:rFonts w:hint="eastAsia" w:ascii="宋体" w:hAnsi="宋体" w:cs="宋体"/>
                <w:color w:val="auto"/>
                <w:spacing w:val="0"/>
                <w:position w:val="0"/>
                <w:szCs w:val="21"/>
                <w:highlight w:val="none"/>
              </w:rPr>
              <w:t>截止日期后</w:t>
            </w:r>
            <w:r>
              <w:rPr>
                <w:rFonts w:hint="eastAsia" w:ascii="宋体" w:hAnsi="宋体" w:cs="宋体"/>
                <w:color w:val="auto"/>
                <w:spacing w:val="0"/>
                <w:position w:val="0"/>
                <w:szCs w:val="21"/>
                <w:highlight w:val="none"/>
                <w:lang w:val="en-US" w:eastAsia="zh-CN"/>
              </w:rPr>
              <w:t>90</w:t>
            </w:r>
            <w:r>
              <w:rPr>
                <w:rFonts w:hint="eastAsia" w:ascii="宋体" w:hAnsi="宋体" w:cs="宋体"/>
                <w:color w:val="auto"/>
                <w:spacing w:val="0"/>
                <w:position w:val="0"/>
                <w:szCs w:val="21"/>
                <w:highlight w:val="none"/>
              </w:rPr>
              <w:t>天</w:t>
            </w:r>
          </w:p>
        </w:tc>
      </w:tr>
      <w:tr w14:paraId="209CB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48" w:type="dxa"/>
            <w:tcBorders>
              <w:top w:val="single" w:color="auto" w:sz="4" w:space="0"/>
              <w:left w:val="single" w:color="auto" w:sz="4" w:space="0"/>
              <w:bottom w:val="single" w:color="auto" w:sz="4" w:space="0"/>
              <w:right w:val="single" w:color="auto" w:sz="4" w:space="0"/>
            </w:tcBorders>
            <w:vAlign w:val="center"/>
          </w:tcPr>
          <w:p w14:paraId="766D5E8C">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pacing w:val="0"/>
                <w:position w:val="0"/>
                <w:szCs w:val="21"/>
                <w:highlight w:val="none"/>
                <w:lang w:val="en-US" w:eastAsia="zh-CN"/>
              </w:rPr>
            </w:pPr>
            <w:r>
              <w:rPr>
                <w:rFonts w:hint="eastAsia" w:ascii="宋体" w:hAnsi="宋体" w:cs="宋体"/>
                <w:color w:val="auto"/>
                <w:spacing w:val="0"/>
                <w:position w:val="0"/>
                <w:szCs w:val="21"/>
                <w:highlight w:val="none"/>
                <w:lang w:val="en-US" w:eastAsia="zh-CN"/>
              </w:rPr>
              <w:t>7</w:t>
            </w:r>
          </w:p>
        </w:tc>
        <w:tc>
          <w:tcPr>
            <w:tcW w:w="1602" w:type="dxa"/>
            <w:tcBorders>
              <w:top w:val="single" w:color="auto" w:sz="4" w:space="0"/>
              <w:left w:val="single" w:color="auto" w:sz="4" w:space="0"/>
              <w:bottom w:val="single" w:color="auto" w:sz="4" w:space="0"/>
              <w:right w:val="single" w:color="auto" w:sz="4" w:space="0"/>
            </w:tcBorders>
            <w:vAlign w:val="center"/>
          </w:tcPr>
          <w:p w14:paraId="3C78842D">
            <w:pPr>
              <w:keepNext w:val="0"/>
              <w:keepLines w:val="0"/>
              <w:pageBreakBefore w:val="0"/>
              <w:widowControl w:val="0"/>
              <w:kinsoku/>
              <w:wordWrap/>
              <w:overflowPunct/>
              <w:topLinePunct w:val="0"/>
              <w:autoSpaceDE/>
              <w:autoSpaceDN/>
              <w:bidi w:val="0"/>
              <w:adjustRightInd/>
              <w:spacing w:line="360" w:lineRule="auto"/>
              <w:jc w:val="center"/>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磋商保证金</w:t>
            </w:r>
          </w:p>
        </w:tc>
        <w:tc>
          <w:tcPr>
            <w:tcW w:w="7399" w:type="dxa"/>
            <w:tcBorders>
              <w:top w:val="single" w:color="auto" w:sz="4" w:space="0"/>
              <w:left w:val="single" w:color="auto" w:sz="4" w:space="0"/>
              <w:bottom w:val="single" w:color="auto" w:sz="4" w:space="0"/>
              <w:right w:val="single" w:color="auto" w:sz="4" w:space="0"/>
            </w:tcBorders>
            <w:vAlign w:val="center"/>
          </w:tcPr>
          <w:p w14:paraId="2F2E132F">
            <w:pPr>
              <w:pStyle w:val="13"/>
              <w:keepNext w:val="0"/>
              <w:keepLines w:val="0"/>
              <w:pageBreakBefore w:val="0"/>
              <w:widowControl w:val="0"/>
              <w:kinsoku/>
              <w:wordWrap/>
              <w:overflowPunct/>
              <w:topLinePunct w:val="0"/>
              <w:bidi w:val="0"/>
              <w:adjustRightInd/>
              <w:spacing w:line="360" w:lineRule="auto"/>
              <w:textAlignment w:val="auto"/>
              <w:rPr>
                <w:rFonts w:hint="default" w:hAnsi="宋体" w:cs="宋体"/>
                <w:color w:val="auto"/>
                <w:spacing w:val="0"/>
                <w:kern w:val="0"/>
                <w:position w:val="0"/>
                <w:szCs w:val="21"/>
                <w:highlight w:val="none"/>
                <w:lang w:val="en-US" w:eastAsia="zh-CN"/>
              </w:rPr>
            </w:pPr>
            <w:r>
              <w:rPr>
                <w:rFonts w:hint="eastAsia" w:hAnsi="宋体" w:cs="宋体"/>
                <w:color w:val="auto"/>
                <w:spacing w:val="0"/>
                <w:kern w:val="0"/>
                <w:position w:val="0"/>
                <w:szCs w:val="21"/>
                <w:highlight w:val="none"/>
                <w:lang w:eastAsia="zh-CN"/>
              </w:rPr>
              <w:t>本项目是否要求收取磋商保证金：</w:t>
            </w:r>
            <w:r>
              <w:rPr>
                <w:rFonts w:hint="eastAsia" w:hAnsi="宋体" w:cs="宋体"/>
                <w:color w:val="auto"/>
                <w:spacing w:val="0"/>
                <w:kern w:val="0"/>
                <w:position w:val="0"/>
                <w:szCs w:val="21"/>
                <w:highlight w:val="none"/>
                <w:lang w:val="en-US" w:eastAsia="zh-CN"/>
              </w:rPr>
              <w:t>不要求</w:t>
            </w:r>
          </w:p>
          <w:p w14:paraId="5B822F97">
            <w:pPr>
              <w:pStyle w:val="13"/>
              <w:keepNext w:val="0"/>
              <w:keepLines w:val="0"/>
              <w:pageBreakBefore w:val="0"/>
              <w:widowControl w:val="0"/>
              <w:kinsoku/>
              <w:wordWrap/>
              <w:overflowPunct/>
              <w:topLinePunct w:val="0"/>
              <w:bidi w:val="0"/>
              <w:adjustRightInd/>
              <w:spacing w:line="360" w:lineRule="auto"/>
              <w:textAlignment w:val="auto"/>
              <w:rPr>
                <w:rFonts w:hAnsi="宋体" w:cs="宋体"/>
                <w:color w:val="auto"/>
                <w:spacing w:val="0"/>
                <w:kern w:val="0"/>
                <w:position w:val="0"/>
                <w:szCs w:val="21"/>
                <w:highlight w:val="none"/>
              </w:rPr>
            </w:pPr>
            <w:r>
              <w:rPr>
                <w:rFonts w:hint="eastAsia" w:hAnsi="宋体" w:cs="宋体"/>
                <w:color w:val="auto"/>
                <w:spacing w:val="0"/>
                <w:kern w:val="0"/>
                <w:position w:val="0"/>
                <w:szCs w:val="21"/>
                <w:highlight w:val="none"/>
                <w:lang w:eastAsia="zh-CN"/>
              </w:rPr>
              <w:t>磋商</w:t>
            </w:r>
            <w:r>
              <w:rPr>
                <w:rFonts w:hint="eastAsia" w:hAnsi="宋体" w:cs="宋体"/>
                <w:color w:val="auto"/>
                <w:spacing w:val="0"/>
                <w:kern w:val="0"/>
                <w:position w:val="0"/>
                <w:szCs w:val="21"/>
                <w:highlight w:val="none"/>
              </w:rPr>
              <w:t>保证金</w:t>
            </w:r>
            <w:r>
              <w:rPr>
                <w:rFonts w:hint="eastAsia" w:hAnsi="宋体" w:cs="宋体"/>
                <w:color w:val="auto"/>
                <w:spacing w:val="0"/>
                <w:kern w:val="0"/>
                <w:position w:val="0"/>
                <w:szCs w:val="21"/>
                <w:highlight w:val="none"/>
                <w:lang w:eastAsia="zh-CN"/>
              </w:rPr>
              <w:t>：</w:t>
            </w:r>
            <w:r>
              <w:rPr>
                <w:rFonts w:hint="eastAsia" w:hAnsi="宋体"/>
                <w:color w:val="auto"/>
                <w:spacing w:val="0"/>
                <w:position w:val="0"/>
                <w:szCs w:val="21"/>
                <w:highlight w:val="none"/>
                <w:u w:val="single"/>
                <w:lang w:val="en-US" w:eastAsia="zh-CN"/>
              </w:rPr>
              <w:t xml:space="preserve">  / </w:t>
            </w:r>
            <w:r>
              <w:rPr>
                <w:rFonts w:hint="eastAsia" w:hAnsi="宋体"/>
                <w:color w:val="auto"/>
                <w:spacing w:val="0"/>
                <w:position w:val="0"/>
                <w:szCs w:val="21"/>
                <w:highlight w:val="none"/>
              </w:rPr>
              <w:t>元整</w:t>
            </w:r>
            <w:r>
              <w:rPr>
                <w:rFonts w:hint="eastAsia" w:hAnsi="宋体" w:cs="宋体"/>
                <w:color w:val="auto"/>
                <w:spacing w:val="0"/>
                <w:kern w:val="0"/>
                <w:position w:val="0"/>
                <w:szCs w:val="21"/>
                <w:highlight w:val="none"/>
              </w:rPr>
              <w:t>。</w:t>
            </w:r>
          </w:p>
          <w:p w14:paraId="56CF7551">
            <w:pPr>
              <w:pStyle w:val="13"/>
              <w:keepNext w:val="0"/>
              <w:keepLines w:val="0"/>
              <w:pageBreakBefore w:val="0"/>
              <w:widowControl w:val="0"/>
              <w:kinsoku/>
              <w:wordWrap/>
              <w:overflowPunct/>
              <w:topLinePunct w:val="0"/>
              <w:bidi w:val="0"/>
              <w:adjustRightInd/>
              <w:spacing w:line="360" w:lineRule="auto"/>
              <w:textAlignment w:val="auto"/>
              <w:rPr>
                <w:rFonts w:hAnsi="宋体" w:cs="宋体"/>
                <w:color w:val="auto"/>
                <w:spacing w:val="0"/>
                <w:kern w:val="0"/>
                <w:position w:val="0"/>
                <w:szCs w:val="21"/>
                <w:highlight w:val="none"/>
              </w:rPr>
            </w:pPr>
            <w:r>
              <w:rPr>
                <w:rFonts w:hint="eastAsia" w:hAnsi="宋体"/>
                <w:color w:val="auto"/>
                <w:spacing w:val="0"/>
                <w:position w:val="0"/>
                <w:szCs w:val="21"/>
                <w:highlight w:val="none"/>
                <w:lang w:eastAsia="zh-CN"/>
              </w:rPr>
              <w:t>磋商</w:t>
            </w:r>
            <w:r>
              <w:rPr>
                <w:rFonts w:hint="eastAsia" w:hAnsi="宋体"/>
                <w:color w:val="auto"/>
                <w:spacing w:val="0"/>
                <w:position w:val="0"/>
                <w:szCs w:val="21"/>
                <w:highlight w:val="none"/>
              </w:rPr>
              <w:t>保证金缴纳形式：银行转账、支票、汇票、本票或者银行、</w:t>
            </w:r>
            <w:r>
              <w:rPr>
                <w:rFonts w:hint="eastAsia" w:hAnsi="宋体"/>
                <w:color w:val="auto"/>
                <w:spacing w:val="0"/>
                <w:position w:val="0"/>
                <w:szCs w:val="21"/>
                <w:highlight w:val="none"/>
                <w:lang w:eastAsia="zh-CN"/>
              </w:rPr>
              <w:t>保险机构出具的保函、保险单</w:t>
            </w:r>
            <w:r>
              <w:rPr>
                <w:rFonts w:hint="eastAsia" w:hAnsi="宋体"/>
                <w:color w:val="auto"/>
                <w:spacing w:val="0"/>
                <w:position w:val="0"/>
                <w:szCs w:val="21"/>
                <w:highlight w:val="none"/>
              </w:rPr>
              <w:t>，禁止采用现钞方式。</w:t>
            </w:r>
          </w:p>
          <w:p w14:paraId="6B99CA91">
            <w:pPr>
              <w:pStyle w:val="13"/>
              <w:keepNext w:val="0"/>
              <w:keepLines w:val="0"/>
              <w:pageBreakBefore w:val="0"/>
              <w:widowControl w:val="0"/>
              <w:kinsoku/>
              <w:wordWrap/>
              <w:overflowPunct/>
              <w:topLinePunct w:val="0"/>
              <w:bidi w:val="0"/>
              <w:adjustRightInd/>
              <w:spacing w:line="360" w:lineRule="auto"/>
              <w:textAlignment w:val="auto"/>
              <w:rPr>
                <w:rFonts w:hint="eastAsia" w:hAnsi="宋体" w:eastAsia="宋体" w:cs="宋体"/>
                <w:color w:val="auto"/>
                <w:spacing w:val="0"/>
                <w:kern w:val="0"/>
                <w:position w:val="0"/>
                <w:szCs w:val="21"/>
                <w:highlight w:val="none"/>
                <w:lang w:eastAsia="zh-CN"/>
              </w:rPr>
            </w:pPr>
            <w:r>
              <w:rPr>
                <w:rFonts w:hint="eastAsia" w:hAnsi="宋体" w:cs="宋体"/>
                <w:color w:val="auto"/>
                <w:spacing w:val="0"/>
                <w:kern w:val="0"/>
                <w:position w:val="0"/>
                <w:szCs w:val="21"/>
                <w:highlight w:val="none"/>
              </w:rPr>
              <w:t>采用银行转账方式的，</w:t>
            </w:r>
            <w:r>
              <w:rPr>
                <w:rFonts w:hint="eastAsia" w:hAnsi="宋体" w:cs="宋体"/>
                <w:color w:val="auto"/>
                <w:spacing w:val="0"/>
                <w:kern w:val="0"/>
                <w:position w:val="0"/>
                <w:szCs w:val="21"/>
                <w:highlight w:val="none"/>
                <w:lang w:eastAsia="zh-CN"/>
              </w:rPr>
              <w:t>竞</w:t>
            </w:r>
            <w:r>
              <w:rPr>
                <w:rFonts w:hint="eastAsia" w:hAnsi="宋体" w:cs="宋体"/>
                <w:color w:val="auto"/>
                <w:spacing w:val="0"/>
                <w:kern w:val="0"/>
                <w:position w:val="0"/>
                <w:szCs w:val="21"/>
                <w:highlight w:val="none"/>
              </w:rPr>
              <w:t>标人将</w:t>
            </w:r>
            <w:r>
              <w:rPr>
                <w:rFonts w:hint="eastAsia" w:hAnsi="宋体" w:cs="宋体"/>
                <w:color w:val="auto"/>
                <w:spacing w:val="0"/>
                <w:kern w:val="0"/>
                <w:position w:val="0"/>
                <w:szCs w:val="21"/>
                <w:highlight w:val="none"/>
                <w:lang w:eastAsia="zh-CN"/>
              </w:rPr>
              <w:t>磋商</w:t>
            </w:r>
            <w:r>
              <w:rPr>
                <w:rFonts w:hint="eastAsia" w:hAnsi="宋体" w:cs="宋体"/>
                <w:color w:val="auto"/>
                <w:spacing w:val="0"/>
                <w:kern w:val="0"/>
                <w:position w:val="0"/>
                <w:szCs w:val="21"/>
                <w:highlight w:val="none"/>
              </w:rPr>
              <w:t>保证金从</w:t>
            </w:r>
            <w:r>
              <w:rPr>
                <w:rFonts w:hint="eastAsia" w:hAnsi="宋体" w:cs="宋体"/>
                <w:color w:val="auto"/>
                <w:spacing w:val="0"/>
                <w:kern w:val="0"/>
                <w:position w:val="0"/>
                <w:szCs w:val="21"/>
                <w:highlight w:val="none"/>
                <w:lang w:eastAsia="zh-CN"/>
              </w:rPr>
              <w:t>竞</w:t>
            </w:r>
            <w:r>
              <w:rPr>
                <w:rFonts w:hint="eastAsia" w:hAnsi="宋体" w:cs="宋体"/>
                <w:color w:val="auto"/>
                <w:spacing w:val="0"/>
                <w:kern w:val="0"/>
                <w:position w:val="0"/>
                <w:szCs w:val="21"/>
                <w:highlight w:val="none"/>
              </w:rPr>
              <w:t>标人基本账户转出交至以下指定的</w:t>
            </w:r>
            <w:r>
              <w:rPr>
                <w:rFonts w:hint="eastAsia" w:hAnsi="宋体" w:cs="宋体"/>
                <w:color w:val="auto"/>
                <w:spacing w:val="0"/>
                <w:kern w:val="0"/>
                <w:position w:val="0"/>
                <w:szCs w:val="21"/>
                <w:highlight w:val="none"/>
                <w:lang w:eastAsia="zh-CN"/>
              </w:rPr>
              <w:t>磋商</w:t>
            </w:r>
            <w:r>
              <w:rPr>
                <w:rFonts w:hint="eastAsia" w:hAnsi="宋体" w:cs="宋体"/>
                <w:color w:val="auto"/>
                <w:spacing w:val="0"/>
                <w:kern w:val="0"/>
                <w:position w:val="0"/>
                <w:szCs w:val="21"/>
                <w:highlight w:val="none"/>
              </w:rPr>
              <w:t>保证金专用账户，且提交到指定账户时间不得迟于</w:t>
            </w:r>
            <w:r>
              <w:rPr>
                <w:rFonts w:hint="eastAsia" w:hAnsi="宋体" w:cs="宋体"/>
                <w:color w:val="auto"/>
                <w:spacing w:val="0"/>
                <w:kern w:val="0"/>
                <w:position w:val="0"/>
                <w:szCs w:val="21"/>
                <w:highlight w:val="none"/>
                <w:lang w:eastAsia="zh-CN"/>
              </w:rPr>
              <w:t>响应文件提交</w:t>
            </w:r>
            <w:r>
              <w:rPr>
                <w:rFonts w:hint="eastAsia" w:hAnsi="宋体" w:cs="宋体"/>
                <w:color w:val="auto"/>
                <w:spacing w:val="0"/>
                <w:kern w:val="0"/>
                <w:position w:val="0"/>
                <w:szCs w:val="21"/>
                <w:highlight w:val="none"/>
              </w:rPr>
              <w:t>截止时间（以到账为准）</w:t>
            </w:r>
            <w:r>
              <w:rPr>
                <w:rFonts w:hint="eastAsia" w:hAnsi="宋体" w:cs="宋体"/>
                <w:color w:val="auto"/>
                <w:spacing w:val="0"/>
                <w:kern w:val="0"/>
                <w:position w:val="0"/>
                <w:szCs w:val="21"/>
                <w:highlight w:val="none"/>
                <w:lang w:eastAsia="zh-CN"/>
              </w:rPr>
              <w:t>：</w:t>
            </w:r>
          </w:p>
          <w:p w14:paraId="1DF288C4">
            <w:pPr>
              <w:pStyle w:val="13"/>
              <w:keepNext w:val="0"/>
              <w:keepLines w:val="0"/>
              <w:pageBreakBefore w:val="0"/>
              <w:widowControl w:val="0"/>
              <w:kinsoku/>
              <w:wordWrap/>
              <w:overflowPunct/>
              <w:topLinePunct w:val="0"/>
              <w:bidi w:val="0"/>
              <w:adjustRightInd/>
              <w:spacing w:line="360" w:lineRule="auto"/>
              <w:textAlignment w:val="auto"/>
              <w:rPr>
                <w:rFonts w:hint="default" w:hAnsi="宋体" w:cs="宋体"/>
                <w:color w:val="auto"/>
                <w:spacing w:val="0"/>
                <w:kern w:val="0"/>
                <w:position w:val="0"/>
                <w:szCs w:val="21"/>
                <w:highlight w:val="none"/>
                <w:u w:val="none"/>
                <w:lang w:val="en-US"/>
              </w:rPr>
            </w:pPr>
            <w:r>
              <w:rPr>
                <w:rFonts w:hint="eastAsia" w:hAnsi="宋体" w:cs="宋体"/>
                <w:color w:val="auto"/>
                <w:spacing w:val="0"/>
                <w:kern w:val="0"/>
                <w:position w:val="0"/>
                <w:szCs w:val="21"/>
                <w:highlight w:val="none"/>
                <w:u w:val="none"/>
              </w:rPr>
              <w:t>开户行：</w:t>
            </w:r>
            <w:r>
              <w:rPr>
                <w:rFonts w:hint="eastAsia" w:hAnsi="宋体"/>
                <w:color w:val="auto"/>
                <w:spacing w:val="0"/>
                <w:position w:val="0"/>
                <w:szCs w:val="21"/>
                <w:highlight w:val="none"/>
                <w:u w:val="none"/>
                <w:lang w:val="en-US" w:eastAsia="zh-CN"/>
              </w:rPr>
              <w:t xml:space="preserve">/ </w:t>
            </w:r>
          </w:p>
          <w:p w14:paraId="2B06B418">
            <w:pPr>
              <w:pStyle w:val="13"/>
              <w:keepNext w:val="0"/>
              <w:keepLines w:val="0"/>
              <w:pageBreakBefore w:val="0"/>
              <w:widowControl w:val="0"/>
              <w:kinsoku/>
              <w:wordWrap/>
              <w:overflowPunct/>
              <w:topLinePunct w:val="0"/>
              <w:bidi w:val="0"/>
              <w:adjustRightInd/>
              <w:spacing w:line="360" w:lineRule="auto"/>
              <w:textAlignment w:val="auto"/>
              <w:rPr>
                <w:rFonts w:hAnsi="宋体" w:cs="宋体"/>
                <w:color w:val="auto"/>
                <w:spacing w:val="0"/>
                <w:kern w:val="0"/>
                <w:position w:val="0"/>
                <w:szCs w:val="21"/>
                <w:highlight w:val="none"/>
                <w:u w:val="none"/>
              </w:rPr>
            </w:pPr>
            <w:r>
              <w:rPr>
                <w:rFonts w:hint="eastAsia" w:hAnsi="宋体" w:cs="宋体"/>
                <w:color w:val="auto"/>
                <w:spacing w:val="0"/>
                <w:kern w:val="0"/>
                <w:position w:val="0"/>
                <w:szCs w:val="21"/>
                <w:highlight w:val="none"/>
                <w:u w:val="none"/>
              </w:rPr>
              <w:t>户名：</w:t>
            </w:r>
            <w:r>
              <w:rPr>
                <w:rFonts w:hint="eastAsia" w:hAnsi="宋体"/>
                <w:color w:val="auto"/>
                <w:spacing w:val="0"/>
                <w:position w:val="0"/>
                <w:szCs w:val="21"/>
                <w:highlight w:val="none"/>
                <w:u w:val="none"/>
                <w:lang w:val="en-US" w:eastAsia="zh-CN"/>
              </w:rPr>
              <w:t>/</w:t>
            </w:r>
          </w:p>
          <w:p w14:paraId="307707EC">
            <w:pPr>
              <w:pStyle w:val="13"/>
              <w:keepNext w:val="0"/>
              <w:keepLines w:val="0"/>
              <w:pageBreakBefore w:val="0"/>
              <w:widowControl w:val="0"/>
              <w:kinsoku/>
              <w:wordWrap/>
              <w:overflowPunct/>
              <w:topLinePunct w:val="0"/>
              <w:bidi w:val="0"/>
              <w:adjustRightInd/>
              <w:spacing w:line="360" w:lineRule="auto"/>
              <w:textAlignment w:val="auto"/>
              <w:rPr>
                <w:rFonts w:hint="eastAsia" w:eastAsia="宋体"/>
                <w:color w:val="auto"/>
                <w:spacing w:val="0"/>
                <w:position w:val="0"/>
                <w:highlight w:val="none"/>
                <w:lang w:eastAsia="zh-CN"/>
              </w:rPr>
            </w:pPr>
            <w:r>
              <w:rPr>
                <w:rFonts w:hint="eastAsia" w:hAnsi="宋体" w:cs="宋体"/>
                <w:color w:val="auto"/>
                <w:spacing w:val="0"/>
                <w:kern w:val="0"/>
                <w:position w:val="0"/>
                <w:szCs w:val="21"/>
                <w:highlight w:val="none"/>
                <w:u w:val="none"/>
              </w:rPr>
              <w:t xml:space="preserve">账号： </w:t>
            </w:r>
            <w:r>
              <w:rPr>
                <w:rFonts w:hint="eastAsia" w:hAnsi="宋体"/>
                <w:color w:val="auto"/>
                <w:spacing w:val="0"/>
                <w:position w:val="0"/>
                <w:szCs w:val="21"/>
                <w:highlight w:val="none"/>
                <w:u w:val="none"/>
                <w:lang w:val="en-US" w:eastAsia="zh-CN"/>
              </w:rPr>
              <w:t>/</w:t>
            </w:r>
          </w:p>
        </w:tc>
      </w:tr>
      <w:tr w14:paraId="115AA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648" w:type="dxa"/>
            <w:tcBorders>
              <w:top w:val="single" w:color="auto" w:sz="4" w:space="0"/>
              <w:left w:val="single" w:color="auto" w:sz="4" w:space="0"/>
              <w:bottom w:val="single" w:color="auto" w:sz="4" w:space="0"/>
              <w:right w:val="single" w:color="auto" w:sz="4" w:space="0"/>
            </w:tcBorders>
            <w:vAlign w:val="center"/>
          </w:tcPr>
          <w:p w14:paraId="16205889">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pacing w:val="0"/>
                <w:position w:val="0"/>
                <w:szCs w:val="21"/>
                <w:highlight w:val="none"/>
                <w:lang w:eastAsia="zh-CN"/>
              </w:rPr>
            </w:pPr>
            <w:r>
              <w:rPr>
                <w:rFonts w:hint="eastAsia" w:ascii="宋体" w:hAnsi="宋体" w:cs="宋体"/>
                <w:color w:val="auto"/>
                <w:spacing w:val="0"/>
                <w:position w:val="0"/>
                <w:szCs w:val="21"/>
                <w:highlight w:val="none"/>
                <w:lang w:val="en-US" w:eastAsia="zh-CN"/>
              </w:rPr>
              <w:t>8</w:t>
            </w:r>
          </w:p>
        </w:tc>
        <w:tc>
          <w:tcPr>
            <w:tcW w:w="1602" w:type="dxa"/>
            <w:tcBorders>
              <w:top w:val="single" w:color="auto" w:sz="4" w:space="0"/>
              <w:left w:val="single" w:color="auto" w:sz="4" w:space="0"/>
              <w:bottom w:val="single" w:color="auto" w:sz="4" w:space="0"/>
              <w:right w:val="single" w:color="auto" w:sz="4" w:space="0"/>
            </w:tcBorders>
            <w:vAlign w:val="center"/>
          </w:tcPr>
          <w:p w14:paraId="2806ACAA">
            <w:pPr>
              <w:keepNext w:val="0"/>
              <w:keepLines w:val="0"/>
              <w:pageBreakBefore w:val="0"/>
              <w:widowControl w:val="0"/>
              <w:kinsoku/>
              <w:wordWrap/>
              <w:overflowPunct/>
              <w:topLinePunct w:val="0"/>
              <w:autoSpaceDE/>
              <w:autoSpaceDN/>
              <w:bidi w:val="0"/>
              <w:adjustRightInd/>
              <w:spacing w:line="360" w:lineRule="auto"/>
              <w:jc w:val="center"/>
              <w:textAlignment w:val="auto"/>
              <w:rPr>
                <w:rFonts w:ascii="宋体" w:hAnsi="宋体" w:cs="宋体"/>
                <w:color w:val="auto"/>
                <w:spacing w:val="0"/>
                <w:position w:val="0"/>
                <w:szCs w:val="21"/>
                <w:highlight w:val="none"/>
              </w:rPr>
            </w:pPr>
            <w:r>
              <w:rPr>
                <w:rFonts w:hint="eastAsia" w:hAnsi="宋体" w:cs="宋体"/>
                <w:color w:val="auto"/>
                <w:spacing w:val="0"/>
                <w:position w:val="0"/>
                <w:highlight w:val="none"/>
                <w:lang w:eastAsia="zh-CN"/>
              </w:rPr>
              <w:t>响应</w:t>
            </w:r>
            <w:r>
              <w:rPr>
                <w:rFonts w:hint="eastAsia" w:hAnsi="宋体" w:cs="宋体"/>
                <w:color w:val="auto"/>
                <w:spacing w:val="0"/>
                <w:position w:val="0"/>
                <w:highlight w:val="none"/>
              </w:rPr>
              <w:t>文件递交截止时间和地点</w:t>
            </w:r>
          </w:p>
        </w:tc>
        <w:tc>
          <w:tcPr>
            <w:tcW w:w="7399" w:type="dxa"/>
            <w:tcBorders>
              <w:top w:val="single" w:color="auto" w:sz="4" w:space="0"/>
              <w:left w:val="single" w:color="auto" w:sz="4" w:space="0"/>
              <w:bottom w:val="single" w:color="auto" w:sz="4" w:space="0"/>
              <w:right w:val="single" w:color="auto" w:sz="4" w:space="0"/>
            </w:tcBorders>
            <w:vAlign w:val="center"/>
          </w:tcPr>
          <w:p w14:paraId="22E0DCBD">
            <w:pPr>
              <w:keepNext w:val="0"/>
              <w:keepLines w:val="0"/>
              <w:pageBreakBefore w:val="0"/>
              <w:widowControl w:val="0"/>
              <w:kinsoku/>
              <w:wordWrap/>
              <w:overflowPunct/>
              <w:topLinePunct w:val="0"/>
              <w:autoSpaceDE/>
              <w:autoSpaceDN/>
              <w:bidi w:val="0"/>
              <w:adjustRightInd/>
              <w:spacing w:line="360" w:lineRule="auto"/>
              <w:jc w:val="left"/>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详见竞争性磋商公告</w:t>
            </w:r>
          </w:p>
        </w:tc>
      </w:tr>
      <w:tr w14:paraId="331E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648" w:type="dxa"/>
            <w:tcBorders>
              <w:top w:val="single" w:color="auto" w:sz="4" w:space="0"/>
              <w:left w:val="single" w:color="auto" w:sz="4" w:space="0"/>
              <w:bottom w:val="single" w:color="auto" w:sz="4" w:space="0"/>
              <w:right w:val="single" w:color="auto" w:sz="4" w:space="0"/>
            </w:tcBorders>
            <w:vAlign w:val="center"/>
          </w:tcPr>
          <w:p w14:paraId="79116810">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pacing w:val="0"/>
                <w:position w:val="0"/>
                <w:szCs w:val="21"/>
                <w:highlight w:val="none"/>
                <w:lang w:eastAsia="zh-CN"/>
              </w:rPr>
            </w:pPr>
            <w:r>
              <w:rPr>
                <w:rFonts w:hint="eastAsia" w:ascii="宋体" w:hAnsi="宋体" w:cs="宋体"/>
                <w:color w:val="auto"/>
                <w:spacing w:val="0"/>
                <w:position w:val="0"/>
                <w:szCs w:val="21"/>
                <w:highlight w:val="none"/>
                <w:lang w:val="en-US" w:eastAsia="zh-CN"/>
              </w:rPr>
              <w:t>9</w:t>
            </w:r>
          </w:p>
        </w:tc>
        <w:tc>
          <w:tcPr>
            <w:tcW w:w="1602" w:type="dxa"/>
            <w:tcBorders>
              <w:top w:val="single" w:color="auto" w:sz="4" w:space="0"/>
              <w:left w:val="single" w:color="auto" w:sz="4" w:space="0"/>
              <w:bottom w:val="single" w:color="auto" w:sz="4" w:space="0"/>
              <w:right w:val="single" w:color="auto" w:sz="4" w:space="0"/>
            </w:tcBorders>
            <w:vAlign w:val="center"/>
          </w:tcPr>
          <w:p w14:paraId="00210ACC">
            <w:pPr>
              <w:keepNext w:val="0"/>
              <w:keepLines w:val="0"/>
              <w:pageBreakBefore w:val="0"/>
              <w:widowControl w:val="0"/>
              <w:kinsoku/>
              <w:wordWrap/>
              <w:overflowPunct/>
              <w:topLinePunct w:val="0"/>
              <w:autoSpaceDE/>
              <w:autoSpaceDN/>
              <w:bidi w:val="0"/>
              <w:adjustRightInd/>
              <w:spacing w:line="360" w:lineRule="auto"/>
              <w:jc w:val="center"/>
              <w:textAlignment w:val="auto"/>
              <w:rPr>
                <w:rFonts w:ascii="宋体" w:hAnsi="宋体" w:cs="宋体"/>
                <w:color w:val="auto"/>
                <w:spacing w:val="0"/>
                <w:position w:val="0"/>
                <w:szCs w:val="21"/>
                <w:highlight w:val="none"/>
              </w:rPr>
            </w:pPr>
            <w:r>
              <w:rPr>
                <w:rFonts w:hint="eastAsia" w:ascii="宋体" w:hAnsi="宋体" w:cs="宋体"/>
                <w:color w:val="auto"/>
                <w:spacing w:val="0"/>
                <w:position w:val="0"/>
                <w:highlight w:val="none"/>
              </w:rPr>
              <w:t>评标委员会的组建</w:t>
            </w:r>
          </w:p>
        </w:tc>
        <w:tc>
          <w:tcPr>
            <w:tcW w:w="7399" w:type="dxa"/>
            <w:tcBorders>
              <w:top w:val="single" w:color="auto" w:sz="4" w:space="0"/>
              <w:left w:val="single" w:color="auto" w:sz="4" w:space="0"/>
              <w:bottom w:val="single" w:color="auto" w:sz="4" w:space="0"/>
              <w:right w:val="single" w:color="auto" w:sz="4" w:space="0"/>
            </w:tcBorders>
            <w:vAlign w:val="center"/>
          </w:tcPr>
          <w:p w14:paraId="76D5A6A0">
            <w:pPr>
              <w:pStyle w:val="13"/>
              <w:keepNext w:val="0"/>
              <w:keepLines w:val="0"/>
              <w:pageBreakBefore w:val="0"/>
              <w:widowControl w:val="0"/>
              <w:kinsoku/>
              <w:wordWrap/>
              <w:overflowPunct/>
              <w:topLinePunct w:val="0"/>
              <w:autoSpaceDE/>
              <w:autoSpaceDN/>
              <w:bidi w:val="0"/>
              <w:adjustRightInd/>
              <w:spacing w:line="360" w:lineRule="auto"/>
              <w:jc w:val="left"/>
              <w:textAlignment w:val="auto"/>
              <w:rPr>
                <w:rFonts w:hAnsi="宋体" w:cs="宋体"/>
                <w:color w:val="auto"/>
                <w:spacing w:val="0"/>
                <w:position w:val="0"/>
                <w:highlight w:val="none"/>
              </w:rPr>
            </w:pPr>
            <w:r>
              <w:rPr>
                <w:rFonts w:hint="eastAsia" w:hAnsi="宋体" w:cs="宋体"/>
                <w:color w:val="auto"/>
                <w:spacing w:val="0"/>
                <w:position w:val="0"/>
                <w:highlight w:val="none"/>
              </w:rPr>
              <w:t>评标委员会构成：</w:t>
            </w:r>
            <w:r>
              <w:rPr>
                <w:rFonts w:hint="eastAsia" w:hAnsi="宋体" w:cs="宋体"/>
                <w:color w:val="auto"/>
                <w:spacing w:val="0"/>
                <w:position w:val="0"/>
                <w:highlight w:val="none"/>
                <w:lang w:val="en-US" w:eastAsia="zh-CN"/>
              </w:rPr>
              <w:t>3</w:t>
            </w:r>
            <w:r>
              <w:rPr>
                <w:rFonts w:hint="eastAsia" w:hAnsi="宋体" w:cs="宋体"/>
                <w:color w:val="auto"/>
                <w:spacing w:val="0"/>
                <w:position w:val="0"/>
                <w:highlight w:val="none"/>
              </w:rPr>
              <w:t>人，其中</w:t>
            </w:r>
            <w:r>
              <w:rPr>
                <w:rFonts w:hint="eastAsia" w:hAnsi="宋体" w:cs="宋体"/>
                <w:color w:val="auto"/>
                <w:spacing w:val="0"/>
                <w:position w:val="0"/>
                <w:highlight w:val="none"/>
                <w:lang w:val="en-US" w:eastAsia="zh-CN"/>
              </w:rPr>
              <w:t>采购单位</w:t>
            </w:r>
            <w:r>
              <w:rPr>
                <w:rFonts w:hint="eastAsia" w:hAnsi="宋体" w:cs="宋体"/>
                <w:color w:val="auto"/>
                <w:spacing w:val="0"/>
                <w:position w:val="0"/>
                <w:highlight w:val="none"/>
              </w:rPr>
              <w:t>委托代表</w:t>
            </w:r>
            <w:r>
              <w:rPr>
                <w:rFonts w:hint="eastAsia" w:hAnsi="宋体" w:cs="宋体"/>
                <w:color w:val="auto"/>
                <w:spacing w:val="0"/>
                <w:position w:val="0"/>
                <w:highlight w:val="none"/>
                <w:lang w:val="en-US" w:eastAsia="zh-CN"/>
              </w:rPr>
              <w:t>1</w:t>
            </w:r>
            <w:r>
              <w:rPr>
                <w:rFonts w:hint="eastAsia" w:hAnsi="宋体" w:cs="宋体"/>
                <w:color w:val="auto"/>
                <w:spacing w:val="0"/>
                <w:position w:val="0"/>
                <w:highlight w:val="none"/>
              </w:rPr>
              <w:t>人，专家</w:t>
            </w:r>
            <w:r>
              <w:rPr>
                <w:rFonts w:hint="eastAsia" w:hAnsi="宋体" w:cs="宋体"/>
                <w:color w:val="auto"/>
                <w:spacing w:val="0"/>
                <w:position w:val="0"/>
                <w:highlight w:val="none"/>
                <w:lang w:val="en-US" w:eastAsia="zh-CN"/>
              </w:rPr>
              <w:t>2</w:t>
            </w:r>
            <w:r>
              <w:rPr>
                <w:rFonts w:hint="eastAsia" w:hAnsi="宋体" w:cs="宋体"/>
                <w:color w:val="auto"/>
                <w:spacing w:val="0"/>
                <w:position w:val="0"/>
                <w:highlight w:val="none"/>
              </w:rPr>
              <w:t>人；</w:t>
            </w:r>
          </w:p>
          <w:p w14:paraId="3A53733A">
            <w:pPr>
              <w:keepNext w:val="0"/>
              <w:keepLines w:val="0"/>
              <w:pageBreakBefore w:val="0"/>
              <w:widowControl w:val="0"/>
              <w:kinsoku/>
              <w:wordWrap/>
              <w:overflowPunct/>
              <w:topLinePunct w:val="0"/>
              <w:autoSpaceDE/>
              <w:autoSpaceDN/>
              <w:bidi w:val="0"/>
              <w:adjustRightInd/>
              <w:spacing w:line="360" w:lineRule="auto"/>
              <w:jc w:val="left"/>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评标专家确定方式：随机抽取。</w:t>
            </w:r>
          </w:p>
        </w:tc>
      </w:tr>
      <w:tr w14:paraId="4B553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648" w:type="dxa"/>
            <w:tcBorders>
              <w:top w:val="single" w:color="auto" w:sz="4" w:space="0"/>
              <w:left w:val="single" w:color="auto" w:sz="4" w:space="0"/>
              <w:bottom w:val="single" w:color="auto" w:sz="4" w:space="0"/>
              <w:right w:val="single" w:color="auto" w:sz="4" w:space="0"/>
            </w:tcBorders>
            <w:vAlign w:val="center"/>
          </w:tcPr>
          <w:p w14:paraId="7F4409F5">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spacing w:val="0"/>
                <w:position w:val="0"/>
                <w:szCs w:val="21"/>
                <w:highlight w:val="none"/>
                <w:lang w:val="en-US" w:eastAsia="zh-CN"/>
              </w:rPr>
            </w:pPr>
            <w:r>
              <w:rPr>
                <w:rFonts w:hint="eastAsia" w:ascii="宋体" w:hAnsi="宋体" w:cs="宋体"/>
                <w:color w:val="auto"/>
                <w:spacing w:val="0"/>
                <w:position w:val="0"/>
                <w:szCs w:val="21"/>
                <w:highlight w:val="none"/>
                <w:lang w:val="en-US" w:eastAsia="zh-CN"/>
              </w:rPr>
              <w:t>10</w:t>
            </w:r>
          </w:p>
        </w:tc>
        <w:tc>
          <w:tcPr>
            <w:tcW w:w="1602" w:type="dxa"/>
            <w:tcBorders>
              <w:top w:val="single" w:color="auto" w:sz="4" w:space="0"/>
              <w:left w:val="single" w:color="auto" w:sz="4" w:space="0"/>
              <w:bottom w:val="single" w:color="auto" w:sz="4" w:space="0"/>
              <w:right w:val="single" w:color="auto" w:sz="4" w:space="0"/>
            </w:tcBorders>
            <w:vAlign w:val="center"/>
          </w:tcPr>
          <w:p w14:paraId="356E1211">
            <w:pPr>
              <w:keepNext w:val="0"/>
              <w:keepLines w:val="0"/>
              <w:pageBreakBefore w:val="0"/>
              <w:widowControl w:val="0"/>
              <w:kinsoku/>
              <w:wordWrap/>
              <w:overflowPunct/>
              <w:topLinePunct w:val="0"/>
              <w:autoSpaceDE/>
              <w:autoSpaceDN/>
              <w:bidi w:val="0"/>
              <w:adjustRightInd/>
              <w:spacing w:line="360" w:lineRule="auto"/>
              <w:jc w:val="center"/>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磋商时间和地点</w:t>
            </w:r>
          </w:p>
        </w:tc>
        <w:tc>
          <w:tcPr>
            <w:tcW w:w="7399" w:type="dxa"/>
            <w:tcBorders>
              <w:top w:val="single" w:color="auto" w:sz="4" w:space="0"/>
              <w:left w:val="single" w:color="auto" w:sz="4" w:space="0"/>
              <w:bottom w:val="single" w:color="auto" w:sz="4" w:space="0"/>
              <w:right w:val="single" w:color="auto" w:sz="4" w:space="0"/>
            </w:tcBorders>
            <w:vAlign w:val="center"/>
          </w:tcPr>
          <w:p w14:paraId="357F66C7">
            <w:pPr>
              <w:keepNext w:val="0"/>
              <w:keepLines w:val="0"/>
              <w:pageBreakBefore w:val="0"/>
              <w:widowControl w:val="0"/>
              <w:kinsoku/>
              <w:wordWrap/>
              <w:overflowPunct/>
              <w:topLinePunct w:val="0"/>
              <w:autoSpaceDE/>
              <w:autoSpaceDN/>
              <w:bidi w:val="0"/>
              <w:adjustRightInd/>
              <w:spacing w:line="360" w:lineRule="auto"/>
              <w:jc w:val="left"/>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详见竞争性磋商公告</w:t>
            </w:r>
          </w:p>
        </w:tc>
      </w:tr>
      <w:tr w14:paraId="38577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648" w:type="dxa"/>
            <w:tcBorders>
              <w:top w:val="single" w:color="auto" w:sz="4" w:space="0"/>
              <w:left w:val="single" w:color="auto" w:sz="4" w:space="0"/>
              <w:bottom w:val="single" w:color="auto" w:sz="4" w:space="0"/>
              <w:right w:val="single" w:color="auto" w:sz="4" w:space="0"/>
            </w:tcBorders>
            <w:vAlign w:val="center"/>
          </w:tcPr>
          <w:p w14:paraId="3AEF46AE">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pacing w:val="0"/>
                <w:position w:val="0"/>
                <w:szCs w:val="21"/>
                <w:highlight w:val="none"/>
                <w:lang w:eastAsia="zh-CN"/>
              </w:rPr>
            </w:pPr>
            <w:r>
              <w:rPr>
                <w:rFonts w:hint="eastAsia" w:ascii="宋体" w:hAnsi="宋体" w:cs="宋体"/>
                <w:color w:val="auto"/>
                <w:spacing w:val="0"/>
                <w:position w:val="0"/>
                <w:szCs w:val="21"/>
                <w:highlight w:val="none"/>
              </w:rPr>
              <w:t>1</w:t>
            </w:r>
            <w:r>
              <w:rPr>
                <w:rFonts w:hint="eastAsia" w:ascii="宋体" w:hAnsi="宋体" w:cs="宋体"/>
                <w:color w:val="auto"/>
                <w:spacing w:val="0"/>
                <w:position w:val="0"/>
                <w:szCs w:val="21"/>
                <w:highlight w:val="none"/>
                <w:lang w:val="en-US" w:eastAsia="zh-CN"/>
              </w:rPr>
              <w:t>1</w:t>
            </w:r>
          </w:p>
        </w:tc>
        <w:tc>
          <w:tcPr>
            <w:tcW w:w="1602" w:type="dxa"/>
            <w:tcBorders>
              <w:top w:val="single" w:color="auto" w:sz="4" w:space="0"/>
              <w:left w:val="single" w:color="auto" w:sz="4" w:space="0"/>
              <w:bottom w:val="single" w:color="auto" w:sz="4" w:space="0"/>
              <w:right w:val="single" w:color="auto" w:sz="4" w:space="0"/>
            </w:tcBorders>
            <w:vAlign w:val="center"/>
          </w:tcPr>
          <w:p w14:paraId="648AA3D7">
            <w:pPr>
              <w:keepNext w:val="0"/>
              <w:keepLines w:val="0"/>
              <w:pageBreakBefore w:val="0"/>
              <w:widowControl w:val="0"/>
              <w:kinsoku/>
              <w:wordWrap/>
              <w:overflowPunct/>
              <w:topLinePunct w:val="0"/>
              <w:autoSpaceDE/>
              <w:autoSpaceDN/>
              <w:bidi w:val="0"/>
              <w:adjustRightInd/>
              <w:spacing w:line="360" w:lineRule="auto"/>
              <w:jc w:val="center"/>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评标方法</w:t>
            </w:r>
          </w:p>
        </w:tc>
        <w:tc>
          <w:tcPr>
            <w:tcW w:w="7399" w:type="dxa"/>
            <w:tcBorders>
              <w:top w:val="single" w:color="auto" w:sz="4" w:space="0"/>
              <w:left w:val="single" w:color="auto" w:sz="4" w:space="0"/>
              <w:bottom w:val="single" w:color="auto" w:sz="4" w:space="0"/>
              <w:right w:val="single" w:color="auto" w:sz="4" w:space="0"/>
            </w:tcBorders>
            <w:vAlign w:val="center"/>
          </w:tcPr>
          <w:p w14:paraId="34EE65F3">
            <w:pPr>
              <w:keepNext w:val="0"/>
              <w:keepLines w:val="0"/>
              <w:pageBreakBefore w:val="0"/>
              <w:widowControl w:val="0"/>
              <w:kinsoku/>
              <w:wordWrap/>
              <w:overflowPunct/>
              <w:topLinePunct w:val="0"/>
              <w:autoSpaceDE/>
              <w:autoSpaceDN/>
              <w:bidi w:val="0"/>
              <w:adjustRightInd/>
              <w:spacing w:line="360" w:lineRule="auto"/>
              <w:jc w:val="left"/>
              <w:textAlignment w:val="auto"/>
              <w:rPr>
                <w:rFonts w:ascii="宋体" w:hAnsi="宋体" w:cs="宋体"/>
                <w:color w:val="auto"/>
                <w:spacing w:val="0"/>
                <w:position w:val="0"/>
                <w:szCs w:val="21"/>
                <w:highlight w:val="none"/>
              </w:rPr>
            </w:pPr>
            <w:r>
              <w:rPr>
                <w:rFonts w:hint="eastAsia" w:ascii="宋体" w:hAnsi="宋体"/>
                <w:color w:val="auto"/>
                <w:spacing w:val="0"/>
                <w:position w:val="0"/>
                <w:szCs w:val="21"/>
                <w:highlight w:val="none"/>
              </w:rPr>
              <w:t>评标方法：</w:t>
            </w:r>
            <w:r>
              <w:rPr>
                <w:rFonts w:hint="eastAsia"/>
                <w:color w:val="auto"/>
                <w:spacing w:val="0"/>
                <w:position w:val="0"/>
                <w:highlight w:val="none"/>
              </w:rPr>
              <w:t>综合评分法</w:t>
            </w:r>
          </w:p>
        </w:tc>
      </w:tr>
      <w:tr w14:paraId="2BCFB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648" w:type="dxa"/>
            <w:tcBorders>
              <w:top w:val="single" w:color="auto" w:sz="4" w:space="0"/>
              <w:left w:val="single" w:color="auto" w:sz="4" w:space="0"/>
              <w:bottom w:val="single" w:color="auto" w:sz="4" w:space="0"/>
              <w:right w:val="single" w:color="auto" w:sz="4" w:space="0"/>
            </w:tcBorders>
            <w:vAlign w:val="center"/>
          </w:tcPr>
          <w:p w14:paraId="673224FD">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spacing w:val="0"/>
                <w:position w:val="0"/>
                <w:szCs w:val="21"/>
                <w:highlight w:val="none"/>
                <w:lang w:val="en-US" w:eastAsia="zh-CN"/>
              </w:rPr>
            </w:pPr>
            <w:r>
              <w:rPr>
                <w:rFonts w:hint="eastAsia" w:ascii="宋体" w:hAnsi="宋体" w:cs="宋体"/>
                <w:color w:val="auto"/>
                <w:spacing w:val="0"/>
                <w:position w:val="0"/>
                <w:szCs w:val="21"/>
                <w:highlight w:val="none"/>
                <w:lang w:val="en-US" w:eastAsia="zh-CN"/>
              </w:rPr>
              <w:t>12</w:t>
            </w:r>
          </w:p>
        </w:tc>
        <w:tc>
          <w:tcPr>
            <w:tcW w:w="1602" w:type="dxa"/>
            <w:tcBorders>
              <w:top w:val="single" w:color="auto" w:sz="4" w:space="0"/>
              <w:left w:val="single" w:color="auto" w:sz="4" w:space="0"/>
              <w:bottom w:val="single" w:color="auto" w:sz="4" w:space="0"/>
              <w:right w:val="single" w:color="auto" w:sz="4" w:space="0"/>
            </w:tcBorders>
            <w:vAlign w:val="center"/>
          </w:tcPr>
          <w:p w14:paraId="13106A58">
            <w:pPr>
              <w:keepNext w:val="0"/>
              <w:keepLines w:val="0"/>
              <w:pageBreakBefore w:val="0"/>
              <w:widowControl w:val="0"/>
              <w:kinsoku/>
              <w:wordWrap/>
              <w:overflowPunct/>
              <w:topLinePunct w:val="0"/>
              <w:autoSpaceDE/>
              <w:autoSpaceDN/>
              <w:bidi w:val="0"/>
              <w:adjustRightInd/>
              <w:spacing w:line="360" w:lineRule="auto"/>
              <w:ind w:left="0" w:leftChars="0"/>
              <w:jc w:val="center"/>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负偏离要求</w:t>
            </w:r>
          </w:p>
        </w:tc>
        <w:tc>
          <w:tcPr>
            <w:tcW w:w="7399" w:type="dxa"/>
            <w:tcBorders>
              <w:top w:val="single" w:color="auto" w:sz="4" w:space="0"/>
              <w:left w:val="single" w:color="auto" w:sz="4" w:space="0"/>
              <w:bottom w:val="single" w:color="auto" w:sz="4" w:space="0"/>
              <w:right w:val="single" w:color="auto" w:sz="4" w:space="0"/>
            </w:tcBorders>
            <w:vAlign w:val="center"/>
          </w:tcPr>
          <w:p w14:paraId="7D70A5D8">
            <w:pPr>
              <w:keepNext w:val="0"/>
              <w:keepLines w:val="0"/>
              <w:pageBreakBefore w:val="0"/>
              <w:widowControl w:val="0"/>
              <w:kinsoku/>
              <w:wordWrap/>
              <w:overflowPunct/>
              <w:topLinePunct w:val="0"/>
              <w:autoSpaceDE/>
              <w:autoSpaceDN/>
              <w:bidi w:val="0"/>
              <w:adjustRightInd/>
              <w:snapToGrid w:val="0"/>
              <w:spacing w:line="360" w:lineRule="auto"/>
              <w:ind w:left="0"/>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商务条款评审中允许负偏离的非实质性条款数为</w:t>
            </w:r>
            <w:r>
              <w:rPr>
                <w:rFonts w:hint="eastAsia" w:ascii="宋体" w:hAnsi="宋体" w:cs="宋体"/>
                <w:color w:val="auto"/>
                <w:spacing w:val="0"/>
                <w:position w:val="0"/>
                <w:szCs w:val="21"/>
                <w:highlight w:val="none"/>
                <w:u w:val="single"/>
              </w:rPr>
              <w:t xml:space="preserve"> </w:t>
            </w:r>
            <w:r>
              <w:rPr>
                <w:rFonts w:hint="eastAsia" w:ascii="宋体" w:hAnsi="宋体" w:cs="宋体"/>
                <w:color w:val="auto"/>
                <w:spacing w:val="0"/>
                <w:position w:val="0"/>
                <w:szCs w:val="21"/>
                <w:highlight w:val="none"/>
                <w:u w:val="single"/>
                <w:lang w:val="en-US" w:eastAsia="zh-CN"/>
              </w:rPr>
              <w:t>2</w:t>
            </w:r>
            <w:r>
              <w:rPr>
                <w:rFonts w:hint="eastAsia" w:ascii="宋体" w:hAnsi="宋体" w:cs="宋体"/>
                <w:color w:val="auto"/>
                <w:spacing w:val="0"/>
                <w:position w:val="0"/>
                <w:szCs w:val="21"/>
                <w:highlight w:val="none"/>
                <w:u w:val="single"/>
              </w:rPr>
              <w:t xml:space="preserve"> </w:t>
            </w:r>
            <w:r>
              <w:rPr>
                <w:rFonts w:hint="eastAsia" w:ascii="宋体" w:hAnsi="宋体" w:cs="宋体"/>
                <w:color w:val="auto"/>
                <w:spacing w:val="0"/>
                <w:position w:val="0"/>
                <w:szCs w:val="21"/>
                <w:highlight w:val="none"/>
              </w:rPr>
              <w:t>项。</w:t>
            </w:r>
          </w:p>
          <w:p w14:paraId="564C8E9C">
            <w:pPr>
              <w:keepNext w:val="0"/>
              <w:keepLines w:val="0"/>
              <w:pageBreakBefore w:val="0"/>
              <w:widowControl w:val="0"/>
              <w:kinsoku/>
              <w:wordWrap/>
              <w:overflowPunct/>
              <w:topLinePunct w:val="0"/>
              <w:autoSpaceDE/>
              <w:autoSpaceDN/>
              <w:bidi w:val="0"/>
              <w:adjustRightInd/>
              <w:snapToGrid w:val="0"/>
              <w:spacing w:line="360" w:lineRule="auto"/>
              <w:ind w:left="0" w:leftChars="0"/>
              <w:textAlignment w:val="auto"/>
              <w:rPr>
                <w:rFonts w:hint="eastAsia" w:ascii="宋体" w:hAnsi="宋体"/>
                <w:color w:val="auto"/>
                <w:spacing w:val="0"/>
                <w:position w:val="0"/>
                <w:szCs w:val="21"/>
                <w:highlight w:val="none"/>
              </w:rPr>
            </w:pPr>
            <w:r>
              <w:rPr>
                <w:rFonts w:hint="eastAsia" w:ascii="宋体" w:hAnsi="宋体" w:cs="宋体"/>
                <w:color w:val="auto"/>
                <w:spacing w:val="0"/>
                <w:position w:val="0"/>
                <w:szCs w:val="21"/>
                <w:highlight w:val="none"/>
              </w:rPr>
              <w:t>服务需求评审中允许负偏离的非实质性条款数为</w:t>
            </w:r>
            <w:r>
              <w:rPr>
                <w:rFonts w:hint="eastAsia" w:ascii="宋体" w:hAnsi="宋体" w:cs="宋体"/>
                <w:color w:val="auto"/>
                <w:spacing w:val="0"/>
                <w:position w:val="0"/>
                <w:szCs w:val="21"/>
                <w:highlight w:val="none"/>
                <w:u w:val="single"/>
              </w:rPr>
              <w:t xml:space="preserve"> </w:t>
            </w:r>
            <w:r>
              <w:rPr>
                <w:rFonts w:hint="eastAsia" w:ascii="宋体" w:hAnsi="宋体" w:cs="宋体"/>
                <w:color w:val="auto"/>
                <w:spacing w:val="0"/>
                <w:position w:val="0"/>
                <w:szCs w:val="21"/>
                <w:highlight w:val="none"/>
                <w:u w:val="single"/>
                <w:lang w:val="en-US" w:eastAsia="zh-CN"/>
              </w:rPr>
              <w:t>0</w:t>
            </w:r>
            <w:r>
              <w:rPr>
                <w:rFonts w:hint="eastAsia" w:ascii="宋体" w:hAnsi="宋体" w:cs="宋体"/>
                <w:color w:val="auto"/>
                <w:spacing w:val="0"/>
                <w:position w:val="0"/>
                <w:szCs w:val="21"/>
                <w:highlight w:val="none"/>
                <w:u w:val="single"/>
              </w:rPr>
              <w:t xml:space="preserve"> </w:t>
            </w:r>
            <w:r>
              <w:rPr>
                <w:rFonts w:hint="eastAsia" w:ascii="宋体" w:hAnsi="宋体" w:cs="宋体"/>
                <w:color w:val="auto"/>
                <w:spacing w:val="0"/>
                <w:position w:val="0"/>
                <w:szCs w:val="21"/>
                <w:highlight w:val="none"/>
              </w:rPr>
              <w:t>项。</w:t>
            </w:r>
          </w:p>
        </w:tc>
      </w:tr>
      <w:tr w14:paraId="0CFC4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648" w:type="dxa"/>
            <w:tcBorders>
              <w:top w:val="single" w:color="auto" w:sz="4" w:space="0"/>
              <w:left w:val="single" w:color="auto" w:sz="4" w:space="0"/>
              <w:bottom w:val="single" w:color="auto" w:sz="4" w:space="0"/>
              <w:right w:val="single" w:color="auto" w:sz="4" w:space="0"/>
            </w:tcBorders>
            <w:vAlign w:val="center"/>
          </w:tcPr>
          <w:p w14:paraId="6B571FBF">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pacing w:val="0"/>
                <w:position w:val="0"/>
                <w:szCs w:val="21"/>
                <w:highlight w:val="none"/>
                <w:lang w:eastAsia="zh-CN"/>
              </w:rPr>
            </w:pPr>
            <w:r>
              <w:rPr>
                <w:rFonts w:hint="eastAsia" w:ascii="宋体" w:hAnsi="宋体" w:cs="宋体"/>
                <w:color w:val="auto"/>
                <w:spacing w:val="0"/>
                <w:position w:val="0"/>
                <w:szCs w:val="21"/>
                <w:highlight w:val="none"/>
              </w:rPr>
              <w:t>1</w:t>
            </w:r>
            <w:r>
              <w:rPr>
                <w:rFonts w:hint="eastAsia" w:ascii="宋体" w:hAnsi="宋体" w:cs="宋体"/>
                <w:color w:val="auto"/>
                <w:spacing w:val="0"/>
                <w:position w:val="0"/>
                <w:szCs w:val="21"/>
                <w:highlight w:val="none"/>
                <w:lang w:val="en-US" w:eastAsia="zh-CN"/>
              </w:rPr>
              <w:t>3</w:t>
            </w:r>
          </w:p>
        </w:tc>
        <w:tc>
          <w:tcPr>
            <w:tcW w:w="1602" w:type="dxa"/>
            <w:tcBorders>
              <w:top w:val="single" w:color="auto" w:sz="4" w:space="0"/>
              <w:left w:val="single" w:color="auto" w:sz="4" w:space="0"/>
              <w:bottom w:val="single" w:color="auto" w:sz="4" w:space="0"/>
              <w:right w:val="single" w:color="auto" w:sz="4" w:space="0"/>
            </w:tcBorders>
            <w:vAlign w:val="center"/>
          </w:tcPr>
          <w:p w14:paraId="5D8989EA">
            <w:pPr>
              <w:keepNext w:val="0"/>
              <w:keepLines w:val="0"/>
              <w:pageBreakBefore w:val="0"/>
              <w:widowControl w:val="0"/>
              <w:kinsoku/>
              <w:wordWrap/>
              <w:overflowPunct/>
              <w:topLinePunct w:val="0"/>
              <w:autoSpaceDE/>
              <w:autoSpaceDN/>
              <w:bidi w:val="0"/>
              <w:adjustRightInd/>
              <w:spacing w:line="360" w:lineRule="auto"/>
              <w:jc w:val="center"/>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履约保证金</w:t>
            </w:r>
          </w:p>
        </w:tc>
        <w:tc>
          <w:tcPr>
            <w:tcW w:w="7399" w:type="dxa"/>
            <w:tcBorders>
              <w:top w:val="single" w:color="auto" w:sz="4" w:space="0"/>
              <w:left w:val="single" w:color="auto" w:sz="4" w:space="0"/>
              <w:bottom w:val="single" w:color="auto" w:sz="4" w:space="0"/>
              <w:right w:val="single" w:color="auto" w:sz="4" w:space="0"/>
            </w:tcBorders>
            <w:vAlign w:val="center"/>
          </w:tcPr>
          <w:p w14:paraId="0ACA5B70">
            <w:pPr>
              <w:keepNext w:val="0"/>
              <w:keepLines w:val="0"/>
              <w:pageBreakBefore w:val="0"/>
              <w:widowControl w:val="0"/>
              <w:kinsoku/>
              <w:wordWrap/>
              <w:overflowPunct/>
              <w:topLinePunct w:val="0"/>
              <w:autoSpaceDE w:val="0"/>
              <w:autoSpaceDN w:val="0"/>
              <w:bidi w:val="0"/>
              <w:adjustRightInd/>
              <w:snapToGrid w:val="0"/>
              <w:spacing w:line="360" w:lineRule="auto"/>
              <w:textAlignment w:val="auto"/>
              <w:rPr>
                <w:rFonts w:ascii="宋体" w:hAnsi="宋体"/>
                <w:color w:val="auto"/>
                <w:spacing w:val="0"/>
                <w:position w:val="0"/>
                <w:szCs w:val="21"/>
                <w:highlight w:val="none"/>
              </w:rPr>
            </w:pPr>
            <w:r>
              <w:rPr>
                <w:rFonts w:hint="eastAsia" w:ascii="宋体" w:hAnsi="宋体"/>
                <w:color w:val="auto"/>
                <w:spacing w:val="0"/>
                <w:position w:val="0"/>
                <w:szCs w:val="21"/>
                <w:highlight w:val="none"/>
                <w:lang w:eastAsia="zh-CN"/>
              </w:rPr>
              <w:t>☑</w:t>
            </w:r>
            <w:r>
              <w:rPr>
                <w:rFonts w:hint="eastAsia" w:ascii="宋体" w:hAnsi="宋体"/>
                <w:color w:val="auto"/>
                <w:spacing w:val="0"/>
                <w:position w:val="0"/>
                <w:szCs w:val="21"/>
                <w:highlight w:val="none"/>
              </w:rPr>
              <w:t>本项目不收取履约保证金。</w:t>
            </w:r>
          </w:p>
          <w:p w14:paraId="18159562">
            <w:pPr>
              <w:keepNext w:val="0"/>
              <w:keepLines w:val="0"/>
              <w:pageBreakBefore w:val="0"/>
              <w:widowControl w:val="0"/>
              <w:kinsoku/>
              <w:wordWrap/>
              <w:overflowPunct/>
              <w:topLinePunct w:val="0"/>
              <w:autoSpaceDE w:val="0"/>
              <w:autoSpaceDN w:val="0"/>
              <w:bidi w:val="0"/>
              <w:adjustRightInd/>
              <w:snapToGrid w:val="0"/>
              <w:spacing w:line="360" w:lineRule="auto"/>
              <w:textAlignment w:val="auto"/>
              <w:rPr>
                <w:rFonts w:hint="eastAsia" w:ascii="宋体" w:hAnsi="宋体"/>
                <w:color w:val="auto"/>
                <w:spacing w:val="0"/>
                <w:position w:val="0"/>
                <w:szCs w:val="21"/>
                <w:highlight w:val="none"/>
              </w:rPr>
            </w:pPr>
            <w:r>
              <w:rPr>
                <w:rFonts w:hint="eastAsia" w:ascii="宋体" w:hAnsi="宋体"/>
                <w:color w:val="auto"/>
                <w:spacing w:val="0"/>
                <w:position w:val="0"/>
                <w:szCs w:val="21"/>
                <w:highlight w:val="none"/>
                <w:lang w:eastAsia="zh-CN"/>
              </w:rPr>
              <w:t>□</w:t>
            </w:r>
            <w:r>
              <w:rPr>
                <w:rFonts w:hint="eastAsia" w:ascii="宋体" w:hAnsi="宋体"/>
                <w:color w:val="auto"/>
                <w:spacing w:val="0"/>
                <w:position w:val="0"/>
                <w:szCs w:val="21"/>
                <w:highlight w:val="none"/>
              </w:rPr>
              <w:t>本项目收取履约保证金，具体规定如下：</w:t>
            </w:r>
          </w:p>
          <w:p w14:paraId="002683E3">
            <w:pPr>
              <w:keepNext w:val="0"/>
              <w:keepLines w:val="0"/>
              <w:pageBreakBefore w:val="0"/>
              <w:widowControl w:val="0"/>
              <w:kinsoku/>
              <w:wordWrap/>
              <w:overflowPunct/>
              <w:topLinePunct w:val="0"/>
              <w:bidi w:val="0"/>
              <w:adjustRightInd/>
              <w:spacing w:line="360" w:lineRule="auto"/>
              <w:contextualSpacing/>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履约保证金金额：按成交金额的</w:t>
            </w:r>
            <w:r>
              <w:rPr>
                <w:rFonts w:hint="eastAsia" w:ascii="宋体" w:hAnsi="宋体" w:cs="宋体"/>
                <w:color w:val="auto"/>
                <w:spacing w:val="0"/>
                <w:position w:val="0"/>
                <w:szCs w:val="21"/>
                <w:highlight w:val="none"/>
                <w:u w:val="single"/>
                <w:lang w:val="en-US" w:eastAsia="zh-CN"/>
              </w:rPr>
              <w:t xml:space="preserve">  2  </w:t>
            </w:r>
            <w:r>
              <w:rPr>
                <w:rFonts w:hint="eastAsia" w:ascii="宋体" w:hAnsi="宋体" w:cs="宋体"/>
                <w:color w:val="auto"/>
                <w:spacing w:val="0"/>
                <w:position w:val="0"/>
                <w:szCs w:val="21"/>
                <w:highlight w:val="none"/>
                <w:u w:val="single"/>
              </w:rPr>
              <w:t>%</w:t>
            </w:r>
            <w:r>
              <w:rPr>
                <w:rFonts w:hint="eastAsia" w:ascii="宋体" w:hAnsi="宋体" w:cs="宋体"/>
                <w:color w:val="auto"/>
                <w:spacing w:val="0"/>
                <w:position w:val="0"/>
                <w:szCs w:val="21"/>
                <w:highlight w:val="none"/>
              </w:rPr>
              <w:t>。</w:t>
            </w:r>
            <w:r>
              <w:rPr>
                <w:rFonts w:hint="eastAsia" w:ascii="宋体" w:hAnsi="宋体" w:cs="宋体"/>
                <w:b/>
                <w:color w:val="auto"/>
                <w:spacing w:val="0"/>
                <w:position w:val="0"/>
                <w:szCs w:val="21"/>
                <w:highlight w:val="none"/>
              </w:rPr>
              <w:t>（注：履约保证金不超过</w:t>
            </w:r>
            <w:r>
              <w:rPr>
                <w:rFonts w:hint="eastAsia"/>
                <w:b/>
                <w:color w:val="auto"/>
                <w:spacing w:val="0"/>
                <w:position w:val="0"/>
                <w:highlight w:val="none"/>
              </w:rPr>
              <w:t>政府采购合同金额的</w:t>
            </w:r>
            <w:r>
              <w:rPr>
                <w:rFonts w:ascii="宋体" w:hAnsi="宋体" w:cs="宋体"/>
                <w:b/>
                <w:color w:val="auto"/>
                <w:spacing w:val="0"/>
                <w:position w:val="0"/>
                <w:szCs w:val="21"/>
                <w:highlight w:val="none"/>
              </w:rPr>
              <w:t>5</w:t>
            </w:r>
            <w:r>
              <w:rPr>
                <w:rFonts w:hint="eastAsia" w:ascii="宋体" w:hAnsi="宋体" w:cs="宋体"/>
                <w:b/>
                <w:color w:val="auto"/>
                <w:spacing w:val="0"/>
                <w:position w:val="0"/>
                <w:szCs w:val="21"/>
                <w:highlight w:val="none"/>
              </w:rPr>
              <w:t>%，对中小企业收取的履约保证金数额不得超过政府采购合同金额的2%。采购人可根据供应商的资信等情况减免履约保证金。）</w:t>
            </w:r>
          </w:p>
          <w:p w14:paraId="6694C1F8">
            <w:pPr>
              <w:keepNext w:val="0"/>
              <w:keepLines w:val="0"/>
              <w:pageBreakBefore w:val="0"/>
              <w:widowControl w:val="0"/>
              <w:kinsoku/>
              <w:wordWrap/>
              <w:overflowPunct/>
              <w:topLinePunct w:val="0"/>
              <w:bidi w:val="0"/>
              <w:adjustRightInd/>
              <w:spacing w:line="360" w:lineRule="auto"/>
              <w:contextualSpacing/>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履约保证金提交方式：银行转账、支票、汇票、本票或者银行、</w:t>
            </w:r>
            <w:r>
              <w:rPr>
                <w:rFonts w:hint="eastAsia" w:ascii="宋体" w:hAnsi="宋体" w:cs="宋体"/>
                <w:color w:val="auto"/>
                <w:spacing w:val="0"/>
                <w:position w:val="0"/>
                <w:szCs w:val="21"/>
                <w:highlight w:val="none"/>
                <w:lang w:eastAsia="zh-CN"/>
              </w:rPr>
              <w:t>保险机构出具的保函、保险单</w:t>
            </w:r>
            <w:r>
              <w:rPr>
                <w:rFonts w:hint="eastAsia" w:ascii="宋体" w:hAnsi="宋体" w:cs="宋体"/>
                <w:color w:val="auto"/>
                <w:spacing w:val="0"/>
                <w:position w:val="0"/>
                <w:szCs w:val="21"/>
                <w:highlight w:val="none"/>
              </w:rPr>
              <w:t>等非现金方式。</w:t>
            </w:r>
          </w:p>
        </w:tc>
      </w:tr>
      <w:tr w14:paraId="1F6E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648" w:type="dxa"/>
            <w:tcBorders>
              <w:top w:val="single" w:color="auto" w:sz="4" w:space="0"/>
              <w:left w:val="single" w:color="auto" w:sz="4" w:space="0"/>
              <w:bottom w:val="single" w:color="auto" w:sz="4" w:space="0"/>
              <w:right w:val="single" w:color="auto" w:sz="4" w:space="0"/>
            </w:tcBorders>
            <w:vAlign w:val="center"/>
          </w:tcPr>
          <w:p w14:paraId="38578385">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pacing w:val="0"/>
                <w:position w:val="0"/>
                <w:szCs w:val="21"/>
                <w:highlight w:val="none"/>
                <w:lang w:eastAsia="zh-CN"/>
              </w:rPr>
            </w:pPr>
            <w:r>
              <w:rPr>
                <w:rFonts w:hint="eastAsia" w:ascii="宋体" w:hAnsi="宋体" w:cs="宋体"/>
                <w:color w:val="auto"/>
                <w:spacing w:val="0"/>
                <w:position w:val="0"/>
                <w:szCs w:val="21"/>
                <w:highlight w:val="none"/>
              </w:rPr>
              <w:t>1</w:t>
            </w:r>
            <w:r>
              <w:rPr>
                <w:rFonts w:hint="eastAsia" w:ascii="宋体" w:hAnsi="宋体" w:cs="宋体"/>
                <w:color w:val="auto"/>
                <w:spacing w:val="0"/>
                <w:position w:val="0"/>
                <w:szCs w:val="21"/>
                <w:highlight w:val="none"/>
                <w:lang w:val="en-US" w:eastAsia="zh-CN"/>
              </w:rPr>
              <w:t>4</w:t>
            </w:r>
          </w:p>
        </w:tc>
        <w:tc>
          <w:tcPr>
            <w:tcW w:w="1602" w:type="dxa"/>
            <w:tcBorders>
              <w:top w:val="single" w:color="auto" w:sz="4" w:space="0"/>
              <w:left w:val="single" w:color="auto" w:sz="4" w:space="0"/>
              <w:bottom w:val="single" w:color="auto" w:sz="4" w:space="0"/>
              <w:right w:val="single" w:color="auto" w:sz="4" w:space="0"/>
            </w:tcBorders>
            <w:vAlign w:val="center"/>
          </w:tcPr>
          <w:p w14:paraId="196801CA">
            <w:pPr>
              <w:keepNext w:val="0"/>
              <w:keepLines w:val="0"/>
              <w:pageBreakBefore w:val="0"/>
              <w:widowControl w:val="0"/>
              <w:kinsoku/>
              <w:wordWrap/>
              <w:overflowPunct/>
              <w:topLinePunct w:val="0"/>
              <w:autoSpaceDE/>
              <w:autoSpaceDN/>
              <w:bidi w:val="0"/>
              <w:adjustRightInd/>
              <w:spacing w:line="360" w:lineRule="auto"/>
              <w:jc w:val="center"/>
              <w:textAlignment w:val="auto"/>
              <w:rPr>
                <w:rFonts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采购预算价</w:t>
            </w:r>
          </w:p>
        </w:tc>
        <w:tc>
          <w:tcPr>
            <w:tcW w:w="7399" w:type="dxa"/>
            <w:tcBorders>
              <w:top w:val="single" w:color="auto" w:sz="4" w:space="0"/>
              <w:left w:val="single" w:color="auto" w:sz="4" w:space="0"/>
              <w:bottom w:val="single" w:color="auto" w:sz="4" w:space="0"/>
              <w:right w:val="single" w:color="auto" w:sz="4" w:space="0"/>
            </w:tcBorders>
            <w:vAlign w:val="center"/>
          </w:tcPr>
          <w:p w14:paraId="041CA575">
            <w:pPr>
              <w:keepNext w:val="0"/>
              <w:keepLines w:val="0"/>
              <w:pageBreakBefore w:val="0"/>
              <w:widowControl w:val="0"/>
              <w:kinsoku/>
              <w:wordWrap/>
              <w:overflowPunct/>
              <w:topLinePunct w:val="0"/>
              <w:autoSpaceDE/>
              <w:autoSpaceDN/>
              <w:bidi w:val="0"/>
              <w:adjustRightInd/>
              <w:spacing w:line="360" w:lineRule="auto"/>
              <w:jc w:val="left"/>
              <w:textAlignment w:val="auto"/>
              <w:rPr>
                <w:rFonts w:hint="default" w:ascii="宋体" w:hAnsi="宋体" w:eastAsia="宋体" w:cs="宋体"/>
                <w:color w:val="auto"/>
                <w:spacing w:val="0"/>
                <w:position w:val="0"/>
                <w:szCs w:val="21"/>
                <w:highlight w:val="none"/>
                <w:lang w:val="en-US" w:eastAsia="zh-CN"/>
              </w:rPr>
            </w:pPr>
            <w:r>
              <w:rPr>
                <w:rFonts w:hint="eastAsia" w:ascii="宋体" w:hAnsi="宋体" w:cs="宋体"/>
                <w:color w:val="auto"/>
                <w:spacing w:val="0"/>
                <w:position w:val="0"/>
                <w:szCs w:val="21"/>
                <w:highlight w:val="none"/>
              </w:rPr>
              <w:t>本项目采购预算价：</w:t>
            </w:r>
            <w:r>
              <w:rPr>
                <w:rFonts w:hint="eastAsia" w:asciiTheme="minorEastAsia" w:hAnsiTheme="minorEastAsia" w:eastAsiaTheme="minorEastAsia" w:cstheme="minorEastAsia"/>
                <w:color w:val="auto"/>
                <w:spacing w:val="0"/>
                <w:kern w:val="2"/>
                <w:position w:val="0"/>
                <w:sz w:val="21"/>
                <w:szCs w:val="21"/>
                <w:highlight w:val="none"/>
                <w:lang w:val="en-US" w:eastAsia="zh-CN"/>
              </w:rPr>
              <w:t>1100000.00元，最高限价：1100000.00元</w:t>
            </w:r>
          </w:p>
        </w:tc>
      </w:tr>
      <w:tr w14:paraId="7208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648" w:type="dxa"/>
            <w:tcBorders>
              <w:top w:val="single" w:color="auto" w:sz="4" w:space="0"/>
              <w:left w:val="single" w:color="auto" w:sz="4" w:space="0"/>
              <w:bottom w:val="single" w:color="auto" w:sz="4" w:space="0"/>
              <w:right w:val="single" w:color="auto" w:sz="4" w:space="0"/>
            </w:tcBorders>
            <w:vAlign w:val="center"/>
          </w:tcPr>
          <w:p w14:paraId="7F788FB5">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pacing w:val="0"/>
                <w:position w:val="0"/>
                <w:szCs w:val="21"/>
                <w:highlight w:val="none"/>
                <w:lang w:eastAsia="zh-CN"/>
              </w:rPr>
            </w:pPr>
            <w:r>
              <w:rPr>
                <w:rFonts w:hint="eastAsia" w:ascii="宋体" w:hAnsi="宋体" w:cs="宋体"/>
                <w:color w:val="auto"/>
                <w:spacing w:val="0"/>
                <w:position w:val="0"/>
                <w:szCs w:val="21"/>
                <w:highlight w:val="none"/>
              </w:rPr>
              <w:t>1</w:t>
            </w:r>
            <w:r>
              <w:rPr>
                <w:rFonts w:hint="eastAsia" w:ascii="宋体" w:hAnsi="宋体" w:cs="宋体"/>
                <w:color w:val="auto"/>
                <w:spacing w:val="0"/>
                <w:position w:val="0"/>
                <w:szCs w:val="21"/>
                <w:highlight w:val="none"/>
                <w:lang w:val="en-US" w:eastAsia="zh-CN"/>
              </w:rPr>
              <w:t>5</w:t>
            </w:r>
          </w:p>
        </w:tc>
        <w:tc>
          <w:tcPr>
            <w:tcW w:w="1602" w:type="dxa"/>
            <w:tcBorders>
              <w:top w:val="single" w:color="auto" w:sz="4" w:space="0"/>
              <w:left w:val="single" w:color="auto" w:sz="4" w:space="0"/>
              <w:bottom w:val="single" w:color="auto" w:sz="4" w:space="0"/>
              <w:right w:val="single" w:color="auto" w:sz="4" w:space="0"/>
            </w:tcBorders>
            <w:vAlign w:val="center"/>
          </w:tcPr>
          <w:p w14:paraId="208ED2C3">
            <w:pPr>
              <w:keepNext w:val="0"/>
              <w:keepLines w:val="0"/>
              <w:pageBreakBefore w:val="0"/>
              <w:widowControl w:val="0"/>
              <w:kinsoku/>
              <w:wordWrap/>
              <w:overflowPunct/>
              <w:topLinePunct w:val="0"/>
              <w:autoSpaceDE/>
              <w:autoSpaceDN/>
              <w:bidi w:val="0"/>
              <w:adjustRightInd/>
              <w:spacing w:line="360" w:lineRule="auto"/>
              <w:ind w:left="0" w:leftChars="0"/>
              <w:jc w:val="center"/>
              <w:textAlignment w:val="auto"/>
              <w:rPr>
                <w:rFonts w:ascii="宋体" w:hAnsi="宋体" w:cs="宋体"/>
                <w:color w:val="auto"/>
                <w:spacing w:val="0"/>
                <w:position w:val="0"/>
                <w:szCs w:val="21"/>
                <w:highlight w:val="none"/>
              </w:rPr>
            </w:pPr>
            <w:r>
              <w:rPr>
                <w:rFonts w:hint="eastAsia" w:ascii="宋体" w:hAnsi="宋体"/>
                <w:color w:val="auto"/>
                <w:spacing w:val="0"/>
                <w:position w:val="0"/>
                <w:szCs w:val="21"/>
                <w:highlight w:val="none"/>
              </w:rPr>
              <w:t>接收质疑函方式</w:t>
            </w:r>
          </w:p>
        </w:tc>
        <w:tc>
          <w:tcPr>
            <w:tcW w:w="7399" w:type="dxa"/>
            <w:tcBorders>
              <w:top w:val="single" w:color="auto" w:sz="4" w:space="0"/>
              <w:left w:val="single" w:color="auto" w:sz="4" w:space="0"/>
              <w:bottom w:val="single" w:color="auto" w:sz="4" w:space="0"/>
              <w:right w:val="single" w:color="auto" w:sz="4" w:space="0"/>
            </w:tcBorders>
            <w:vAlign w:val="center"/>
          </w:tcPr>
          <w:p w14:paraId="21488FAD">
            <w:pPr>
              <w:keepNext w:val="0"/>
              <w:keepLines w:val="0"/>
              <w:pageBreakBefore w:val="0"/>
              <w:widowControl w:val="0"/>
              <w:kinsoku/>
              <w:wordWrap/>
              <w:overflowPunct/>
              <w:topLinePunct w:val="0"/>
              <w:autoSpaceDE/>
              <w:autoSpaceDN/>
              <w:bidi w:val="0"/>
              <w:adjustRightInd/>
              <w:snapToGrid w:val="0"/>
              <w:spacing w:line="360" w:lineRule="auto"/>
              <w:ind w:left="0" w:leftChars="0"/>
              <w:textAlignment w:val="auto"/>
              <w:rPr>
                <w:rFonts w:ascii="宋体" w:hAnsi="宋体" w:cs="宋体"/>
                <w:color w:val="auto"/>
                <w:spacing w:val="0"/>
                <w:position w:val="0"/>
                <w:szCs w:val="21"/>
                <w:highlight w:val="none"/>
              </w:rPr>
            </w:pPr>
            <w:r>
              <w:rPr>
                <w:rFonts w:hint="eastAsia" w:ascii="宋体" w:hAnsi="宋体"/>
                <w:color w:val="auto"/>
                <w:spacing w:val="0"/>
                <w:position w:val="0"/>
                <w:szCs w:val="21"/>
                <w:highlight w:val="none"/>
              </w:rPr>
              <w:t>以书面形式</w:t>
            </w:r>
            <w:bookmarkStart w:id="1089" w:name="_GoBack"/>
            <w:bookmarkEnd w:id="1089"/>
          </w:p>
        </w:tc>
      </w:tr>
      <w:tr w14:paraId="2B87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648" w:type="dxa"/>
            <w:tcBorders>
              <w:top w:val="single" w:color="auto" w:sz="4" w:space="0"/>
              <w:left w:val="single" w:color="auto" w:sz="4" w:space="0"/>
              <w:bottom w:val="single" w:color="auto" w:sz="4" w:space="0"/>
              <w:right w:val="single" w:color="auto" w:sz="4" w:space="0"/>
            </w:tcBorders>
            <w:vAlign w:val="center"/>
          </w:tcPr>
          <w:p w14:paraId="6AEEFA27">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pacing w:val="0"/>
                <w:position w:val="0"/>
                <w:szCs w:val="21"/>
                <w:highlight w:val="none"/>
                <w:lang w:eastAsia="zh-CN"/>
              </w:rPr>
            </w:pPr>
            <w:r>
              <w:rPr>
                <w:rFonts w:hint="eastAsia" w:ascii="宋体" w:hAnsi="宋体" w:cs="宋体"/>
                <w:color w:val="auto"/>
                <w:spacing w:val="0"/>
                <w:position w:val="0"/>
                <w:szCs w:val="21"/>
                <w:highlight w:val="none"/>
              </w:rPr>
              <w:t>1</w:t>
            </w:r>
            <w:r>
              <w:rPr>
                <w:rFonts w:hint="eastAsia" w:ascii="宋体" w:hAnsi="宋体" w:cs="宋体"/>
                <w:color w:val="auto"/>
                <w:spacing w:val="0"/>
                <w:position w:val="0"/>
                <w:szCs w:val="21"/>
                <w:highlight w:val="none"/>
                <w:lang w:val="en-US" w:eastAsia="zh-CN"/>
              </w:rPr>
              <w:t>6</w:t>
            </w:r>
          </w:p>
        </w:tc>
        <w:tc>
          <w:tcPr>
            <w:tcW w:w="1602" w:type="dxa"/>
            <w:tcBorders>
              <w:top w:val="single" w:color="auto" w:sz="4" w:space="0"/>
              <w:left w:val="single" w:color="auto" w:sz="4" w:space="0"/>
              <w:bottom w:val="single" w:color="auto" w:sz="4" w:space="0"/>
              <w:right w:val="single" w:color="auto" w:sz="4" w:space="0"/>
            </w:tcBorders>
            <w:vAlign w:val="center"/>
          </w:tcPr>
          <w:p w14:paraId="256707D8">
            <w:pPr>
              <w:keepNext w:val="0"/>
              <w:keepLines w:val="0"/>
              <w:pageBreakBefore w:val="0"/>
              <w:widowControl w:val="0"/>
              <w:kinsoku/>
              <w:wordWrap/>
              <w:overflowPunct/>
              <w:topLinePunct w:val="0"/>
              <w:autoSpaceDE/>
              <w:autoSpaceDN/>
              <w:bidi w:val="0"/>
              <w:adjustRightInd/>
              <w:spacing w:line="360" w:lineRule="auto"/>
              <w:ind w:left="0" w:leftChars="0"/>
              <w:jc w:val="center"/>
              <w:textAlignment w:val="auto"/>
              <w:rPr>
                <w:rFonts w:ascii="宋体" w:hAnsi="宋体" w:cs="宋体"/>
                <w:color w:val="auto"/>
                <w:spacing w:val="0"/>
                <w:position w:val="0"/>
                <w:szCs w:val="21"/>
                <w:highlight w:val="none"/>
              </w:rPr>
            </w:pPr>
            <w:r>
              <w:rPr>
                <w:rFonts w:hint="eastAsia" w:ascii="宋体" w:hAnsi="宋体"/>
                <w:color w:val="auto"/>
                <w:spacing w:val="0"/>
                <w:position w:val="0"/>
                <w:szCs w:val="21"/>
                <w:highlight w:val="none"/>
              </w:rPr>
              <w:t>质疑联系部门及联系方式</w:t>
            </w:r>
          </w:p>
        </w:tc>
        <w:tc>
          <w:tcPr>
            <w:tcW w:w="7399" w:type="dxa"/>
            <w:tcBorders>
              <w:top w:val="single" w:color="auto" w:sz="4" w:space="0"/>
              <w:left w:val="single" w:color="auto" w:sz="4" w:space="0"/>
              <w:bottom w:val="single" w:color="auto" w:sz="4" w:space="0"/>
              <w:right w:val="single" w:color="auto" w:sz="4" w:space="0"/>
            </w:tcBorders>
            <w:vAlign w:val="center"/>
          </w:tcPr>
          <w:p w14:paraId="65B87274">
            <w:pPr>
              <w:keepNext w:val="0"/>
              <w:keepLines w:val="0"/>
              <w:pageBreakBefore w:val="0"/>
              <w:widowControl w:val="0"/>
              <w:kinsoku/>
              <w:wordWrap/>
              <w:overflowPunct/>
              <w:topLinePunct w:val="0"/>
              <w:autoSpaceDE/>
              <w:autoSpaceDN/>
              <w:bidi w:val="0"/>
              <w:adjustRightInd/>
              <w:snapToGrid w:val="0"/>
              <w:spacing w:line="400" w:lineRule="exact"/>
              <w:ind w:left="0"/>
              <w:textAlignment w:val="auto"/>
              <w:rPr>
                <w:rFonts w:hint="default" w:ascii="宋体" w:hAnsi="宋体"/>
                <w:color w:val="auto"/>
                <w:szCs w:val="21"/>
                <w:highlight w:val="none"/>
                <w:u w:val="none"/>
                <w:lang w:val="en-US"/>
              </w:rPr>
            </w:pPr>
            <w:r>
              <w:rPr>
                <w:rFonts w:hint="eastAsia" w:ascii="宋体" w:hAnsi="宋体"/>
                <w:color w:val="auto"/>
                <w:szCs w:val="21"/>
                <w:highlight w:val="none"/>
                <w:u w:val="none"/>
                <w:lang w:eastAsia="zh-CN"/>
              </w:rPr>
              <w:t>广西华诚达建设项目管理有限公司</w:t>
            </w:r>
          </w:p>
          <w:p w14:paraId="58411558">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default" w:ascii="宋体" w:hAnsi="宋体" w:eastAsia="宋体"/>
                <w:color w:val="auto"/>
                <w:szCs w:val="21"/>
                <w:highlight w:val="none"/>
                <w:u w:val="none"/>
                <w:lang w:val="en-US" w:eastAsia="zh-CN"/>
              </w:rPr>
            </w:pPr>
            <w:r>
              <w:rPr>
                <w:rFonts w:ascii="宋体" w:hAnsi="宋体"/>
                <w:color w:val="auto"/>
                <w:szCs w:val="21"/>
                <w:highlight w:val="none"/>
                <w:u w:val="none"/>
              </w:rPr>
              <w:t>联系电话</w:t>
            </w:r>
            <w:r>
              <w:rPr>
                <w:rFonts w:hint="eastAsia" w:ascii="宋体" w:hAnsi="宋体"/>
                <w:color w:val="auto"/>
                <w:szCs w:val="21"/>
                <w:highlight w:val="none"/>
                <w:u w:val="none"/>
              </w:rPr>
              <w:t>：</w:t>
            </w:r>
            <w:r>
              <w:rPr>
                <w:rFonts w:hint="eastAsia" w:ascii="宋体" w:hAnsi="宋体"/>
                <w:color w:val="auto"/>
                <w:szCs w:val="21"/>
                <w:highlight w:val="none"/>
                <w:u w:val="none"/>
                <w:lang w:val="en-US" w:eastAsia="zh-CN"/>
              </w:rPr>
              <w:t>0777-8381599</w:t>
            </w:r>
          </w:p>
          <w:p w14:paraId="48B48148">
            <w:pPr>
              <w:keepNext w:val="0"/>
              <w:keepLines w:val="0"/>
              <w:pageBreakBefore w:val="0"/>
              <w:widowControl w:val="0"/>
              <w:kinsoku/>
              <w:wordWrap/>
              <w:overflowPunct/>
              <w:topLinePunct w:val="0"/>
              <w:autoSpaceDE/>
              <w:autoSpaceDN/>
              <w:bidi w:val="0"/>
              <w:adjustRightInd/>
              <w:snapToGrid w:val="0"/>
              <w:spacing w:line="360" w:lineRule="auto"/>
              <w:ind w:left="0"/>
              <w:textAlignment w:val="auto"/>
              <w:rPr>
                <w:rFonts w:hAnsi="宋体"/>
                <w:b/>
                <w:color w:val="auto"/>
                <w:spacing w:val="0"/>
                <w:position w:val="0"/>
                <w:highlight w:val="none"/>
              </w:rPr>
            </w:pPr>
            <w:r>
              <w:rPr>
                <w:rFonts w:ascii="宋体" w:hAnsi="宋体"/>
                <w:color w:val="auto"/>
                <w:szCs w:val="21"/>
                <w:highlight w:val="none"/>
                <w:u w:val="none"/>
              </w:rPr>
              <w:t>通讯地址</w:t>
            </w:r>
            <w:r>
              <w:rPr>
                <w:rFonts w:hint="eastAsia" w:ascii="宋体" w:hAnsi="宋体" w:cs="Helvetica"/>
                <w:color w:val="auto"/>
                <w:szCs w:val="21"/>
                <w:highlight w:val="none"/>
                <w:u w:val="none"/>
              </w:rPr>
              <w:t>：</w:t>
            </w:r>
            <w:r>
              <w:rPr>
                <w:rFonts w:hint="eastAsia" w:ascii="宋体" w:hAnsi="宋体" w:cs="宋体"/>
                <w:color w:val="auto"/>
                <w:sz w:val="21"/>
                <w:szCs w:val="21"/>
                <w:lang w:val="en-US" w:eastAsia="zh-CN"/>
              </w:rPr>
              <w:t xml:space="preserve">浦北县晨华广场64栋-111号（二楼）  </w:t>
            </w:r>
          </w:p>
        </w:tc>
      </w:tr>
      <w:tr w14:paraId="4CB52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648" w:type="dxa"/>
            <w:tcBorders>
              <w:top w:val="single" w:color="auto" w:sz="4" w:space="0"/>
              <w:left w:val="single" w:color="auto" w:sz="4" w:space="0"/>
              <w:bottom w:val="single" w:color="auto" w:sz="4" w:space="0"/>
              <w:right w:val="single" w:color="auto" w:sz="4" w:space="0"/>
            </w:tcBorders>
            <w:vAlign w:val="center"/>
          </w:tcPr>
          <w:p w14:paraId="3C8BBD18">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spacing w:val="0"/>
                <w:position w:val="0"/>
                <w:szCs w:val="21"/>
                <w:highlight w:val="none"/>
                <w:lang w:val="en-US" w:eastAsia="zh-CN"/>
              </w:rPr>
            </w:pPr>
            <w:r>
              <w:rPr>
                <w:rFonts w:hint="eastAsia" w:ascii="宋体" w:hAnsi="宋体" w:cs="宋体"/>
                <w:color w:val="auto"/>
                <w:spacing w:val="0"/>
                <w:position w:val="0"/>
                <w:szCs w:val="21"/>
                <w:highlight w:val="none"/>
                <w:lang w:val="en-US" w:eastAsia="zh-CN"/>
              </w:rPr>
              <w:t>17</w:t>
            </w:r>
          </w:p>
        </w:tc>
        <w:tc>
          <w:tcPr>
            <w:tcW w:w="1602" w:type="dxa"/>
            <w:tcBorders>
              <w:top w:val="single" w:color="auto" w:sz="4" w:space="0"/>
              <w:left w:val="single" w:color="auto" w:sz="4" w:space="0"/>
              <w:bottom w:val="single" w:color="auto" w:sz="4" w:space="0"/>
              <w:right w:val="single" w:color="auto" w:sz="4" w:space="0"/>
            </w:tcBorders>
            <w:vAlign w:val="center"/>
          </w:tcPr>
          <w:p w14:paraId="07383C52">
            <w:pPr>
              <w:keepNext w:val="0"/>
              <w:keepLines w:val="0"/>
              <w:pageBreakBefore w:val="0"/>
              <w:widowControl w:val="0"/>
              <w:kinsoku/>
              <w:wordWrap/>
              <w:overflowPunct/>
              <w:topLinePunct w:val="0"/>
              <w:autoSpaceDE/>
              <w:autoSpaceDN/>
              <w:bidi w:val="0"/>
              <w:adjustRightInd/>
              <w:spacing w:line="360" w:lineRule="auto"/>
              <w:ind w:left="0" w:leftChars="0"/>
              <w:jc w:val="center"/>
              <w:textAlignment w:val="auto"/>
              <w:rPr>
                <w:rFonts w:ascii="宋体" w:hAnsi="宋体" w:cs="宋体"/>
                <w:color w:val="auto"/>
                <w:spacing w:val="0"/>
                <w:position w:val="0"/>
                <w:szCs w:val="21"/>
                <w:highlight w:val="none"/>
              </w:rPr>
            </w:pPr>
            <w:r>
              <w:rPr>
                <w:rFonts w:hint="eastAsia" w:hAnsi="宋体"/>
                <w:color w:val="auto"/>
                <w:spacing w:val="0"/>
                <w:position w:val="0"/>
                <w:highlight w:val="none"/>
              </w:rPr>
              <w:t>现场提交质疑办理业务时间</w:t>
            </w:r>
          </w:p>
        </w:tc>
        <w:tc>
          <w:tcPr>
            <w:tcW w:w="7399" w:type="dxa"/>
            <w:tcBorders>
              <w:top w:val="single" w:color="auto" w:sz="4" w:space="0"/>
              <w:left w:val="single" w:color="auto" w:sz="4" w:space="0"/>
              <w:bottom w:val="single" w:color="auto" w:sz="4" w:space="0"/>
              <w:right w:val="single" w:color="auto" w:sz="4" w:space="0"/>
            </w:tcBorders>
            <w:vAlign w:val="center"/>
          </w:tcPr>
          <w:p w14:paraId="67922C12">
            <w:pPr>
              <w:keepNext w:val="0"/>
              <w:keepLines w:val="0"/>
              <w:pageBreakBefore w:val="0"/>
              <w:widowControl w:val="0"/>
              <w:kinsoku/>
              <w:wordWrap/>
              <w:overflowPunct/>
              <w:topLinePunct w:val="0"/>
              <w:autoSpaceDE/>
              <w:autoSpaceDN/>
              <w:bidi w:val="0"/>
              <w:adjustRightInd/>
              <w:snapToGrid w:val="0"/>
              <w:spacing w:line="360" w:lineRule="auto"/>
              <w:ind w:left="0" w:leftChars="0"/>
              <w:textAlignment w:val="auto"/>
              <w:rPr>
                <w:rFonts w:hAnsi="宋体"/>
                <w:b/>
                <w:color w:val="auto"/>
                <w:spacing w:val="0"/>
                <w:position w:val="0"/>
                <w:highlight w:val="none"/>
              </w:rPr>
            </w:pPr>
            <w:r>
              <w:rPr>
                <w:rFonts w:hint="eastAsia" w:hAnsi="宋体"/>
                <w:color w:val="auto"/>
                <w:spacing w:val="0"/>
                <w:position w:val="0"/>
                <w:highlight w:val="none"/>
              </w:rPr>
              <w:t>质疑期内每个工作日</w:t>
            </w:r>
            <w:r>
              <w:rPr>
                <w:rFonts w:hint="eastAsia" w:hAnsi="宋体"/>
                <w:color w:val="auto"/>
                <w:spacing w:val="0"/>
                <w:position w:val="0"/>
                <w:highlight w:val="none"/>
                <w:u w:val="single"/>
              </w:rPr>
              <w:t>08</w:t>
            </w:r>
            <w:r>
              <w:rPr>
                <w:rFonts w:hint="eastAsia" w:hAnsi="宋体"/>
                <w:color w:val="auto"/>
                <w:spacing w:val="0"/>
                <w:position w:val="0"/>
                <w:highlight w:val="none"/>
              </w:rPr>
              <w:t>时</w:t>
            </w:r>
            <w:r>
              <w:rPr>
                <w:rFonts w:hint="eastAsia" w:hAnsi="宋体"/>
                <w:color w:val="auto"/>
                <w:spacing w:val="0"/>
                <w:position w:val="0"/>
                <w:highlight w:val="none"/>
                <w:u w:val="single"/>
              </w:rPr>
              <w:t>00</w:t>
            </w:r>
            <w:r>
              <w:rPr>
                <w:rFonts w:hint="eastAsia" w:hAnsi="宋体"/>
                <w:color w:val="auto"/>
                <w:spacing w:val="0"/>
                <w:position w:val="0"/>
                <w:highlight w:val="none"/>
              </w:rPr>
              <w:t>分到</w:t>
            </w:r>
            <w:r>
              <w:rPr>
                <w:rFonts w:hint="eastAsia" w:hAnsi="宋体"/>
                <w:color w:val="auto"/>
                <w:spacing w:val="0"/>
                <w:position w:val="0"/>
                <w:highlight w:val="none"/>
                <w:u w:val="single"/>
              </w:rPr>
              <w:t>12</w:t>
            </w:r>
            <w:r>
              <w:rPr>
                <w:rFonts w:hint="eastAsia" w:hAnsi="宋体"/>
                <w:color w:val="auto"/>
                <w:spacing w:val="0"/>
                <w:position w:val="0"/>
                <w:highlight w:val="none"/>
              </w:rPr>
              <w:t>时</w:t>
            </w:r>
            <w:r>
              <w:rPr>
                <w:rFonts w:hint="eastAsia" w:hAnsi="宋体"/>
                <w:color w:val="auto"/>
                <w:spacing w:val="0"/>
                <w:position w:val="0"/>
                <w:highlight w:val="none"/>
                <w:u w:val="single"/>
              </w:rPr>
              <w:t>00</w:t>
            </w:r>
            <w:r>
              <w:rPr>
                <w:rFonts w:hint="eastAsia" w:hAnsi="宋体"/>
                <w:color w:val="auto"/>
                <w:spacing w:val="0"/>
                <w:position w:val="0"/>
                <w:highlight w:val="none"/>
              </w:rPr>
              <w:t>分，</w:t>
            </w:r>
            <w:r>
              <w:rPr>
                <w:rFonts w:hint="eastAsia" w:hAnsi="宋体"/>
                <w:color w:val="auto"/>
                <w:spacing w:val="0"/>
                <w:position w:val="0"/>
                <w:highlight w:val="none"/>
                <w:u w:val="single"/>
              </w:rPr>
              <w:t>15</w:t>
            </w:r>
            <w:r>
              <w:rPr>
                <w:rFonts w:hint="eastAsia" w:hAnsi="宋体"/>
                <w:color w:val="auto"/>
                <w:spacing w:val="0"/>
                <w:position w:val="0"/>
                <w:highlight w:val="none"/>
              </w:rPr>
              <w:t>时</w:t>
            </w:r>
            <w:r>
              <w:rPr>
                <w:rFonts w:hint="eastAsia" w:hAnsi="宋体"/>
                <w:color w:val="auto"/>
                <w:spacing w:val="0"/>
                <w:position w:val="0"/>
                <w:highlight w:val="none"/>
                <w:u w:val="single"/>
              </w:rPr>
              <w:t>00</w:t>
            </w:r>
            <w:r>
              <w:rPr>
                <w:rFonts w:hint="eastAsia" w:hAnsi="宋体"/>
                <w:color w:val="auto"/>
                <w:spacing w:val="0"/>
                <w:position w:val="0"/>
                <w:highlight w:val="none"/>
              </w:rPr>
              <w:t>分到</w:t>
            </w:r>
            <w:r>
              <w:rPr>
                <w:rFonts w:hint="eastAsia" w:hAnsi="宋体"/>
                <w:color w:val="auto"/>
                <w:spacing w:val="0"/>
                <w:position w:val="0"/>
                <w:highlight w:val="none"/>
                <w:u w:val="single"/>
              </w:rPr>
              <w:t>18</w:t>
            </w:r>
            <w:r>
              <w:rPr>
                <w:rFonts w:hint="eastAsia" w:hAnsi="宋体"/>
                <w:color w:val="auto"/>
                <w:spacing w:val="0"/>
                <w:position w:val="0"/>
                <w:highlight w:val="none"/>
              </w:rPr>
              <w:t>时</w:t>
            </w:r>
            <w:r>
              <w:rPr>
                <w:rFonts w:hint="eastAsia" w:hAnsi="宋体"/>
                <w:color w:val="auto"/>
                <w:spacing w:val="0"/>
                <w:position w:val="0"/>
                <w:highlight w:val="none"/>
                <w:u w:val="single"/>
              </w:rPr>
              <w:t>00</w:t>
            </w:r>
            <w:r>
              <w:rPr>
                <w:rFonts w:hint="eastAsia" w:hAnsi="宋体"/>
                <w:color w:val="auto"/>
                <w:spacing w:val="0"/>
                <w:position w:val="0"/>
                <w:highlight w:val="none"/>
              </w:rPr>
              <w:t>分</w:t>
            </w:r>
          </w:p>
        </w:tc>
      </w:tr>
      <w:tr w14:paraId="04E4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8" w:type="dxa"/>
            <w:tcBorders>
              <w:top w:val="single" w:color="auto" w:sz="4" w:space="0"/>
              <w:left w:val="single" w:color="auto" w:sz="4" w:space="0"/>
              <w:bottom w:val="single" w:color="auto" w:sz="4" w:space="0"/>
              <w:right w:val="single" w:color="auto" w:sz="4" w:space="0"/>
            </w:tcBorders>
            <w:vAlign w:val="center"/>
          </w:tcPr>
          <w:p w14:paraId="565B311E">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spacing w:val="0"/>
                <w:position w:val="0"/>
                <w:szCs w:val="21"/>
                <w:highlight w:val="none"/>
                <w:lang w:val="en-US" w:eastAsia="zh-CN"/>
              </w:rPr>
            </w:pPr>
            <w:r>
              <w:rPr>
                <w:rFonts w:hint="eastAsia" w:ascii="宋体" w:hAnsi="宋体" w:cs="宋体"/>
                <w:color w:val="auto"/>
                <w:spacing w:val="0"/>
                <w:position w:val="0"/>
                <w:szCs w:val="21"/>
                <w:highlight w:val="none"/>
                <w:lang w:val="en-US" w:eastAsia="zh-CN"/>
              </w:rPr>
              <w:t>18</w:t>
            </w:r>
          </w:p>
        </w:tc>
        <w:tc>
          <w:tcPr>
            <w:tcW w:w="1602" w:type="dxa"/>
            <w:tcBorders>
              <w:top w:val="single" w:color="auto" w:sz="4" w:space="0"/>
              <w:left w:val="single" w:color="auto" w:sz="4" w:space="0"/>
              <w:bottom w:val="single" w:color="auto" w:sz="4" w:space="0"/>
              <w:right w:val="single" w:color="auto" w:sz="4" w:space="0"/>
            </w:tcBorders>
            <w:vAlign w:val="center"/>
          </w:tcPr>
          <w:p w14:paraId="5984CD86">
            <w:pPr>
              <w:keepNext w:val="0"/>
              <w:keepLines w:val="0"/>
              <w:pageBreakBefore w:val="0"/>
              <w:widowControl w:val="0"/>
              <w:kinsoku/>
              <w:wordWrap/>
              <w:overflowPunct/>
              <w:topLinePunct w:val="0"/>
              <w:autoSpaceDE/>
              <w:autoSpaceDN/>
              <w:bidi w:val="0"/>
              <w:adjustRightInd/>
              <w:spacing w:line="360" w:lineRule="auto"/>
              <w:ind w:left="0" w:leftChars="0"/>
              <w:jc w:val="center"/>
              <w:textAlignment w:val="auto"/>
              <w:rPr>
                <w:rFonts w:hint="eastAsia" w:hAnsi="宋体"/>
                <w:color w:val="auto"/>
                <w:spacing w:val="0"/>
                <w:position w:val="0"/>
                <w:highlight w:val="none"/>
              </w:rPr>
            </w:pPr>
            <w:r>
              <w:rPr>
                <w:rFonts w:hint="eastAsia" w:ascii="宋体" w:hAnsi="宋体" w:cs="宋体"/>
                <w:color w:val="auto"/>
                <w:spacing w:val="0"/>
                <w:position w:val="0"/>
                <w:szCs w:val="21"/>
                <w:highlight w:val="none"/>
              </w:rPr>
              <w:t>采购代理费</w:t>
            </w:r>
          </w:p>
        </w:tc>
        <w:tc>
          <w:tcPr>
            <w:tcW w:w="7399" w:type="dxa"/>
            <w:tcBorders>
              <w:top w:val="single" w:color="auto" w:sz="4" w:space="0"/>
              <w:left w:val="single" w:color="auto" w:sz="4" w:space="0"/>
              <w:bottom w:val="single" w:color="auto" w:sz="4" w:space="0"/>
              <w:right w:val="single" w:color="auto" w:sz="4" w:space="0"/>
            </w:tcBorders>
            <w:vAlign w:val="center"/>
          </w:tcPr>
          <w:p w14:paraId="780FA9D5">
            <w:pPr>
              <w:pStyle w:val="13"/>
              <w:keepNext w:val="0"/>
              <w:keepLines w:val="0"/>
              <w:pageBreakBefore w:val="0"/>
              <w:widowControl w:val="0"/>
              <w:kinsoku/>
              <w:wordWrap/>
              <w:overflowPunct/>
              <w:topLinePunct w:val="0"/>
              <w:autoSpaceDE/>
              <w:autoSpaceDN/>
              <w:bidi w:val="0"/>
              <w:adjustRightInd/>
              <w:snapToGrid w:val="0"/>
              <w:spacing w:line="360" w:lineRule="auto"/>
              <w:ind w:left="0"/>
              <w:textAlignment w:val="auto"/>
              <w:rPr>
                <w:rFonts w:hint="eastAsia" w:hAnsi="宋体" w:cs="宋体"/>
                <w:color w:val="auto"/>
                <w:spacing w:val="0"/>
                <w:position w:val="0"/>
                <w:sz w:val="21"/>
                <w:highlight w:val="none"/>
                <w:lang w:val="en-US" w:eastAsia="zh-CN"/>
              </w:rPr>
            </w:pPr>
            <w:r>
              <w:rPr>
                <w:rFonts w:hint="eastAsia" w:hAnsi="宋体" w:cs="宋体"/>
                <w:color w:val="auto"/>
                <w:spacing w:val="0"/>
                <w:position w:val="0"/>
                <w:sz w:val="21"/>
                <w:highlight w:val="none"/>
                <w:lang w:val="en-US" w:eastAsia="zh-CN"/>
              </w:rPr>
              <w:t>1.代理服务费：按差额定率累进法，以《招标代理服务收费管理暂行办法》计价格[2002]1980号文和发改价格[2011]534号工程类标准计算，按计费依据计费向成交人计取。成交人在领取成交通知书前，一次性向采购代理机构支付。</w:t>
            </w:r>
          </w:p>
          <w:p w14:paraId="2861AC1F">
            <w:pPr>
              <w:pStyle w:val="13"/>
              <w:keepNext w:val="0"/>
              <w:keepLines w:val="0"/>
              <w:pageBreakBefore w:val="0"/>
              <w:widowControl w:val="0"/>
              <w:kinsoku/>
              <w:wordWrap/>
              <w:overflowPunct/>
              <w:topLinePunct w:val="0"/>
              <w:autoSpaceDE/>
              <w:autoSpaceDN/>
              <w:bidi w:val="0"/>
              <w:adjustRightInd/>
              <w:snapToGrid w:val="0"/>
              <w:spacing w:line="360" w:lineRule="auto"/>
              <w:ind w:left="0"/>
              <w:textAlignment w:val="auto"/>
              <w:rPr>
                <w:rFonts w:hint="eastAsia" w:hAnsi="宋体" w:cs="宋体"/>
                <w:color w:val="auto"/>
                <w:spacing w:val="0"/>
                <w:position w:val="0"/>
                <w:sz w:val="21"/>
                <w:highlight w:val="none"/>
                <w:lang w:val="en-US" w:eastAsia="zh-CN"/>
              </w:rPr>
            </w:pPr>
            <w:r>
              <w:rPr>
                <w:rFonts w:hint="eastAsia" w:hAnsi="宋体" w:cs="宋体"/>
                <w:color w:val="auto"/>
                <w:spacing w:val="0"/>
                <w:position w:val="0"/>
                <w:sz w:val="21"/>
                <w:highlight w:val="none"/>
                <w:lang w:val="en-US" w:eastAsia="zh-CN"/>
              </w:rPr>
              <w:t>2. 代理服务费收取银行账户：</w:t>
            </w:r>
          </w:p>
          <w:p w14:paraId="268279DD">
            <w:pPr>
              <w:pStyle w:val="13"/>
              <w:keepNext w:val="0"/>
              <w:keepLines w:val="0"/>
              <w:pageBreakBefore w:val="0"/>
              <w:widowControl w:val="0"/>
              <w:kinsoku/>
              <w:wordWrap/>
              <w:overflowPunct/>
              <w:topLinePunct w:val="0"/>
              <w:autoSpaceDE/>
              <w:autoSpaceDN/>
              <w:bidi w:val="0"/>
              <w:adjustRightInd/>
              <w:snapToGrid w:val="0"/>
              <w:spacing w:line="400" w:lineRule="exact"/>
              <w:ind w:left="0"/>
              <w:textAlignment w:val="auto"/>
              <w:rPr>
                <w:rFonts w:hint="eastAsia" w:hAnsi="宋体"/>
                <w:color w:val="auto"/>
                <w:highlight w:val="none"/>
                <w:lang w:eastAsia="zh-CN"/>
              </w:rPr>
            </w:pPr>
            <w:r>
              <w:rPr>
                <w:rFonts w:hint="eastAsia" w:hAnsi="宋体"/>
                <w:color w:val="auto"/>
                <w:highlight w:val="none"/>
              </w:rPr>
              <w:t>账户名称：</w:t>
            </w:r>
            <w:r>
              <w:rPr>
                <w:rFonts w:hint="eastAsia" w:hAnsi="宋体"/>
                <w:color w:val="auto"/>
                <w:highlight w:val="none"/>
                <w:lang w:val="en-US" w:eastAsia="zh-CN"/>
              </w:rPr>
              <w:t>广西华诚达建设项目管理有限公司浦北分公司</w:t>
            </w:r>
            <w:r>
              <w:rPr>
                <w:rFonts w:hint="eastAsia" w:hAnsi="宋体"/>
                <w:color w:val="auto"/>
                <w:highlight w:val="none"/>
                <w:lang w:eastAsia="zh-CN"/>
              </w:rPr>
              <w:t xml:space="preserve"> </w:t>
            </w:r>
          </w:p>
          <w:p w14:paraId="6558A30B">
            <w:pPr>
              <w:pStyle w:val="13"/>
              <w:keepNext w:val="0"/>
              <w:keepLines w:val="0"/>
              <w:pageBreakBefore w:val="0"/>
              <w:widowControl w:val="0"/>
              <w:kinsoku/>
              <w:wordWrap/>
              <w:overflowPunct/>
              <w:topLinePunct w:val="0"/>
              <w:autoSpaceDE/>
              <w:autoSpaceDN/>
              <w:bidi w:val="0"/>
              <w:adjustRightInd/>
              <w:snapToGrid w:val="0"/>
              <w:spacing w:line="400" w:lineRule="exact"/>
              <w:ind w:left="0"/>
              <w:textAlignment w:val="auto"/>
              <w:rPr>
                <w:rFonts w:hint="eastAsia" w:hAnsi="宋体"/>
                <w:color w:val="auto"/>
                <w:highlight w:val="none"/>
                <w:lang w:val="en-US" w:eastAsia="zh-CN"/>
              </w:rPr>
            </w:pPr>
            <w:r>
              <w:rPr>
                <w:rFonts w:hint="eastAsia" w:hAnsi="宋体"/>
                <w:color w:val="auto"/>
                <w:highlight w:val="none"/>
              </w:rPr>
              <w:t>开户银行：</w:t>
            </w:r>
            <w:r>
              <w:rPr>
                <w:rFonts w:hint="eastAsia" w:hAnsi="宋体"/>
                <w:color w:val="auto"/>
                <w:highlight w:val="none"/>
                <w:lang w:val="en-US" w:eastAsia="zh-CN"/>
              </w:rPr>
              <w:t>浦北县农村信用合作联社小江信用社</w:t>
            </w:r>
          </w:p>
          <w:p w14:paraId="53F1452E">
            <w:pPr>
              <w:pStyle w:val="13"/>
              <w:keepNext w:val="0"/>
              <w:keepLines w:val="0"/>
              <w:pageBreakBefore w:val="0"/>
              <w:widowControl w:val="0"/>
              <w:kinsoku/>
              <w:wordWrap/>
              <w:overflowPunct/>
              <w:topLinePunct w:val="0"/>
              <w:autoSpaceDE/>
              <w:autoSpaceDN/>
              <w:bidi w:val="0"/>
              <w:adjustRightInd/>
              <w:snapToGrid w:val="0"/>
              <w:spacing w:line="360" w:lineRule="auto"/>
              <w:ind w:left="0"/>
              <w:textAlignment w:val="auto"/>
              <w:rPr>
                <w:rFonts w:hint="eastAsia" w:hAnsi="宋体"/>
                <w:color w:val="auto"/>
                <w:spacing w:val="0"/>
                <w:position w:val="0"/>
                <w:highlight w:val="none"/>
              </w:rPr>
            </w:pPr>
            <w:r>
              <w:rPr>
                <w:rFonts w:hint="eastAsia" w:hAnsi="宋体"/>
                <w:color w:val="auto"/>
                <w:highlight w:val="none"/>
              </w:rPr>
              <w:t>银行账号：</w:t>
            </w:r>
            <w:r>
              <w:rPr>
                <w:rFonts w:hint="eastAsia" w:hAnsi="宋体"/>
                <w:color w:val="auto"/>
                <w:highlight w:val="none"/>
                <w:lang w:val="en-US" w:eastAsia="zh-CN"/>
              </w:rPr>
              <w:t xml:space="preserve">825512010110542786 </w:t>
            </w:r>
          </w:p>
        </w:tc>
      </w:tr>
      <w:tr w14:paraId="2296E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648" w:type="dxa"/>
            <w:tcBorders>
              <w:top w:val="single" w:color="auto" w:sz="4" w:space="0"/>
              <w:left w:val="single" w:color="auto" w:sz="4" w:space="0"/>
              <w:bottom w:val="single" w:color="auto" w:sz="4" w:space="0"/>
              <w:right w:val="single" w:color="auto" w:sz="4" w:space="0"/>
            </w:tcBorders>
            <w:vAlign w:val="center"/>
          </w:tcPr>
          <w:p w14:paraId="2F766A01">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spacing w:val="0"/>
                <w:position w:val="0"/>
                <w:szCs w:val="21"/>
                <w:highlight w:val="none"/>
                <w:lang w:val="en-US" w:eastAsia="zh-CN"/>
              </w:rPr>
            </w:pPr>
            <w:r>
              <w:rPr>
                <w:rFonts w:hint="eastAsia" w:ascii="宋体" w:hAnsi="宋体" w:cs="宋体"/>
                <w:color w:val="auto"/>
                <w:spacing w:val="0"/>
                <w:position w:val="0"/>
                <w:szCs w:val="21"/>
                <w:highlight w:val="none"/>
                <w:lang w:val="en-US" w:eastAsia="zh-CN"/>
              </w:rPr>
              <w:t>19</w:t>
            </w:r>
          </w:p>
        </w:tc>
        <w:tc>
          <w:tcPr>
            <w:tcW w:w="1602" w:type="dxa"/>
            <w:tcBorders>
              <w:top w:val="single" w:color="auto" w:sz="4" w:space="0"/>
              <w:left w:val="single" w:color="auto" w:sz="4" w:space="0"/>
              <w:bottom w:val="single" w:color="auto" w:sz="4" w:space="0"/>
              <w:right w:val="single" w:color="auto" w:sz="4" w:space="0"/>
            </w:tcBorders>
            <w:vAlign w:val="center"/>
          </w:tcPr>
          <w:p w14:paraId="3DD4553D">
            <w:pPr>
              <w:keepNext w:val="0"/>
              <w:keepLines w:val="0"/>
              <w:pageBreakBefore w:val="0"/>
              <w:widowControl w:val="0"/>
              <w:kinsoku/>
              <w:wordWrap/>
              <w:overflowPunct/>
              <w:topLinePunct w:val="0"/>
              <w:autoSpaceDE/>
              <w:autoSpaceDN/>
              <w:bidi w:val="0"/>
              <w:adjustRightInd/>
              <w:spacing w:line="360" w:lineRule="auto"/>
              <w:ind w:left="0" w:leftChars="0"/>
              <w:jc w:val="center"/>
              <w:textAlignment w:val="auto"/>
              <w:rPr>
                <w:rFonts w:hint="eastAsia" w:ascii="宋体" w:hAnsi="宋体" w:cs="宋体"/>
                <w:color w:val="auto"/>
                <w:spacing w:val="0"/>
                <w:position w:val="0"/>
                <w:szCs w:val="21"/>
                <w:highlight w:val="none"/>
              </w:rPr>
            </w:pPr>
            <w:r>
              <w:rPr>
                <w:rFonts w:hint="eastAsia" w:hAnsi="宋体"/>
                <w:color w:val="auto"/>
                <w:spacing w:val="0"/>
                <w:position w:val="0"/>
                <w:highlight w:val="none"/>
              </w:rPr>
              <w:t>解释</w:t>
            </w:r>
          </w:p>
        </w:tc>
        <w:tc>
          <w:tcPr>
            <w:tcW w:w="7399" w:type="dxa"/>
            <w:tcBorders>
              <w:top w:val="single" w:color="auto" w:sz="4" w:space="0"/>
              <w:left w:val="single" w:color="auto" w:sz="4" w:space="0"/>
              <w:bottom w:val="single" w:color="auto" w:sz="4" w:space="0"/>
              <w:right w:val="single" w:color="auto" w:sz="4" w:space="0"/>
            </w:tcBorders>
            <w:vAlign w:val="center"/>
          </w:tcPr>
          <w:p w14:paraId="1724AA7B">
            <w:pPr>
              <w:pStyle w:val="13"/>
              <w:keepNext w:val="0"/>
              <w:keepLines w:val="0"/>
              <w:pageBreakBefore w:val="0"/>
              <w:widowControl w:val="0"/>
              <w:kinsoku/>
              <w:wordWrap/>
              <w:overflowPunct/>
              <w:topLinePunct w:val="0"/>
              <w:autoSpaceDE/>
              <w:autoSpaceDN/>
              <w:bidi w:val="0"/>
              <w:adjustRightInd/>
              <w:snapToGrid w:val="0"/>
              <w:spacing w:line="360" w:lineRule="auto"/>
              <w:ind w:left="0"/>
              <w:textAlignment w:val="auto"/>
              <w:rPr>
                <w:rFonts w:hint="eastAsia" w:hAnsi="宋体" w:cs="宋体"/>
                <w:b/>
                <w:color w:val="auto"/>
                <w:spacing w:val="0"/>
                <w:position w:val="0"/>
                <w:sz w:val="21"/>
                <w:highlight w:val="none"/>
                <w:lang w:val="en-US" w:eastAsia="zh-CN"/>
              </w:rPr>
            </w:pPr>
            <w:r>
              <w:rPr>
                <w:rFonts w:hint="eastAsia" w:hAnsi="宋体" w:cs="宋体"/>
                <w:b/>
                <w:color w:val="auto"/>
                <w:spacing w:val="0"/>
                <w:position w:val="0"/>
                <w:sz w:val="21"/>
                <w:highlight w:val="none"/>
                <w:lang w:val="en-US" w:eastAsia="zh-CN"/>
              </w:rPr>
              <w:t>解释权：</w:t>
            </w:r>
            <w:r>
              <w:rPr>
                <w:rFonts w:hAnsi="宋体" w:cs="宋体"/>
                <w:color w:val="auto"/>
                <w:spacing w:val="0"/>
                <w:position w:val="0"/>
                <w:sz w:val="21"/>
                <w:highlight w:val="none"/>
                <w:lang w:val="en-US" w:eastAsia="zh-CN"/>
              </w:rPr>
              <w:t>构成本</w:t>
            </w:r>
            <w:r>
              <w:rPr>
                <w:rFonts w:hint="eastAsia" w:hAnsi="宋体" w:cs="宋体"/>
                <w:color w:val="auto"/>
                <w:spacing w:val="0"/>
                <w:position w:val="0"/>
                <w:sz w:val="21"/>
                <w:highlight w:val="none"/>
                <w:lang w:val="en-US" w:eastAsia="zh-CN"/>
              </w:rPr>
              <w:t>磋商文件</w:t>
            </w:r>
            <w:r>
              <w:rPr>
                <w:rFonts w:hAnsi="宋体" w:cs="宋体"/>
                <w:color w:val="auto"/>
                <w:spacing w:val="0"/>
                <w:position w:val="0"/>
                <w:sz w:val="21"/>
                <w:highlight w:val="none"/>
                <w:lang w:val="en-US" w:eastAsia="zh-CN"/>
              </w:rPr>
              <w:t>的各个组成文件应互为解释，互为说明；除</w:t>
            </w:r>
            <w:r>
              <w:rPr>
                <w:rFonts w:hint="eastAsia" w:hAnsi="宋体" w:cs="宋体"/>
                <w:color w:val="auto"/>
                <w:spacing w:val="0"/>
                <w:position w:val="0"/>
                <w:sz w:val="21"/>
                <w:highlight w:val="none"/>
                <w:lang w:val="en-US" w:eastAsia="zh-CN"/>
              </w:rPr>
              <w:t>磋商文件</w:t>
            </w:r>
            <w:r>
              <w:rPr>
                <w:rFonts w:hAnsi="宋体" w:cs="宋体"/>
                <w:color w:val="auto"/>
                <w:spacing w:val="0"/>
                <w:position w:val="0"/>
                <w:sz w:val="21"/>
                <w:highlight w:val="none"/>
                <w:lang w:val="en-US" w:eastAsia="zh-CN"/>
              </w:rPr>
              <w:t>中有特别规定外，仅适用于</w:t>
            </w:r>
            <w:r>
              <w:rPr>
                <w:rFonts w:hint="eastAsia" w:hAnsi="宋体" w:cs="宋体"/>
                <w:color w:val="auto"/>
                <w:spacing w:val="0"/>
                <w:position w:val="0"/>
                <w:sz w:val="21"/>
                <w:highlight w:val="none"/>
                <w:lang w:val="en-US" w:eastAsia="zh-CN"/>
              </w:rPr>
              <w:t>竞标</w:t>
            </w:r>
            <w:r>
              <w:rPr>
                <w:rFonts w:hAnsi="宋体" w:cs="宋体"/>
                <w:color w:val="auto"/>
                <w:spacing w:val="0"/>
                <w:position w:val="0"/>
                <w:sz w:val="21"/>
                <w:highlight w:val="none"/>
                <w:lang w:val="en-US" w:eastAsia="zh-CN"/>
              </w:rPr>
              <w:t>阶段的规定，按</w:t>
            </w:r>
            <w:r>
              <w:rPr>
                <w:rFonts w:hint="eastAsia" w:hAnsi="宋体" w:cs="宋体"/>
                <w:color w:val="auto"/>
                <w:spacing w:val="0"/>
                <w:position w:val="0"/>
                <w:sz w:val="21"/>
                <w:highlight w:val="none"/>
                <w:lang w:val="en-US" w:eastAsia="zh-CN"/>
              </w:rPr>
              <w:t>更正公告（澄清公告）</w:t>
            </w:r>
            <w:r>
              <w:rPr>
                <w:rFonts w:hAnsi="宋体" w:cs="宋体"/>
                <w:color w:val="auto"/>
                <w:spacing w:val="0"/>
                <w:position w:val="0"/>
                <w:sz w:val="21"/>
                <w:highlight w:val="none"/>
                <w:lang w:val="en-US" w:eastAsia="zh-CN"/>
              </w:rPr>
              <w:t>、</w:t>
            </w:r>
            <w:r>
              <w:rPr>
                <w:rFonts w:hint="eastAsia" w:hAnsi="宋体" w:cs="宋体"/>
                <w:color w:val="auto"/>
                <w:spacing w:val="0"/>
                <w:position w:val="0"/>
                <w:sz w:val="21"/>
                <w:highlight w:val="none"/>
                <w:lang w:val="en-US" w:eastAsia="zh-CN"/>
              </w:rPr>
              <w:t>竞争性磋商</w:t>
            </w:r>
            <w:r>
              <w:rPr>
                <w:rFonts w:hAnsi="宋体" w:cs="宋体"/>
                <w:color w:val="auto"/>
                <w:spacing w:val="0"/>
                <w:position w:val="0"/>
                <w:sz w:val="21"/>
                <w:highlight w:val="none"/>
                <w:lang w:val="en-US" w:eastAsia="zh-CN"/>
              </w:rPr>
              <w:t>公告、</w:t>
            </w:r>
            <w:r>
              <w:rPr>
                <w:rFonts w:hint="eastAsia" w:hAnsi="宋体" w:cs="宋体"/>
                <w:color w:val="auto"/>
                <w:spacing w:val="0"/>
                <w:position w:val="0"/>
                <w:sz w:val="21"/>
                <w:highlight w:val="none"/>
                <w:lang w:val="en-US" w:eastAsia="zh-CN"/>
              </w:rPr>
              <w:t>供应商</w:t>
            </w:r>
            <w:r>
              <w:rPr>
                <w:rFonts w:hAnsi="宋体" w:cs="宋体"/>
                <w:color w:val="auto"/>
                <w:spacing w:val="0"/>
                <w:position w:val="0"/>
                <w:sz w:val="21"/>
                <w:highlight w:val="none"/>
                <w:lang w:val="en-US" w:eastAsia="zh-CN"/>
              </w:rPr>
              <w:t>须知</w:t>
            </w:r>
            <w:r>
              <w:rPr>
                <w:rFonts w:hint="eastAsia" w:hAnsi="宋体" w:cs="宋体"/>
                <w:color w:val="auto"/>
                <w:spacing w:val="0"/>
                <w:position w:val="0"/>
                <w:sz w:val="21"/>
                <w:highlight w:val="none"/>
                <w:lang w:val="en-US" w:eastAsia="zh-CN"/>
              </w:rPr>
              <w:t>、采购需求</w:t>
            </w:r>
            <w:r>
              <w:rPr>
                <w:rFonts w:hAnsi="宋体" w:cs="宋体"/>
                <w:color w:val="auto"/>
                <w:spacing w:val="0"/>
                <w:position w:val="0"/>
                <w:sz w:val="21"/>
                <w:highlight w:val="none"/>
                <w:lang w:val="en-US" w:eastAsia="zh-CN"/>
              </w:rPr>
              <w:t>、</w:t>
            </w:r>
            <w:r>
              <w:rPr>
                <w:rFonts w:hint="eastAsia" w:hAnsi="宋体" w:cs="宋体"/>
                <w:color w:val="auto"/>
                <w:spacing w:val="0"/>
                <w:position w:val="0"/>
                <w:sz w:val="21"/>
                <w:highlight w:val="none"/>
                <w:lang w:val="en-US" w:eastAsia="zh-CN"/>
              </w:rPr>
              <w:t>评审程序、评审方法和评审标准</w:t>
            </w:r>
            <w:r>
              <w:rPr>
                <w:rFonts w:hAnsi="宋体" w:cs="宋体"/>
                <w:color w:val="auto"/>
                <w:spacing w:val="0"/>
                <w:position w:val="0"/>
                <w:sz w:val="21"/>
                <w:highlight w:val="none"/>
                <w:lang w:val="en-US" w:eastAsia="zh-CN"/>
              </w:rPr>
              <w:t>、</w:t>
            </w:r>
            <w:r>
              <w:rPr>
                <w:rFonts w:hint="eastAsia" w:hAnsi="宋体" w:cs="宋体"/>
                <w:color w:val="auto"/>
                <w:spacing w:val="0"/>
                <w:position w:val="0"/>
                <w:sz w:val="21"/>
                <w:highlight w:val="none"/>
                <w:lang w:val="en-US" w:eastAsia="zh-CN"/>
              </w:rPr>
              <w:t>响应</w:t>
            </w:r>
            <w:r>
              <w:rPr>
                <w:rFonts w:hAnsi="宋体" w:cs="宋体"/>
                <w:color w:val="auto"/>
                <w:spacing w:val="0"/>
                <w:position w:val="0"/>
                <w:sz w:val="21"/>
                <w:highlight w:val="none"/>
                <w:lang w:val="en-US" w:eastAsia="zh-CN"/>
              </w:rPr>
              <w:t>文件格式</w:t>
            </w:r>
            <w:r>
              <w:rPr>
                <w:rFonts w:hint="eastAsia" w:hAnsi="宋体" w:cs="宋体"/>
                <w:color w:val="auto"/>
                <w:spacing w:val="0"/>
                <w:position w:val="0"/>
                <w:sz w:val="21"/>
                <w:highlight w:val="none"/>
                <w:lang w:val="en-US" w:eastAsia="zh-CN"/>
              </w:rPr>
              <w:t>、合同文本</w:t>
            </w:r>
            <w:r>
              <w:rPr>
                <w:rFonts w:hAnsi="宋体" w:cs="宋体"/>
                <w:color w:val="auto"/>
                <w:spacing w:val="0"/>
                <w:position w:val="0"/>
                <w:sz w:val="21"/>
                <w:highlight w:val="none"/>
                <w:lang w:val="en-US" w:eastAsia="zh-CN"/>
              </w:rPr>
              <w:t>的先后顺序解释；同一组成文件中就同一事项的规定或者约定不一致的，以编排顺序在后者为准；同一组成文件不同版本之间有不一致的，以形成时间在后者为准；</w:t>
            </w:r>
            <w:r>
              <w:rPr>
                <w:rFonts w:hint="eastAsia" w:hAnsi="宋体" w:cs="宋体"/>
                <w:color w:val="auto"/>
                <w:spacing w:val="0"/>
                <w:position w:val="0"/>
                <w:sz w:val="21"/>
                <w:highlight w:val="none"/>
                <w:lang w:val="en-US" w:eastAsia="zh-CN"/>
              </w:rPr>
              <w:t>更正公告（澄清公告）</w:t>
            </w:r>
            <w:r>
              <w:rPr>
                <w:rFonts w:hAnsi="宋体" w:cs="宋体"/>
                <w:color w:val="auto"/>
                <w:spacing w:val="0"/>
                <w:position w:val="0"/>
                <w:sz w:val="21"/>
                <w:highlight w:val="none"/>
                <w:lang w:val="en-US" w:eastAsia="zh-CN"/>
              </w:rPr>
              <w:t>与同步更新的</w:t>
            </w:r>
            <w:r>
              <w:rPr>
                <w:rFonts w:hint="eastAsia" w:hAnsi="宋体" w:cs="宋体"/>
                <w:color w:val="auto"/>
                <w:spacing w:val="0"/>
                <w:position w:val="0"/>
                <w:sz w:val="21"/>
                <w:highlight w:val="none"/>
                <w:lang w:val="en-US" w:eastAsia="zh-CN"/>
              </w:rPr>
              <w:t>磋商文件</w:t>
            </w:r>
            <w:r>
              <w:rPr>
                <w:rFonts w:hAnsi="宋体" w:cs="宋体"/>
                <w:color w:val="auto"/>
                <w:spacing w:val="0"/>
                <w:position w:val="0"/>
                <w:sz w:val="21"/>
                <w:highlight w:val="none"/>
                <w:lang w:val="en-US" w:eastAsia="zh-CN"/>
              </w:rPr>
              <w:t>不一致时以</w:t>
            </w:r>
            <w:r>
              <w:rPr>
                <w:rFonts w:hint="eastAsia" w:hAnsi="宋体" w:cs="宋体"/>
                <w:color w:val="auto"/>
                <w:spacing w:val="0"/>
                <w:position w:val="0"/>
                <w:sz w:val="21"/>
                <w:highlight w:val="none"/>
                <w:lang w:val="en-US" w:eastAsia="zh-CN"/>
              </w:rPr>
              <w:t>更正公告（澄清公告）</w:t>
            </w:r>
            <w:r>
              <w:rPr>
                <w:rFonts w:hAnsi="宋体" w:cs="宋体"/>
                <w:color w:val="auto"/>
                <w:spacing w:val="0"/>
                <w:position w:val="0"/>
                <w:sz w:val="21"/>
                <w:highlight w:val="none"/>
                <w:lang w:val="en-US" w:eastAsia="zh-CN"/>
              </w:rPr>
              <w:t>为准。按本款前述规定仍不能形成结论的，</w:t>
            </w:r>
            <w:r>
              <w:rPr>
                <w:rFonts w:hAnsi="宋体" w:cs="宋体"/>
                <w:b/>
                <w:color w:val="auto"/>
                <w:spacing w:val="0"/>
                <w:position w:val="0"/>
                <w:sz w:val="21"/>
                <w:highlight w:val="none"/>
                <w:lang w:val="en-US" w:eastAsia="zh-CN"/>
              </w:rPr>
              <w:t>由</w:t>
            </w:r>
            <w:r>
              <w:rPr>
                <w:rFonts w:hint="eastAsia" w:hAnsi="宋体" w:cs="宋体"/>
                <w:b/>
                <w:color w:val="auto"/>
                <w:spacing w:val="0"/>
                <w:position w:val="0"/>
                <w:sz w:val="21"/>
                <w:highlight w:val="none"/>
                <w:lang w:val="en-US" w:eastAsia="zh-CN"/>
              </w:rPr>
              <w:t>采购</w:t>
            </w:r>
            <w:r>
              <w:rPr>
                <w:rFonts w:hAnsi="宋体" w:cs="宋体"/>
                <w:b/>
                <w:color w:val="auto"/>
                <w:spacing w:val="0"/>
                <w:position w:val="0"/>
                <w:sz w:val="21"/>
                <w:highlight w:val="none"/>
                <w:lang w:val="en-US" w:eastAsia="zh-CN"/>
              </w:rPr>
              <w:t>人</w:t>
            </w:r>
            <w:r>
              <w:rPr>
                <w:rFonts w:hint="eastAsia" w:hAnsi="宋体" w:cs="宋体"/>
                <w:b/>
                <w:color w:val="auto"/>
                <w:spacing w:val="0"/>
                <w:position w:val="0"/>
                <w:sz w:val="21"/>
                <w:highlight w:val="none"/>
                <w:lang w:val="en-US" w:eastAsia="zh-CN"/>
              </w:rPr>
              <w:t>或者采购代理机构</w:t>
            </w:r>
            <w:r>
              <w:rPr>
                <w:rFonts w:hAnsi="宋体" w:cs="宋体"/>
                <w:b/>
                <w:color w:val="auto"/>
                <w:spacing w:val="0"/>
                <w:position w:val="0"/>
                <w:sz w:val="21"/>
                <w:highlight w:val="none"/>
                <w:lang w:val="en-US" w:eastAsia="zh-CN"/>
              </w:rPr>
              <w:t>负责解释。</w:t>
            </w:r>
          </w:p>
          <w:p w14:paraId="230AE30B">
            <w:pPr>
              <w:pStyle w:val="13"/>
              <w:keepNext w:val="0"/>
              <w:keepLines w:val="0"/>
              <w:pageBreakBefore w:val="0"/>
              <w:widowControl w:val="0"/>
              <w:kinsoku/>
              <w:wordWrap/>
              <w:overflowPunct/>
              <w:topLinePunct w:val="0"/>
              <w:autoSpaceDE/>
              <w:autoSpaceDN/>
              <w:bidi w:val="0"/>
              <w:adjustRightInd/>
              <w:snapToGrid w:val="0"/>
              <w:spacing w:line="360" w:lineRule="auto"/>
              <w:ind w:left="0" w:leftChars="0"/>
              <w:textAlignment w:val="auto"/>
              <w:rPr>
                <w:rFonts w:hint="eastAsia" w:ascii="宋体" w:hAnsi="宋体" w:eastAsia="宋体" w:cs="宋体"/>
                <w:color w:val="auto"/>
                <w:spacing w:val="0"/>
                <w:position w:val="0"/>
                <w:sz w:val="21"/>
                <w:highlight w:val="none"/>
                <w:lang w:val="en-US" w:eastAsia="zh-CN"/>
              </w:rPr>
            </w:pPr>
            <w:r>
              <w:rPr>
                <w:rFonts w:hint="eastAsia" w:hAnsi="宋体" w:cs="宋体"/>
                <w:b/>
                <w:color w:val="auto"/>
                <w:spacing w:val="0"/>
                <w:position w:val="0"/>
                <w:sz w:val="21"/>
                <w:highlight w:val="none"/>
                <w:lang w:val="en-US" w:eastAsia="zh-CN"/>
              </w:rPr>
              <w:t>法律责任：</w:t>
            </w:r>
            <w:r>
              <w:rPr>
                <w:rFonts w:hint="eastAsia" w:hAnsi="宋体" w:cs="宋体"/>
                <w:color w:val="auto"/>
                <w:spacing w:val="0"/>
                <w:position w:val="0"/>
                <w:sz w:val="21"/>
                <w:highlight w:val="none"/>
                <w:lang w:val="en-US" w:eastAsia="zh-CN"/>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tc>
      </w:tr>
      <w:tr w14:paraId="53871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648" w:type="dxa"/>
            <w:tcBorders>
              <w:top w:val="single" w:color="auto" w:sz="4" w:space="0"/>
              <w:left w:val="single" w:color="auto" w:sz="4" w:space="0"/>
              <w:bottom w:val="single" w:color="auto" w:sz="4" w:space="0"/>
              <w:right w:val="single" w:color="auto" w:sz="4" w:space="0"/>
            </w:tcBorders>
            <w:vAlign w:val="center"/>
          </w:tcPr>
          <w:p w14:paraId="696DC590">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spacing w:val="0"/>
                <w:position w:val="0"/>
                <w:szCs w:val="21"/>
                <w:highlight w:val="none"/>
                <w:lang w:val="en-US" w:eastAsia="zh-CN"/>
              </w:rPr>
            </w:pPr>
            <w:r>
              <w:rPr>
                <w:rFonts w:hint="eastAsia" w:ascii="宋体" w:hAnsi="宋体" w:cs="宋体"/>
                <w:color w:val="auto"/>
                <w:spacing w:val="0"/>
                <w:position w:val="0"/>
                <w:szCs w:val="21"/>
                <w:highlight w:val="none"/>
                <w:lang w:val="en-US" w:eastAsia="zh-CN"/>
              </w:rPr>
              <w:t>20</w:t>
            </w:r>
          </w:p>
        </w:tc>
        <w:tc>
          <w:tcPr>
            <w:tcW w:w="1602" w:type="dxa"/>
            <w:tcBorders>
              <w:top w:val="single" w:color="auto" w:sz="4" w:space="0"/>
              <w:left w:val="single" w:color="auto" w:sz="4" w:space="0"/>
              <w:bottom w:val="single" w:color="auto" w:sz="4" w:space="0"/>
              <w:right w:val="single" w:color="auto" w:sz="4" w:space="0"/>
            </w:tcBorders>
            <w:vAlign w:val="center"/>
          </w:tcPr>
          <w:p w14:paraId="3CEE0ED1">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其他</w:t>
            </w:r>
          </w:p>
        </w:tc>
        <w:tc>
          <w:tcPr>
            <w:tcW w:w="7399" w:type="dxa"/>
            <w:tcBorders>
              <w:top w:val="single" w:color="auto" w:sz="4" w:space="0"/>
              <w:left w:val="single" w:color="auto" w:sz="4" w:space="0"/>
              <w:bottom w:val="single" w:color="auto" w:sz="4" w:space="0"/>
              <w:right w:val="single" w:color="auto" w:sz="4" w:space="0"/>
            </w:tcBorders>
            <w:vAlign w:val="center"/>
          </w:tcPr>
          <w:p w14:paraId="2678D2D9">
            <w:pPr>
              <w:pStyle w:val="13"/>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hAnsi="宋体" w:cs="宋体"/>
                <w:color w:val="auto"/>
                <w:spacing w:val="0"/>
                <w:position w:val="0"/>
                <w:sz w:val="21"/>
                <w:highlight w:val="none"/>
                <w:lang w:val="en-US" w:eastAsia="zh-CN"/>
              </w:rPr>
            </w:pPr>
            <w:r>
              <w:rPr>
                <w:rFonts w:hint="eastAsia" w:hAnsi="宋体" w:cs="宋体"/>
                <w:color w:val="auto"/>
                <w:spacing w:val="0"/>
                <w:position w:val="0"/>
                <w:sz w:val="21"/>
                <w:highlight w:val="none"/>
                <w:lang w:val="en-US" w:eastAsia="zh-CN"/>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2322EF72">
            <w:pPr>
              <w:pStyle w:val="13"/>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hAnsi="宋体" w:cs="宋体"/>
                <w:color w:val="auto"/>
                <w:spacing w:val="0"/>
                <w:position w:val="0"/>
                <w:sz w:val="21"/>
                <w:highlight w:val="none"/>
                <w:lang w:val="en-US" w:eastAsia="zh-CN"/>
              </w:rPr>
            </w:pPr>
            <w:r>
              <w:rPr>
                <w:rFonts w:hint="eastAsia" w:hAnsi="宋体" w:cs="宋体"/>
                <w:color w:val="auto"/>
                <w:spacing w:val="0"/>
                <w:position w:val="0"/>
                <w:sz w:val="21"/>
                <w:highlight w:val="none"/>
                <w:lang w:val="en-US" w:eastAsia="zh-CN"/>
              </w:rPr>
              <w:t>2.本磋商文件所称的“电子签章”、“电子签名”，是指经广西政府采购云平台认可的CA认证的电子签名数据为表现形式的印章，可用于签署电子响应文件，电子印章与实物印章具有同等法律效力，不因其采用电子化表现形式而否定其法律效力。</w:t>
            </w:r>
          </w:p>
          <w:p w14:paraId="6B4C2CBD">
            <w:pPr>
              <w:pStyle w:val="13"/>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hAnsi="宋体" w:cs="宋体"/>
                <w:color w:val="auto"/>
                <w:spacing w:val="0"/>
                <w:position w:val="0"/>
                <w:sz w:val="21"/>
                <w:highlight w:val="none"/>
                <w:lang w:val="en-US" w:eastAsia="zh-CN"/>
              </w:rPr>
            </w:pPr>
            <w:r>
              <w:rPr>
                <w:rFonts w:hint="eastAsia" w:hAnsi="宋体" w:cs="宋体"/>
                <w:color w:val="auto"/>
                <w:spacing w:val="0"/>
                <w:position w:val="0"/>
                <w:sz w:val="21"/>
                <w:highlight w:val="none"/>
                <w:lang w:val="en-US" w:eastAsia="zh-CN"/>
              </w:rPr>
              <w:t>3.本磋商文件中描述供应商的“签字”是指供应商的法定代表人或者委托代理人亲自在文件规定签署处亲笔写上个人的名字的行为，私章、签字章、印鉴、影印等其他形式均不能代替亲笔签字。</w:t>
            </w:r>
          </w:p>
          <w:p w14:paraId="0C073368">
            <w:pPr>
              <w:pStyle w:val="13"/>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Ansi="宋体" w:cs="宋体"/>
                <w:color w:val="auto"/>
                <w:spacing w:val="0"/>
                <w:position w:val="0"/>
                <w:sz w:val="21"/>
                <w:highlight w:val="none"/>
                <w:lang w:val="en-US" w:eastAsia="zh-CN"/>
              </w:rPr>
            </w:pPr>
            <w:r>
              <w:rPr>
                <w:rFonts w:hint="eastAsia" w:hAnsi="宋体" w:cs="宋体"/>
                <w:color w:val="auto"/>
                <w:spacing w:val="0"/>
                <w:position w:val="0"/>
                <w:sz w:val="21"/>
                <w:highlight w:val="none"/>
                <w:lang w:val="en-US" w:eastAsia="zh-CN"/>
              </w:rPr>
              <w:t>4.供应商为其他组织或者自然人时，本磋商文件规定的法定代表人指负责人或者自然人。本磋商文件所称负责人是指参加竞标的其他组织营业执照上的负责人，本磋商文件所称自然人指参与竞标的自然人本人。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56DD8701">
            <w:pPr>
              <w:pStyle w:val="13"/>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Ansi="宋体" w:cs="宋体"/>
                <w:color w:val="auto"/>
                <w:spacing w:val="0"/>
                <w:position w:val="0"/>
                <w:sz w:val="21"/>
                <w:highlight w:val="none"/>
                <w:lang w:val="en-US" w:eastAsia="zh-CN"/>
              </w:rPr>
            </w:pPr>
            <w:r>
              <w:rPr>
                <w:rFonts w:hint="eastAsia" w:hAnsi="宋体" w:cs="宋体"/>
                <w:color w:val="auto"/>
                <w:spacing w:val="0"/>
                <w:position w:val="0"/>
                <w:sz w:val="21"/>
                <w:highlight w:val="none"/>
                <w:lang w:val="en-US" w:eastAsia="zh-CN"/>
              </w:rPr>
              <w:t>5</w:t>
            </w:r>
            <w:r>
              <w:rPr>
                <w:rFonts w:hAnsi="宋体" w:cs="宋体"/>
                <w:color w:val="auto"/>
                <w:spacing w:val="0"/>
                <w:position w:val="0"/>
                <w:sz w:val="21"/>
                <w:highlight w:val="none"/>
                <w:lang w:val="en-US" w:eastAsia="zh-CN"/>
              </w:rPr>
              <w:t>.</w:t>
            </w:r>
            <w:r>
              <w:rPr>
                <w:rFonts w:hint="eastAsia" w:hAnsi="宋体" w:cs="宋体"/>
                <w:color w:val="auto"/>
                <w:spacing w:val="0"/>
                <w:position w:val="0"/>
                <w:sz w:val="21"/>
                <w:highlight w:val="none"/>
                <w:lang w:val="en-US" w:eastAsia="zh-CN"/>
              </w:rPr>
              <w:t>自然人竞标的，磋商文件规定盖公章处由自然人摁手指指印。</w:t>
            </w:r>
          </w:p>
          <w:p w14:paraId="21F423D1">
            <w:pPr>
              <w:pStyle w:val="13"/>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Fonts w:hint="eastAsia" w:ascii="宋体" w:hAnsi="宋体" w:eastAsia="宋体" w:cs="宋体"/>
                <w:color w:val="auto"/>
                <w:spacing w:val="0"/>
                <w:position w:val="0"/>
                <w:sz w:val="21"/>
                <w:highlight w:val="none"/>
                <w:lang w:val="en-US" w:eastAsia="zh-CN"/>
              </w:rPr>
            </w:pPr>
            <w:r>
              <w:rPr>
                <w:rFonts w:hint="eastAsia" w:hAnsi="宋体" w:cs="宋体"/>
                <w:color w:val="auto"/>
                <w:spacing w:val="0"/>
                <w:position w:val="0"/>
                <w:sz w:val="21"/>
                <w:highlight w:val="none"/>
                <w:lang w:val="en-US" w:eastAsia="zh-CN"/>
              </w:rPr>
              <w:t>6</w:t>
            </w:r>
            <w:r>
              <w:rPr>
                <w:rFonts w:hAnsi="宋体" w:cs="宋体"/>
                <w:color w:val="auto"/>
                <w:spacing w:val="0"/>
                <w:position w:val="0"/>
                <w:sz w:val="21"/>
                <w:highlight w:val="none"/>
                <w:lang w:val="en-US" w:eastAsia="zh-CN"/>
              </w:rPr>
              <w:t>.</w:t>
            </w:r>
            <w:r>
              <w:rPr>
                <w:rFonts w:hint="eastAsia" w:hAnsi="宋体" w:cs="宋体"/>
                <w:color w:val="auto"/>
                <w:spacing w:val="0"/>
                <w:position w:val="0"/>
                <w:sz w:val="21"/>
                <w:highlight w:val="none"/>
                <w:lang w:val="en-US" w:eastAsia="zh-CN"/>
              </w:rPr>
              <w:t>本磋商文件所称的“以上”“以下”“以内”“届满”，包括本数；所称的“不满”“超过”“以外”，不包括本数。</w:t>
            </w:r>
          </w:p>
        </w:tc>
      </w:tr>
      <w:tr w14:paraId="557F9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48" w:type="dxa"/>
            <w:tcBorders>
              <w:top w:val="single" w:color="auto" w:sz="4" w:space="0"/>
              <w:left w:val="single" w:color="auto" w:sz="4" w:space="0"/>
              <w:bottom w:val="single" w:color="auto" w:sz="4" w:space="0"/>
              <w:right w:val="single" w:color="auto" w:sz="4" w:space="0"/>
            </w:tcBorders>
            <w:vAlign w:val="center"/>
          </w:tcPr>
          <w:p w14:paraId="0371398D">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spacing w:val="0"/>
                <w:position w:val="0"/>
                <w:szCs w:val="21"/>
                <w:highlight w:val="none"/>
                <w:lang w:val="en-US" w:eastAsia="zh-CN"/>
              </w:rPr>
            </w:pPr>
            <w:r>
              <w:rPr>
                <w:rFonts w:hint="eastAsia" w:ascii="宋体" w:hAnsi="宋体" w:cs="宋体"/>
                <w:color w:val="auto"/>
                <w:spacing w:val="0"/>
                <w:position w:val="0"/>
                <w:szCs w:val="21"/>
                <w:highlight w:val="none"/>
                <w:lang w:val="en-US" w:eastAsia="zh-CN"/>
              </w:rPr>
              <w:t>21</w:t>
            </w:r>
          </w:p>
        </w:tc>
        <w:tc>
          <w:tcPr>
            <w:tcW w:w="1602" w:type="dxa"/>
            <w:tcBorders>
              <w:top w:val="single" w:color="auto" w:sz="4" w:space="0"/>
              <w:left w:val="single" w:color="auto" w:sz="4" w:space="0"/>
              <w:bottom w:val="single" w:color="auto" w:sz="4" w:space="0"/>
              <w:right w:val="single" w:color="auto" w:sz="4" w:space="0"/>
            </w:tcBorders>
            <w:vAlign w:val="center"/>
          </w:tcPr>
          <w:p w14:paraId="03A05411">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eastAsia" w:ascii="宋体" w:hAnsi="宋体" w:cs="宋体"/>
                <w:color w:val="auto"/>
                <w:spacing w:val="0"/>
                <w:position w:val="0"/>
                <w:szCs w:val="21"/>
                <w:highlight w:val="none"/>
              </w:rPr>
            </w:pPr>
            <w:r>
              <w:rPr>
                <w:rFonts w:hint="eastAsia" w:ascii="宋体" w:hAnsi="宋体" w:eastAsia="宋体" w:cs="宋体"/>
                <w:b/>
                <w:color w:val="auto"/>
                <w:spacing w:val="0"/>
                <w:position w:val="0"/>
                <w:szCs w:val="21"/>
                <w:highlight w:val="none"/>
              </w:rPr>
              <w:t>特别说明</w:t>
            </w:r>
          </w:p>
        </w:tc>
        <w:tc>
          <w:tcPr>
            <w:tcW w:w="7399" w:type="dxa"/>
            <w:tcBorders>
              <w:top w:val="single" w:color="auto" w:sz="4" w:space="0"/>
              <w:left w:val="single" w:color="auto" w:sz="4" w:space="0"/>
              <w:bottom w:val="single" w:color="auto" w:sz="4" w:space="0"/>
              <w:right w:val="single" w:color="auto" w:sz="4" w:space="0"/>
            </w:tcBorders>
            <w:vAlign w:val="center"/>
          </w:tcPr>
          <w:p w14:paraId="5D1730AE">
            <w:pPr>
              <w:pStyle w:val="13"/>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color w:val="auto"/>
                <w:spacing w:val="0"/>
                <w:position w:val="0"/>
                <w:highlight w:val="none"/>
                <w:lang w:eastAsia="zh-CN"/>
              </w:rPr>
            </w:pPr>
            <w:r>
              <w:rPr>
                <w:rFonts w:hint="eastAsia"/>
                <w:color w:val="auto"/>
                <w:spacing w:val="0"/>
                <w:position w:val="0"/>
                <w:highlight w:val="none"/>
              </w:rPr>
              <w:t>（1）</w:t>
            </w:r>
            <w:r>
              <w:rPr>
                <w:rFonts w:hint="eastAsia"/>
                <w:color w:val="auto"/>
                <w:spacing w:val="0"/>
                <w:position w:val="0"/>
                <w:highlight w:val="none"/>
                <w:lang w:eastAsia="zh-CN"/>
              </w:rPr>
              <w:t>响应文件</w:t>
            </w:r>
            <w:r>
              <w:rPr>
                <w:rFonts w:hint="eastAsia"/>
                <w:color w:val="auto"/>
                <w:spacing w:val="0"/>
                <w:position w:val="0"/>
                <w:highlight w:val="none"/>
              </w:rPr>
              <w:t>中须加盖供应商公章位置均采用CA签章，并根据“政府采购项目电子交易管理操作指南-供应商”及本</w:t>
            </w:r>
            <w:r>
              <w:rPr>
                <w:rFonts w:hint="eastAsia"/>
                <w:color w:val="auto"/>
                <w:spacing w:val="0"/>
                <w:position w:val="0"/>
                <w:highlight w:val="none"/>
                <w:lang w:eastAsia="zh-CN"/>
              </w:rPr>
              <w:t>竞争性磋商文件</w:t>
            </w:r>
            <w:r>
              <w:rPr>
                <w:rFonts w:hint="eastAsia"/>
                <w:color w:val="auto"/>
                <w:spacing w:val="0"/>
                <w:position w:val="0"/>
                <w:highlight w:val="none"/>
              </w:rPr>
              <w:t>规定的</w:t>
            </w:r>
            <w:r>
              <w:rPr>
                <w:rFonts w:hint="eastAsia"/>
                <w:color w:val="auto"/>
                <w:spacing w:val="0"/>
                <w:position w:val="0"/>
                <w:highlight w:val="none"/>
                <w:lang w:eastAsia="zh-CN"/>
              </w:rPr>
              <w:t>要求</w:t>
            </w:r>
            <w:r>
              <w:rPr>
                <w:rFonts w:hint="eastAsia"/>
                <w:color w:val="auto"/>
                <w:spacing w:val="0"/>
                <w:position w:val="0"/>
                <w:highlight w:val="none"/>
              </w:rPr>
              <w:t>编制</w:t>
            </w:r>
            <w:r>
              <w:rPr>
                <w:rFonts w:hint="eastAsia"/>
                <w:color w:val="auto"/>
                <w:spacing w:val="0"/>
                <w:position w:val="0"/>
                <w:highlight w:val="none"/>
                <w:lang w:eastAsia="zh-CN"/>
              </w:rPr>
              <w:t>响应文件</w:t>
            </w:r>
            <w:r>
              <w:rPr>
                <w:rFonts w:hint="eastAsia"/>
                <w:color w:val="auto"/>
                <w:spacing w:val="0"/>
                <w:position w:val="0"/>
                <w:highlight w:val="none"/>
              </w:rPr>
              <w:t>并进行关联定位，以便</w:t>
            </w:r>
            <w:r>
              <w:rPr>
                <w:rFonts w:hint="eastAsia"/>
                <w:color w:val="auto"/>
                <w:spacing w:val="0"/>
                <w:position w:val="0"/>
                <w:highlight w:val="none"/>
                <w:lang w:eastAsia="zh-CN"/>
              </w:rPr>
              <w:t>磋商小组</w:t>
            </w:r>
            <w:r>
              <w:rPr>
                <w:rFonts w:hint="eastAsia"/>
                <w:color w:val="auto"/>
                <w:spacing w:val="0"/>
                <w:position w:val="0"/>
                <w:highlight w:val="none"/>
              </w:rPr>
              <w:t>在评审时，点击评分项可直接定位到该评分项内容。如对</w:t>
            </w:r>
            <w:r>
              <w:rPr>
                <w:rFonts w:hint="eastAsia"/>
                <w:color w:val="auto"/>
                <w:spacing w:val="0"/>
                <w:position w:val="0"/>
                <w:highlight w:val="none"/>
                <w:lang w:eastAsia="zh-CN"/>
              </w:rPr>
              <w:t>竞争性磋商文件</w:t>
            </w:r>
            <w:r>
              <w:rPr>
                <w:rFonts w:hint="eastAsia"/>
                <w:color w:val="auto"/>
                <w:spacing w:val="0"/>
                <w:position w:val="0"/>
                <w:highlight w:val="none"/>
              </w:rPr>
              <w:t>的某项要求，供应商的</w:t>
            </w:r>
            <w:r>
              <w:rPr>
                <w:rFonts w:hint="eastAsia"/>
                <w:color w:val="auto"/>
                <w:spacing w:val="0"/>
                <w:position w:val="0"/>
                <w:highlight w:val="none"/>
                <w:lang w:eastAsia="zh-CN"/>
              </w:rPr>
              <w:t>响应文件</w:t>
            </w:r>
            <w:r>
              <w:rPr>
                <w:rFonts w:hint="eastAsia"/>
                <w:color w:val="auto"/>
                <w:spacing w:val="0"/>
                <w:position w:val="0"/>
                <w:highlight w:val="none"/>
              </w:rPr>
              <w:t>未能关联定位提供相应的内容与其对应，</w:t>
            </w:r>
            <w:r>
              <w:rPr>
                <w:rFonts w:hint="eastAsia"/>
                <w:color w:val="auto"/>
                <w:spacing w:val="0"/>
                <w:position w:val="0"/>
                <w:highlight w:val="none"/>
                <w:lang w:eastAsia="zh-CN"/>
              </w:rPr>
              <w:t>则磋商小组在评审时如做出对供应商不利的评审由供应商自行承担。响应文件如内容不完整、编排混乱导致响应文件被误读、 漏读，或者在按磋商文件规定的部位查找不到相关内容的，由供应商自行承担。</w:t>
            </w:r>
          </w:p>
          <w:p w14:paraId="07D13832">
            <w:pPr>
              <w:pStyle w:val="13"/>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color w:val="auto"/>
                <w:spacing w:val="0"/>
                <w:position w:val="0"/>
                <w:highlight w:val="none"/>
              </w:rPr>
            </w:pPr>
            <w:r>
              <w:rPr>
                <w:rFonts w:hint="eastAsia"/>
                <w:color w:val="auto"/>
                <w:spacing w:val="0"/>
                <w:position w:val="0"/>
                <w:highlight w:val="none"/>
                <w:lang w:eastAsia="zh-CN"/>
              </w:rPr>
              <w:t>（2）采购文件要求法定代表人（负责人）或委托代理人签字的部分必须打印签字后扫描或拍照做成PDF格式上传，如供应商有广西政府采购云平台法定代表人私章CA证书或个人签名CA证书的也可直接使用，否则视为竞标无效</w:t>
            </w:r>
            <w:r>
              <w:rPr>
                <w:rFonts w:hint="eastAsia"/>
                <w:color w:val="auto"/>
                <w:spacing w:val="0"/>
                <w:position w:val="0"/>
                <w:highlight w:val="none"/>
              </w:rPr>
              <w:t>。</w:t>
            </w:r>
          </w:p>
          <w:p w14:paraId="4FC1B038">
            <w:pPr>
              <w:pStyle w:val="38"/>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0" w:firstLineChars="0"/>
              <w:textAlignment w:val="auto"/>
              <w:rPr>
                <w:rFonts w:hint="eastAsia"/>
                <w:color w:val="auto"/>
                <w:spacing w:val="0"/>
                <w:position w:val="0"/>
                <w:highlight w:val="none"/>
                <w:lang w:val="en-US" w:eastAsia="zh-CN"/>
              </w:rPr>
            </w:pPr>
            <w:r>
              <w:rPr>
                <w:rFonts w:hint="eastAsia" w:ascii="Times New Roman" w:eastAsia="宋体" w:cs="Times New Roman"/>
                <w:bCs w:val="0"/>
                <w:color w:val="auto"/>
                <w:spacing w:val="0"/>
                <w:kern w:val="2"/>
                <w:position w:val="0"/>
                <w:sz w:val="21"/>
                <w:szCs w:val="24"/>
                <w:highlight w:val="none"/>
                <w:lang w:val="en-US" w:eastAsia="zh-CN" w:bidi="ar-SA"/>
              </w:rPr>
              <w:t>（3）补充事项：</w:t>
            </w:r>
            <w:r>
              <w:rPr>
                <w:rFonts w:hint="eastAsia" w:ascii="Times New Roman" w:hAnsi="Times New Roman" w:eastAsia="宋体" w:cs="Times New Roman"/>
                <w:bCs w:val="0"/>
                <w:color w:val="auto"/>
                <w:spacing w:val="0"/>
                <w:kern w:val="2"/>
                <w:position w:val="0"/>
                <w:sz w:val="21"/>
                <w:szCs w:val="24"/>
                <w:highlight w:val="none"/>
                <w:lang w:val="en-US" w:eastAsia="zh-CN" w:bidi="ar-SA"/>
              </w:rPr>
              <w:t>成交</w:t>
            </w:r>
            <w:r>
              <w:rPr>
                <w:rFonts w:hint="eastAsia" w:ascii="Times New Roman" w:eastAsia="宋体" w:cs="Times New Roman"/>
                <w:bCs w:val="0"/>
                <w:color w:val="auto"/>
                <w:spacing w:val="0"/>
                <w:kern w:val="2"/>
                <w:position w:val="0"/>
                <w:sz w:val="21"/>
                <w:szCs w:val="24"/>
                <w:highlight w:val="none"/>
                <w:lang w:val="en-US" w:eastAsia="zh-CN" w:bidi="ar-SA"/>
              </w:rPr>
              <w:t>供应商</w:t>
            </w:r>
            <w:r>
              <w:rPr>
                <w:rFonts w:hint="eastAsia" w:ascii="Times New Roman" w:hAnsi="Times New Roman" w:eastAsia="宋体" w:cs="Times New Roman"/>
                <w:bCs w:val="0"/>
                <w:color w:val="auto"/>
                <w:spacing w:val="0"/>
                <w:kern w:val="2"/>
                <w:position w:val="0"/>
                <w:sz w:val="21"/>
                <w:szCs w:val="24"/>
                <w:highlight w:val="none"/>
                <w:lang w:val="en-US" w:eastAsia="zh-CN" w:bidi="ar-SA"/>
              </w:rPr>
              <w:t>需在确定成交3日内打印盖章响应文件</w:t>
            </w:r>
            <w:r>
              <w:rPr>
                <w:rFonts w:hint="eastAsia" w:ascii="Times New Roman" w:eastAsia="宋体" w:cs="Times New Roman"/>
                <w:bCs w:val="0"/>
                <w:color w:val="auto"/>
                <w:spacing w:val="0"/>
                <w:kern w:val="2"/>
                <w:position w:val="0"/>
                <w:sz w:val="21"/>
                <w:szCs w:val="24"/>
                <w:highlight w:val="none"/>
                <w:lang w:val="en-US" w:eastAsia="zh-CN" w:bidi="ar-SA"/>
              </w:rPr>
              <w:t>（一式五份）</w:t>
            </w:r>
            <w:r>
              <w:rPr>
                <w:rFonts w:hint="eastAsia" w:ascii="Times New Roman" w:hAnsi="Times New Roman" w:eastAsia="宋体" w:cs="Times New Roman"/>
                <w:bCs w:val="0"/>
                <w:color w:val="auto"/>
                <w:spacing w:val="0"/>
                <w:kern w:val="2"/>
                <w:position w:val="0"/>
                <w:sz w:val="21"/>
                <w:szCs w:val="24"/>
                <w:highlight w:val="none"/>
                <w:lang w:val="en-US" w:eastAsia="zh-CN" w:bidi="ar-SA"/>
              </w:rPr>
              <w:t>提供给代理机构，作为成果文件装订使用。</w:t>
            </w:r>
          </w:p>
        </w:tc>
      </w:tr>
      <w:tr w14:paraId="43489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48" w:type="dxa"/>
            <w:tcBorders>
              <w:top w:val="single" w:color="auto" w:sz="4" w:space="0"/>
              <w:left w:val="single" w:color="auto" w:sz="4" w:space="0"/>
              <w:bottom w:val="single" w:color="auto" w:sz="4" w:space="0"/>
              <w:right w:val="single" w:color="auto" w:sz="4" w:space="0"/>
            </w:tcBorders>
            <w:vAlign w:val="center"/>
          </w:tcPr>
          <w:p w14:paraId="013ED7B8">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宋体" w:hAnsi="宋体" w:cs="宋体"/>
                <w:color w:val="auto"/>
                <w:spacing w:val="0"/>
                <w:position w:val="0"/>
                <w:szCs w:val="21"/>
                <w:highlight w:val="none"/>
                <w:lang w:val="en-US" w:eastAsia="zh-CN"/>
              </w:rPr>
            </w:pPr>
            <w:bookmarkStart w:id="63" w:name="_Toc16298"/>
            <w:bookmarkStart w:id="64" w:name="_Toc8441"/>
            <w:r>
              <w:rPr>
                <w:rFonts w:hint="eastAsia" w:ascii="宋体" w:hAnsi="宋体" w:cs="宋体"/>
                <w:color w:val="auto"/>
                <w:spacing w:val="0"/>
                <w:position w:val="0"/>
                <w:szCs w:val="21"/>
                <w:highlight w:val="none"/>
                <w:lang w:val="en-US" w:eastAsia="zh-CN"/>
              </w:rPr>
              <w:t>22</w:t>
            </w:r>
          </w:p>
        </w:tc>
        <w:tc>
          <w:tcPr>
            <w:tcW w:w="1602" w:type="dxa"/>
            <w:tcBorders>
              <w:top w:val="single" w:color="auto" w:sz="4" w:space="0"/>
              <w:left w:val="single" w:color="auto" w:sz="4" w:space="0"/>
              <w:bottom w:val="single" w:color="auto" w:sz="4" w:space="0"/>
              <w:right w:val="single" w:color="auto" w:sz="4" w:space="0"/>
            </w:tcBorders>
            <w:vAlign w:val="center"/>
          </w:tcPr>
          <w:p w14:paraId="72876925">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eastAsia" w:ascii="宋体" w:hAnsi="宋体" w:eastAsia="宋体" w:cs="宋体"/>
                <w:b/>
                <w:color w:val="auto"/>
                <w:spacing w:val="0"/>
                <w:position w:val="0"/>
                <w:szCs w:val="21"/>
                <w:highlight w:val="none"/>
              </w:rPr>
            </w:pPr>
            <w:r>
              <w:rPr>
                <w:rFonts w:hint="eastAsia" w:ascii="宋体" w:hAnsi="宋体" w:eastAsia="宋体" w:cs="宋体"/>
                <w:b/>
                <w:color w:val="auto"/>
                <w:spacing w:val="0"/>
                <w:position w:val="0"/>
                <w:szCs w:val="21"/>
                <w:highlight w:val="none"/>
              </w:rPr>
              <w:t>政府采购电子保函</w:t>
            </w:r>
          </w:p>
        </w:tc>
        <w:tc>
          <w:tcPr>
            <w:tcW w:w="7399" w:type="dxa"/>
            <w:tcBorders>
              <w:top w:val="single" w:color="auto" w:sz="4" w:space="0"/>
              <w:left w:val="single" w:color="auto" w:sz="4" w:space="0"/>
              <w:bottom w:val="single" w:color="auto" w:sz="4" w:space="0"/>
              <w:right w:val="single" w:color="auto" w:sz="4" w:space="0"/>
            </w:tcBorders>
            <w:vAlign w:val="center"/>
          </w:tcPr>
          <w:p w14:paraId="1AA5B46B">
            <w:pPr>
              <w:pStyle w:val="38"/>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0" w:firstLineChars="0"/>
              <w:textAlignment w:val="auto"/>
              <w:rPr>
                <w:rFonts w:hint="eastAsia" w:ascii="Times New Roman" w:eastAsia="宋体" w:cs="Times New Roman"/>
                <w:bCs w:val="0"/>
                <w:color w:val="auto"/>
                <w:spacing w:val="0"/>
                <w:kern w:val="2"/>
                <w:position w:val="0"/>
                <w:sz w:val="21"/>
                <w:szCs w:val="24"/>
                <w:highlight w:val="none"/>
                <w:lang w:val="en-US" w:eastAsia="zh-CN" w:bidi="ar-SA"/>
              </w:rPr>
            </w:pPr>
            <w:r>
              <w:rPr>
                <w:rFonts w:hint="eastAsia" w:ascii="Times New Roman" w:eastAsia="宋体" w:cs="Times New Roman"/>
                <w:bCs w:val="0"/>
                <w:color w:val="auto"/>
                <w:spacing w:val="0"/>
                <w:kern w:val="2"/>
                <w:position w:val="0"/>
                <w:sz w:val="21"/>
                <w:szCs w:val="24"/>
                <w:highlight w:val="none"/>
                <w:lang w:val="en-US" w:eastAsia="zh-CN" w:bidi="ar-SA"/>
              </w:rPr>
              <w:t>供应商可通过“广西政府采购金融服务平台”（https://jinrong.zcygov.cn/finance/gx）在线方式完成预付款保函申请、递交、验收和索赔等全流程电子化操作，电子保函有关业务操作流程和手册可从“广西政府采购金融服务平台”查阅下载，供应商在电子保函的申请、使用、查看应用过程中遇到问题可咨询技术支撑方：400-903-9583。</w:t>
            </w:r>
          </w:p>
        </w:tc>
      </w:tr>
    </w:tbl>
    <w:p w14:paraId="156E21C1">
      <w:pPr>
        <w:rPr>
          <w:rFonts w:hint="eastAsia"/>
          <w:color w:val="auto"/>
          <w:spacing w:val="0"/>
          <w:position w:val="0"/>
          <w:highlight w:val="none"/>
          <w:lang w:val="en-US" w:eastAsia="zh-CN"/>
        </w:rPr>
      </w:pPr>
    </w:p>
    <w:p w14:paraId="742732E2">
      <w:pPr>
        <w:pStyle w:val="15"/>
        <w:rPr>
          <w:rFonts w:hint="eastAsia"/>
          <w:color w:val="auto"/>
          <w:highlight w:val="none"/>
          <w:lang w:val="en-US" w:eastAsia="zh-CN"/>
        </w:rPr>
      </w:pPr>
    </w:p>
    <w:p w14:paraId="4F0B33B3">
      <w:pPr>
        <w:pStyle w:val="2"/>
        <w:keepNext/>
        <w:keepLines/>
        <w:pageBreakBefore w:val="0"/>
        <w:widowControl w:val="0"/>
        <w:kinsoku/>
        <w:wordWrap/>
        <w:overflowPunct/>
        <w:topLinePunct w:val="0"/>
        <w:autoSpaceDE/>
        <w:autoSpaceDN/>
        <w:bidi w:val="0"/>
        <w:adjustRightInd/>
        <w:snapToGrid/>
        <w:spacing w:before="0" w:beforeLines="50" w:after="0" w:line="600" w:lineRule="exact"/>
        <w:jc w:val="center"/>
        <w:textAlignment w:val="auto"/>
        <w:rPr>
          <w:rFonts w:hint="eastAsia" w:ascii="宋体" w:hAnsi="宋体" w:cs="宋体"/>
          <w:b/>
          <w:bCs w:val="0"/>
          <w:color w:val="auto"/>
          <w:spacing w:val="0"/>
          <w:position w:val="0"/>
          <w:sz w:val="32"/>
          <w:szCs w:val="32"/>
          <w:highlight w:val="none"/>
          <w:lang w:val="en-US" w:eastAsia="zh-CN"/>
        </w:rPr>
      </w:pPr>
    </w:p>
    <w:p w14:paraId="22018D15">
      <w:pPr>
        <w:rPr>
          <w:rFonts w:hint="eastAsia"/>
          <w:color w:val="auto"/>
          <w:highlight w:val="none"/>
          <w:lang w:val="en-US" w:eastAsia="zh-CN"/>
        </w:rPr>
        <w:sectPr>
          <w:pgSz w:w="11906" w:h="16838"/>
          <w:pgMar w:top="1247" w:right="1417" w:bottom="1247" w:left="1417" w:header="851" w:footer="992" w:gutter="0"/>
          <w:cols w:space="0" w:num="1"/>
          <w:docGrid w:type="lines" w:linePitch="312" w:charSpace="0"/>
        </w:sectPr>
      </w:pPr>
    </w:p>
    <w:p w14:paraId="7AD3F471">
      <w:pPr>
        <w:pStyle w:val="2"/>
        <w:keepNext/>
        <w:keepLines/>
        <w:pageBreakBefore w:val="0"/>
        <w:widowControl w:val="0"/>
        <w:kinsoku/>
        <w:wordWrap/>
        <w:overflowPunct/>
        <w:topLinePunct w:val="0"/>
        <w:autoSpaceDE/>
        <w:autoSpaceDN/>
        <w:bidi w:val="0"/>
        <w:adjustRightInd/>
        <w:snapToGrid/>
        <w:spacing w:before="0" w:beforeLines="50" w:after="0" w:line="600" w:lineRule="exact"/>
        <w:jc w:val="center"/>
        <w:textAlignment w:val="auto"/>
        <w:rPr>
          <w:rFonts w:ascii="宋体" w:hAnsi="宋体" w:cs="宋体"/>
          <w:b/>
          <w:bCs w:val="0"/>
          <w:color w:val="auto"/>
          <w:spacing w:val="0"/>
          <w:position w:val="0"/>
          <w:szCs w:val="21"/>
          <w:highlight w:val="none"/>
        </w:rPr>
      </w:pPr>
      <w:r>
        <w:rPr>
          <w:rFonts w:hint="eastAsia" w:ascii="宋体" w:hAnsi="宋体" w:cs="宋体"/>
          <w:b/>
          <w:bCs w:val="0"/>
          <w:color w:val="auto"/>
          <w:spacing w:val="0"/>
          <w:position w:val="0"/>
          <w:sz w:val="32"/>
          <w:szCs w:val="32"/>
          <w:highlight w:val="none"/>
          <w:lang w:val="en-US" w:eastAsia="zh-CN"/>
        </w:rPr>
        <w:t>供应商</w:t>
      </w:r>
      <w:r>
        <w:rPr>
          <w:rFonts w:hint="eastAsia" w:ascii="宋体" w:hAnsi="宋体" w:cs="宋体"/>
          <w:b/>
          <w:bCs w:val="0"/>
          <w:color w:val="auto"/>
          <w:spacing w:val="0"/>
          <w:position w:val="0"/>
          <w:sz w:val="32"/>
          <w:szCs w:val="32"/>
          <w:highlight w:val="none"/>
        </w:rPr>
        <w:t>须知</w:t>
      </w:r>
      <w:bookmarkEnd w:id="63"/>
      <w:bookmarkEnd w:id="64"/>
    </w:p>
    <w:p w14:paraId="46B6F4F3">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color w:val="auto"/>
          <w:spacing w:val="0"/>
          <w:position w:val="0"/>
          <w:szCs w:val="21"/>
          <w:highlight w:val="none"/>
        </w:rPr>
      </w:pPr>
      <w:r>
        <w:rPr>
          <w:rFonts w:hint="eastAsia" w:ascii="宋体" w:hAnsi="宋体" w:eastAsia="宋体" w:cs="宋体"/>
          <w:b/>
          <w:color w:val="auto"/>
          <w:spacing w:val="0"/>
          <w:position w:val="0"/>
          <w:szCs w:val="21"/>
          <w:highlight w:val="none"/>
        </w:rPr>
        <w:t>一、总则</w:t>
      </w:r>
    </w:p>
    <w:p w14:paraId="6A6F4785">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1.适用范围</w:t>
      </w:r>
    </w:p>
    <w:p w14:paraId="5A531F77">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6B155C00">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1.2本竞争性磋商文件适用于本项目的所有采购程序和环节</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法律、法规另有规定的，从其规定</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w:t>
      </w:r>
    </w:p>
    <w:p w14:paraId="3E51DB00">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2.定义</w:t>
      </w:r>
    </w:p>
    <w:p w14:paraId="441E3981">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2.1“采购人”是指依法进行采购的国家机关、事业单位、团体组织。</w:t>
      </w:r>
    </w:p>
    <w:p w14:paraId="7A5D5AC1">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2.2“采购代理机构”是指政府采购代理机构</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以下简称采购代理机构</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是指集中采购机构以外、受采购人委托从事政府采购代理业务的社会中介机构。</w:t>
      </w:r>
    </w:p>
    <w:p w14:paraId="6AC822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2.3“供应商”是指向采购人提供货物、工程或者服务的法人、其他组织或者自然人。</w:t>
      </w:r>
    </w:p>
    <w:p w14:paraId="16BD6B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2.4“工程”是指建设工程，包括建筑物和构筑物的新建、改建、扩建、装修、拆除、修缮等。</w:t>
      </w:r>
    </w:p>
    <w:p w14:paraId="431EF3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2.5“竞标”是指供应商按照本项目竞争性磋商公告规定的方式获取竞争性磋商文件、提交响应文件并希望获得标的的行为。</w:t>
      </w:r>
    </w:p>
    <w:p w14:paraId="30D518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2.6“响应文件”是指：供应商根据本竞争性磋商文件要求，编制包含资格证明、报价商务技术等所有内容的文件。</w:t>
      </w:r>
    </w:p>
    <w:p w14:paraId="4CDF48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2.7“实质性要求”是指竞争性磋商文件中已经指明不满足则响应文件按无效响应处理的条款，或不能负偏离的条款，或采购需求中带“▲”的条款。</w:t>
      </w:r>
    </w:p>
    <w:p w14:paraId="215CD3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2.8“正偏离”，是指响应文件对竞争性磋商文件“采购需求”中有关条款作出的响应优于条款要求并有利于采购人的情形。</w:t>
      </w:r>
    </w:p>
    <w:p w14:paraId="26FFF9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2.9“负偏离”，是指响应文件对竞争性磋商文件“采购需求”中有关条款作出的响应不满足条款要求导致采购人要求不能得到满足的情形。</w:t>
      </w:r>
    </w:p>
    <w:p w14:paraId="0E460C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2.10“允许负偏离的条款”是指采购需求中的不属于“实质性要求”的条款。</w:t>
      </w:r>
    </w:p>
    <w:p w14:paraId="4E7C8D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2.11“书面形式”是指合同书、信件和数据电文</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包括电报、电传、传真、电子数据交换和电子邮件</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等可以有形地表现所载内容的形式。</w:t>
      </w:r>
    </w:p>
    <w:p w14:paraId="24DF92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lang w:eastAsia="zh-CN"/>
        </w:rPr>
      </w:pPr>
      <w:r>
        <w:rPr>
          <w:rFonts w:hint="eastAsia" w:ascii="宋体" w:hAnsi="宋体" w:eastAsia="宋体" w:cs="宋体"/>
          <w:color w:val="auto"/>
          <w:spacing w:val="0"/>
          <w:position w:val="0"/>
          <w:szCs w:val="21"/>
          <w:highlight w:val="none"/>
        </w:rPr>
        <w:t>2.12“首次报价”是指供应商提交的首次响应文件中的报价。</w:t>
      </w:r>
    </w:p>
    <w:p w14:paraId="2F976B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2.13“评审价”是指供应商提交的最后报价并经修正和政策功能价格扣除后的价格。</w:t>
      </w:r>
    </w:p>
    <w:p w14:paraId="482BD586">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3.供应商的资格条件</w:t>
      </w:r>
    </w:p>
    <w:p w14:paraId="54E099D0">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供应商的资格条件详见“供应商须知前附表”。</w:t>
      </w:r>
    </w:p>
    <w:p w14:paraId="7CD2E780">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4.竞标费用</w:t>
      </w:r>
    </w:p>
    <w:p w14:paraId="2370064F">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position w:val="0"/>
          <w:szCs w:val="21"/>
          <w:highlight w:val="none"/>
          <w:lang w:eastAsia="zh-CN"/>
        </w:rPr>
      </w:pPr>
      <w:r>
        <w:rPr>
          <w:rFonts w:hint="eastAsia" w:ascii="宋体" w:hAnsi="宋体" w:eastAsia="宋体" w:cs="宋体"/>
          <w:color w:val="auto"/>
          <w:spacing w:val="0"/>
          <w:position w:val="0"/>
          <w:szCs w:val="21"/>
          <w:highlight w:val="none"/>
        </w:rPr>
        <w:t>供应商应承担参与本次采购活动有关的所有费用，包括但不限于获取磋商文件、勘查现场、编制和提交响应文件、参加磋商与应答、签订合同等，不论磋商结果如何，均应自行承担。</w:t>
      </w:r>
    </w:p>
    <w:p w14:paraId="7E928A43">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5.联合体竞标</w:t>
      </w:r>
    </w:p>
    <w:p w14:paraId="5C7136A5">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5.1本项目不接受联合体竞标。</w:t>
      </w:r>
    </w:p>
    <w:p w14:paraId="37A52DB4">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6.转包与分包</w:t>
      </w:r>
    </w:p>
    <w:p w14:paraId="35A82A21">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6.1本项目不允许转包。</w:t>
      </w:r>
    </w:p>
    <w:p w14:paraId="3A376D5B">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7.特别说明</w:t>
      </w:r>
    </w:p>
    <w:p w14:paraId="43A10508">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7.1如果本磋商文件要求供应商提供资格、信誉、荣誉、业绩与企业认证等材料的，则供应商所提供的以上材料必须为供应商所拥有。</w:t>
      </w:r>
    </w:p>
    <w:p w14:paraId="58D8C2CD">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7.2供应商应仔细阅读竞争性磋商文件的所有内容，按照竞争性磋商文件的要求提交响应文件，并对所提供的全部资料的真实性承担法律责任。</w:t>
      </w:r>
    </w:p>
    <w:p w14:paraId="7D4DF15B">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7.3供应商在磋商活动中提供任何疑似虚假材料，将报监管部门查处；签订合同后发现的，成交供应商须依照《中华人民共和国消费者权益保护法》规定赔偿采购人，且民事赔偿并不免除违法供应商的行政与刑事责任。</w:t>
      </w:r>
    </w:p>
    <w:p w14:paraId="287B956E">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7.4在政府采购活动中，采购人员及相关人员与供应商有下列利害关系之一的，应当回避：</w:t>
      </w:r>
    </w:p>
    <w:p w14:paraId="331132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1</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参加采购活动前3年内与供应商存在劳动关系；</w:t>
      </w:r>
    </w:p>
    <w:p w14:paraId="4CA51D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2</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参加采购活动前3年内担任供应商的董事、监事；</w:t>
      </w:r>
    </w:p>
    <w:p w14:paraId="59633F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3</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参加采购活动前3年内是供应商的控股股东或者实际控制人；</w:t>
      </w:r>
    </w:p>
    <w:p w14:paraId="24CCAF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4</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与供应商的法定代表人或负责人有夫妻、直系血亲、三代以内旁系血亲或者近姻亲关系；</w:t>
      </w:r>
    </w:p>
    <w:p w14:paraId="052231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5</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与供应商有其他可能影响政府采购活动公平、公正进行的关系。</w:t>
      </w:r>
    </w:p>
    <w:p w14:paraId="40F49A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96492F3">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7.5有下列情形之一的视为供应商相互串通竞标，响应文件将被视为无效：</w:t>
      </w:r>
    </w:p>
    <w:p w14:paraId="5C58A4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1</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不同供应商的响应文件由同一单位或者个人编制；或者不同供应商报名的IP地址一致的；</w:t>
      </w:r>
    </w:p>
    <w:p w14:paraId="2262D0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2</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不同供应商委托同一单位或者个人办理磋商事宜；</w:t>
      </w:r>
    </w:p>
    <w:p w14:paraId="3360E6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3</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不同的供应商的响应文件载明的项目管理员为同一个人；</w:t>
      </w:r>
    </w:p>
    <w:p w14:paraId="0B6BBD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4</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不同供应商的响应文件异常一致或者报价呈规律性差异；</w:t>
      </w:r>
    </w:p>
    <w:p w14:paraId="6032BC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5</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不同供应商的响应文件相互混装；</w:t>
      </w:r>
    </w:p>
    <w:p w14:paraId="06149A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6</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不同供应商的磋商保证金从同一单位或者个人账户转出。</w:t>
      </w:r>
    </w:p>
    <w:p w14:paraId="3CAE7B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7.6供应商有下列情形之一的，属于恶意串通行为：</w:t>
      </w:r>
    </w:p>
    <w:p w14:paraId="088F06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1</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供应商直接或者间接从采购人或者采购代理机构处获得其他供应商的相关信息并修改其响应文件；</w:t>
      </w:r>
    </w:p>
    <w:p w14:paraId="6ABBC4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2</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供应商按照采购人或者采购代理机构的授意撤换、修改响应文件；</w:t>
      </w:r>
    </w:p>
    <w:p w14:paraId="695F61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3</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供应商之间协商报价、技术方案等响应文件或者响应文件的实质性内容；</w:t>
      </w:r>
    </w:p>
    <w:p w14:paraId="29447C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4</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属于同一集团、协会、商会等组织成员的供应商按照该组织要求协同参加政府采购活动；</w:t>
      </w:r>
    </w:p>
    <w:p w14:paraId="418282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5</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供应商之间事先约定一致抬高或者压低报价，或者在政府采购活动中事先约定轮流以高价位或者低价位成交，或者事先约定由某一特定供应商成交，然后再参加竞标；</w:t>
      </w:r>
    </w:p>
    <w:p w14:paraId="256634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6</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供应商之间商定部分供应商放弃参加政府采购活动或者放弃成交；</w:t>
      </w:r>
    </w:p>
    <w:p w14:paraId="0D294C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7</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供应商与采购人或者采购代理机构之间、供应商相互之间，为谋求特定供应商成交或者排斥其他供应商的其他串通行为。</w:t>
      </w:r>
    </w:p>
    <w:p w14:paraId="4FCC2E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7.7关联供应商不得参加同一合同项下政府采购活动，否则响应文件将被视为无效：</w:t>
      </w:r>
    </w:p>
    <w:p w14:paraId="35C385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1</w:t>
      </w:r>
      <w:r>
        <w:rPr>
          <w:rFonts w:hint="eastAsia" w:ascii="宋体" w:hAnsi="宋体" w:eastAsia="宋体" w:cs="宋体"/>
          <w:color w:val="auto"/>
          <w:spacing w:val="0"/>
          <w:position w:val="0"/>
          <w:szCs w:val="21"/>
          <w:highlight w:val="none"/>
          <w:lang w:eastAsia="zh-CN"/>
        </w:rPr>
        <w:t>）</w:t>
      </w:r>
      <w:r>
        <w:rPr>
          <w:rFonts w:hint="eastAsia" w:ascii="宋体" w:hAnsi="宋体" w:eastAsia="宋体" w:cs="宋体"/>
          <w:color w:val="auto"/>
          <w:spacing w:val="0"/>
          <w:position w:val="0"/>
          <w:szCs w:val="21"/>
          <w:highlight w:val="none"/>
        </w:rPr>
        <w:t>单位负责人为同一人或者存在直接控股、管理关系的不同的供应商，不得参加同一合同项下的政府采购活动。</w:t>
      </w:r>
    </w:p>
    <w:p w14:paraId="69ECE2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pacing w:val="0"/>
          <w:position w:val="0"/>
          <w:szCs w:val="21"/>
          <w:highlight w:val="none"/>
          <w:lang w:val="en-US" w:eastAsia="zh-CN"/>
        </w:rPr>
      </w:pPr>
      <w:r>
        <w:rPr>
          <w:rFonts w:hint="eastAsia" w:ascii="宋体" w:hAnsi="宋体" w:eastAsia="宋体" w:cs="宋体"/>
          <w:b/>
          <w:bCs/>
          <w:color w:val="auto"/>
          <w:spacing w:val="0"/>
          <w:position w:val="0"/>
          <w:szCs w:val="21"/>
          <w:highlight w:val="none"/>
          <w:lang w:val="en-US" w:eastAsia="zh-CN"/>
        </w:rPr>
        <w:t>二、响应文件的编制</w:t>
      </w:r>
    </w:p>
    <w:p w14:paraId="1CE852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8.响应文件的编制原则</w:t>
      </w:r>
    </w:p>
    <w:p w14:paraId="313F4B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供应商应当按照竞争性磋商文件的要求编制响应文件，并对其提交的响应文件的真实性、合法性承担法律责任。响应文件应当对竞争性磋商文件作出实质性响应。</w:t>
      </w:r>
    </w:p>
    <w:p w14:paraId="4C5115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9.响应文件编制基本要求</w:t>
      </w:r>
    </w:p>
    <w:p w14:paraId="2C1BFF3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distribute"/>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9.1本项目实行电子开评标，供应商应准备电子磋商响应文件。供应商应仔细阅读竞争性磋商采购文件，在充分了解采购的内容、服务要求和商务条款以及实质性要求和条件后，编写响应文件。电子响应文件按</w:t>
      </w:r>
      <w:r>
        <w:rPr>
          <w:rFonts w:hint="eastAsia" w:ascii="宋体" w:hAnsi="宋体" w:eastAsia="宋体" w:cs="宋体"/>
          <w:b w:val="0"/>
          <w:bCs/>
          <w:color w:val="auto"/>
          <w:spacing w:val="0"/>
          <w:position w:val="0"/>
          <w:szCs w:val="21"/>
          <w:highlight w:val="none"/>
          <w:lang w:eastAsia="zh-CN"/>
        </w:rPr>
        <w:t>广西政府采购云平台</w:t>
      </w:r>
      <w:r>
        <w:rPr>
          <w:rFonts w:hint="eastAsia" w:ascii="宋体" w:hAnsi="宋体" w:eastAsia="宋体" w:cs="宋体"/>
          <w:b w:val="0"/>
          <w:bCs/>
          <w:color w:val="auto"/>
          <w:spacing w:val="0"/>
          <w:position w:val="0"/>
          <w:szCs w:val="21"/>
          <w:highlight w:val="none"/>
        </w:rPr>
        <w:t>要求及本竞争性磋商采购文件要求制作、加密并递交。具体操作流程可参考《</w:t>
      </w:r>
      <w:r>
        <w:rPr>
          <w:rFonts w:hint="eastAsia" w:ascii="宋体" w:hAnsi="宋体" w:eastAsia="宋体" w:cs="宋体"/>
          <w:b w:val="0"/>
          <w:bCs/>
          <w:color w:val="auto"/>
          <w:spacing w:val="0"/>
          <w:position w:val="0"/>
          <w:szCs w:val="21"/>
          <w:highlight w:val="none"/>
          <w:lang w:val="en-US" w:eastAsia="zh-CN"/>
        </w:rPr>
        <w:t>政府采购项目电子交易管理操作指南-供应商</w:t>
      </w:r>
      <w:r>
        <w:rPr>
          <w:rFonts w:hint="eastAsia" w:ascii="宋体" w:hAnsi="宋体" w:eastAsia="宋体" w:cs="宋体"/>
          <w:b w:val="0"/>
          <w:bCs/>
          <w:color w:val="auto"/>
          <w:spacing w:val="0"/>
          <w:position w:val="0"/>
          <w:szCs w:val="21"/>
          <w:highlight w:val="none"/>
        </w:rPr>
        <w:t>》</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lang w:val="en-US" w:eastAsia="zh-CN"/>
        </w:rPr>
        <w:t>指南可</w:t>
      </w:r>
      <w:r>
        <w:rPr>
          <w:rFonts w:hint="eastAsia" w:ascii="宋体" w:hAnsi="宋体" w:eastAsia="宋体" w:cs="宋体"/>
          <w:b w:val="0"/>
          <w:bCs/>
          <w:color w:val="auto"/>
          <w:spacing w:val="0"/>
          <w:position w:val="0"/>
          <w:szCs w:val="21"/>
          <w:highlight w:val="none"/>
        </w:rPr>
        <w:t>在“http</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//zfcg.gxzf.gov.cn/PurchaseAdvisory/ImportantNotice/2866753.html”下载。</w:t>
      </w:r>
    </w:p>
    <w:p w14:paraId="15CBC7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9.2供应商提交的竞争性磋商响应文件以及供应商与</w:t>
      </w:r>
      <w:r>
        <w:rPr>
          <w:rFonts w:hint="eastAsia" w:ascii="宋体" w:hAnsi="宋体" w:cs="宋体"/>
          <w:b w:val="0"/>
          <w:bCs/>
          <w:color w:val="auto"/>
          <w:spacing w:val="0"/>
          <w:position w:val="0"/>
          <w:szCs w:val="21"/>
          <w:highlight w:val="none"/>
          <w:lang w:eastAsia="zh-CN"/>
        </w:rPr>
        <w:t>广西华诚达建设项目管理有限公司</w:t>
      </w:r>
      <w:r>
        <w:rPr>
          <w:rFonts w:hint="eastAsia" w:ascii="宋体" w:hAnsi="宋体" w:eastAsia="宋体" w:cs="宋体"/>
          <w:b w:val="0"/>
          <w:bCs/>
          <w:color w:val="auto"/>
          <w:spacing w:val="0"/>
          <w:position w:val="0"/>
          <w:szCs w:val="21"/>
          <w:highlight w:val="none"/>
        </w:rPr>
        <w:t>和采购人就有关磋商的所有来往函电均应使用中文。供应商提交的支持文件和印刷的文献可以使用别的语言，但其相应内容必须附有中文翻译文本，在解释竞争性磋商响应文件时以翻译文本为准。</w:t>
      </w:r>
    </w:p>
    <w:p w14:paraId="6D3400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9.3供应商应认真阅读、并充分理解本文件的全部内容</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包括所有的补充、修改内容</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，承诺并履行本文件中各项条款规定及要求。</w:t>
      </w:r>
    </w:p>
    <w:p w14:paraId="205CED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9.4竞争性磋商响应文件必须按本文件的全部内容，包括所有的补充通知及附件进行编制。</w:t>
      </w:r>
    </w:p>
    <w:p w14:paraId="3E1AF8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9.5如因供应商只填写和提供了本文件要求的部分内容和附件，而给评审造成困难，其可能导致的结果和责任由供应商自行承担。</w:t>
      </w:r>
    </w:p>
    <w:p w14:paraId="5763A0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val="0"/>
          <w:color w:val="auto"/>
          <w:spacing w:val="0"/>
          <w:position w:val="0"/>
          <w:szCs w:val="21"/>
          <w:highlight w:val="none"/>
          <w:lang w:eastAsia="zh-CN"/>
        </w:rPr>
      </w:pPr>
      <w:r>
        <w:rPr>
          <w:rFonts w:hint="eastAsia" w:ascii="宋体" w:hAnsi="宋体" w:eastAsia="宋体" w:cs="宋体"/>
          <w:b w:val="0"/>
          <w:bCs/>
          <w:color w:val="auto"/>
          <w:spacing w:val="0"/>
          <w:position w:val="0"/>
          <w:szCs w:val="21"/>
          <w:highlight w:val="none"/>
        </w:rPr>
        <w:t>9.6响应文件的组成：响应文件应分为资格证明文件、报价文件、商务技术文件三个部分组成。</w:t>
      </w:r>
      <w:r>
        <w:rPr>
          <w:rFonts w:hint="eastAsia" w:ascii="宋体" w:hAnsi="宋体" w:eastAsia="宋体" w:cs="宋体"/>
          <w:b/>
          <w:bCs w:val="0"/>
          <w:color w:val="auto"/>
          <w:spacing w:val="0"/>
          <w:position w:val="0"/>
          <w:szCs w:val="21"/>
          <w:highlight w:val="none"/>
          <w:lang w:eastAsia="zh-CN"/>
        </w:rPr>
        <w:t>以下注明“</w:t>
      </w:r>
      <w:r>
        <w:rPr>
          <w:rFonts w:hint="eastAsia" w:ascii="宋体" w:hAnsi="宋体" w:eastAsia="宋体" w:cs="宋体"/>
          <w:color w:val="auto"/>
          <w:spacing w:val="0"/>
          <w:position w:val="0"/>
          <w:szCs w:val="21"/>
          <w:highlight w:val="none"/>
        </w:rPr>
        <w:t>▲</w:t>
      </w:r>
      <w:r>
        <w:rPr>
          <w:rFonts w:hint="eastAsia" w:ascii="宋体" w:hAnsi="宋体" w:eastAsia="宋体" w:cs="宋体"/>
          <w:b/>
          <w:bCs w:val="0"/>
          <w:color w:val="auto"/>
          <w:spacing w:val="0"/>
          <w:position w:val="0"/>
          <w:szCs w:val="21"/>
          <w:highlight w:val="none"/>
          <w:lang w:eastAsia="zh-CN"/>
        </w:rPr>
        <w:t>”的必须提供，否则竞标无效。</w:t>
      </w:r>
    </w:p>
    <w:p w14:paraId="2F54B3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spacing w:val="0"/>
          <w:position w:val="0"/>
          <w:szCs w:val="21"/>
          <w:highlight w:val="none"/>
        </w:rPr>
      </w:pPr>
      <w:r>
        <w:rPr>
          <w:rFonts w:hint="eastAsia" w:ascii="宋体" w:hAnsi="宋体" w:eastAsia="宋体" w:cs="宋体"/>
          <w:b/>
          <w:bCs w:val="0"/>
          <w:color w:val="auto"/>
          <w:spacing w:val="0"/>
          <w:position w:val="0"/>
          <w:szCs w:val="21"/>
          <w:highlight w:val="none"/>
        </w:rPr>
        <w:t>1.资格证明文件</w:t>
      </w:r>
    </w:p>
    <w:p w14:paraId="76622C7B">
      <w:pPr>
        <w:pStyle w:val="9"/>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position w:val="0"/>
          <w:szCs w:val="21"/>
          <w:highlight w:val="none"/>
          <w:lang w:val="en-US" w:eastAsia="zh-CN"/>
        </w:rPr>
      </w:pPr>
      <w:r>
        <w:rPr>
          <w:rFonts w:hint="eastAsia" w:ascii="宋体" w:hAnsi="宋体" w:eastAsia="宋体" w:cs="宋体"/>
          <w:color w:val="auto"/>
          <w:spacing w:val="0"/>
          <w:position w:val="0"/>
          <w:szCs w:val="21"/>
          <w:highlight w:val="none"/>
        </w:rPr>
        <w:t>▲</w:t>
      </w:r>
      <w:r>
        <w:rPr>
          <w:rFonts w:hint="eastAsia" w:ascii="宋体" w:hAnsi="宋体" w:cs="宋体"/>
          <w:b w:val="0"/>
          <w:bCs/>
          <w:color w:val="auto"/>
          <w:spacing w:val="0"/>
          <w:position w:val="0"/>
          <w:szCs w:val="21"/>
          <w:highlight w:val="none"/>
          <w:lang w:val="en-US" w:eastAsia="zh-CN"/>
        </w:rPr>
        <w:t>1、</w:t>
      </w:r>
      <w:r>
        <w:rPr>
          <w:rFonts w:hint="eastAsia" w:ascii="宋体" w:hAnsi="宋体" w:eastAsia="宋体" w:cs="宋体"/>
          <w:color w:val="auto"/>
          <w:spacing w:val="0"/>
          <w:position w:val="0"/>
          <w:szCs w:val="21"/>
          <w:highlight w:val="none"/>
          <w:lang w:val="en-US" w:eastAsia="zh-CN"/>
        </w:rPr>
        <w:t>供应商为法人或者其他组织的提供其营业执照等证明文件复印件（如营业执照或者事业单位法人证书或者执业许可证或者登记证书等）；</w:t>
      </w:r>
    </w:p>
    <w:p w14:paraId="480BE3C4">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jc w:val="left"/>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▲2、投标人依法缴纳税收的相关材料[202</w:t>
      </w:r>
      <w:r>
        <w:rPr>
          <w:rFonts w:hint="eastAsia" w:ascii="宋体" w:hAnsi="宋体" w:cs="宋体"/>
          <w:color w:val="auto"/>
          <w:spacing w:val="0"/>
          <w:position w:val="0"/>
          <w:szCs w:val="21"/>
          <w:highlight w:val="none"/>
          <w:lang w:val="en-US" w:eastAsia="zh-CN"/>
        </w:rPr>
        <w:t>6</w:t>
      </w:r>
      <w:r>
        <w:rPr>
          <w:rFonts w:hint="eastAsia" w:ascii="宋体" w:hAnsi="宋体" w:eastAsia="宋体" w:cs="宋体"/>
          <w:color w:val="auto"/>
          <w:spacing w:val="0"/>
          <w:position w:val="0"/>
          <w:szCs w:val="21"/>
          <w:highlight w:val="none"/>
        </w:rPr>
        <w:t>年</w:t>
      </w:r>
      <w:r>
        <w:rPr>
          <w:rFonts w:hint="eastAsia" w:ascii="宋体" w:hAnsi="宋体" w:cs="宋体"/>
          <w:color w:val="auto"/>
          <w:spacing w:val="0"/>
          <w:position w:val="0"/>
          <w:szCs w:val="21"/>
          <w:highlight w:val="none"/>
          <w:lang w:val="en-US" w:eastAsia="zh-CN"/>
        </w:rPr>
        <w:t>01</w:t>
      </w:r>
      <w:r>
        <w:rPr>
          <w:rFonts w:hint="eastAsia" w:ascii="宋体" w:hAnsi="宋体" w:eastAsia="宋体" w:cs="宋体"/>
          <w:color w:val="auto"/>
          <w:spacing w:val="0"/>
          <w:position w:val="0"/>
          <w:szCs w:val="21"/>
          <w:highlight w:val="none"/>
        </w:rPr>
        <w:t>月</w:t>
      </w:r>
      <w:r>
        <w:rPr>
          <w:rFonts w:hint="eastAsia" w:ascii="宋体" w:hAnsi="宋体" w:cs="宋体"/>
          <w:color w:val="auto"/>
          <w:spacing w:val="0"/>
          <w:position w:val="0"/>
          <w:szCs w:val="21"/>
          <w:highlight w:val="none"/>
          <w:lang w:val="en-US" w:eastAsia="zh-CN"/>
        </w:rPr>
        <w:t>]</w:t>
      </w:r>
      <w:r>
        <w:rPr>
          <w:rFonts w:hint="eastAsia" w:ascii="宋体" w:hAnsi="宋体" w:cs="宋体"/>
          <w:color w:val="auto"/>
          <w:spacing w:val="0"/>
          <w:position w:val="0"/>
          <w:szCs w:val="21"/>
          <w:highlight w:val="none"/>
          <w:lang w:eastAsia="zh-CN"/>
        </w:rPr>
        <w:t>以来</w:t>
      </w:r>
      <w:r>
        <w:rPr>
          <w:rFonts w:hint="eastAsia" w:ascii="宋体" w:hAnsi="宋体" w:eastAsia="宋体" w:cs="宋体"/>
          <w:color w:val="auto"/>
          <w:spacing w:val="0"/>
          <w:position w:val="0"/>
          <w:szCs w:val="21"/>
          <w:highlight w:val="none"/>
        </w:rPr>
        <w:t>任意连续三个月的依法缴纳税收的凭据复印件；依法免税的供应商，必须提供相应文件证明其依法免税。从取得营业执照时间起到投标文件提交截止时间为止不足要求月数的，只需提供从取得营业执照起的依法缴纳税收相应证明文件）；</w:t>
      </w:r>
    </w:p>
    <w:p w14:paraId="0E0F345C">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jc w:val="left"/>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▲3、投标人依法缴纳社会保障资金的相关材料[202</w:t>
      </w:r>
      <w:r>
        <w:rPr>
          <w:rFonts w:hint="eastAsia" w:ascii="宋体" w:hAnsi="宋体" w:cs="宋体"/>
          <w:color w:val="auto"/>
          <w:spacing w:val="0"/>
          <w:position w:val="0"/>
          <w:szCs w:val="21"/>
          <w:highlight w:val="none"/>
          <w:lang w:val="en-US" w:eastAsia="zh-CN"/>
        </w:rPr>
        <w:t>6</w:t>
      </w:r>
      <w:r>
        <w:rPr>
          <w:rFonts w:hint="eastAsia" w:ascii="宋体" w:hAnsi="宋体" w:eastAsia="宋体" w:cs="宋体"/>
          <w:color w:val="auto"/>
          <w:spacing w:val="0"/>
          <w:position w:val="0"/>
          <w:szCs w:val="21"/>
          <w:highlight w:val="none"/>
        </w:rPr>
        <w:t>年</w:t>
      </w:r>
      <w:r>
        <w:rPr>
          <w:rFonts w:hint="eastAsia" w:ascii="宋体" w:hAnsi="宋体" w:cs="宋体"/>
          <w:color w:val="auto"/>
          <w:spacing w:val="0"/>
          <w:position w:val="0"/>
          <w:szCs w:val="21"/>
          <w:highlight w:val="none"/>
          <w:lang w:val="en-US" w:eastAsia="zh-CN"/>
        </w:rPr>
        <w:t>01</w:t>
      </w:r>
      <w:r>
        <w:rPr>
          <w:rFonts w:hint="eastAsia" w:ascii="宋体" w:hAnsi="宋体" w:eastAsia="宋体" w:cs="宋体"/>
          <w:color w:val="auto"/>
          <w:spacing w:val="0"/>
          <w:position w:val="0"/>
          <w:szCs w:val="21"/>
          <w:highlight w:val="none"/>
        </w:rPr>
        <w:t>月</w:t>
      </w:r>
      <w:r>
        <w:rPr>
          <w:rFonts w:hint="eastAsia" w:ascii="宋体" w:hAnsi="宋体" w:cs="宋体"/>
          <w:color w:val="auto"/>
          <w:spacing w:val="0"/>
          <w:position w:val="0"/>
          <w:szCs w:val="21"/>
          <w:highlight w:val="none"/>
          <w:lang w:val="en-US" w:eastAsia="zh-CN"/>
        </w:rPr>
        <w:t>]</w:t>
      </w:r>
      <w:r>
        <w:rPr>
          <w:rFonts w:hint="eastAsia" w:ascii="宋体" w:hAnsi="宋体" w:cs="宋体"/>
          <w:color w:val="auto"/>
          <w:spacing w:val="0"/>
          <w:position w:val="0"/>
          <w:szCs w:val="21"/>
          <w:highlight w:val="none"/>
          <w:lang w:eastAsia="zh-CN"/>
        </w:rPr>
        <w:t>以来</w:t>
      </w:r>
      <w:r>
        <w:rPr>
          <w:rFonts w:hint="eastAsia" w:ascii="宋体" w:hAnsi="宋体" w:eastAsia="宋体" w:cs="宋体"/>
          <w:color w:val="auto"/>
          <w:spacing w:val="0"/>
          <w:position w:val="0"/>
          <w:szCs w:val="21"/>
          <w:highlight w:val="none"/>
        </w:rPr>
        <w:t>任意连续三个月的依法缴纳社会保障资金的缴费凭证、复印件；依法不需要缴纳社会保障资金的供应商，必须提供相应文件证明不需要缴纳社会保障资金。从取得营业执照时间起到投标文件提交截止时间为止不足要求月数的只需提供从取得营业执照起的依法缴纳社会保障资金的相应证明文件]；</w:t>
      </w:r>
    </w:p>
    <w:p w14:paraId="4ABC400C">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jc w:val="left"/>
        <w:textAlignment w:val="auto"/>
        <w:rPr>
          <w:rFonts w:hint="eastAsia" w:ascii="宋体" w:hAnsi="宋体" w:eastAsia="宋体" w:cs="宋体"/>
          <w:b/>
          <w:color w:val="auto"/>
          <w:spacing w:val="0"/>
          <w:position w:val="0"/>
          <w:szCs w:val="21"/>
          <w:highlight w:val="none"/>
        </w:rPr>
      </w:pPr>
      <w:r>
        <w:rPr>
          <w:rFonts w:hint="eastAsia" w:ascii="宋体" w:hAnsi="宋体" w:eastAsia="宋体" w:cs="宋体"/>
          <w:color w:val="auto"/>
          <w:spacing w:val="0"/>
          <w:position w:val="0"/>
          <w:szCs w:val="21"/>
          <w:highlight w:val="none"/>
        </w:rPr>
        <w:t>▲4、投标人财务状况报告：[202</w:t>
      </w:r>
      <w:r>
        <w:rPr>
          <w:rFonts w:hint="eastAsia" w:ascii="宋体" w:hAnsi="宋体" w:cs="宋体"/>
          <w:color w:val="auto"/>
          <w:spacing w:val="0"/>
          <w:position w:val="0"/>
          <w:szCs w:val="21"/>
          <w:highlight w:val="none"/>
          <w:lang w:val="en-US" w:eastAsia="zh-CN"/>
        </w:rPr>
        <w:t>4</w:t>
      </w:r>
      <w:r>
        <w:rPr>
          <w:rFonts w:hint="eastAsia" w:ascii="宋体" w:hAnsi="宋体" w:eastAsia="宋体" w:cs="宋体"/>
          <w:color w:val="auto"/>
          <w:spacing w:val="0"/>
          <w:position w:val="0"/>
          <w:szCs w:val="21"/>
          <w:highlight w:val="none"/>
        </w:rPr>
        <w:t>年</w:t>
      </w:r>
      <w:r>
        <w:rPr>
          <w:rFonts w:hint="eastAsia" w:ascii="宋体" w:hAnsi="宋体" w:cs="宋体"/>
          <w:color w:val="auto"/>
          <w:spacing w:val="0"/>
          <w:position w:val="0"/>
          <w:szCs w:val="21"/>
          <w:highlight w:val="none"/>
          <w:lang w:eastAsia="zh-CN"/>
        </w:rPr>
        <w:t>或</w:t>
      </w:r>
      <w:r>
        <w:rPr>
          <w:rFonts w:hint="eastAsia" w:ascii="宋体" w:hAnsi="宋体" w:cs="宋体"/>
          <w:color w:val="auto"/>
          <w:spacing w:val="0"/>
          <w:position w:val="0"/>
          <w:szCs w:val="21"/>
          <w:highlight w:val="none"/>
          <w:lang w:val="en-US" w:eastAsia="zh-CN"/>
        </w:rPr>
        <w:t>2025年</w:t>
      </w:r>
      <w:r>
        <w:rPr>
          <w:rFonts w:hint="eastAsia" w:ascii="宋体" w:hAnsi="宋体" w:eastAsia="宋体" w:cs="宋体"/>
          <w:color w:val="auto"/>
          <w:spacing w:val="0"/>
          <w:position w:val="0"/>
          <w:szCs w:val="21"/>
          <w:highlight w:val="none"/>
        </w:rPr>
        <w:t>]财务状况报告复印件；供应商成立不满一年的应按提供截标之日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p>
    <w:p w14:paraId="311B5D21">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w:t>
      </w:r>
      <w:r>
        <w:rPr>
          <w:rFonts w:hint="eastAsia" w:ascii="宋体" w:hAnsi="宋体" w:cs="宋体"/>
          <w:b w:val="0"/>
          <w:bCs/>
          <w:color w:val="auto"/>
          <w:spacing w:val="0"/>
          <w:position w:val="0"/>
          <w:szCs w:val="21"/>
          <w:highlight w:val="none"/>
          <w:lang w:val="en-US" w:eastAsia="zh-CN"/>
        </w:rPr>
        <w:t>5、</w:t>
      </w:r>
      <w:r>
        <w:rPr>
          <w:rFonts w:hint="eastAsia" w:ascii="宋体" w:hAnsi="宋体" w:eastAsia="宋体" w:cs="宋体"/>
          <w:color w:val="auto"/>
          <w:spacing w:val="0"/>
          <w:position w:val="0"/>
          <w:szCs w:val="21"/>
          <w:highlight w:val="none"/>
        </w:rPr>
        <w:t>竞标声明（格式后附）；</w:t>
      </w:r>
    </w:p>
    <w:p w14:paraId="64BCAF2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w:t>
      </w:r>
      <w:r>
        <w:rPr>
          <w:rFonts w:hint="eastAsia" w:ascii="宋体" w:hAnsi="宋体" w:cs="宋体"/>
          <w:b w:val="0"/>
          <w:bCs/>
          <w:color w:val="auto"/>
          <w:spacing w:val="0"/>
          <w:position w:val="0"/>
          <w:szCs w:val="21"/>
          <w:highlight w:val="none"/>
          <w:lang w:val="en-US" w:eastAsia="zh-CN"/>
        </w:rPr>
        <w:t>6、</w:t>
      </w:r>
      <w:r>
        <w:rPr>
          <w:rFonts w:hint="eastAsia" w:ascii="宋体" w:hAnsi="宋体" w:eastAsia="宋体" w:cs="宋体"/>
          <w:color w:val="auto"/>
          <w:spacing w:val="0"/>
          <w:position w:val="0"/>
          <w:szCs w:val="21"/>
          <w:highlight w:val="none"/>
        </w:rPr>
        <w:t>供应商直接控股、管理关系信息表（格式后附）；</w:t>
      </w:r>
    </w:p>
    <w:p w14:paraId="600779E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spacing w:val="0"/>
          <w:position w:val="0"/>
          <w:szCs w:val="21"/>
          <w:highlight w:val="none"/>
          <w:lang w:eastAsia="zh-CN"/>
        </w:rPr>
      </w:pPr>
      <w:r>
        <w:rPr>
          <w:rFonts w:hint="eastAsia" w:ascii="宋体" w:hAnsi="宋体" w:eastAsia="宋体" w:cs="宋体"/>
          <w:color w:val="auto"/>
          <w:spacing w:val="0"/>
          <w:position w:val="0"/>
          <w:szCs w:val="21"/>
          <w:highlight w:val="none"/>
        </w:rPr>
        <w:t>▲</w:t>
      </w:r>
      <w:r>
        <w:rPr>
          <w:rFonts w:hint="eastAsia" w:ascii="宋体" w:hAnsi="宋体" w:cs="宋体"/>
          <w:b w:val="0"/>
          <w:bCs/>
          <w:color w:val="auto"/>
          <w:spacing w:val="0"/>
          <w:position w:val="0"/>
          <w:szCs w:val="21"/>
          <w:highlight w:val="none"/>
          <w:lang w:val="en-US" w:eastAsia="zh-CN"/>
        </w:rPr>
        <w:t>7、</w:t>
      </w:r>
      <w:r>
        <w:rPr>
          <w:rFonts w:hint="eastAsia" w:ascii="宋体" w:hAnsi="宋体" w:eastAsia="宋体" w:cs="宋体"/>
          <w:color w:val="auto"/>
          <w:spacing w:val="0"/>
          <w:position w:val="0"/>
          <w:szCs w:val="21"/>
          <w:highlight w:val="none"/>
        </w:rPr>
        <w:t>拟派的项目经理无在建项目承诺书（格式</w:t>
      </w:r>
      <w:r>
        <w:rPr>
          <w:rFonts w:hint="eastAsia" w:ascii="宋体" w:hAnsi="宋体" w:eastAsia="宋体" w:cs="宋体"/>
          <w:color w:val="auto"/>
          <w:spacing w:val="0"/>
          <w:position w:val="0"/>
          <w:szCs w:val="21"/>
          <w:highlight w:val="none"/>
          <w:lang w:eastAsia="zh-CN"/>
        </w:rPr>
        <w:t>自拟</w:t>
      </w:r>
      <w:r>
        <w:rPr>
          <w:rFonts w:hint="eastAsia" w:ascii="宋体" w:hAnsi="宋体" w:eastAsia="宋体" w:cs="宋体"/>
          <w:color w:val="auto"/>
          <w:spacing w:val="0"/>
          <w:position w:val="0"/>
          <w:szCs w:val="21"/>
          <w:highlight w:val="none"/>
        </w:rPr>
        <w:t>）</w:t>
      </w:r>
      <w:r>
        <w:rPr>
          <w:rFonts w:hint="eastAsia" w:ascii="宋体" w:hAnsi="宋体" w:cs="宋体"/>
          <w:color w:val="auto"/>
          <w:spacing w:val="0"/>
          <w:position w:val="0"/>
          <w:szCs w:val="21"/>
          <w:highlight w:val="none"/>
          <w:lang w:eastAsia="zh-CN"/>
        </w:rPr>
        <w:t>；</w:t>
      </w:r>
    </w:p>
    <w:p w14:paraId="6AEE3832">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spacing w:val="0"/>
          <w:position w:val="0"/>
          <w:szCs w:val="21"/>
          <w:highlight w:val="none"/>
        </w:rPr>
      </w:pPr>
      <w:r>
        <w:rPr>
          <w:rFonts w:hint="eastAsia" w:ascii="宋体" w:hAnsi="宋体" w:eastAsia="宋体" w:cs="宋体"/>
          <w:color w:val="auto"/>
          <w:spacing w:val="0"/>
          <w:position w:val="0"/>
          <w:szCs w:val="21"/>
          <w:highlight w:val="none"/>
        </w:rPr>
        <w:t>▲</w:t>
      </w:r>
      <w:r>
        <w:rPr>
          <w:rFonts w:hint="eastAsia" w:ascii="宋体" w:hAnsi="宋体" w:cs="宋体"/>
          <w:b w:val="0"/>
          <w:bCs/>
          <w:color w:val="auto"/>
          <w:spacing w:val="0"/>
          <w:position w:val="0"/>
          <w:szCs w:val="21"/>
          <w:highlight w:val="none"/>
          <w:lang w:val="en-US" w:eastAsia="zh-CN"/>
        </w:rPr>
        <w:t>8、</w:t>
      </w:r>
      <w:r>
        <w:rPr>
          <w:rFonts w:hint="eastAsia" w:ascii="宋体" w:hAnsi="宋体" w:eastAsia="宋体" w:cs="宋体"/>
          <w:color w:val="auto"/>
          <w:spacing w:val="0"/>
          <w:position w:val="0"/>
          <w:szCs w:val="21"/>
          <w:highlight w:val="none"/>
          <w:lang w:eastAsia="zh-CN"/>
        </w:rPr>
        <w:t>本项目属于专门面向中小企业采购的项目，供应商须为中小企业或监狱企业或残疾人福利性单位。</w:t>
      </w:r>
      <w:r>
        <w:rPr>
          <w:rFonts w:hint="eastAsia" w:ascii="宋体" w:hAnsi="宋体" w:eastAsia="宋体" w:cs="宋体"/>
          <w:color w:val="auto"/>
          <w:spacing w:val="0"/>
          <w:position w:val="0"/>
          <w:szCs w:val="21"/>
          <w:highlight w:val="none"/>
          <w:lang w:val="en-US" w:eastAsia="zh-CN"/>
        </w:rPr>
        <w:t>[</w:t>
      </w:r>
      <w:r>
        <w:rPr>
          <w:rFonts w:hint="eastAsia" w:ascii="宋体" w:hAnsi="宋体" w:eastAsia="宋体" w:cs="宋体"/>
          <w:color w:val="auto"/>
          <w:spacing w:val="0"/>
          <w:position w:val="0"/>
          <w:szCs w:val="21"/>
          <w:highlight w:val="none"/>
        </w:rPr>
        <w:t>供应商必须在响应文件中提供《</w:t>
      </w:r>
      <w:r>
        <w:rPr>
          <w:rFonts w:hint="eastAsia" w:ascii="宋体" w:hAnsi="宋体" w:eastAsia="宋体" w:cs="宋体"/>
          <w:bCs/>
          <w:color w:val="auto"/>
          <w:spacing w:val="0"/>
          <w:position w:val="0"/>
          <w:szCs w:val="21"/>
          <w:highlight w:val="none"/>
        </w:rPr>
        <w:t>中小企业声明函（工程）</w:t>
      </w:r>
      <w:r>
        <w:rPr>
          <w:rFonts w:hint="eastAsia" w:ascii="宋体" w:hAnsi="宋体" w:eastAsia="宋体" w:cs="宋体"/>
          <w:color w:val="auto"/>
          <w:spacing w:val="0"/>
          <w:position w:val="0"/>
          <w:szCs w:val="21"/>
          <w:highlight w:val="none"/>
        </w:rPr>
        <w:t>》</w:t>
      </w:r>
      <w:r>
        <w:rPr>
          <w:rFonts w:hint="eastAsia" w:ascii="宋体" w:hAnsi="宋体" w:eastAsia="宋体" w:cs="宋体"/>
          <w:color w:val="auto"/>
          <w:spacing w:val="0"/>
          <w:position w:val="0"/>
          <w:szCs w:val="22"/>
          <w:highlight w:val="none"/>
        </w:rPr>
        <w:t>或残疾人福利性单位声明函或监狱企业证明材料</w:t>
      </w:r>
      <w:r>
        <w:rPr>
          <w:rFonts w:hint="eastAsia" w:ascii="宋体" w:hAnsi="宋体" w:eastAsia="宋体" w:cs="宋体"/>
          <w:color w:val="auto"/>
          <w:spacing w:val="0"/>
          <w:position w:val="0"/>
          <w:szCs w:val="22"/>
          <w:highlight w:val="none"/>
          <w:lang w:val="en-US" w:eastAsia="zh-CN"/>
        </w:rPr>
        <w:t>]；</w:t>
      </w:r>
    </w:p>
    <w:p w14:paraId="6E9887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val="0"/>
          <w:color w:val="auto"/>
          <w:spacing w:val="0"/>
          <w:position w:val="0"/>
          <w:szCs w:val="21"/>
          <w:highlight w:val="none"/>
        </w:rPr>
      </w:pPr>
      <w:r>
        <w:rPr>
          <w:rFonts w:hint="eastAsia" w:ascii="宋体" w:hAnsi="宋体" w:eastAsia="宋体" w:cs="宋体"/>
          <w:color w:val="auto"/>
          <w:spacing w:val="0"/>
          <w:position w:val="0"/>
          <w:szCs w:val="21"/>
          <w:highlight w:val="none"/>
        </w:rPr>
        <w:t>▲</w:t>
      </w:r>
      <w:r>
        <w:rPr>
          <w:rFonts w:hint="eastAsia" w:ascii="宋体" w:hAnsi="宋体" w:cs="宋体"/>
          <w:b w:val="0"/>
          <w:bCs/>
          <w:color w:val="auto"/>
          <w:spacing w:val="0"/>
          <w:position w:val="0"/>
          <w:szCs w:val="21"/>
          <w:highlight w:val="none"/>
          <w:lang w:val="en-US" w:eastAsia="zh-CN"/>
        </w:rPr>
        <w:t>9、</w:t>
      </w:r>
      <w:r>
        <w:rPr>
          <w:rFonts w:hint="eastAsia" w:ascii="宋体" w:hAnsi="宋体" w:eastAsia="宋体" w:cs="宋体"/>
          <w:b w:val="0"/>
          <w:bCs/>
          <w:color w:val="auto"/>
          <w:spacing w:val="0"/>
          <w:position w:val="0"/>
          <w:szCs w:val="21"/>
          <w:highlight w:val="none"/>
          <w:lang w:eastAsia="zh-CN"/>
        </w:rPr>
        <w:t>本项目的特定资格要求：</w:t>
      </w:r>
      <w:r>
        <w:rPr>
          <w:rFonts w:hint="eastAsia" w:hAnsi="宋体" w:cs="宋体"/>
          <w:color w:val="auto"/>
          <w:spacing w:val="0"/>
          <w:position w:val="0"/>
          <w:sz w:val="21"/>
          <w:szCs w:val="21"/>
          <w:highlight w:val="none"/>
          <w:lang w:eastAsia="zh-CN"/>
        </w:rPr>
        <w:t>（</w:t>
      </w:r>
      <w:r>
        <w:rPr>
          <w:rFonts w:hint="eastAsia" w:hAnsi="宋体" w:cs="宋体"/>
          <w:color w:val="auto"/>
          <w:spacing w:val="0"/>
          <w:position w:val="0"/>
          <w:sz w:val="21"/>
          <w:szCs w:val="21"/>
          <w:highlight w:val="none"/>
        </w:rPr>
        <w:t>1）</w:t>
      </w:r>
      <w:r>
        <w:rPr>
          <w:rFonts w:hint="eastAsia" w:hAnsi="宋体" w:cs="宋体"/>
          <w:color w:val="auto"/>
          <w:spacing w:val="0"/>
          <w:position w:val="0"/>
          <w:sz w:val="21"/>
          <w:szCs w:val="21"/>
          <w:highlight w:val="none"/>
          <w:lang w:eastAsia="zh-CN"/>
        </w:rPr>
        <w:t>具备</w:t>
      </w:r>
      <w:r>
        <w:rPr>
          <w:rFonts w:hint="eastAsia" w:ascii="宋体" w:hAnsi="宋体" w:cs="宋体"/>
          <w:b w:val="0"/>
          <w:bCs w:val="0"/>
          <w:color w:val="auto"/>
          <w:sz w:val="21"/>
          <w:szCs w:val="21"/>
          <w:u w:val="single"/>
          <w:lang w:val="en-US" w:eastAsia="zh-CN"/>
        </w:rPr>
        <w:t>房屋建筑</w:t>
      </w:r>
      <w:r>
        <w:rPr>
          <w:rFonts w:hint="eastAsia" w:ascii="宋体" w:hAnsi="宋体" w:eastAsia="宋体" w:cs="宋体"/>
          <w:b w:val="0"/>
          <w:bCs w:val="0"/>
          <w:color w:val="auto"/>
          <w:sz w:val="21"/>
          <w:szCs w:val="21"/>
          <w:u w:val="single"/>
        </w:rPr>
        <w:t>工程施工总承包叁级(含叁级)</w:t>
      </w:r>
      <w:r>
        <w:rPr>
          <w:rFonts w:hint="eastAsia" w:hAnsi="宋体" w:cs="宋体"/>
          <w:color w:val="auto"/>
          <w:spacing w:val="0"/>
          <w:position w:val="0"/>
          <w:sz w:val="21"/>
          <w:szCs w:val="21"/>
          <w:highlight w:val="none"/>
          <w:lang w:eastAsia="zh-CN"/>
        </w:rPr>
        <w:t>以上资质以及有效的安全生产许可证，在人员、设备、资金等方面具备相应的施工能力</w:t>
      </w:r>
      <w:r>
        <w:rPr>
          <w:rFonts w:hint="eastAsia" w:hAnsi="宋体" w:cs="宋体"/>
          <w:color w:val="auto"/>
          <w:spacing w:val="0"/>
          <w:position w:val="0"/>
          <w:sz w:val="21"/>
          <w:szCs w:val="21"/>
          <w:highlight w:val="none"/>
        </w:rPr>
        <w:t>；</w:t>
      </w:r>
      <w:r>
        <w:rPr>
          <w:rFonts w:hint="eastAsia" w:hAnsi="宋体" w:cs="宋体"/>
          <w:color w:val="auto"/>
          <w:spacing w:val="0"/>
          <w:position w:val="0"/>
          <w:sz w:val="21"/>
          <w:szCs w:val="21"/>
          <w:highlight w:val="none"/>
        </w:rPr>
        <w:br w:type="textWrapping"/>
      </w:r>
      <w:r>
        <w:rPr>
          <w:rFonts w:hint="eastAsia" w:hAnsi="宋体" w:cs="宋体"/>
          <w:color w:val="auto"/>
          <w:spacing w:val="0"/>
          <w:position w:val="0"/>
          <w:sz w:val="21"/>
          <w:szCs w:val="21"/>
          <w:highlight w:val="none"/>
          <w:lang w:val="en-US" w:eastAsia="zh-CN"/>
        </w:rPr>
        <w:t xml:space="preserve">    </w:t>
      </w:r>
      <w:r>
        <w:rPr>
          <w:rFonts w:hint="eastAsia" w:hAnsi="宋体" w:cs="宋体"/>
          <w:color w:val="auto"/>
          <w:spacing w:val="0"/>
          <w:position w:val="0"/>
          <w:sz w:val="21"/>
          <w:szCs w:val="21"/>
          <w:highlight w:val="none"/>
        </w:rPr>
        <w:t>（2）拟投入本项目的项目经理必须具备有效的</w:t>
      </w:r>
      <w:r>
        <w:rPr>
          <w:rFonts w:hint="eastAsia" w:asciiTheme="minorEastAsia" w:hAnsiTheme="minorEastAsia" w:eastAsiaTheme="minorEastAsia" w:cstheme="minorEastAsia"/>
          <w:color w:val="auto"/>
          <w:sz w:val="21"/>
          <w:szCs w:val="21"/>
          <w:u w:val="single"/>
          <w:lang w:val="en-US" w:eastAsia="zh-CN"/>
        </w:rPr>
        <w:t>房屋建筑</w:t>
      </w:r>
      <w:r>
        <w:rPr>
          <w:rFonts w:hint="eastAsia" w:asciiTheme="minorEastAsia" w:hAnsiTheme="minorEastAsia" w:eastAsiaTheme="minorEastAsia" w:cstheme="minorEastAsia"/>
          <w:color w:val="auto"/>
          <w:sz w:val="21"/>
          <w:szCs w:val="21"/>
          <w:u w:val="single"/>
          <w:lang w:eastAsia="zh-CN"/>
        </w:rPr>
        <w:t>工程</w:t>
      </w:r>
      <w:r>
        <w:rPr>
          <w:rFonts w:hint="eastAsia" w:asciiTheme="minorEastAsia" w:hAnsiTheme="minorEastAsia" w:eastAsiaTheme="minorEastAsia" w:cstheme="minorEastAsia"/>
          <w:color w:val="auto"/>
          <w:sz w:val="21"/>
          <w:szCs w:val="21"/>
          <w:u w:val="single"/>
          <w:lang w:val="en-US" w:eastAsia="zh-CN"/>
        </w:rPr>
        <w:t>专业</w:t>
      </w:r>
      <w:r>
        <w:rPr>
          <w:rFonts w:hint="eastAsia" w:asciiTheme="minorEastAsia" w:hAnsiTheme="minorEastAsia" w:eastAsiaTheme="minorEastAsia" w:cstheme="minorEastAsia"/>
          <w:color w:val="auto"/>
          <w:sz w:val="21"/>
          <w:szCs w:val="21"/>
          <w:u w:val="single"/>
          <w:lang w:eastAsia="zh-CN"/>
        </w:rPr>
        <w:t>贰级（含贰级）</w:t>
      </w:r>
      <w:r>
        <w:rPr>
          <w:rFonts w:hint="eastAsia" w:asciiTheme="minorEastAsia" w:hAnsiTheme="minorEastAsia" w:eastAsiaTheme="minorEastAsia" w:cstheme="minorEastAsia"/>
          <w:color w:val="auto"/>
          <w:sz w:val="21"/>
          <w:szCs w:val="21"/>
          <w:u w:val="none"/>
          <w:lang w:eastAsia="zh-CN"/>
        </w:rPr>
        <w:t>以上</w:t>
      </w:r>
      <w:r>
        <w:rPr>
          <w:rFonts w:hint="eastAsia" w:hAnsi="宋体" w:cs="宋体"/>
          <w:color w:val="auto"/>
          <w:spacing w:val="0"/>
          <w:position w:val="0"/>
          <w:sz w:val="21"/>
          <w:szCs w:val="21"/>
          <w:highlight w:val="none"/>
        </w:rPr>
        <w:t>注册建造师证书，并获得B类安全生产考核合格证</w:t>
      </w:r>
      <w:r>
        <w:rPr>
          <w:rFonts w:hint="eastAsia" w:hAnsi="宋体" w:cs="宋体"/>
          <w:color w:val="auto"/>
          <w:spacing w:val="0"/>
          <w:position w:val="0"/>
          <w:sz w:val="21"/>
          <w:szCs w:val="21"/>
          <w:highlight w:val="none"/>
          <w:lang w:eastAsia="zh-CN"/>
        </w:rPr>
        <w:t>；本项目不接受有在建、已中标未开工或已列为其他项目中标候选人第一名的建造师作为项目经理</w:t>
      </w:r>
      <w:r>
        <w:rPr>
          <w:rFonts w:hint="eastAsia" w:ascii="宋体" w:hAnsi="宋体" w:eastAsia="宋体" w:cs="宋体"/>
          <w:color w:val="auto"/>
          <w:spacing w:val="0"/>
          <w:position w:val="0"/>
          <w:szCs w:val="21"/>
          <w:highlight w:val="none"/>
          <w:lang w:eastAsia="zh-CN"/>
        </w:rPr>
        <w:t>；</w:t>
      </w:r>
    </w:p>
    <w:p w14:paraId="4238CF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lang w:eastAsia="zh-CN"/>
        </w:rPr>
      </w:pPr>
      <w:r>
        <w:rPr>
          <w:rFonts w:hint="eastAsia" w:ascii="宋体" w:hAnsi="宋体" w:cs="宋体"/>
          <w:b w:val="0"/>
          <w:bCs/>
          <w:color w:val="auto"/>
          <w:spacing w:val="0"/>
          <w:position w:val="0"/>
          <w:szCs w:val="21"/>
          <w:highlight w:val="none"/>
          <w:lang w:val="en-US" w:eastAsia="zh-CN"/>
        </w:rPr>
        <w:t>10、</w:t>
      </w:r>
      <w:r>
        <w:rPr>
          <w:rFonts w:hint="eastAsia" w:ascii="宋体" w:hAnsi="宋体" w:eastAsia="宋体" w:cs="宋体"/>
          <w:b w:val="0"/>
          <w:bCs/>
          <w:color w:val="auto"/>
          <w:spacing w:val="0"/>
          <w:position w:val="0"/>
          <w:szCs w:val="21"/>
          <w:highlight w:val="none"/>
          <w:lang w:eastAsia="zh-CN"/>
        </w:rPr>
        <w:t>供应商</w:t>
      </w:r>
      <w:r>
        <w:rPr>
          <w:rFonts w:hint="eastAsia" w:ascii="宋体" w:hAnsi="宋体" w:eastAsia="宋体" w:cs="宋体"/>
          <w:b w:val="0"/>
          <w:bCs/>
          <w:color w:val="auto"/>
          <w:spacing w:val="0"/>
          <w:position w:val="0"/>
          <w:szCs w:val="21"/>
          <w:highlight w:val="none"/>
        </w:rPr>
        <w:t>针对资格证明需要说明的其他证明文件和说明。</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格式自拟</w:t>
      </w:r>
      <w:r>
        <w:rPr>
          <w:rFonts w:hint="eastAsia" w:ascii="宋体" w:hAnsi="宋体" w:eastAsia="宋体" w:cs="宋体"/>
          <w:b w:val="0"/>
          <w:bCs/>
          <w:color w:val="auto"/>
          <w:spacing w:val="0"/>
          <w:position w:val="0"/>
          <w:szCs w:val="21"/>
          <w:highlight w:val="none"/>
          <w:lang w:eastAsia="zh-CN"/>
        </w:rPr>
        <w:t>）</w:t>
      </w:r>
    </w:p>
    <w:p w14:paraId="6270D39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spacing w:val="0"/>
          <w:position w:val="0"/>
          <w:szCs w:val="21"/>
          <w:highlight w:val="none"/>
        </w:rPr>
      </w:pPr>
      <w:r>
        <w:rPr>
          <w:rFonts w:hint="eastAsia" w:ascii="宋体" w:hAnsi="宋体" w:eastAsia="宋体" w:cs="宋体"/>
          <w:b/>
          <w:bCs w:val="0"/>
          <w:color w:val="auto"/>
          <w:spacing w:val="0"/>
          <w:position w:val="0"/>
          <w:szCs w:val="21"/>
          <w:highlight w:val="none"/>
          <w:lang w:val="en-US" w:eastAsia="zh-CN"/>
        </w:rPr>
        <w:t>2</w:t>
      </w:r>
      <w:r>
        <w:rPr>
          <w:rFonts w:hint="eastAsia" w:ascii="宋体" w:hAnsi="宋体" w:eastAsia="宋体" w:cs="宋体"/>
          <w:b/>
          <w:bCs w:val="0"/>
          <w:color w:val="auto"/>
          <w:spacing w:val="0"/>
          <w:position w:val="0"/>
          <w:szCs w:val="21"/>
          <w:highlight w:val="none"/>
        </w:rPr>
        <w:t>.报价文件</w:t>
      </w:r>
    </w:p>
    <w:p w14:paraId="70311C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color w:val="auto"/>
          <w:spacing w:val="0"/>
          <w:position w:val="0"/>
          <w:szCs w:val="21"/>
          <w:highlight w:val="none"/>
        </w:rPr>
        <w:t>▲</w:t>
      </w:r>
      <w:r>
        <w:rPr>
          <w:rFonts w:hint="eastAsia" w:ascii="宋体" w:hAnsi="宋体" w:cs="宋体"/>
          <w:b w:val="0"/>
          <w:bCs/>
          <w:color w:val="auto"/>
          <w:spacing w:val="0"/>
          <w:position w:val="0"/>
          <w:szCs w:val="21"/>
          <w:highlight w:val="none"/>
          <w:lang w:val="en-US" w:eastAsia="zh-CN"/>
        </w:rPr>
        <w:t>1、</w:t>
      </w:r>
      <w:r>
        <w:rPr>
          <w:rFonts w:hint="eastAsia" w:ascii="宋体" w:hAnsi="宋体" w:eastAsia="宋体" w:cs="宋体"/>
          <w:b w:val="0"/>
          <w:bCs/>
          <w:color w:val="auto"/>
          <w:spacing w:val="0"/>
          <w:position w:val="0"/>
          <w:szCs w:val="21"/>
          <w:highlight w:val="none"/>
        </w:rPr>
        <w:t>磋商函；</w:t>
      </w:r>
    </w:p>
    <w:p w14:paraId="2BD359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val="0"/>
          <w:color w:val="auto"/>
          <w:spacing w:val="0"/>
          <w:position w:val="0"/>
          <w:szCs w:val="21"/>
          <w:highlight w:val="none"/>
          <w:lang w:eastAsia="zh-CN"/>
        </w:rPr>
      </w:pPr>
      <w:r>
        <w:rPr>
          <w:rFonts w:hint="eastAsia" w:ascii="宋体" w:hAnsi="宋体" w:eastAsia="宋体" w:cs="宋体"/>
          <w:color w:val="auto"/>
          <w:spacing w:val="0"/>
          <w:position w:val="0"/>
          <w:szCs w:val="21"/>
          <w:highlight w:val="none"/>
        </w:rPr>
        <w:t>▲</w:t>
      </w:r>
      <w:r>
        <w:rPr>
          <w:rFonts w:hint="eastAsia" w:ascii="宋体" w:hAnsi="宋体" w:cs="宋体"/>
          <w:b w:val="0"/>
          <w:bCs/>
          <w:color w:val="auto"/>
          <w:spacing w:val="0"/>
          <w:position w:val="0"/>
          <w:szCs w:val="21"/>
          <w:highlight w:val="none"/>
          <w:lang w:val="en-US" w:eastAsia="zh-CN"/>
        </w:rPr>
        <w:t>2、</w:t>
      </w:r>
      <w:r>
        <w:rPr>
          <w:rFonts w:hint="eastAsia" w:ascii="宋体" w:hAnsi="宋体" w:eastAsia="宋体" w:cs="宋体"/>
          <w:b w:val="0"/>
          <w:bCs/>
          <w:color w:val="auto"/>
          <w:spacing w:val="0"/>
          <w:position w:val="0"/>
          <w:szCs w:val="21"/>
          <w:highlight w:val="none"/>
        </w:rPr>
        <w:t>磋商函附录</w:t>
      </w:r>
      <w:r>
        <w:rPr>
          <w:rFonts w:hint="eastAsia" w:ascii="宋体" w:hAnsi="宋体" w:eastAsia="宋体" w:cs="宋体"/>
          <w:b/>
          <w:bCs w:val="0"/>
          <w:color w:val="auto"/>
          <w:spacing w:val="0"/>
          <w:position w:val="0"/>
          <w:szCs w:val="21"/>
          <w:highlight w:val="none"/>
          <w:lang w:eastAsia="zh-CN"/>
        </w:rPr>
        <w:t>；</w:t>
      </w:r>
    </w:p>
    <w:p w14:paraId="281230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lang w:eastAsia="zh-CN"/>
        </w:rPr>
      </w:pPr>
      <w:r>
        <w:rPr>
          <w:rFonts w:hint="eastAsia" w:ascii="宋体" w:hAnsi="宋体" w:eastAsia="宋体" w:cs="宋体"/>
          <w:color w:val="auto"/>
          <w:spacing w:val="0"/>
          <w:position w:val="0"/>
          <w:szCs w:val="21"/>
          <w:highlight w:val="none"/>
        </w:rPr>
        <w:t>▲</w:t>
      </w:r>
      <w:r>
        <w:rPr>
          <w:rFonts w:hint="eastAsia" w:ascii="宋体" w:hAnsi="宋体" w:cs="宋体"/>
          <w:b w:val="0"/>
          <w:bCs/>
          <w:color w:val="auto"/>
          <w:spacing w:val="0"/>
          <w:position w:val="0"/>
          <w:szCs w:val="21"/>
          <w:highlight w:val="none"/>
          <w:lang w:val="en-US" w:eastAsia="zh-CN"/>
        </w:rPr>
        <w:t>3、</w:t>
      </w:r>
      <w:r>
        <w:rPr>
          <w:rFonts w:hint="eastAsia" w:ascii="宋体" w:hAnsi="宋体" w:eastAsia="宋体" w:cs="宋体"/>
          <w:b w:val="0"/>
          <w:bCs/>
          <w:color w:val="auto"/>
          <w:spacing w:val="0"/>
          <w:position w:val="0"/>
          <w:szCs w:val="21"/>
          <w:highlight w:val="none"/>
        </w:rPr>
        <w:t>竞标报价表</w:t>
      </w:r>
      <w:r>
        <w:rPr>
          <w:rFonts w:hint="eastAsia" w:ascii="宋体" w:hAnsi="宋体" w:eastAsia="宋体" w:cs="宋体"/>
          <w:b w:val="0"/>
          <w:bCs/>
          <w:color w:val="auto"/>
          <w:spacing w:val="0"/>
          <w:position w:val="0"/>
          <w:szCs w:val="21"/>
          <w:highlight w:val="none"/>
          <w:lang w:eastAsia="zh-CN"/>
        </w:rPr>
        <w:t>；</w:t>
      </w:r>
    </w:p>
    <w:p w14:paraId="551F3B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color w:val="auto"/>
          <w:spacing w:val="0"/>
          <w:position w:val="0"/>
          <w:szCs w:val="21"/>
          <w:highlight w:val="none"/>
        </w:rPr>
        <w:t>▲</w:t>
      </w:r>
      <w:r>
        <w:rPr>
          <w:rFonts w:hint="eastAsia" w:ascii="宋体" w:hAnsi="宋体" w:cs="宋体"/>
          <w:b w:val="0"/>
          <w:bCs/>
          <w:color w:val="auto"/>
          <w:spacing w:val="0"/>
          <w:position w:val="0"/>
          <w:szCs w:val="21"/>
          <w:highlight w:val="none"/>
          <w:lang w:val="en-US" w:eastAsia="zh-CN"/>
        </w:rPr>
        <w:t>4、</w:t>
      </w:r>
      <w:r>
        <w:rPr>
          <w:rFonts w:hint="eastAsia" w:ascii="宋体" w:hAnsi="宋体" w:eastAsia="宋体" w:cs="宋体"/>
          <w:b w:val="0"/>
          <w:bCs/>
          <w:color w:val="auto"/>
          <w:spacing w:val="0"/>
          <w:position w:val="0"/>
          <w:szCs w:val="21"/>
          <w:highlight w:val="none"/>
        </w:rPr>
        <w:t>已标价</w:t>
      </w:r>
      <w:r>
        <w:rPr>
          <w:rFonts w:hint="eastAsia" w:ascii="宋体" w:hAnsi="宋体" w:cs="宋体"/>
          <w:b w:val="0"/>
          <w:bCs/>
          <w:color w:val="auto"/>
          <w:spacing w:val="0"/>
          <w:position w:val="0"/>
          <w:szCs w:val="21"/>
          <w:highlight w:val="none"/>
          <w:lang w:eastAsia="zh-CN"/>
        </w:rPr>
        <w:t>工程量清单</w:t>
      </w:r>
      <w:r>
        <w:rPr>
          <w:rFonts w:hint="eastAsia" w:ascii="宋体" w:hAnsi="宋体" w:eastAsia="宋体" w:cs="宋体"/>
          <w:b w:val="0"/>
          <w:bCs/>
          <w:color w:val="auto"/>
          <w:spacing w:val="0"/>
          <w:position w:val="0"/>
          <w:szCs w:val="21"/>
          <w:highlight w:val="none"/>
        </w:rPr>
        <w:t>；</w:t>
      </w:r>
    </w:p>
    <w:p w14:paraId="5AF7F0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val="0"/>
          <w:color w:val="auto"/>
          <w:spacing w:val="0"/>
          <w:position w:val="0"/>
          <w:szCs w:val="21"/>
          <w:highlight w:val="none"/>
        </w:rPr>
      </w:pPr>
      <w:r>
        <w:rPr>
          <w:rFonts w:hint="eastAsia" w:ascii="宋体" w:hAnsi="宋体" w:cs="宋体"/>
          <w:b w:val="0"/>
          <w:bCs/>
          <w:color w:val="auto"/>
          <w:spacing w:val="0"/>
          <w:position w:val="0"/>
          <w:szCs w:val="21"/>
          <w:highlight w:val="none"/>
          <w:lang w:val="en-US" w:eastAsia="zh-CN"/>
        </w:rPr>
        <w:t>5、</w:t>
      </w:r>
      <w:r>
        <w:rPr>
          <w:rFonts w:hint="eastAsia" w:ascii="宋体" w:hAnsi="宋体" w:eastAsia="宋体" w:cs="宋体"/>
          <w:b w:val="0"/>
          <w:bCs/>
          <w:color w:val="auto"/>
          <w:spacing w:val="0"/>
          <w:position w:val="0"/>
          <w:szCs w:val="21"/>
          <w:highlight w:val="none"/>
          <w:lang w:eastAsia="zh-CN"/>
        </w:rPr>
        <w:t>供应商</w:t>
      </w:r>
      <w:r>
        <w:rPr>
          <w:rFonts w:hint="eastAsia" w:ascii="宋体" w:hAnsi="宋体" w:eastAsia="宋体" w:cs="宋体"/>
          <w:b w:val="0"/>
          <w:bCs/>
          <w:color w:val="auto"/>
          <w:spacing w:val="0"/>
          <w:position w:val="0"/>
          <w:szCs w:val="21"/>
          <w:highlight w:val="none"/>
        </w:rPr>
        <w:t>针对报价需要说明的其他文件和说明</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格式自拟</w:t>
      </w:r>
      <w:r>
        <w:rPr>
          <w:rFonts w:hint="eastAsia" w:ascii="宋体" w:hAnsi="宋体" w:eastAsia="宋体" w:cs="宋体"/>
          <w:b w:val="0"/>
          <w:bCs/>
          <w:color w:val="auto"/>
          <w:spacing w:val="0"/>
          <w:position w:val="0"/>
          <w:szCs w:val="21"/>
          <w:highlight w:val="none"/>
          <w:lang w:eastAsia="zh-CN"/>
        </w:rPr>
        <w:t>）。</w:t>
      </w:r>
    </w:p>
    <w:p w14:paraId="2E2884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spacing w:val="0"/>
          <w:position w:val="0"/>
          <w:szCs w:val="21"/>
          <w:highlight w:val="none"/>
        </w:rPr>
      </w:pPr>
      <w:r>
        <w:rPr>
          <w:rFonts w:hint="eastAsia" w:ascii="宋体" w:hAnsi="宋体" w:eastAsia="宋体" w:cs="宋体"/>
          <w:b/>
          <w:bCs w:val="0"/>
          <w:color w:val="auto"/>
          <w:spacing w:val="0"/>
          <w:position w:val="0"/>
          <w:szCs w:val="21"/>
          <w:highlight w:val="none"/>
          <w:lang w:val="en-US" w:eastAsia="zh-CN"/>
        </w:rPr>
        <w:t>3</w:t>
      </w:r>
      <w:r>
        <w:rPr>
          <w:rFonts w:hint="eastAsia" w:ascii="宋体" w:hAnsi="宋体" w:eastAsia="宋体" w:cs="宋体"/>
          <w:b/>
          <w:bCs w:val="0"/>
          <w:color w:val="auto"/>
          <w:spacing w:val="0"/>
          <w:position w:val="0"/>
          <w:szCs w:val="21"/>
          <w:highlight w:val="none"/>
        </w:rPr>
        <w:t>.商务技术文件</w:t>
      </w:r>
    </w:p>
    <w:p w14:paraId="31528B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color w:val="auto"/>
          <w:spacing w:val="0"/>
          <w:position w:val="0"/>
          <w:szCs w:val="21"/>
          <w:highlight w:val="none"/>
        </w:rPr>
        <w:t>▲</w:t>
      </w:r>
      <w:r>
        <w:rPr>
          <w:rFonts w:hint="eastAsia" w:ascii="宋体" w:hAnsi="宋体" w:cs="宋体"/>
          <w:b w:val="0"/>
          <w:bCs/>
          <w:color w:val="auto"/>
          <w:spacing w:val="0"/>
          <w:position w:val="0"/>
          <w:szCs w:val="21"/>
          <w:highlight w:val="none"/>
          <w:lang w:val="en-US" w:eastAsia="zh-CN"/>
        </w:rPr>
        <w:t>1、</w:t>
      </w:r>
      <w:r>
        <w:rPr>
          <w:rFonts w:hint="eastAsia" w:ascii="宋体" w:hAnsi="宋体" w:eastAsia="宋体" w:cs="宋体"/>
          <w:b w:val="0"/>
          <w:bCs/>
          <w:color w:val="auto"/>
          <w:spacing w:val="0"/>
          <w:position w:val="0"/>
          <w:szCs w:val="21"/>
          <w:highlight w:val="none"/>
        </w:rPr>
        <w:t>无串通竞标行为的承诺函（格式后附）；</w:t>
      </w:r>
    </w:p>
    <w:p w14:paraId="30AF06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color w:val="auto"/>
          <w:spacing w:val="0"/>
          <w:position w:val="0"/>
          <w:szCs w:val="21"/>
          <w:highlight w:val="none"/>
        </w:rPr>
        <w:t>▲</w:t>
      </w:r>
      <w:r>
        <w:rPr>
          <w:rFonts w:hint="eastAsia" w:ascii="宋体" w:hAnsi="宋体" w:cs="宋体"/>
          <w:b w:val="0"/>
          <w:bCs/>
          <w:color w:val="auto"/>
          <w:spacing w:val="0"/>
          <w:position w:val="0"/>
          <w:szCs w:val="21"/>
          <w:highlight w:val="none"/>
          <w:lang w:val="en-US" w:eastAsia="zh-CN"/>
        </w:rPr>
        <w:t>2、</w:t>
      </w:r>
      <w:r>
        <w:rPr>
          <w:rFonts w:hint="eastAsia" w:ascii="宋体" w:hAnsi="宋体" w:eastAsia="宋体" w:cs="宋体"/>
          <w:b w:val="0"/>
          <w:bCs/>
          <w:color w:val="auto"/>
          <w:spacing w:val="0"/>
          <w:position w:val="0"/>
          <w:szCs w:val="21"/>
          <w:highlight w:val="none"/>
        </w:rPr>
        <w:t>法定代表人身份证明书及法定代表人有效身份证正反面复印件（格式后附）；</w:t>
      </w:r>
    </w:p>
    <w:p w14:paraId="31B0FB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color w:val="auto"/>
          <w:spacing w:val="0"/>
          <w:position w:val="0"/>
          <w:szCs w:val="21"/>
          <w:highlight w:val="none"/>
        </w:rPr>
        <w:t>▲</w:t>
      </w:r>
      <w:r>
        <w:rPr>
          <w:rFonts w:hint="eastAsia" w:ascii="宋体" w:hAnsi="宋体" w:cs="宋体"/>
          <w:b w:val="0"/>
          <w:bCs/>
          <w:color w:val="auto"/>
          <w:spacing w:val="0"/>
          <w:position w:val="0"/>
          <w:szCs w:val="21"/>
          <w:highlight w:val="none"/>
          <w:lang w:val="en-US" w:eastAsia="zh-CN"/>
        </w:rPr>
        <w:t>3、</w:t>
      </w:r>
      <w:r>
        <w:rPr>
          <w:rFonts w:hint="eastAsia" w:ascii="宋体" w:hAnsi="宋体" w:eastAsia="宋体" w:cs="宋体"/>
          <w:b w:val="0"/>
          <w:bCs/>
          <w:color w:val="auto"/>
          <w:spacing w:val="0"/>
          <w:position w:val="0"/>
          <w:szCs w:val="21"/>
          <w:highlight w:val="none"/>
        </w:rPr>
        <w:t>授权委托书及委托代理人有效身份证正反面复印件（格式后附）；</w:t>
      </w:r>
      <w:r>
        <w:rPr>
          <w:rFonts w:hint="eastAsia" w:ascii="宋体" w:hAnsi="宋体" w:eastAsia="宋体" w:cs="宋体"/>
          <w:b/>
          <w:bCs w:val="0"/>
          <w:color w:val="auto"/>
          <w:spacing w:val="0"/>
          <w:position w:val="0"/>
          <w:szCs w:val="21"/>
          <w:highlight w:val="none"/>
        </w:rPr>
        <w:t>（委托时必须提供）</w:t>
      </w:r>
    </w:p>
    <w:p w14:paraId="7CFBC0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val="0"/>
          <w:color w:val="auto"/>
          <w:spacing w:val="0"/>
          <w:position w:val="0"/>
          <w:szCs w:val="21"/>
          <w:highlight w:val="none"/>
        </w:rPr>
      </w:pPr>
      <w:r>
        <w:rPr>
          <w:rFonts w:hint="eastAsia" w:ascii="宋体" w:hAnsi="宋体" w:eastAsia="宋体" w:cs="宋体"/>
          <w:color w:val="auto"/>
          <w:spacing w:val="0"/>
          <w:position w:val="0"/>
          <w:szCs w:val="21"/>
          <w:highlight w:val="none"/>
        </w:rPr>
        <w:t>▲</w:t>
      </w:r>
      <w:r>
        <w:rPr>
          <w:rFonts w:hint="eastAsia" w:ascii="宋体" w:hAnsi="宋体" w:cs="宋体"/>
          <w:b w:val="0"/>
          <w:bCs/>
          <w:color w:val="auto"/>
          <w:spacing w:val="0"/>
          <w:position w:val="0"/>
          <w:szCs w:val="21"/>
          <w:highlight w:val="none"/>
          <w:lang w:val="en-US" w:eastAsia="zh-CN"/>
        </w:rPr>
        <w:t>4、</w:t>
      </w:r>
      <w:r>
        <w:rPr>
          <w:rFonts w:hint="eastAsia" w:ascii="宋体" w:hAnsi="宋体" w:eastAsia="宋体" w:cs="宋体"/>
          <w:b w:val="0"/>
          <w:bCs/>
          <w:color w:val="auto"/>
          <w:spacing w:val="0"/>
          <w:position w:val="0"/>
          <w:szCs w:val="21"/>
          <w:highlight w:val="none"/>
        </w:rPr>
        <w:t>施工组织设计；</w:t>
      </w:r>
    </w:p>
    <w:p w14:paraId="5F0296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lang w:val="en-US" w:eastAsia="zh-CN"/>
        </w:rPr>
        <w:t>5、</w:t>
      </w:r>
      <w:r>
        <w:rPr>
          <w:rFonts w:hint="eastAsia" w:ascii="宋体" w:hAnsi="宋体" w:eastAsia="宋体" w:cs="宋体"/>
          <w:b w:val="0"/>
          <w:bCs/>
          <w:color w:val="auto"/>
          <w:spacing w:val="0"/>
          <w:position w:val="0"/>
          <w:szCs w:val="21"/>
          <w:highlight w:val="none"/>
        </w:rPr>
        <w:t>项目管理机构配备情况表；</w:t>
      </w:r>
    </w:p>
    <w:p w14:paraId="5235E9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lang w:val="en-US" w:eastAsia="zh-CN"/>
        </w:rPr>
        <w:t>6、</w:t>
      </w:r>
      <w:r>
        <w:rPr>
          <w:rFonts w:hint="eastAsia" w:ascii="宋体" w:hAnsi="宋体" w:eastAsia="宋体" w:cs="宋体"/>
          <w:b w:val="0"/>
          <w:bCs/>
          <w:color w:val="auto"/>
          <w:spacing w:val="0"/>
          <w:position w:val="0"/>
          <w:szCs w:val="21"/>
          <w:highlight w:val="none"/>
          <w:lang w:eastAsia="zh-CN"/>
        </w:rPr>
        <w:t>供应商</w:t>
      </w:r>
      <w:r>
        <w:rPr>
          <w:rFonts w:hint="eastAsia" w:ascii="宋体" w:hAnsi="宋体" w:eastAsia="宋体" w:cs="宋体"/>
          <w:b w:val="0"/>
          <w:bCs/>
          <w:color w:val="auto"/>
          <w:spacing w:val="0"/>
          <w:position w:val="0"/>
          <w:szCs w:val="21"/>
          <w:highlight w:val="none"/>
        </w:rPr>
        <w:t>针对商务技术需要说明的其他文件和说明</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格式自拟</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w:t>
      </w:r>
    </w:p>
    <w:p w14:paraId="0E07F588">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val="0"/>
          <w:color w:val="auto"/>
          <w:spacing w:val="0"/>
          <w:position w:val="0"/>
          <w:szCs w:val="21"/>
          <w:highlight w:val="none"/>
        </w:rPr>
      </w:pPr>
      <w:r>
        <w:rPr>
          <w:rFonts w:hint="eastAsia" w:ascii="宋体" w:hAnsi="宋体" w:eastAsia="宋体" w:cs="宋体"/>
          <w:b/>
          <w:bCs w:val="0"/>
          <w:color w:val="auto"/>
          <w:spacing w:val="0"/>
          <w:position w:val="0"/>
          <w:szCs w:val="21"/>
          <w:highlight w:val="none"/>
        </w:rPr>
        <w:t>特别说明：</w:t>
      </w:r>
      <w:r>
        <w:rPr>
          <w:rFonts w:hint="eastAsia" w:ascii="宋体" w:hAnsi="宋体" w:eastAsia="宋体" w:cs="宋体"/>
          <w:b/>
          <w:bCs w:val="0"/>
          <w:color w:val="auto"/>
          <w:spacing w:val="0"/>
          <w:position w:val="0"/>
          <w:szCs w:val="21"/>
          <w:highlight w:val="none"/>
          <w:lang w:eastAsia="zh-CN"/>
        </w:rPr>
        <w:t>①</w:t>
      </w:r>
      <w:r>
        <w:rPr>
          <w:rFonts w:hint="eastAsia" w:ascii="宋体" w:hAnsi="宋体" w:eastAsia="宋体" w:cs="宋体"/>
          <w:b/>
          <w:bCs w:val="0"/>
          <w:color w:val="auto"/>
          <w:spacing w:val="0"/>
          <w:position w:val="0"/>
          <w:szCs w:val="21"/>
          <w:highlight w:val="none"/>
        </w:rPr>
        <w:t>电子磋商响应文件中所</w:t>
      </w:r>
      <w:r>
        <w:rPr>
          <w:rFonts w:hint="eastAsia" w:ascii="宋体" w:hAnsi="宋体" w:eastAsia="宋体" w:cs="宋体"/>
          <w:b/>
          <w:bCs w:val="0"/>
          <w:i w:val="0"/>
          <w:iCs w:val="0"/>
          <w:color w:val="auto"/>
          <w:spacing w:val="0"/>
          <w:position w:val="0"/>
          <w:szCs w:val="21"/>
          <w:highlight w:val="none"/>
        </w:rPr>
        <w:t>须加盖公章部分均采用CA签章</w:t>
      </w:r>
      <w:r>
        <w:rPr>
          <w:rFonts w:hint="eastAsia" w:ascii="宋体" w:hAnsi="宋体" w:eastAsia="宋体" w:cs="宋体"/>
          <w:b/>
          <w:bCs w:val="0"/>
          <w:color w:val="auto"/>
          <w:spacing w:val="0"/>
          <w:position w:val="0"/>
          <w:szCs w:val="21"/>
          <w:highlight w:val="none"/>
        </w:rPr>
        <w:t>。若竞争性磋商响应文件中有专门标注的某关联点，并要求供应商在电子投标系统中作出磋商响应的，如供应商未对关联点进行响应或者在响应文件其它内容进行描述，造成电子评审不能查询的责任由供应商自行承担。</w:t>
      </w:r>
    </w:p>
    <w:p w14:paraId="39F53B84">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val="0"/>
          <w:color w:val="auto"/>
          <w:spacing w:val="0"/>
          <w:position w:val="0"/>
          <w:szCs w:val="21"/>
          <w:highlight w:val="none"/>
        </w:rPr>
      </w:pPr>
      <w:r>
        <w:rPr>
          <w:rFonts w:hint="eastAsia" w:ascii="宋体" w:hAnsi="宋体" w:eastAsia="宋体" w:cs="宋体"/>
          <w:b/>
          <w:bCs w:val="0"/>
          <w:color w:val="auto"/>
          <w:spacing w:val="0"/>
          <w:position w:val="0"/>
          <w:szCs w:val="21"/>
          <w:highlight w:val="none"/>
          <w:lang w:eastAsia="zh-CN"/>
        </w:rPr>
        <w:t>②采购文件要求法定代表人（负责人）或委托代理人签字的部分必须打印签字后扫描或拍照做成PDF格式上传，如供应商有广西政府采购云平台法定代表人私章CA证书或个人签名CA证书的也可直接使用，否则视为竞标无效</w:t>
      </w:r>
      <w:r>
        <w:rPr>
          <w:rFonts w:hint="eastAsia" w:ascii="宋体" w:hAnsi="宋体" w:eastAsia="宋体" w:cs="宋体"/>
          <w:b/>
          <w:bCs w:val="0"/>
          <w:color w:val="auto"/>
          <w:spacing w:val="0"/>
          <w:position w:val="0"/>
          <w:szCs w:val="21"/>
          <w:highlight w:val="none"/>
        </w:rPr>
        <w:t>。</w:t>
      </w:r>
    </w:p>
    <w:p w14:paraId="52656EC4">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val="0"/>
          <w:color w:val="auto"/>
          <w:spacing w:val="0"/>
          <w:position w:val="0"/>
          <w:szCs w:val="21"/>
          <w:highlight w:val="none"/>
        </w:rPr>
      </w:pPr>
      <w:r>
        <w:rPr>
          <w:rFonts w:hint="eastAsia" w:ascii="宋体" w:hAnsi="宋体" w:eastAsia="宋体" w:cs="宋体"/>
          <w:b/>
          <w:bCs w:val="0"/>
          <w:color w:val="auto"/>
          <w:spacing w:val="0"/>
          <w:position w:val="0"/>
          <w:szCs w:val="21"/>
          <w:highlight w:val="none"/>
          <w:lang w:eastAsia="zh-CN"/>
        </w:rPr>
        <w:t>③</w:t>
      </w:r>
      <w:r>
        <w:rPr>
          <w:rFonts w:hint="eastAsia" w:ascii="宋体" w:hAnsi="宋体" w:eastAsia="宋体" w:cs="宋体"/>
          <w:b/>
          <w:bCs w:val="0"/>
          <w:color w:val="auto"/>
          <w:spacing w:val="0"/>
          <w:position w:val="0"/>
          <w:szCs w:val="21"/>
          <w:highlight w:val="none"/>
        </w:rPr>
        <w:t>竞争性磋商采购文件要求提供的各种复印件，须加盖供应商CA签章，否则其磋商无效。</w:t>
      </w:r>
    </w:p>
    <w:p w14:paraId="56B12D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9.7响应文件有效期：见</w:t>
      </w:r>
      <w:r>
        <w:rPr>
          <w:rFonts w:hint="eastAsia" w:ascii="宋体" w:hAnsi="宋体" w:eastAsia="宋体" w:cs="宋体"/>
          <w:b w:val="0"/>
          <w:bCs/>
          <w:color w:val="auto"/>
          <w:spacing w:val="0"/>
          <w:position w:val="0"/>
          <w:szCs w:val="21"/>
          <w:highlight w:val="none"/>
          <w:lang w:eastAsia="zh-CN"/>
        </w:rPr>
        <w:t>供应商</w:t>
      </w:r>
      <w:r>
        <w:rPr>
          <w:rFonts w:hint="eastAsia" w:ascii="宋体" w:hAnsi="宋体" w:eastAsia="宋体" w:cs="宋体"/>
          <w:b w:val="0"/>
          <w:bCs/>
          <w:color w:val="auto"/>
          <w:spacing w:val="0"/>
          <w:position w:val="0"/>
          <w:szCs w:val="21"/>
          <w:highlight w:val="none"/>
        </w:rPr>
        <w:t>须知前附表。</w:t>
      </w:r>
    </w:p>
    <w:p w14:paraId="592BEC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9.8磋商保证金：见</w:t>
      </w:r>
      <w:r>
        <w:rPr>
          <w:rFonts w:hint="eastAsia" w:ascii="宋体" w:hAnsi="宋体" w:eastAsia="宋体" w:cs="宋体"/>
          <w:b w:val="0"/>
          <w:bCs/>
          <w:color w:val="auto"/>
          <w:spacing w:val="0"/>
          <w:position w:val="0"/>
          <w:szCs w:val="21"/>
          <w:highlight w:val="none"/>
          <w:lang w:eastAsia="zh-CN"/>
        </w:rPr>
        <w:t>供应商</w:t>
      </w:r>
      <w:r>
        <w:rPr>
          <w:rFonts w:hint="eastAsia" w:ascii="宋体" w:hAnsi="宋体" w:eastAsia="宋体" w:cs="宋体"/>
          <w:b w:val="0"/>
          <w:bCs/>
          <w:color w:val="auto"/>
          <w:spacing w:val="0"/>
          <w:position w:val="0"/>
          <w:szCs w:val="21"/>
          <w:highlight w:val="none"/>
        </w:rPr>
        <w:t>须知前附表。</w:t>
      </w:r>
    </w:p>
    <w:p w14:paraId="352532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10.计量单位</w:t>
      </w:r>
    </w:p>
    <w:p w14:paraId="5053F5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10.1磋商文件已有明确规定的，使用磋商文件规定的计量单位；磋商文件没有规定的，应采用</w:t>
      </w:r>
      <w:r>
        <w:rPr>
          <w:rFonts w:hint="eastAsia" w:ascii="宋体" w:hAnsi="宋体" w:eastAsia="宋体" w:cs="宋体"/>
          <w:b w:val="0"/>
          <w:bCs/>
          <w:color w:val="auto"/>
          <w:spacing w:val="0"/>
          <w:position w:val="0"/>
          <w:szCs w:val="21"/>
          <w:highlight w:val="none"/>
          <w:lang w:eastAsia="zh-CN"/>
        </w:rPr>
        <w:t>国家</w:t>
      </w:r>
      <w:r>
        <w:rPr>
          <w:rFonts w:hint="eastAsia" w:ascii="宋体" w:hAnsi="宋体" w:eastAsia="宋体" w:cs="宋体"/>
          <w:b w:val="0"/>
          <w:bCs/>
          <w:color w:val="auto"/>
          <w:spacing w:val="0"/>
          <w:position w:val="0"/>
          <w:szCs w:val="21"/>
          <w:highlight w:val="none"/>
        </w:rPr>
        <w:t>法定计量单位，货币种类为人民币，否则视同未响应。</w:t>
      </w:r>
    </w:p>
    <w:p w14:paraId="39DF9A2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spacing w:val="0"/>
          <w:position w:val="0"/>
          <w:szCs w:val="21"/>
          <w:highlight w:val="none"/>
        </w:rPr>
      </w:pPr>
      <w:r>
        <w:rPr>
          <w:rFonts w:hint="eastAsia" w:ascii="宋体" w:hAnsi="宋体" w:eastAsia="宋体" w:cs="宋体"/>
          <w:b/>
          <w:bCs w:val="0"/>
          <w:color w:val="auto"/>
          <w:spacing w:val="0"/>
          <w:position w:val="0"/>
          <w:szCs w:val="21"/>
          <w:highlight w:val="none"/>
        </w:rPr>
        <w:t>三、磋商报价及采购预算</w:t>
      </w:r>
    </w:p>
    <w:p w14:paraId="2E6351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11.1对于本文件中未列明，而供应商认为必需的费用也需列入总报价。在合同实施时，采购人将不予支付成交供应商没有列入的项目费用，并认为此项目的费用已包括在总报价中。</w:t>
      </w:r>
    </w:p>
    <w:p w14:paraId="3771B3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11.2供应商必须就所磋商的采购项目的全部内容作完整唯一报价，漏项报价的或有选择的或有条件的报价，其竞标将视为无效。</w:t>
      </w:r>
    </w:p>
    <w:p w14:paraId="65D944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11.3本项目磋商报价费用指按照采购需求完成该项目的所有服务工作的费用总和。</w:t>
      </w:r>
    </w:p>
    <w:p w14:paraId="1DF516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11.4供应商应在磋商报价表上标明单价和总价。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除上述原因以外，如果因供应商原因引起的报价失误，并在磋商时被接受，其后果由供应商自负。</w:t>
      </w:r>
    </w:p>
    <w:p w14:paraId="3A1B455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spacing w:val="0"/>
          <w:position w:val="0"/>
          <w:szCs w:val="21"/>
          <w:highlight w:val="none"/>
        </w:rPr>
      </w:pPr>
      <w:r>
        <w:rPr>
          <w:rFonts w:hint="eastAsia" w:ascii="宋体" w:hAnsi="宋体" w:eastAsia="宋体" w:cs="宋体"/>
          <w:b/>
          <w:bCs w:val="0"/>
          <w:color w:val="auto"/>
          <w:spacing w:val="0"/>
          <w:position w:val="0"/>
          <w:szCs w:val="21"/>
          <w:highlight w:val="none"/>
        </w:rPr>
        <w:t>四、响应文件的份数、封装和递交</w:t>
      </w:r>
    </w:p>
    <w:p w14:paraId="191E09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12.竞争性磋商响应文件的份数：电子</w:t>
      </w:r>
      <w:r>
        <w:rPr>
          <w:rFonts w:hint="eastAsia" w:ascii="宋体" w:hAnsi="宋体" w:eastAsia="宋体" w:cs="宋体"/>
          <w:b w:val="0"/>
          <w:bCs/>
          <w:color w:val="auto"/>
          <w:spacing w:val="0"/>
          <w:position w:val="0"/>
          <w:szCs w:val="21"/>
          <w:highlight w:val="none"/>
          <w:lang w:eastAsia="zh-CN"/>
        </w:rPr>
        <w:t>加密</w:t>
      </w:r>
      <w:r>
        <w:rPr>
          <w:rFonts w:hint="eastAsia" w:ascii="宋体" w:hAnsi="宋体" w:eastAsia="宋体" w:cs="宋体"/>
          <w:b w:val="0"/>
          <w:bCs/>
          <w:color w:val="auto"/>
          <w:spacing w:val="0"/>
          <w:position w:val="0"/>
          <w:szCs w:val="21"/>
          <w:highlight w:val="none"/>
        </w:rPr>
        <w:t>响应文件一份。</w:t>
      </w:r>
    </w:p>
    <w:p w14:paraId="6E1FCD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12.1电子磋商响应文件中须加盖供应商公章位置均采用CA签章，并根据“政府采购项目电子交易管理操作指南-供应商”及本竞争性磋商采购文件规定的格式和顺序编制电子磋商</w:t>
      </w:r>
      <w:r>
        <w:rPr>
          <w:rFonts w:hint="eastAsia" w:ascii="宋体" w:hAnsi="宋体" w:eastAsia="宋体" w:cs="宋体"/>
          <w:b w:val="0"/>
          <w:bCs/>
          <w:color w:val="auto"/>
          <w:spacing w:val="0"/>
          <w:position w:val="0"/>
          <w:szCs w:val="21"/>
          <w:highlight w:val="none"/>
          <w:lang w:eastAsia="zh-CN"/>
        </w:rPr>
        <w:t>响应</w:t>
      </w:r>
      <w:r>
        <w:rPr>
          <w:rFonts w:hint="eastAsia" w:ascii="宋体" w:hAnsi="宋体" w:eastAsia="宋体" w:cs="宋体"/>
          <w:b w:val="0"/>
          <w:bCs/>
          <w:color w:val="auto"/>
          <w:spacing w:val="0"/>
          <w:position w:val="0"/>
          <w:szCs w:val="21"/>
          <w:highlight w:val="none"/>
        </w:rPr>
        <w:t>文件并进行关联定位，以便磋商小组在评审时，点击评分项可直接定位到该评分项内容。如对竞争性磋商采购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漏读，或者在按采购文件规定的部位查找不到相关内容的，由供应商自行承担。</w:t>
      </w:r>
    </w:p>
    <w:p w14:paraId="3128F2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13.响应文件的递交</w:t>
      </w:r>
    </w:p>
    <w:p w14:paraId="2DF720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13.1所有竞争性响应文件应于“第二章磋商须知及前附表”中规定的截止时间前递交到规定地点。</w:t>
      </w:r>
    </w:p>
    <w:p w14:paraId="3D8801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供应商进行电子投标应安装客户端软件，并按照采购文件和电子交易平台的要求编制并加密响应文件。供应商未按规定加密的磋商响应文件，电子交易平台将拒收。供应商应当在递交截止时间前完成磋商响应文件的传输递交，并可以补充、修改或者撤回磋商响应文件。补充或者修改磋商响应文件的，应当先行撤回原文件，补充、修改后重新传输递交。递交截止时间前未完成传输的，视为撤回磋商响应文件。递交截止时间后递交的磋商响应文件，电子交易平台将拒收。</w:t>
      </w:r>
    </w:p>
    <w:p w14:paraId="31C334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13.2迟交的响应文件</w:t>
      </w:r>
    </w:p>
    <w:p w14:paraId="396956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采购人或采购代理人按照规定有权拒绝或原封退回在其规定的递交响应文件截止时间之后收到的任何响应文件。</w:t>
      </w:r>
    </w:p>
    <w:p w14:paraId="75582F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spacing w:val="0"/>
          <w:position w:val="0"/>
          <w:szCs w:val="21"/>
          <w:highlight w:val="none"/>
        </w:rPr>
      </w:pPr>
      <w:r>
        <w:rPr>
          <w:rFonts w:hint="eastAsia" w:ascii="宋体" w:hAnsi="宋体" w:eastAsia="宋体" w:cs="宋体"/>
          <w:b/>
          <w:bCs w:val="0"/>
          <w:color w:val="auto"/>
          <w:spacing w:val="0"/>
          <w:position w:val="0"/>
          <w:szCs w:val="21"/>
          <w:highlight w:val="none"/>
        </w:rPr>
        <w:t>五、竞争性磋商</w:t>
      </w:r>
      <w:r>
        <w:rPr>
          <w:rFonts w:hint="eastAsia" w:ascii="宋体" w:hAnsi="宋体" w:eastAsia="宋体" w:cs="宋体"/>
          <w:b/>
          <w:bCs w:val="0"/>
          <w:color w:val="auto"/>
          <w:spacing w:val="0"/>
          <w:position w:val="0"/>
          <w:szCs w:val="21"/>
          <w:highlight w:val="none"/>
          <w:lang w:eastAsia="zh-CN"/>
        </w:rPr>
        <w:t>（</w:t>
      </w:r>
      <w:r>
        <w:rPr>
          <w:rFonts w:hint="eastAsia" w:ascii="宋体" w:hAnsi="宋体" w:eastAsia="宋体" w:cs="宋体"/>
          <w:b/>
          <w:bCs w:val="0"/>
          <w:color w:val="auto"/>
          <w:spacing w:val="0"/>
          <w:position w:val="0"/>
          <w:szCs w:val="21"/>
          <w:highlight w:val="none"/>
        </w:rPr>
        <w:t>简称磋商</w:t>
      </w:r>
      <w:r>
        <w:rPr>
          <w:rFonts w:hint="eastAsia" w:ascii="宋体" w:hAnsi="宋体" w:eastAsia="宋体" w:cs="宋体"/>
          <w:b/>
          <w:bCs w:val="0"/>
          <w:color w:val="auto"/>
          <w:spacing w:val="0"/>
          <w:position w:val="0"/>
          <w:szCs w:val="21"/>
          <w:highlight w:val="none"/>
          <w:lang w:eastAsia="zh-CN"/>
        </w:rPr>
        <w:t>）</w:t>
      </w:r>
      <w:r>
        <w:rPr>
          <w:rFonts w:hint="eastAsia" w:ascii="宋体" w:hAnsi="宋体" w:eastAsia="宋体" w:cs="宋体"/>
          <w:b/>
          <w:bCs w:val="0"/>
          <w:color w:val="auto"/>
          <w:spacing w:val="0"/>
          <w:position w:val="0"/>
          <w:szCs w:val="21"/>
          <w:highlight w:val="none"/>
        </w:rPr>
        <w:t>与评审</w:t>
      </w:r>
    </w:p>
    <w:p w14:paraId="77AA2A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14.磋商小组成立及响应文件的开启</w:t>
      </w:r>
    </w:p>
    <w:p w14:paraId="3EED91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14.1磋商小组由采购人代表和评审专家共3人以上单数组成，具体人数见“供应商须知前附表”，其中评审专家人数不得少于磋商小组成员总数的2/3。采购人代表不得以评审专家身份参加本部门或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32CDDB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44DA1E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14.3响应文件的开启：具体详见“供应商须知前附表”。</w:t>
      </w:r>
    </w:p>
    <w:p w14:paraId="1929E5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15.响应文件评审程序</w:t>
      </w:r>
    </w:p>
    <w:p w14:paraId="2F652A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15.1资格审查</w:t>
      </w:r>
    </w:p>
    <w:p w14:paraId="0EDA10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15.1.1响应文件开启后，由磋商小组依法对供应商的资格证明文件进行审查。</w:t>
      </w:r>
    </w:p>
    <w:p w14:paraId="56794A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15.1.2通过资格审查的合格供应商不足3家的，不得进入符合性审查环节，采购人或采购代理机构应当重新开展采购活动。</w:t>
      </w:r>
    </w:p>
    <w:p w14:paraId="69B02A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15.2符合性审查</w:t>
      </w:r>
    </w:p>
    <w:p w14:paraId="62BADD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15.2.1由磋商小组通过资格审查的合格供应商的响应文件的竞标报价、商务、技术等实质性要求进行符合性审查，以确定其是否满足竞争性磋商文件的实质性要求。</w:t>
      </w:r>
    </w:p>
    <w:p w14:paraId="083B49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15.2.2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0E209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15.2.3磋商小组要求供应商澄清、说明或者更正响应文件应当要求供应商在合理时间</w:t>
      </w:r>
      <w:r>
        <w:rPr>
          <w:rFonts w:hint="eastAsia" w:ascii="宋体" w:hAnsi="宋体" w:eastAsia="宋体" w:cs="宋体"/>
          <w:b w:val="0"/>
          <w:bCs/>
          <w:color w:val="auto"/>
          <w:spacing w:val="0"/>
          <w:position w:val="0"/>
          <w:szCs w:val="21"/>
          <w:highlight w:val="none"/>
          <w:lang w:eastAsia="zh-CN"/>
        </w:rPr>
        <w:t>内通</w:t>
      </w:r>
      <w:r>
        <w:rPr>
          <w:rFonts w:hint="eastAsia" w:ascii="宋体" w:hAnsi="宋体" w:eastAsia="宋体" w:cs="宋体"/>
          <w:b w:val="0"/>
          <w:bCs/>
          <w:color w:val="auto"/>
          <w:spacing w:val="0"/>
          <w:position w:val="0"/>
          <w:szCs w:val="21"/>
          <w:highlight w:val="none"/>
        </w:rPr>
        <w:t>过</w:t>
      </w:r>
      <w:r>
        <w:rPr>
          <w:rFonts w:hint="eastAsia" w:ascii="宋体" w:hAnsi="宋体" w:eastAsia="宋体" w:cs="宋体"/>
          <w:b w:val="0"/>
          <w:bCs/>
          <w:color w:val="auto"/>
          <w:spacing w:val="0"/>
          <w:position w:val="0"/>
          <w:szCs w:val="21"/>
          <w:highlight w:val="none"/>
          <w:lang w:eastAsia="zh-CN"/>
        </w:rPr>
        <w:t>广西政府采购云平台（</w:t>
      </w:r>
      <w:r>
        <w:rPr>
          <w:rFonts w:hint="eastAsia" w:ascii="宋体" w:hAnsi="宋体" w:cs="宋体"/>
          <w:b w:val="0"/>
          <w:bCs/>
          <w:color w:val="auto"/>
          <w:spacing w:val="0"/>
          <w:position w:val="0"/>
          <w:szCs w:val="21"/>
          <w:highlight w:val="none"/>
          <w:lang w:eastAsia="zh-CN"/>
        </w:rPr>
        <w:t>https://www.gcy.zfcg.gxzf.gov.cn/</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的方式形式作出。供应商的澄清、说明或者更正必须通过</w:t>
      </w:r>
      <w:r>
        <w:rPr>
          <w:rFonts w:hint="eastAsia" w:ascii="宋体" w:hAnsi="宋体" w:eastAsia="宋体" w:cs="宋体"/>
          <w:b w:val="0"/>
          <w:bCs/>
          <w:color w:val="auto"/>
          <w:spacing w:val="0"/>
          <w:position w:val="0"/>
          <w:szCs w:val="21"/>
          <w:highlight w:val="none"/>
          <w:lang w:eastAsia="zh-CN"/>
        </w:rPr>
        <w:t>广西政府采购云平台</w:t>
      </w:r>
      <w:r>
        <w:rPr>
          <w:rFonts w:hint="eastAsia" w:ascii="宋体" w:hAnsi="宋体" w:eastAsia="宋体" w:cs="宋体"/>
          <w:b w:val="0"/>
          <w:bCs/>
          <w:color w:val="auto"/>
          <w:spacing w:val="0"/>
          <w:position w:val="0"/>
          <w:szCs w:val="21"/>
          <w:highlight w:val="none"/>
        </w:rPr>
        <w:t>以书面形式按照磋商小组的要求作出明确的澄清、说明或者更正，未按磋商小组的要求作出明确澄清、说明或者更正的供应商的响应文件将按照有利于采购人的原则由磋商小组进行判定。供应商的澄清、说明或者更正必须由法定代表人或者其委托代理人签字或者加盖CA签章。由委托代理人签字的，若委托代理人不是响应文件中授权的委托代理人时，必须同时出示有效的法定代表人授权委托书原件。供应商为自然人的，必须由本人签字并附身份证明。</w:t>
      </w:r>
    </w:p>
    <w:p w14:paraId="30E871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15.2.4首次响应文件中报价出现前后不一致的，按照下列规定修正：</w:t>
      </w:r>
    </w:p>
    <w:p w14:paraId="35CE25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1</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响应文件中报价表内容与响应文件中相应内容不一致的，以报价表为准；</w:t>
      </w:r>
    </w:p>
    <w:p w14:paraId="3B8844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2</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大写金额和小写金额不一致的，以大写金额为准；</w:t>
      </w:r>
    </w:p>
    <w:p w14:paraId="1CA9D7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3</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单价金额小数点或者百分比有明显错位的，以报价表的总价为准，并修改单价；</w:t>
      </w:r>
    </w:p>
    <w:p w14:paraId="1BE2E9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4</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总价金额与按单价汇总金额不一致的，以单价金额计算结果为准。</w:t>
      </w:r>
    </w:p>
    <w:p w14:paraId="3855F4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同时出现两种以上不一致的，按照以上</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1</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4</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规定的顺序逐条进行修正。修正后的报价经供应商确认后产生约束力，供应商不确认的，其响应文件按无效响应处理。</w:t>
      </w:r>
    </w:p>
    <w:p w14:paraId="3CB724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15.2.5磋商小组成员应当按照客观、公正、审慎的原则，根据第四章“评审程序、评审方法和评审标准”进行独立评审。磋商小组对响应文件进行评审，未实质性响应竞争性磋商文件的响应文件按无效响应处理，由磋商小组告知提交响应文件的供应商。</w:t>
      </w:r>
    </w:p>
    <w:p w14:paraId="4C0F67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15.2.6通过符合性审查的合格供应商不足3家的，不得进入磋商环节，采购人或采购代理机构应当重新开展采购活动。</w:t>
      </w:r>
    </w:p>
    <w:p w14:paraId="1DF0D4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16.磋商</w:t>
      </w:r>
    </w:p>
    <w:p w14:paraId="67E146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16.1磋商小组按照“供应商须知前附表”确定的顺序，集中与单一供应商分别进行磋商，并予所有参加磋商的供应商平等的磋商机会。符合磋商资格的供应商必须实时关注</w:t>
      </w:r>
      <w:r>
        <w:rPr>
          <w:rFonts w:hint="eastAsia" w:ascii="宋体" w:hAnsi="宋体" w:eastAsia="宋体" w:cs="宋体"/>
          <w:b w:val="0"/>
          <w:bCs/>
          <w:color w:val="auto"/>
          <w:spacing w:val="0"/>
          <w:position w:val="0"/>
          <w:szCs w:val="21"/>
          <w:highlight w:val="none"/>
          <w:lang w:eastAsia="zh-CN"/>
        </w:rPr>
        <w:t>广西政府采购云平台</w:t>
      </w:r>
      <w:r>
        <w:rPr>
          <w:rFonts w:hint="eastAsia" w:ascii="宋体" w:hAnsi="宋体" w:eastAsia="宋体" w:cs="宋体"/>
          <w:b w:val="0"/>
          <w:bCs/>
          <w:color w:val="auto"/>
          <w:spacing w:val="0"/>
          <w:position w:val="0"/>
          <w:szCs w:val="21"/>
          <w:highlight w:val="none"/>
        </w:rPr>
        <w:tab/>
      </w:r>
      <w:r>
        <w:rPr>
          <w:rFonts w:hint="eastAsia" w:ascii="宋体" w:hAnsi="宋体" w:eastAsia="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lang w:eastAsia="zh-CN"/>
        </w:rPr>
        <w:t>https://www.gcy.zfcg.gxzf.gov.cn/</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开标信息，在接到磋商通知后规定时间内参加磋商，未在规定时间内参加磋商的视同放弃参加磋商权利，其响应文件按无效响应处理。</w:t>
      </w:r>
    </w:p>
    <w:p w14:paraId="6561DC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16.2在磋商过程中，磋商小组可以根据磋商文件和磋商情况实质性变动采购需求中的技术、服务要求以及合同草案条款，但不得变动磋商文件中的其他内容。实质性变动的内容，须经采购人代表确认。可能实质性变动的内容详见“供应商须知前附表”。</w:t>
      </w:r>
    </w:p>
    <w:p w14:paraId="6573F5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16.3对竞争性磋商文件作出的实质性变动是竞争性磋商文件的有效组成部分，由磋商小组及时以书面形式同时通知所有参加磋商的供应商。</w:t>
      </w:r>
    </w:p>
    <w:p w14:paraId="688ACD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16.4供应商必须按照磋商文件的变动情况和磋商小组的要求重新提交响应文件，并由其法定代表人或者授权代表签字或者加盖CA签章在</w:t>
      </w:r>
      <w:r>
        <w:rPr>
          <w:rFonts w:hint="eastAsia" w:ascii="宋体" w:hAnsi="宋体" w:eastAsia="宋体" w:cs="宋体"/>
          <w:b w:val="0"/>
          <w:bCs/>
          <w:color w:val="auto"/>
          <w:spacing w:val="0"/>
          <w:position w:val="0"/>
          <w:szCs w:val="21"/>
          <w:highlight w:val="none"/>
          <w:lang w:eastAsia="zh-CN"/>
        </w:rPr>
        <w:t>广西政府采购云平台（</w:t>
      </w:r>
      <w:r>
        <w:rPr>
          <w:rFonts w:hint="eastAsia" w:ascii="宋体" w:hAnsi="宋体" w:cs="宋体"/>
          <w:b w:val="0"/>
          <w:bCs/>
          <w:color w:val="auto"/>
          <w:spacing w:val="0"/>
          <w:position w:val="0"/>
          <w:szCs w:val="21"/>
          <w:highlight w:val="none"/>
          <w:lang w:eastAsia="zh-CN"/>
        </w:rPr>
        <w:t>https://www.gcy.zfcg.gxzf.gov.cn/</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提交。由委托代理人签字的，若委托代理人不是响应文件中授权的委托代理人时，必须同时出示有效的法定代表人授权委托书原件。供应商为自然人的，必须由本人签字并附身份证明。参加磋商的供应商未在规定时间内重新提交响应文件的，视同退出磋商。</w:t>
      </w:r>
    </w:p>
    <w:p w14:paraId="35A827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16.5磋商中，磋商的任何一方不得透露与磋商有关的其他供应商的技术资料、价格和其他信息。</w:t>
      </w:r>
    </w:p>
    <w:p w14:paraId="222416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16.6采购代理机构对磋商过程和重要磋商内容进行记录，磋商双方应在记录上签字确认。</w:t>
      </w:r>
    </w:p>
    <w:p w14:paraId="79939A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16.7磋商过程中重新提交的响应文件，供应商可以在开启前补充、修改。</w:t>
      </w:r>
    </w:p>
    <w:p w14:paraId="3A20B4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16.8根据《财政部关于政府采购竞争性磋商采购方式管理暂行办法有关问题的补充通知》</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财库〔2015〕124号</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的规定，采用竞争性磋商采购方式采购的政府购买服务项目</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含政府和社会资本合作项目</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，在采购过程中符合要求的供应商</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社会资本</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只有2家的，竞争性磋商采购活动可以继续进行。采购过程中符合要求的供应商</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社会资本</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只有1家的，采购人</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项目实施机构</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或者采购代理机构应当终止竞争性磋商采购活动，发布项目终止公告并说明原因，重新开展采购活动。</w:t>
      </w:r>
    </w:p>
    <w:p w14:paraId="048462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16.9对磋商过程提交的响应文件进行有效性、完整性和响应程度审查，通过审查的合格供应商不足3家的，除本须知正文第16.8条的情形外，采购人或采购代理机构应当重新开展采购活动。</w:t>
      </w:r>
    </w:p>
    <w:p w14:paraId="75C9F4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16.10本项目所有响应文件的首次报价及所有磋商报价均不公布。最后磋商结束后，磋商小组不得再与供应商进行任何形式的商谈。</w:t>
      </w:r>
    </w:p>
    <w:p w14:paraId="570A7B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17.最后报价</w:t>
      </w:r>
    </w:p>
    <w:p w14:paraId="4B155F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17.1磋商文件能够详细列明采购标的的技术、服务要求的，磋商结束后，由磋商小组要求所有继续参加磋商的供应商在规定时间内在</w:t>
      </w:r>
      <w:r>
        <w:rPr>
          <w:rFonts w:hint="eastAsia" w:ascii="宋体" w:hAnsi="宋体" w:eastAsia="宋体" w:cs="宋体"/>
          <w:b w:val="0"/>
          <w:bCs/>
          <w:color w:val="auto"/>
          <w:spacing w:val="0"/>
          <w:position w:val="0"/>
          <w:szCs w:val="21"/>
          <w:highlight w:val="none"/>
          <w:lang w:eastAsia="zh-CN"/>
        </w:rPr>
        <w:t>广西政府采购云平台（</w:t>
      </w:r>
      <w:r>
        <w:rPr>
          <w:rFonts w:hint="eastAsia" w:ascii="宋体" w:hAnsi="宋体" w:cs="宋体"/>
          <w:b w:val="0"/>
          <w:bCs/>
          <w:color w:val="auto"/>
          <w:spacing w:val="0"/>
          <w:position w:val="0"/>
          <w:szCs w:val="21"/>
          <w:highlight w:val="none"/>
          <w:lang w:eastAsia="zh-CN"/>
        </w:rPr>
        <w:t>https://www.gcy.zfcg.gxzf.gov.cn/</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提交最后报价，提交最后报价的供应商不得少于3家，除本章第4.3条外，否则必须重新采购。</w:t>
      </w:r>
    </w:p>
    <w:p w14:paraId="772066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17.2磋商文件不能详细列明采购标的的技术、服务要求，需经磋商由供应商提供最后设计方案或者解决方案的，磋商结束后，由磋商小组按照少数服从多数的原则投票推荐3家以上供应商的设计方案或者解决方案</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并要求其在规定时间内在</w:t>
      </w:r>
      <w:r>
        <w:rPr>
          <w:rFonts w:hint="eastAsia" w:ascii="宋体" w:hAnsi="宋体" w:eastAsia="宋体" w:cs="宋体"/>
          <w:b w:val="0"/>
          <w:bCs/>
          <w:color w:val="auto"/>
          <w:spacing w:val="0"/>
          <w:position w:val="0"/>
          <w:szCs w:val="21"/>
          <w:highlight w:val="none"/>
          <w:lang w:eastAsia="zh-CN"/>
        </w:rPr>
        <w:t>广西政府采购云平台（</w:t>
      </w:r>
      <w:r>
        <w:rPr>
          <w:rFonts w:hint="eastAsia" w:ascii="宋体" w:hAnsi="宋体" w:cs="宋体"/>
          <w:b w:val="0"/>
          <w:bCs/>
          <w:color w:val="auto"/>
          <w:spacing w:val="0"/>
          <w:position w:val="0"/>
          <w:szCs w:val="21"/>
          <w:highlight w:val="none"/>
          <w:lang w:eastAsia="zh-CN"/>
        </w:rPr>
        <w:t>https://www.gcy.zfcg.gxzf.gov.cn/</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提交最后报价。</w:t>
      </w:r>
    </w:p>
    <w:p w14:paraId="311068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①最后报价与首次报价相比无调整的：供应商提交的最后报价只须注明与首次报价相同。</w:t>
      </w:r>
    </w:p>
    <w:p w14:paraId="385162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②最后报价与首次报价相比有调整的：供应商提交的最后报价必须包含已标价的工程量清单，即最后报价是工程量清单全部工作内容的价格体现，具体包括供应商部分</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分部分项工程量清单费用、措施项目清单费用、规费、税金、其它项目</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和采购人部分</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暂列金、材料购置费</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如有</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等完成本工程并经验收合格至达到质量保修期限所需的费用、合理利润及风险。如磋商文件或磋商程中明确供应商应提供技术服务及其它服务的</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如检测费、验收发生的费用</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，相应费用也应包括在最后报价中。最后报价不允许采用汇总后优惠、打折的形式，否则其报价无效并作无效响应处理。供应商在报价时可只报总价，但必须将包含已标价工程量清单的最后报价在规定时间内在</w:t>
      </w:r>
      <w:r>
        <w:rPr>
          <w:rFonts w:hint="eastAsia" w:ascii="宋体" w:hAnsi="宋体" w:eastAsia="宋体" w:cs="宋体"/>
          <w:b w:val="0"/>
          <w:bCs/>
          <w:color w:val="auto"/>
          <w:spacing w:val="0"/>
          <w:position w:val="0"/>
          <w:szCs w:val="21"/>
          <w:highlight w:val="none"/>
          <w:lang w:eastAsia="zh-CN"/>
        </w:rPr>
        <w:t>广西政府采购云平台（</w:t>
      </w:r>
      <w:r>
        <w:rPr>
          <w:rFonts w:hint="eastAsia" w:ascii="宋体" w:hAnsi="宋体" w:cs="宋体"/>
          <w:b w:val="0"/>
          <w:bCs/>
          <w:color w:val="auto"/>
          <w:spacing w:val="0"/>
          <w:position w:val="0"/>
          <w:szCs w:val="21"/>
          <w:highlight w:val="none"/>
          <w:lang w:eastAsia="zh-CN"/>
        </w:rPr>
        <w:t>https://www.gcy.zfcg.gxzf.gov.cn/</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提交，</w:t>
      </w:r>
      <w:r>
        <w:rPr>
          <w:rFonts w:hint="eastAsia" w:ascii="宋体" w:hAnsi="宋体" w:cs="宋体"/>
          <w:b w:val="0"/>
          <w:bCs/>
          <w:color w:val="auto"/>
          <w:spacing w:val="0"/>
          <w:position w:val="0"/>
          <w:szCs w:val="21"/>
          <w:highlight w:val="none"/>
          <w:lang w:eastAsia="zh-CN"/>
        </w:rPr>
        <w:t>逾期视为放弃磋商资格、退出磋商</w:t>
      </w:r>
      <w:r>
        <w:rPr>
          <w:rFonts w:hint="eastAsia" w:ascii="宋体" w:hAnsi="宋体" w:eastAsia="宋体" w:cs="宋体"/>
          <w:b w:val="0"/>
          <w:bCs/>
          <w:color w:val="auto"/>
          <w:spacing w:val="0"/>
          <w:position w:val="0"/>
          <w:szCs w:val="21"/>
          <w:highlight w:val="none"/>
        </w:rPr>
        <w:t>。</w:t>
      </w:r>
    </w:p>
    <w:p w14:paraId="5717D2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17.3最后报价是供应商响应文件的有效组成部分。符合《政府采购竞争性磋商采购方式管理暂行办法》</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财库〔2014〕214号</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第三条第四项“市场竞争不充分的科研项目，以及需要扶持的科技成果转化项目”的，提交最后报价的供应商可以为2家。</w:t>
      </w:r>
    </w:p>
    <w:p w14:paraId="50B3E1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17.4已经提交响应文件的供应商，在提交最后报价之前，可以根据磋商情况退出磋商，退出磋商的供应商的响应文件按无效响应处理。采购人、采购代理机构将退还退出磋商的供应商的保证金。</w:t>
      </w:r>
    </w:p>
    <w:p w14:paraId="16EE49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17.5供应商未在规定时间内提交最后报价的，视同退出磋商。</w:t>
      </w:r>
    </w:p>
    <w:p w14:paraId="51C699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17.6磋商小组收齐某一分标最后报价后统一开启，磋商小组对最后报价进行有效性、完整性和响应程度的审查。</w:t>
      </w:r>
    </w:p>
    <w:p w14:paraId="739A79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17.7响应文件最后报价出现前后不一致的，按照本正文第25.2.4条的规定修正。</w:t>
      </w:r>
    </w:p>
    <w:p w14:paraId="0B6B69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17.8修正后的报价出现下列情形的，按无效响应处理：</w:t>
      </w:r>
    </w:p>
    <w:p w14:paraId="5387F0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1</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供应商不确认的；</w:t>
      </w:r>
    </w:p>
    <w:p w14:paraId="1A37F1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2</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经供应商确认修正后的竞标报价</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包含首次报价、最后报价</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超过所竞标规定的采购预算金额或者最高限价的</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如本项目公布了最高限价</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w:t>
      </w:r>
    </w:p>
    <w:p w14:paraId="48CD44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3</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经供应商确认修正后的竞标报价</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包含首次报价、最后报价</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超过分项采购预算金额或者最高限价的</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如本项目公布了最高限价</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w:t>
      </w:r>
    </w:p>
    <w:p w14:paraId="71D741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17.9经供应商确认修正后的最后报价作为评审及签订合同的依据。</w:t>
      </w:r>
    </w:p>
    <w:p w14:paraId="27ECA3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lang w:eastAsia="zh-CN"/>
        </w:rPr>
      </w:pPr>
      <w:r>
        <w:rPr>
          <w:rFonts w:hint="eastAsia" w:ascii="宋体" w:hAnsi="宋体" w:eastAsia="宋体" w:cs="宋体"/>
          <w:b w:val="0"/>
          <w:bCs/>
          <w:color w:val="auto"/>
          <w:spacing w:val="0"/>
          <w:position w:val="0"/>
          <w:szCs w:val="21"/>
          <w:highlight w:val="none"/>
        </w:rPr>
        <w:t>17.10最后报价结束后，磋商小组不得再与供应商进行任何形式的商谈。</w:t>
      </w:r>
    </w:p>
    <w:p w14:paraId="3B75E6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18.比较与评价</w:t>
      </w:r>
    </w:p>
    <w:p w14:paraId="22C664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18.1评审方法：综合评分法。</w:t>
      </w:r>
    </w:p>
    <w:p w14:paraId="7CF57D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18.2经磋商确定最终采购需求和提交最后报价的供应商后，由磋商小组采用综合评分法对提交最后报价的供应商的响应文件和最后报价进行综合评分。详见第四章“评审程序、评审方法和评审标准”。</w:t>
      </w:r>
    </w:p>
    <w:p w14:paraId="6A29CD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18.3评审时，磋商小组各成员应当独立对每个有效的响应文件进行评价、打分，然后汇总每个供应商每项评分因素的得分。</w:t>
      </w:r>
    </w:p>
    <w:p w14:paraId="097E44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1</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磋商小组按照竞争性磋商文件中规定的评审标准计算各供应商的报价得分。项目评审过程中，不得去掉最后报价中的最高报价和最低报价。</w:t>
      </w:r>
    </w:p>
    <w:p w14:paraId="47D433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2</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各供应商的得分为磋商小组所有成员的有效评分的算术平均数。</w:t>
      </w:r>
    </w:p>
    <w:p w14:paraId="218561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18.4评审价为供应商的最后报价进行政策性扣除后的价格，评审价只是作为评审时使用。最终成交供应商的成交金额等于最后报价</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如有修正，以确认修正后的最后报价为准</w:t>
      </w:r>
      <w:r>
        <w:rPr>
          <w:rFonts w:hint="eastAsia" w:ascii="宋体" w:hAnsi="宋体" w:eastAsia="宋体" w:cs="宋体"/>
          <w:b w:val="0"/>
          <w:bCs/>
          <w:color w:val="auto"/>
          <w:spacing w:val="0"/>
          <w:position w:val="0"/>
          <w:szCs w:val="21"/>
          <w:highlight w:val="none"/>
          <w:lang w:eastAsia="zh-CN"/>
        </w:rPr>
        <w:t>）</w:t>
      </w:r>
      <w:r>
        <w:rPr>
          <w:rFonts w:hint="eastAsia" w:ascii="宋体" w:hAnsi="宋体" w:eastAsia="宋体" w:cs="宋体"/>
          <w:b w:val="0"/>
          <w:bCs/>
          <w:color w:val="auto"/>
          <w:spacing w:val="0"/>
          <w:position w:val="0"/>
          <w:szCs w:val="21"/>
          <w:highlight w:val="none"/>
        </w:rPr>
        <w:t>。</w:t>
      </w:r>
    </w:p>
    <w:p w14:paraId="6B0714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18.5由磋商小组根据综合评分情况，按照评审得分由高到低顺序推荐3名以上成交候选供应商，并编写评审报告。符合本须知正文第17.3条情形的，可以推荐2家成交候选供应商。评审得分相同的，按照最后报价由低到高的顺序推荐。评审得分且最后报价相同的，按照技术指标优劣顺序推荐。</w:t>
      </w:r>
    </w:p>
    <w:p w14:paraId="5B76A3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18.6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34F78E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特别说明：</w:t>
      </w:r>
      <w:r>
        <w:rPr>
          <w:rFonts w:hint="eastAsia" w:ascii="宋体" w:hAnsi="宋体" w:eastAsia="宋体" w:cs="宋体"/>
          <w:b w:val="0"/>
          <w:bCs/>
          <w:color w:val="auto"/>
          <w:spacing w:val="0"/>
          <w:position w:val="0"/>
          <w:szCs w:val="21"/>
          <w:highlight w:val="none"/>
          <w:lang w:eastAsia="zh-CN"/>
        </w:rPr>
        <w:t>广西政府采购云平台</w:t>
      </w:r>
      <w:r>
        <w:rPr>
          <w:rFonts w:hint="eastAsia" w:ascii="宋体" w:hAnsi="宋体" w:eastAsia="宋体" w:cs="宋体"/>
          <w:b w:val="0"/>
          <w:bCs/>
          <w:color w:val="auto"/>
          <w:spacing w:val="0"/>
          <w:position w:val="0"/>
          <w:szCs w:val="21"/>
          <w:highlight w:val="none"/>
        </w:rPr>
        <w:t>公司如对电子化磋商及评审程序有调整的，按调整后的程序操作。</w:t>
      </w:r>
    </w:p>
    <w:p w14:paraId="1E8733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18.6采购过程中出现以下情形，导致电子交易平台无法正常运行，或者无法保证电子交易的公平、公正和安全时，采购组织机构可中止电子交易活动：</w:t>
      </w:r>
    </w:p>
    <w:p w14:paraId="5E564E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18.6.1电子交易平台发生故障而无法登录访问的；</w:t>
      </w:r>
    </w:p>
    <w:p w14:paraId="61313E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18.6.2电子交易平台应用或数据库出现错误，不能进行正常操作的；</w:t>
      </w:r>
    </w:p>
    <w:p w14:paraId="49064D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18.6.3电子交易平台发现严重安全漏洞，有潜在泄密危险的；</w:t>
      </w:r>
    </w:p>
    <w:p w14:paraId="0AB1FB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18.6.4病毒发作导致不能进行正常操作的；</w:t>
      </w:r>
    </w:p>
    <w:p w14:paraId="1F8C18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18.6.5其他无法保证电子交易的公平、公正和安全的情况。</w:t>
      </w:r>
    </w:p>
    <w:p w14:paraId="25F8A6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18.6.6出现前款规定情形，不影响采购公平、公正性的，采购组织机构可以待上述情形消除后继续组织电子交易活动，也可以决定某些环节以纸质形式进行；影响或可能影响采购公平、公正性的，应当重新采购。</w:t>
      </w:r>
    </w:p>
    <w:p w14:paraId="026CA77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spacing w:val="0"/>
          <w:position w:val="0"/>
          <w:szCs w:val="21"/>
          <w:highlight w:val="none"/>
        </w:rPr>
      </w:pPr>
      <w:r>
        <w:rPr>
          <w:rFonts w:hint="eastAsia" w:ascii="宋体" w:hAnsi="宋体" w:eastAsia="宋体" w:cs="宋体"/>
          <w:b/>
          <w:bCs w:val="0"/>
          <w:color w:val="auto"/>
          <w:spacing w:val="0"/>
          <w:position w:val="0"/>
          <w:szCs w:val="21"/>
          <w:highlight w:val="none"/>
        </w:rPr>
        <w:t>六、确定成交供应商办法及结果公告</w:t>
      </w:r>
    </w:p>
    <w:p w14:paraId="73999F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19.1采购代理机构应当在评审结束后2个工作日内将评审报告送采购人确认。采购人应当在收到评审报告后2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3942FC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19.2采购代理机构应当在成交供应商确定后2个工作日内，在省级以上财政部门指定的媒体上公告成交结果，同时向成交供应商发出成交通知书。采购人或采购代理机构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争性磋商文件一并保存。</w:t>
      </w:r>
    </w:p>
    <w:p w14:paraId="1520C1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19.3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3BB5BC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19.4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以此类推。</w:t>
      </w:r>
    </w:p>
    <w:p w14:paraId="265B5E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spacing w:val="0"/>
          <w:position w:val="0"/>
          <w:szCs w:val="21"/>
          <w:highlight w:val="none"/>
        </w:rPr>
      </w:pPr>
      <w:r>
        <w:rPr>
          <w:rFonts w:hint="eastAsia" w:ascii="宋体" w:hAnsi="宋体" w:eastAsia="宋体" w:cs="宋体"/>
          <w:b/>
          <w:bCs w:val="0"/>
          <w:color w:val="auto"/>
          <w:spacing w:val="0"/>
          <w:position w:val="0"/>
          <w:szCs w:val="21"/>
          <w:highlight w:val="none"/>
        </w:rPr>
        <w:t>七、履约保证金</w:t>
      </w:r>
    </w:p>
    <w:p w14:paraId="5A99CA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20.履约保证金：</w:t>
      </w:r>
      <w:r>
        <w:rPr>
          <w:rFonts w:hint="eastAsia" w:ascii="宋体" w:hAnsi="宋体" w:eastAsia="宋体" w:cs="宋体"/>
          <w:b w:val="0"/>
          <w:bCs/>
          <w:color w:val="auto"/>
          <w:spacing w:val="0"/>
          <w:position w:val="0"/>
          <w:szCs w:val="21"/>
          <w:highlight w:val="none"/>
          <w:lang w:val="en-US" w:eastAsia="zh-CN"/>
        </w:rPr>
        <w:t>详见须知前附表</w:t>
      </w:r>
      <w:r>
        <w:rPr>
          <w:rFonts w:hint="eastAsia" w:ascii="宋体" w:hAnsi="宋体" w:eastAsia="宋体" w:cs="宋体"/>
          <w:b w:val="0"/>
          <w:bCs/>
          <w:color w:val="auto"/>
          <w:spacing w:val="0"/>
          <w:position w:val="0"/>
          <w:szCs w:val="21"/>
          <w:highlight w:val="none"/>
        </w:rPr>
        <w:t>。</w:t>
      </w:r>
    </w:p>
    <w:p w14:paraId="6CDC0A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spacing w:val="0"/>
          <w:position w:val="0"/>
          <w:szCs w:val="21"/>
          <w:highlight w:val="none"/>
        </w:rPr>
      </w:pPr>
      <w:r>
        <w:rPr>
          <w:rFonts w:hint="eastAsia" w:ascii="宋体" w:hAnsi="宋体" w:eastAsia="宋体" w:cs="宋体"/>
          <w:b/>
          <w:bCs w:val="0"/>
          <w:color w:val="auto"/>
          <w:spacing w:val="0"/>
          <w:position w:val="0"/>
          <w:szCs w:val="21"/>
          <w:highlight w:val="none"/>
        </w:rPr>
        <w:t>八、签订合同</w:t>
      </w:r>
    </w:p>
    <w:p w14:paraId="4A4257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position w:val="0"/>
          <w:highlight w:val="none"/>
        </w:rPr>
      </w:pPr>
      <w:r>
        <w:rPr>
          <w:rFonts w:hint="eastAsia" w:ascii="宋体" w:hAnsi="宋体" w:eastAsia="宋体" w:cs="宋体"/>
          <w:b w:val="0"/>
          <w:bCs/>
          <w:color w:val="auto"/>
          <w:spacing w:val="0"/>
          <w:position w:val="0"/>
          <w:szCs w:val="21"/>
          <w:highlight w:val="none"/>
        </w:rPr>
        <w:t>21.1成交供应商在收到成交通知书后，按规定与采购人签订采购合同。采购代理机构将在评标结束2个工作日内将评标结果送采购人，采购人在2个工作日内按照采购结果报告中推荐的排名第一的成交候选供应商为成交人。对中标、成交结果公告无异议的项目在中标、成交通知书发出之日起25日内和中标、成交供应商签订政府采购合同，倡导各采购人尽量压缩合同签订时间。</w:t>
      </w:r>
    </w:p>
    <w:p w14:paraId="600EE2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21.2成交供应商拒绝签订采购合同的，采购人可以按本项目确定成交供应商办法确定其他供应商作为成交供应商并签订采购合同，也可以重新开展采购活动。拒绝签订采购合同的成交供应商不得参加对该项目重新开展的采购活动。</w:t>
      </w:r>
    </w:p>
    <w:p w14:paraId="28FF12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spacing w:val="0"/>
          <w:position w:val="0"/>
          <w:szCs w:val="21"/>
          <w:highlight w:val="none"/>
        </w:rPr>
      </w:pPr>
      <w:r>
        <w:rPr>
          <w:rFonts w:hint="eastAsia" w:ascii="宋体" w:hAnsi="宋体" w:eastAsia="宋体" w:cs="宋体"/>
          <w:b/>
          <w:bCs w:val="0"/>
          <w:color w:val="auto"/>
          <w:spacing w:val="0"/>
          <w:position w:val="0"/>
          <w:szCs w:val="21"/>
          <w:highlight w:val="none"/>
        </w:rPr>
        <w:t>九、政府采购合同公告</w:t>
      </w:r>
    </w:p>
    <w:p w14:paraId="6A1AF3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22.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148C06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spacing w:val="0"/>
          <w:position w:val="0"/>
          <w:szCs w:val="21"/>
          <w:highlight w:val="none"/>
        </w:rPr>
      </w:pPr>
      <w:r>
        <w:rPr>
          <w:rFonts w:hint="eastAsia" w:ascii="宋体" w:hAnsi="宋体" w:eastAsia="宋体" w:cs="宋体"/>
          <w:b/>
          <w:bCs w:val="0"/>
          <w:color w:val="auto"/>
          <w:spacing w:val="0"/>
          <w:position w:val="0"/>
          <w:szCs w:val="21"/>
          <w:highlight w:val="none"/>
        </w:rPr>
        <w:t>十、适用法律</w:t>
      </w:r>
    </w:p>
    <w:p w14:paraId="09F7469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distribute"/>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23.本项目适用于《中华人民共和国政府采购法》《中华人民共和国政府采购法实施条例》</w:t>
      </w:r>
    </w:p>
    <w:p w14:paraId="4019FC6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《政府采购竞争性磋商采购方式管理暂行办法》《财政部关于政府采购竞争性磋商采购方式管理暂行办法有关问题的补充通知》及本项目本级和上级财政部门政府采购有关规定。</w:t>
      </w:r>
    </w:p>
    <w:p w14:paraId="468E88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spacing w:val="0"/>
          <w:position w:val="0"/>
          <w:szCs w:val="21"/>
          <w:highlight w:val="none"/>
        </w:rPr>
      </w:pPr>
      <w:r>
        <w:rPr>
          <w:rFonts w:hint="eastAsia" w:ascii="宋体" w:hAnsi="宋体" w:eastAsia="宋体" w:cs="宋体"/>
          <w:b/>
          <w:bCs w:val="0"/>
          <w:color w:val="auto"/>
          <w:spacing w:val="0"/>
          <w:position w:val="0"/>
          <w:szCs w:val="21"/>
          <w:highlight w:val="none"/>
        </w:rPr>
        <w:t>十一、其他事项</w:t>
      </w:r>
    </w:p>
    <w:p w14:paraId="5695ED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24.1招标代理服务费</w:t>
      </w:r>
    </w:p>
    <w:p w14:paraId="1D90F2F7">
      <w:pPr>
        <w:pStyle w:val="13"/>
        <w:keepNext w:val="0"/>
        <w:keepLines w:val="0"/>
        <w:pageBreakBefore w:val="0"/>
        <w:widowControl w:val="0"/>
        <w:kinsoku/>
        <w:wordWrap/>
        <w:overflowPunct/>
        <w:topLinePunct w:val="0"/>
        <w:autoSpaceDE/>
        <w:autoSpaceDN/>
        <w:bidi w:val="0"/>
        <w:adjustRightInd/>
        <w:snapToGrid w:val="0"/>
        <w:spacing w:line="360" w:lineRule="auto"/>
        <w:ind w:left="0" w:firstLine="420" w:firstLineChars="200"/>
        <w:textAlignment w:val="auto"/>
        <w:rPr>
          <w:rFonts w:hint="eastAsia" w:ascii="宋体" w:hAnsi="宋体" w:eastAsia="宋体" w:cs="宋体"/>
          <w:b w:val="0"/>
          <w:bCs/>
          <w:color w:val="auto"/>
          <w:spacing w:val="0"/>
          <w:position w:val="0"/>
          <w:szCs w:val="21"/>
          <w:highlight w:val="none"/>
        </w:rPr>
      </w:pPr>
      <w:r>
        <w:rPr>
          <w:rFonts w:hint="eastAsia" w:hAnsi="宋体" w:cs="宋体"/>
          <w:color w:val="auto"/>
          <w:spacing w:val="0"/>
          <w:position w:val="0"/>
          <w:sz w:val="21"/>
          <w:highlight w:val="none"/>
          <w:lang w:val="en-US" w:eastAsia="zh-CN"/>
        </w:rPr>
        <w:t>按差额定率累进法，以《招标代理服务收费管理暂行办法》计价格[2002]1980号文和发改价格[2011]534号工程类标准计算，按计费依据计费向成交人计取。成交人在领取成交通知书前，一次性向采购代理机构支付</w:t>
      </w:r>
      <w:r>
        <w:rPr>
          <w:rFonts w:hint="eastAsia" w:ascii="宋体" w:hAnsi="宋体" w:eastAsia="宋体" w:cs="宋体"/>
          <w:b w:val="0"/>
          <w:bCs/>
          <w:color w:val="auto"/>
          <w:spacing w:val="0"/>
          <w:position w:val="0"/>
          <w:szCs w:val="21"/>
          <w:highlight w:val="none"/>
        </w:rPr>
        <w:t>。</w:t>
      </w:r>
    </w:p>
    <w:p w14:paraId="3DFB6A27">
      <w:pPr>
        <w:pStyle w:val="13"/>
        <w:keepNext w:val="0"/>
        <w:keepLines w:val="0"/>
        <w:pageBreakBefore w:val="0"/>
        <w:widowControl w:val="0"/>
        <w:kinsoku/>
        <w:wordWrap/>
        <w:overflowPunct/>
        <w:topLinePunct w:val="0"/>
        <w:autoSpaceDE/>
        <w:autoSpaceDN/>
        <w:bidi w:val="0"/>
        <w:adjustRightInd/>
        <w:snapToGrid w:val="0"/>
        <w:spacing w:line="360" w:lineRule="auto"/>
        <w:ind w:left="0" w:firstLine="420" w:firstLineChars="200"/>
        <w:textAlignment w:val="auto"/>
        <w:rPr>
          <w:rFonts w:hint="eastAsia" w:ascii="宋体" w:hAnsi="宋体" w:eastAsia="宋体" w:cs="宋体"/>
          <w:b w:val="0"/>
          <w:bCs/>
          <w:color w:val="auto"/>
          <w:spacing w:val="0"/>
          <w:position w:val="0"/>
          <w:szCs w:val="21"/>
          <w:highlight w:val="none"/>
        </w:rPr>
      </w:pPr>
      <w:r>
        <w:rPr>
          <w:rFonts w:hint="eastAsia" w:ascii="宋体" w:hAnsi="宋体" w:eastAsia="宋体" w:cs="宋体"/>
          <w:b w:val="0"/>
          <w:bCs/>
          <w:color w:val="auto"/>
          <w:spacing w:val="0"/>
          <w:position w:val="0"/>
          <w:szCs w:val="21"/>
          <w:highlight w:val="none"/>
        </w:rPr>
        <w:t>代理服务费专用</w:t>
      </w:r>
      <w:r>
        <w:rPr>
          <w:rFonts w:hint="eastAsia" w:ascii="宋体" w:hAnsi="宋体" w:eastAsia="宋体" w:cs="宋体"/>
          <w:b w:val="0"/>
          <w:bCs/>
          <w:color w:val="auto"/>
          <w:spacing w:val="0"/>
          <w:position w:val="0"/>
          <w:szCs w:val="21"/>
          <w:highlight w:val="none"/>
          <w:lang w:eastAsia="zh-CN"/>
        </w:rPr>
        <w:t>账</w:t>
      </w:r>
      <w:r>
        <w:rPr>
          <w:rFonts w:hint="eastAsia" w:ascii="宋体" w:hAnsi="宋体" w:eastAsia="宋体" w:cs="宋体"/>
          <w:b w:val="0"/>
          <w:bCs/>
          <w:color w:val="auto"/>
          <w:spacing w:val="0"/>
          <w:position w:val="0"/>
          <w:szCs w:val="21"/>
          <w:highlight w:val="none"/>
        </w:rPr>
        <w:t>户：</w:t>
      </w:r>
    </w:p>
    <w:p w14:paraId="47E45464">
      <w:pPr>
        <w:pStyle w:val="13"/>
        <w:keepNext w:val="0"/>
        <w:keepLines w:val="0"/>
        <w:pageBreakBefore w:val="0"/>
        <w:widowControl w:val="0"/>
        <w:kinsoku/>
        <w:wordWrap/>
        <w:overflowPunct/>
        <w:topLinePunct w:val="0"/>
        <w:autoSpaceDE/>
        <w:autoSpaceDN/>
        <w:bidi w:val="0"/>
        <w:adjustRightInd/>
        <w:snapToGrid w:val="0"/>
        <w:spacing w:line="400" w:lineRule="exact"/>
        <w:ind w:left="0" w:firstLine="420" w:firstLineChars="200"/>
        <w:textAlignment w:val="auto"/>
        <w:rPr>
          <w:rFonts w:hint="eastAsia" w:hAnsi="宋体"/>
          <w:color w:val="auto"/>
          <w:highlight w:val="none"/>
          <w:lang w:eastAsia="zh-CN"/>
        </w:rPr>
      </w:pPr>
      <w:r>
        <w:rPr>
          <w:rFonts w:hint="eastAsia" w:hAnsi="宋体"/>
          <w:color w:val="auto"/>
          <w:highlight w:val="none"/>
        </w:rPr>
        <w:t>账户名称：</w:t>
      </w:r>
      <w:r>
        <w:rPr>
          <w:rFonts w:hint="eastAsia" w:hAnsi="宋体"/>
          <w:color w:val="auto"/>
          <w:highlight w:val="none"/>
          <w:lang w:val="en-US" w:eastAsia="zh-CN"/>
        </w:rPr>
        <w:t>广西华诚达建设项目管理有限公司浦北分公司</w:t>
      </w:r>
      <w:r>
        <w:rPr>
          <w:rFonts w:hint="eastAsia" w:hAnsi="宋体"/>
          <w:color w:val="auto"/>
          <w:highlight w:val="none"/>
          <w:lang w:eastAsia="zh-CN"/>
        </w:rPr>
        <w:t xml:space="preserve"> </w:t>
      </w:r>
    </w:p>
    <w:p w14:paraId="57D5421B">
      <w:pPr>
        <w:pStyle w:val="13"/>
        <w:keepNext w:val="0"/>
        <w:keepLines w:val="0"/>
        <w:pageBreakBefore w:val="0"/>
        <w:widowControl w:val="0"/>
        <w:kinsoku/>
        <w:wordWrap/>
        <w:overflowPunct/>
        <w:topLinePunct w:val="0"/>
        <w:autoSpaceDE/>
        <w:autoSpaceDN/>
        <w:bidi w:val="0"/>
        <w:adjustRightInd/>
        <w:snapToGrid w:val="0"/>
        <w:spacing w:line="400" w:lineRule="exact"/>
        <w:ind w:left="0" w:firstLine="420" w:firstLineChars="200"/>
        <w:textAlignment w:val="auto"/>
        <w:rPr>
          <w:rFonts w:hint="eastAsia" w:hAnsi="宋体"/>
          <w:color w:val="auto"/>
          <w:highlight w:val="none"/>
          <w:lang w:eastAsia="zh-CN"/>
        </w:rPr>
      </w:pPr>
      <w:r>
        <w:rPr>
          <w:rFonts w:hint="eastAsia" w:hAnsi="宋体"/>
          <w:color w:val="auto"/>
          <w:highlight w:val="none"/>
        </w:rPr>
        <w:t>开户银行：</w:t>
      </w:r>
      <w:r>
        <w:rPr>
          <w:rFonts w:hint="eastAsia" w:hAnsi="宋体"/>
          <w:color w:val="auto"/>
          <w:highlight w:val="none"/>
          <w:lang w:val="en-US" w:eastAsia="zh-CN"/>
        </w:rPr>
        <w:t>浦北县农村信用合作联社小江信用社</w:t>
      </w:r>
    </w:p>
    <w:p w14:paraId="0F12B52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hAnsi="宋体"/>
          <w:color w:val="auto"/>
          <w:highlight w:val="none"/>
          <w:lang w:val="en-US" w:eastAsia="zh-CN"/>
        </w:rPr>
      </w:pPr>
      <w:r>
        <w:rPr>
          <w:rFonts w:hint="eastAsia" w:hAnsi="宋体"/>
          <w:color w:val="auto"/>
          <w:highlight w:val="none"/>
        </w:rPr>
        <w:t>银行账号：</w:t>
      </w:r>
      <w:r>
        <w:rPr>
          <w:rFonts w:hint="eastAsia" w:hAnsi="宋体"/>
          <w:color w:val="auto"/>
          <w:highlight w:val="none"/>
          <w:lang w:val="en-US" w:eastAsia="zh-CN"/>
        </w:rPr>
        <w:t>825512010110542786</w:t>
      </w:r>
    </w:p>
    <w:p w14:paraId="31AF1BDF">
      <w:pPr>
        <w:pStyle w:val="13"/>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pacing w:val="0"/>
          <w:position w:val="0"/>
          <w:szCs w:val="21"/>
          <w:highlight w:val="none"/>
        </w:rPr>
        <w:sectPr>
          <w:pgSz w:w="11906" w:h="16838"/>
          <w:pgMar w:top="1247" w:right="1417" w:bottom="1247" w:left="1417" w:header="851" w:footer="992" w:gutter="0"/>
          <w:cols w:space="0" w:num="1"/>
          <w:docGrid w:type="lines" w:linePitch="312" w:charSpace="0"/>
        </w:sectPr>
      </w:pPr>
      <w:r>
        <w:rPr>
          <w:rFonts w:hint="eastAsia" w:ascii="宋体" w:hAnsi="宋体" w:eastAsia="宋体" w:cs="宋体"/>
          <w:b w:val="0"/>
          <w:bCs/>
          <w:color w:val="auto"/>
          <w:spacing w:val="0"/>
          <w:position w:val="0"/>
          <w:szCs w:val="21"/>
          <w:highlight w:val="none"/>
        </w:rPr>
        <w:t>代理服务费收费计算标准：</w:t>
      </w:r>
    </w:p>
    <w:p w14:paraId="5BC5200E">
      <w:pPr>
        <w:pStyle w:val="13"/>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b w:val="0"/>
          <w:bCs/>
          <w:color w:val="auto"/>
          <w:spacing w:val="0"/>
          <w:position w:val="0"/>
          <w:szCs w:val="21"/>
          <w:highlight w:val="none"/>
        </w:rPr>
      </w:pPr>
    </w:p>
    <w:tbl>
      <w:tblPr>
        <w:tblStyle w:val="51"/>
        <w:tblW w:w="821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74"/>
        <w:gridCol w:w="1579"/>
        <w:gridCol w:w="1579"/>
        <w:gridCol w:w="1581"/>
      </w:tblGrid>
      <w:tr w14:paraId="30BB2F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3474" w:type="dxa"/>
            <w:tcBorders>
              <w:tl2br w:val="single" w:color="000000" w:sz="4" w:space="0"/>
            </w:tcBorders>
            <w:vAlign w:val="center"/>
          </w:tcPr>
          <w:p w14:paraId="40328E2B">
            <w:pPr>
              <w:keepNext w:val="0"/>
              <w:keepLines w:val="0"/>
              <w:pageBreakBefore w:val="0"/>
              <w:widowControl w:val="0"/>
              <w:kinsoku/>
              <w:wordWrap/>
              <w:overflowPunct/>
              <w:topLinePunct w:val="0"/>
              <w:autoSpaceDE/>
              <w:autoSpaceDN/>
              <w:bidi w:val="0"/>
              <w:adjustRightInd/>
              <w:snapToGrid/>
              <w:spacing w:line="360" w:lineRule="auto"/>
              <w:ind w:left="1702"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费率</w:t>
            </w:r>
          </w:p>
          <w:p w14:paraId="031374FC">
            <w:pPr>
              <w:keepNext w:val="0"/>
              <w:keepLines w:val="0"/>
              <w:pageBreakBefore w:val="0"/>
              <w:widowControl w:val="0"/>
              <w:kinsoku/>
              <w:wordWrap/>
              <w:overflowPunct/>
              <w:topLinePunct w:val="0"/>
              <w:autoSpaceDE/>
              <w:autoSpaceDN/>
              <w:bidi w:val="0"/>
              <w:adjustRightInd/>
              <w:snapToGrid/>
              <w:spacing w:line="360" w:lineRule="auto"/>
              <w:ind w:left="118"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金额</w:t>
            </w:r>
          </w:p>
        </w:tc>
        <w:tc>
          <w:tcPr>
            <w:tcW w:w="1579" w:type="dxa"/>
            <w:vAlign w:val="center"/>
          </w:tcPr>
          <w:p w14:paraId="110C98AF">
            <w:pPr>
              <w:keepNext w:val="0"/>
              <w:keepLines w:val="0"/>
              <w:pageBreakBefore w:val="0"/>
              <w:widowControl w:val="0"/>
              <w:kinsoku/>
              <w:wordWrap/>
              <w:overflowPunct/>
              <w:topLinePunct w:val="0"/>
              <w:autoSpaceDE/>
              <w:autoSpaceDN/>
              <w:bidi w:val="0"/>
              <w:adjustRightInd/>
              <w:snapToGrid/>
              <w:spacing w:line="360" w:lineRule="auto"/>
              <w:ind w:left="578" w:firstLine="0" w:firstLineChars="0"/>
              <w:jc w:val="both"/>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货物类</w:t>
            </w:r>
          </w:p>
        </w:tc>
        <w:tc>
          <w:tcPr>
            <w:tcW w:w="1579" w:type="dxa"/>
            <w:vAlign w:val="center"/>
          </w:tcPr>
          <w:p w14:paraId="6E0D4A37">
            <w:pPr>
              <w:keepNext w:val="0"/>
              <w:keepLines w:val="0"/>
              <w:pageBreakBefore w:val="0"/>
              <w:widowControl w:val="0"/>
              <w:kinsoku/>
              <w:wordWrap/>
              <w:overflowPunct/>
              <w:topLinePunct w:val="0"/>
              <w:autoSpaceDE/>
              <w:autoSpaceDN/>
              <w:bidi w:val="0"/>
              <w:adjustRightInd/>
              <w:snapToGrid/>
              <w:spacing w:line="360" w:lineRule="auto"/>
              <w:ind w:left="458" w:firstLine="0" w:firstLineChars="0"/>
              <w:jc w:val="both"/>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服务类</w:t>
            </w:r>
          </w:p>
        </w:tc>
        <w:tc>
          <w:tcPr>
            <w:tcW w:w="1581" w:type="dxa"/>
            <w:vAlign w:val="center"/>
          </w:tcPr>
          <w:p w14:paraId="0ACBDF00">
            <w:pPr>
              <w:keepNext w:val="0"/>
              <w:keepLines w:val="0"/>
              <w:pageBreakBefore w:val="0"/>
              <w:widowControl w:val="0"/>
              <w:kinsoku/>
              <w:wordWrap/>
              <w:overflowPunct/>
              <w:topLinePunct w:val="0"/>
              <w:autoSpaceDE/>
              <w:autoSpaceDN/>
              <w:bidi w:val="0"/>
              <w:adjustRightInd/>
              <w:snapToGrid/>
              <w:spacing w:line="360" w:lineRule="auto"/>
              <w:ind w:left="468" w:firstLine="0" w:firstLineChars="0"/>
              <w:jc w:val="both"/>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工程类</w:t>
            </w:r>
          </w:p>
        </w:tc>
      </w:tr>
      <w:tr w14:paraId="037414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jc w:val="center"/>
        </w:trPr>
        <w:tc>
          <w:tcPr>
            <w:tcW w:w="3474" w:type="dxa"/>
            <w:vAlign w:val="center"/>
          </w:tcPr>
          <w:p w14:paraId="16E9FC9D">
            <w:pPr>
              <w:keepNext w:val="0"/>
              <w:keepLines w:val="0"/>
              <w:pageBreakBefore w:val="0"/>
              <w:widowControl w:val="0"/>
              <w:kinsoku/>
              <w:wordWrap/>
              <w:overflowPunct/>
              <w:topLinePunct w:val="0"/>
              <w:autoSpaceDE/>
              <w:autoSpaceDN/>
              <w:bidi w:val="0"/>
              <w:adjustRightInd/>
              <w:snapToGrid/>
              <w:spacing w:line="360" w:lineRule="auto"/>
              <w:ind w:left="131"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100万元以下</w:t>
            </w:r>
          </w:p>
        </w:tc>
        <w:tc>
          <w:tcPr>
            <w:tcW w:w="1579" w:type="dxa"/>
            <w:vAlign w:val="center"/>
          </w:tcPr>
          <w:p w14:paraId="11FDE7D6">
            <w:pPr>
              <w:keepNext w:val="0"/>
              <w:keepLines w:val="0"/>
              <w:pageBreakBefore w:val="0"/>
              <w:widowControl w:val="0"/>
              <w:kinsoku/>
              <w:wordWrap/>
              <w:overflowPunct/>
              <w:topLinePunct w:val="0"/>
              <w:autoSpaceDE/>
              <w:autoSpaceDN/>
              <w:bidi w:val="0"/>
              <w:adjustRightInd/>
              <w:snapToGrid/>
              <w:spacing w:line="360" w:lineRule="auto"/>
              <w:ind w:left="339"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1.5%</w:t>
            </w:r>
          </w:p>
        </w:tc>
        <w:tc>
          <w:tcPr>
            <w:tcW w:w="1579" w:type="dxa"/>
            <w:vAlign w:val="center"/>
          </w:tcPr>
          <w:p w14:paraId="2E76E07C">
            <w:pPr>
              <w:keepNext w:val="0"/>
              <w:keepLines w:val="0"/>
              <w:pageBreakBefore w:val="0"/>
              <w:widowControl w:val="0"/>
              <w:kinsoku/>
              <w:wordWrap/>
              <w:overflowPunct/>
              <w:topLinePunct w:val="0"/>
              <w:autoSpaceDE/>
              <w:autoSpaceDN/>
              <w:bidi w:val="0"/>
              <w:adjustRightInd/>
              <w:snapToGrid/>
              <w:spacing w:line="360" w:lineRule="auto"/>
              <w:ind w:left="339"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1.5%</w:t>
            </w:r>
          </w:p>
        </w:tc>
        <w:tc>
          <w:tcPr>
            <w:tcW w:w="1581" w:type="dxa"/>
            <w:vAlign w:val="center"/>
          </w:tcPr>
          <w:p w14:paraId="214CB2B8">
            <w:pPr>
              <w:keepNext w:val="0"/>
              <w:keepLines w:val="0"/>
              <w:pageBreakBefore w:val="0"/>
              <w:widowControl w:val="0"/>
              <w:kinsoku/>
              <w:wordWrap/>
              <w:overflowPunct/>
              <w:topLinePunct w:val="0"/>
              <w:autoSpaceDE/>
              <w:autoSpaceDN/>
              <w:bidi w:val="0"/>
              <w:adjustRightInd/>
              <w:snapToGrid/>
              <w:spacing w:line="360" w:lineRule="auto"/>
              <w:ind w:left="342"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1.0%</w:t>
            </w:r>
          </w:p>
        </w:tc>
      </w:tr>
      <w:tr w14:paraId="4D58E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jc w:val="center"/>
        </w:trPr>
        <w:tc>
          <w:tcPr>
            <w:tcW w:w="3474" w:type="dxa"/>
            <w:vAlign w:val="center"/>
          </w:tcPr>
          <w:p w14:paraId="32D27949">
            <w:pPr>
              <w:keepNext w:val="0"/>
              <w:keepLines w:val="0"/>
              <w:pageBreakBefore w:val="0"/>
              <w:widowControl w:val="0"/>
              <w:kinsoku/>
              <w:wordWrap/>
              <w:overflowPunct/>
              <w:topLinePunct w:val="0"/>
              <w:autoSpaceDE/>
              <w:autoSpaceDN/>
              <w:bidi w:val="0"/>
              <w:adjustRightInd/>
              <w:snapToGrid/>
              <w:spacing w:line="360" w:lineRule="auto"/>
              <w:ind w:left="131"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100</w:t>
            </w:r>
            <w:r>
              <w:rPr>
                <w:rFonts w:hint="eastAsia" w:ascii="宋体" w:hAnsi="宋体" w:cs="宋体"/>
                <w:color w:val="auto"/>
                <w:spacing w:val="0"/>
                <w:position w:val="0"/>
                <w:sz w:val="21"/>
                <w:szCs w:val="21"/>
                <w:highlight w:val="none"/>
                <w:lang w:eastAsia="zh-CN"/>
              </w:rPr>
              <w:t>～</w:t>
            </w:r>
            <w:r>
              <w:rPr>
                <w:rFonts w:ascii="宋体" w:hAnsi="宋体" w:eastAsia="宋体" w:cs="宋体"/>
                <w:color w:val="auto"/>
                <w:spacing w:val="0"/>
                <w:position w:val="0"/>
                <w:sz w:val="21"/>
                <w:szCs w:val="21"/>
                <w:highlight w:val="none"/>
              </w:rPr>
              <w:t>500万元</w:t>
            </w:r>
          </w:p>
        </w:tc>
        <w:tc>
          <w:tcPr>
            <w:tcW w:w="1579" w:type="dxa"/>
            <w:vAlign w:val="center"/>
          </w:tcPr>
          <w:p w14:paraId="59836DB9">
            <w:pPr>
              <w:keepNext w:val="0"/>
              <w:keepLines w:val="0"/>
              <w:pageBreakBefore w:val="0"/>
              <w:widowControl w:val="0"/>
              <w:kinsoku/>
              <w:wordWrap/>
              <w:overflowPunct/>
              <w:topLinePunct w:val="0"/>
              <w:autoSpaceDE/>
              <w:autoSpaceDN/>
              <w:bidi w:val="0"/>
              <w:adjustRightInd/>
              <w:snapToGrid/>
              <w:spacing w:line="360" w:lineRule="auto"/>
              <w:ind w:left="339"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1.1%</w:t>
            </w:r>
          </w:p>
        </w:tc>
        <w:tc>
          <w:tcPr>
            <w:tcW w:w="1579" w:type="dxa"/>
            <w:vAlign w:val="center"/>
          </w:tcPr>
          <w:p w14:paraId="5037630C">
            <w:pPr>
              <w:keepNext w:val="0"/>
              <w:keepLines w:val="0"/>
              <w:pageBreakBefore w:val="0"/>
              <w:widowControl w:val="0"/>
              <w:kinsoku/>
              <w:wordWrap/>
              <w:overflowPunct/>
              <w:topLinePunct w:val="0"/>
              <w:autoSpaceDE/>
              <w:autoSpaceDN/>
              <w:bidi w:val="0"/>
              <w:adjustRightInd/>
              <w:snapToGrid/>
              <w:spacing w:line="360" w:lineRule="auto"/>
              <w:ind w:left="326"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0.8%</w:t>
            </w:r>
          </w:p>
        </w:tc>
        <w:tc>
          <w:tcPr>
            <w:tcW w:w="1581" w:type="dxa"/>
            <w:vAlign w:val="center"/>
          </w:tcPr>
          <w:p w14:paraId="7957953F">
            <w:pPr>
              <w:keepNext w:val="0"/>
              <w:keepLines w:val="0"/>
              <w:pageBreakBefore w:val="0"/>
              <w:widowControl w:val="0"/>
              <w:kinsoku/>
              <w:wordWrap/>
              <w:overflowPunct/>
              <w:topLinePunct w:val="0"/>
              <w:autoSpaceDE/>
              <w:autoSpaceDN/>
              <w:bidi w:val="0"/>
              <w:adjustRightInd/>
              <w:snapToGrid/>
              <w:spacing w:line="360" w:lineRule="auto"/>
              <w:ind w:left="328"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0.7%</w:t>
            </w:r>
          </w:p>
        </w:tc>
      </w:tr>
      <w:tr w14:paraId="6CC52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jc w:val="center"/>
        </w:trPr>
        <w:tc>
          <w:tcPr>
            <w:tcW w:w="3474" w:type="dxa"/>
            <w:vAlign w:val="center"/>
          </w:tcPr>
          <w:p w14:paraId="0B717B78">
            <w:pPr>
              <w:keepNext w:val="0"/>
              <w:keepLines w:val="0"/>
              <w:pageBreakBefore w:val="0"/>
              <w:widowControl w:val="0"/>
              <w:kinsoku/>
              <w:wordWrap/>
              <w:overflowPunct/>
              <w:topLinePunct w:val="0"/>
              <w:autoSpaceDE/>
              <w:autoSpaceDN/>
              <w:bidi w:val="0"/>
              <w:adjustRightInd/>
              <w:snapToGrid/>
              <w:spacing w:line="360" w:lineRule="auto"/>
              <w:ind w:left="120"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500</w:t>
            </w:r>
            <w:r>
              <w:rPr>
                <w:rFonts w:hint="eastAsia" w:ascii="宋体" w:hAnsi="宋体" w:cs="宋体"/>
                <w:color w:val="auto"/>
                <w:spacing w:val="0"/>
                <w:position w:val="0"/>
                <w:sz w:val="21"/>
                <w:szCs w:val="21"/>
                <w:highlight w:val="none"/>
                <w:lang w:eastAsia="zh-CN"/>
              </w:rPr>
              <w:t>～</w:t>
            </w:r>
            <w:r>
              <w:rPr>
                <w:rFonts w:ascii="宋体" w:hAnsi="宋体" w:eastAsia="宋体" w:cs="宋体"/>
                <w:color w:val="auto"/>
                <w:spacing w:val="0"/>
                <w:position w:val="0"/>
                <w:sz w:val="21"/>
                <w:szCs w:val="21"/>
                <w:highlight w:val="none"/>
              </w:rPr>
              <w:t>1000万元</w:t>
            </w:r>
          </w:p>
        </w:tc>
        <w:tc>
          <w:tcPr>
            <w:tcW w:w="1579" w:type="dxa"/>
            <w:vAlign w:val="center"/>
          </w:tcPr>
          <w:p w14:paraId="0EBA621A">
            <w:pPr>
              <w:keepNext w:val="0"/>
              <w:keepLines w:val="0"/>
              <w:pageBreakBefore w:val="0"/>
              <w:widowControl w:val="0"/>
              <w:kinsoku/>
              <w:wordWrap/>
              <w:overflowPunct/>
              <w:topLinePunct w:val="0"/>
              <w:autoSpaceDE/>
              <w:autoSpaceDN/>
              <w:bidi w:val="0"/>
              <w:adjustRightInd/>
              <w:snapToGrid/>
              <w:spacing w:line="360" w:lineRule="auto"/>
              <w:ind w:left="325"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0.8%</w:t>
            </w:r>
          </w:p>
        </w:tc>
        <w:tc>
          <w:tcPr>
            <w:tcW w:w="1579" w:type="dxa"/>
            <w:vAlign w:val="center"/>
          </w:tcPr>
          <w:p w14:paraId="2F72378F">
            <w:pPr>
              <w:keepNext w:val="0"/>
              <w:keepLines w:val="0"/>
              <w:pageBreakBefore w:val="0"/>
              <w:widowControl w:val="0"/>
              <w:kinsoku/>
              <w:wordWrap/>
              <w:overflowPunct/>
              <w:topLinePunct w:val="0"/>
              <w:autoSpaceDE/>
              <w:autoSpaceDN/>
              <w:bidi w:val="0"/>
              <w:adjustRightInd/>
              <w:snapToGrid/>
              <w:spacing w:line="360" w:lineRule="auto"/>
              <w:ind w:left="326"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0.45%</w:t>
            </w:r>
          </w:p>
        </w:tc>
        <w:tc>
          <w:tcPr>
            <w:tcW w:w="1581" w:type="dxa"/>
            <w:vAlign w:val="center"/>
          </w:tcPr>
          <w:p w14:paraId="06E651E4">
            <w:pPr>
              <w:keepNext w:val="0"/>
              <w:keepLines w:val="0"/>
              <w:pageBreakBefore w:val="0"/>
              <w:widowControl w:val="0"/>
              <w:kinsoku/>
              <w:wordWrap/>
              <w:overflowPunct/>
              <w:topLinePunct w:val="0"/>
              <w:autoSpaceDE/>
              <w:autoSpaceDN/>
              <w:bidi w:val="0"/>
              <w:adjustRightInd/>
              <w:snapToGrid/>
              <w:spacing w:line="360" w:lineRule="auto"/>
              <w:ind w:left="328"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0.55%</w:t>
            </w:r>
          </w:p>
        </w:tc>
      </w:tr>
      <w:tr w14:paraId="37662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jc w:val="center"/>
        </w:trPr>
        <w:tc>
          <w:tcPr>
            <w:tcW w:w="3474" w:type="dxa"/>
            <w:vAlign w:val="center"/>
          </w:tcPr>
          <w:p w14:paraId="65987EC7">
            <w:pPr>
              <w:keepNext w:val="0"/>
              <w:keepLines w:val="0"/>
              <w:pageBreakBefore w:val="0"/>
              <w:widowControl w:val="0"/>
              <w:kinsoku/>
              <w:wordWrap/>
              <w:overflowPunct/>
              <w:topLinePunct w:val="0"/>
              <w:autoSpaceDE/>
              <w:autoSpaceDN/>
              <w:bidi w:val="0"/>
              <w:adjustRightInd/>
              <w:snapToGrid/>
              <w:spacing w:line="360" w:lineRule="auto"/>
              <w:ind w:left="131"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1000</w:t>
            </w:r>
            <w:r>
              <w:rPr>
                <w:rFonts w:hint="eastAsia" w:ascii="宋体" w:hAnsi="宋体" w:cs="宋体"/>
                <w:color w:val="auto"/>
                <w:spacing w:val="0"/>
                <w:position w:val="0"/>
                <w:sz w:val="21"/>
                <w:szCs w:val="21"/>
                <w:highlight w:val="none"/>
                <w:lang w:eastAsia="zh-CN"/>
              </w:rPr>
              <w:t>～</w:t>
            </w:r>
            <w:r>
              <w:rPr>
                <w:rFonts w:ascii="宋体" w:hAnsi="宋体" w:eastAsia="宋体" w:cs="宋体"/>
                <w:color w:val="auto"/>
                <w:spacing w:val="0"/>
                <w:position w:val="0"/>
                <w:sz w:val="21"/>
                <w:szCs w:val="21"/>
                <w:highlight w:val="none"/>
              </w:rPr>
              <w:t>5000万元</w:t>
            </w:r>
          </w:p>
        </w:tc>
        <w:tc>
          <w:tcPr>
            <w:tcW w:w="1579" w:type="dxa"/>
            <w:vAlign w:val="center"/>
          </w:tcPr>
          <w:p w14:paraId="2C5ACED4">
            <w:pPr>
              <w:keepNext w:val="0"/>
              <w:keepLines w:val="0"/>
              <w:pageBreakBefore w:val="0"/>
              <w:widowControl w:val="0"/>
              <w:kinsoku/>
              <w:wordWrap/>
              <w:overflowPunct/>
              <w:topLinePunct w:val="0"/>
              <w:autoSpaceDE/>
              <w:autoSpaceDN/>
              <w:bidi w:val="0"/>
              <w:adjustRightInd/>
              <w:snapToGrid/>
              <w:spacing w:line="360" w:lineRule="auto"/>
              <w:ind w:left="325"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0.5%</w:t>
            </w:r>
          </w:p>
        </w:tc>
        <w:tc>
          <w:tcPr>
            <w:tcW w:w="1579" w:type="dxa"/>
            <w:vAlign w:val="center"/>
          </w:tcPr>
          <w:p w14:paraId="49C20669">
            <w:pPr>
              <w:keepNext w:val="0"/>
              <w:keepLines w:val="0"/>
              <w:pageBreakBefore w:val="0"/>
              <w:widowControl w:val="0"/>
              <w:kinsoku/>
              <w:wordWrap/>
              <w:overflowPunct/>
              <w:topLinePunct w:val="0"/>
              <w:autoSpaceDE/>
              <w:autoSpaceDN/>
              <w:bidi w:val="0"/>
              <w:adjustRightInd/>
              <w:snapToGrid/>
              <w:spacing w:line="360" w:lineRule="auto"/>
              <w:ind w:left="326"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0.25%</w:t>
            </w:r>
          </w:p>
        </w:tc>
        <w:tc>
          <w:tcPr>
            <w:tcW w:w="1581" w:type="dxa"/>
            <w:vAlign w:val="center"/>
          </w:tcPr>
          <w:p w14:paraId="7BA39D52">
            <w:pPr>
              <w:keepNext w:val="0"/>
              <w:keepLines w:val="0"/>
              <w:pageBreakBefore w:val="0"/>
              <w:widowControl w:val="0"/>
              <w:kinsoku/>
              <w:wordWrap/>
              <w:overflowPunct/>
              <w:topLinePunct w:val="0"/>
              <w:autoSpaceDE/>
              <w:autoSpaceDN/>
              <w:bidi w:val="0"/>
              <w:adjustRightInd/>
              <w:snapToGrid/>
              <w:spacing w:line="360" w:lineRule="auto"/>
              <w:ind w:left="328"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0.35%</w:t>
            </w:r>
          </w:p>
        </w:tc>
      </w:tr>
      <w:tr w14:paraId="3BDE4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jc w:val="center"/>
        </w:trPr>
        <w:tc>
          <w:tcPr>
            <w:tcW w:w="3474" w:type="dxa"/>
            <w:vAlign w:val="center"/>
          </w:tcPr>
          <w:p w14:paraId="3EE46904">
            <w:pPr>
              <w:keepNext w:val="0"/>
              <w:keepLines w:val="0"/>
              <w:pageBreakBefore w:val="0"/>
              <w:widowControl w:val="0"/>
              <w:kinsoku/>
              <w:wordWrap/>
              <w:overflowPunct/>
              <w:topLinePunct w:val="0"/>
              <w:autoSpaceDE/>
              <w:autoSpaceDN/>
              <w:bidi w:val="0"/>
              <w:adjustRightInd/>
              <w:snapToGrid/>
              <w:spacing w:line="360" w:lineRule="auto"/>
              <w:ind w:left="120"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5000万元</w:t>
            </w:r>
            <w:r>
              <w:rPr>
                <w:rFonts w:hint="eastAsia" w:ascii="宋体" w:hAnsi="宋体" w:cs="宋体"/>
                <w:color w:val="auto"/>
                <w:spacing w:val="0"/>
                <w:position w:val="0"/>
                <w:sz w:val="21"/>
                <w:szCs w:val="21"/>
                <w:highlight w:val="none"/>
                <w:lang w:eastAsia="zh-CN"/>
              </w:rPr>
              <w:t>～</w:t>
            </w:r>
            <w:r>
              <w:rPr>
                <w:rFonts w:ascii="宋体" w:hAnsi="宋体" w:eastAsia="宋体" w:cs="宋体"/>
                <w:color w:val="auto"/>
                <w:spacing w:val="0"/>
                <w:position w:val="0"/>
                <w:sz w:val="21"/>
                <w:szCs w:val="21"/>
                <w:highlight w:val="none"/>
              </w:rPr>
              <w:t>1亿元</w:t>
            </w:r>
          </w:p>
        </w:tc>
        <w:tc>
          <w:tcPr>
            <w:tcW w:w="1579" w:type="dxa"/>
            <w:vAlign w:val="center"/>
          </w:tcPr>
          <w:p w14:paraId="3AB2BA62">
            <w:pPr>
              <w:keepNext w:val="0"/>
              <w:keepLines w:val="0"/>
              <w:pageBreakBefore w:val="0"/>
              <w:widowControl w:val="0"/>
              <w:kinsoku/>
              <w:wordWrap/>
              <w:overflowPunct/>
              <w:topLinePunct w:val="0"/>
              <w:autoSpaceDE/>
              <w:autoSpaceDN/>
              <w:bidi w:val="0"/>
              <w:adjustRightInd/>
              <w:snapToGrid/>
              <w:spacing w:line="360" w:lineRule="auto"/>
              <w:ind w:left="325"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0.25%</w:t>
            </w:r>
          </w:p>
        </w:tc>
        <w:tc>
          <w:tcPr>
            <w:tcW w:w="1579" w:type="dxa"/>
            <w:vAlign w:val="center"/>
          </w:tcPr>
          <w:p w14:paraId="287D6F9B">
            <w:pPr>
              <w:keepNext w:val="0"/>
              <w:keepLines w:val="0"/>
              <w:pageBreakBefore w:val="0"/>
              <w:widowControl w:val="0"/>
              <w:kinsoku/>
              <w:wordWrap/>
              <w:overflowPunct/>
              <w:topLinePunct w:val="0"/>
              <w:autoSpaceDE/>
              <w:autoSpaceDN/>
              <w:bidi w:val="0"/>
              <w:adjustRightInd/>
              <w:snapToGrid/>
              <w:spacing w:line="360" w:lineRule="auto"/>
              <w:ind w:left="326"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0.1%</w:t>
            </w:r>
          </w:p>
        </w:tc>
        <w:tc>
          <w:tcPr>
            <w:tcW w:w="1581" w:type="dxa"/>
            <w:vAlign w:val="center"/>
          </w:tcPr>
          <w:p w14:paraId="1DF554CB">
            <w:pPr>
              <w:keepNext w:val="0"/>
              <w:keepLines w:val="0"/>
              <w:pageBreakBefore w:val="0"/>
              <w:widowControl w:val="0"/>
              <w:kinsoku/>
              <w:wordWrap/>
              <w:overflowPunct/>
              <w:topLinePunct w:val="0"/>
              <w:autoSpaceDE/>
              <w:autoSpaceDN/>
              <w:bidi w:val="0"/>
              <w:adjustRightInd/>
              <w:snapToGrid/>
              <w:spacing w:line="360" w:lineRule="auto"/>
              <w:ind w:left="328"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0.2%</w:t>
            </w:r>
          </w:p>
        </w:tc>
      </w:tr>
      <w:tr w14:paraId="2ABDB2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3474" w:type="dxa"/>
            <w:vAlign w:val="center"/>
          </w:tcPr>
          <w:p w14:paraId="0E76627A">
            <w:pPr>
              <w:keepNext w:val="0"/>
              <w:keepLines w:val="0"/>
              <w:pageBreakBefore w:val="0"/>
              <w:widowControl w:val="0"/>
              <w:kinsoku/>
              <w:wordWrap/>
              <w:overflowPunct/>
              <w:topLinePunct w:val="0"/>
              <w:autoSpaceDE/>
              <w:autoSpaceDN/>
              <w:bidi w:val="0"/>
              <w:adjustRightInd/>
              <w:snapToGrid/>
              <w:spacing w:line="360" w:lineRule="auto"/>
              <w:ind w:left="131"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1</w:t>
            </w:r>
            <w:r>
              <w:rPr>
                <w:rFonts w:hint="eastAsia" w:ascii="宋体" w:hAnsi="宋体" w:cs="宋体"/>
                <w:color w:val="auto"/>
                <w:spacing w:val="0"/>
                <w:position w:val="0"/>
                <w:sz w:val="21"/>
                <w:szCs w:val="21"/>
                <w:highlight w:val="none"/>
                <w:lang w:eastAsia="zh-CN"/>
              </w:rPr>
              <w:t>～</w:t>
            </w:r>
            <w:r>
              <w:rPr>
                <w:rFonts w:ascii="宋体" w:hAnsi="宋体" w:eastAsia="宋体" w:cs="宋体"/>
                <w:color w:val="auto"/>
                <w:spacing w:val="0"/>
                <w:position w:val="0"/>
                <w:sz w:val="21"/>
                <w:szCs w:val="21"/>
                <w:highlight w:val="none"/>
              </w:rPr>
              <w:t>5亿元</w:t>
            </w:r>
          </w:p>
        </w:tc>
        <w:tc>
          <w:tcPr>
            <w:tcW w:w="1579" w:type="dxa"/>
            <w:vAlign w:val="center"/>
          </w:tcPr>
          <w:p w14:paraId="5414AA76">
            <w:pPr>
              <w:keepNext w:val="0"/>
              <w:keepLines w:val="0"/>
              <w:pageBreakBefore w:val="0"/>
              <w:widowControl w:val="0"/>
              <w:kinsoku/>
              <w:wordWrap/>
              <w:overflowPunct/>
              <w:topLinePunct w:val="0"/>
              <w:autoSpaceDE/>
              <w:autoSpaceDN/>
              <w:bidi w:val="0"/>
              <w:adjustRightInd/>
              <w:snapToGrid/>
              <w:spacing w:line="360" w:lineRule="auto"/>
              <w:ind w:left="325"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0.05%</w:t>
            </w:r>
          </w:p>
        </w:tc>
        <w:tc>
          <w:tcPr>
            <w:tcW w:w="1579" w:type="dxa"/>
            <w:vAlign w:val="center"/>
          </w:tcPr>
          <w:p w14:paraId="5C4921F0">
            <w:pPr>
              <w:keepNext w:val="0"/>
              <w:keepLines w:val="0"/>
              <w:pageBreakBefore w:val="0"/>
              <w:widowControl w:val="0"/>
              <w:kinsoku/>
              <w:wordWrap/>
              <w:overflowPunct/>
              <w:topLinePunct w:val="0"/>
              <w:autoSpaceDE/>
              <w:autoSpaceDN/>
              <w:bidi w:val="0"/>
              <w:adjustRightInd/>
              <w:snapToGrid/>
              <w:spacing w:line="360" w:lineRule="auto"/>
              <w:ind w:left="326"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0.05%</w:t>
            </w:r>
          </w:p>
        </w:tc>
        <w:tc>
          <w:tcPr>
            <w:tcW w:w="1581" w:type="dxa"/>
            <w:vAlign w:val="center"/>
          </w:tcPr>
          <w:p w14:paraId="388A7736">
            <w:pPr>
              <w:keepNext w:val="0"/>
              <w:keepLines w:val="0"/>
              <w:pageBreakBefore w:val="0"/>
              <w:widowControl w:val="0"/>
              <w:kinsoku/>
              <w:wordWrap/>
              <w:overflowPunct/>
              <w:topLinePunct w:val="0"/>
              <w:autoSpaceDE/>
              <w:autoSpaceDN/>
              <w:bidi w:val="0"/>
              <w:adjustRightInd/>
              <w:snapToGrid/>
              <w:spacing w:line="360" w:lineRule="auto"/>
              <w:ind w:left="328"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0.05%</w:t>
            </w:r>
          </w:p>
        </w:tc>
      </w:tr>
      <w:tr w14:paraId="43D8DD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3474" w:type="dxa"/>
            <w:vAlign w:val="center"/>
          </w:tcPr>
          <w:p w14:paraId="322F0252">
            <w:pPr>
              <w:keepNext w:val="0"/>
              <w:keepLines w:val="0"/>
              <w:pageBreakBefore w:val="0"/>
              <w:widowControl w:val="0"/>
              <w:kinsoku/>
              <w:wordWrap/>
              <w:overflowPunct/>
              <w:topLinePunct w:val="0"/>
              <w:autoSpaceDE/>
              <w:autoSpaceDN/>
              <w:bidi w:val="0"/>
              <w:adjustRightInd/>
              <w:snapToGrid/>
              <w:spacing w:line="360" w:lineRule="auto"/>
              <w:ind w:left="120"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5</w:t>
            </w:r>
            <w:r>
              <w:rPr>
                <w:rFonts w:hint="eastAsia" w:ascii="宋体" w:hAnsi="宋体" w:cs="宋体"/>
                <w:color w:val="auto"/>
                <w:spacing w:val="0"/>
                <w:position w:val="0"/>
                <w:sz w:val="21"/>
                <w:szCs w:val="21"/>
                <w:highlight w:val="none"/>
                <w:lang w:eastAsia="zh-CN"/>
              </w:rPr>
              <w:t>～</w:t>
            </w:r>
            <w:r>
              <w:rPr>
                <w:rFonts w:ascii="宋体" w:hAnsi="宋体" w:eastAsia="宋体" w:cs="宋体"/>
                <w:color w:val="auto"/>
                <w:spacing w:val="0"/>
                <w:position w:val="0"/>
                <w:sz w:val="21"/>
                <w:szCs w:val="21"/>
                <w:highlight w:val="none"/>
              </w:rPr>
              <w:t>10亿元</w:t>
            </w:r>
          </w:p>
        </w:tc>
        <w:tc>
          <w:tcPr>
            <w:tcW w:w="1579" w:type="dxa"/>
            <w:vAlign w:val="center"/>
          </w:tcPr>
          <w:p w14:paraId="6B701571">
            <w:pPr>
              <w:keepNext w:val="0"/>
              <w:keepLines w:val="0"/>
              <w:pageBreakBefore w:val="0"/>
              <w:widowControl w:val="0"/>
              <w:kinsoku/>
              <w:wordWrap/>
              <w:overflowPunct/>
              <w:topLinePunct w:val="0"/>
              <w:autoSpaceDE/>
              <w:autoSpaceDN/>
              <w:bidi w:val="0"/>
              <w:adjustRightInd/>
              <w:snapToGrid/>
              <w:spacing w:line="360" w:lineRule="auto"/>
              <w:ind w:left="220"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0.035%</w:t>
            </w:r>
          </w:p>
        </w:tc>
        <w:tc>
          <w:tcPr>
            <w:tcW w:w="1579" w:type="dxa"/>
            <w:vAlign w:val="center"/>
          </w:tcPr>
          <w:p w14:paraId="0EB375C7">
            <w:pPr>
              <w:keepNext w:val="0"/>
              <w:keepLines w:val="0"/>
              <w:pageBreakBefore w:val="0"/>
              <w:widowControl w:val="0"/>
              <w:kinsoku/>
              <w:wordWrap/>
              <w:overflowPunct/>
              <w:topLinePunct w:val="0"/>
              <w:autoSpaceDE/>
              <w:autoSpaceDN/>
              <w:bidi w:val="0"/>
              <w:adjustRightInd/>
              <w:snapToGrid/>
              <w:spacing w:line="360" w:lineRule="auto"/>
              <w:ind w:left="326"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0.035%</w:t>
            </w:r>
          </w:p>
        </w:tc>
        <w:tc>
          <w:tcPr>
            <w:tcW w:w="1581" w:type="dxa"/>
            <w:vAlign w:val="center"/>
          </w:tcPr>
          <w:p w14:paraId="7B628C3B">
            <w:pPr>
              <w:keepNext w:val="0"/>
              <w:keepLines w:val="0"/>
              <w:pageBreakBefore w:val="0"/>
              <w:widowControl w:val="0"/>
              <w:kinsoku/>
              <w:wordWrap/>
              <w:overflowPunct/>
              <w:topLinePunct w:val="0"/>
              <w:autoSpaceDE/>
              <w:autoSpaceDN/>
              <w:bidi w:val="0"/>
              <w:adjustRightInd/>
              <w:snapToGrid/>
              <w:spacing w:line="360" w:lineRule="auto"/>
              <w:ind w:left="223" w:firstLine="0" w:firstLineChars="0"/>
              <w:jc w:val="center"/>
              <w:textAlignment w:val="auto"/>
              <w:rPr>
                <w:rFonts w:ascii="宋体" w:hAnsi="宋体" w:eastAsia="宋体" w:cs="宋体"/>
                <w:color w:val="auto"/>
                <w:spacing w:val="0"/>
                <w:position w:val="0"/>
                <w:sz w:val="21"/>
                <w:szCs w:val="21"/>
                <w:highlight w:val="none"/>
              </w:rPr>
            </w:pPr>
            <w:r>
              <w:rPr>
                <w:rFonts w:ascii="宋体" w:hAnsi="宋体" w:eastAsia="宋体" w:cs="宋体"/>
                <w:color w:val="auto"/>
                <w:spacing w:val="0"/>
                <w:position w:val="0"/>
                <w:sz w:val="21"/>
                <w:szCs w:val="21"/>
                <w:highlight w:val="none"/>
              </w:rPr>
              <w:t>0.035%</w:t>
            </w:r>
          </w:p>
        </w:tc>
      </w:tr>
    </w:tbl>
    <w:p w14:paraId="630F32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rPr>
        <w:t>注：招标代理服务收费按差额定率累进法计算。</w:t>
      </w:r>
    </w:p>
    <w:p w14:paraId="54EA5E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rPr>
        <w:t>24.2.解释权</w:t>
      </w:r>
    </w:p>
    <w:p w14:paraId="4E653A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rPr>
        <w:t>解释权属本采购代理机构。</w:t>
      </w:r>
    </w:p>
    <w:p w14:paraId="69ABE1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rPr>
        <w:t>24.3询问、质疑和投诉</w:t>
      </w:r>
    </w:p>
    <w:p w14:paraId="154BF7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rPr>
        <w:t>24.3.1供应商对政府采购活动事项有疑问的，可以向采购人、采购代理机构提出询问，采购人或者采购代理机构应当在3个工作日内对供应商依法提出的询问作出答复。</w:t>
      </w:r>
    </w:p>
    <w:p w14:paraId="530615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rPr>
        <w:t>24.3.2供应商认为竞争性磋商文件、采购过程或成交结果使自己的合法权益受到损害的，应当在知道或者应知其权益受到损害之日起七个工作日内，以书面形式向采购人、采购代理机构提出质疑，接收质疑函的方式、联系部门、联系电话和通讯地址等信息详见“供应商须知前附表”。具体质疑起算时间如下：</w:t>
      </w:r>
    </w:p>
    <w:p w14:paraId="6F1217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1</w:t>
      </w: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对可以质疑的竞争性磋商文件提出质疑的，为收到竞争性磋商文件之日或竞争性磋商公告期限届满之日；</w:t>
      </w:r>
    </w:p>
    <w:p w14:paraId="6F0685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2</w:t>
      </w: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对采购过程提出质疑的，为各采购程序环节结束之日；</w:t>
      </w:r>
    </w:p>
    <w:p w14:paraId="2100B2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3</w:t>
      </w: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对成交结果提出质疑的，为成交结果公告期限届满之日。</w:t>
      </w:r>
    </w:p>
    <w:p w14:paraId="3F3188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rPr>
        <w:t>供应商对采购人或采购代理机构的质疑答复不满意或者采购人或采购代理机构未在规定时间内作出答复的，可以在答复期满后十五个工作日内向同级采购监管部门投诉。</w:t>
      </w:r>
    </w:p>
    <w:p w14:paraId="296177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rPr>
        <w:t>24.3.3供应商提出的询问或者质疑超出采购人对采购代理机构委托授权范围的，采购代理机构应当告知供应商向采购人提出。政府采购评审专家应当配合采购人或者采购代理机构答复供应商的询问和质疑。</w:t>
      </w:r>
    </w:p>
    <w:p w14:paraId="444387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rPr>
        <w:t>24.3.4质疑、投诉应当采用书面形式，质疑函、投诉书均应明确阐述竞争性磋商文件、采购过程或成交结果中使自己合法权益受到损害的实质性内容，提供相关事实、法律依据和证据及其来源或线索，便于有关单位调查、答复和处理。</w:t>
      </w:r>
    </w:p>
    <w:p w14:paraId="2F50FF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rPr>
        <w:t>供应商提出质疑应当提交质疑函和必要的证明材料，针对同一采购程序环节的质疑必须在法定质疑期内一次性提出。质疑函应当包括下列内容：</w:t>
      </w:r>
    </w:p>
    <w:p w14:paraId="3515B9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1</w:t>
      </w: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供应商的姓名或者名称、地址、邮编、联系人及联系电话；</w:t>
      </w:r>
    </w:p>
    <w:p w14:paraId="2D19AA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2</w:t>
      </w: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质疑项目的名称、编号；</w:t>
      </w:r>
    </w:p>
    <w:p w14:paraId="0F80BA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3</w:t>
      </w: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具体、明确的质疑事项和与质疑事项相关的请求；</w:t>
      </w:r>
    </w:p>
    <w:p w14:paraId="4B66C8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4</w:t>
      </w: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事实依据；</w:t>
      </w:r>
    </w:p>
    <w:p w14:paraId="52F910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5</w:t>
      </w: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必要的法律依据；</w:t>
      </w:r>
    </w:p>
    <w:p w14:paraId="457CAF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6</w:t>
      </w: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提出质疑的日期。</w:t>
      </w:r>
    </w:p>
    <w:p w14:paraId="3D443A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rPr>
        <w:t>供应商为自然人的，应当由本人签字；供应商为法人或者其他组织的，应当由法定代表人、主要负责人，或者其委托代理人签字或者盖章，并加盖公章。</w:t>
      </w:r>
    </w:p>
    <w:p w14:paraId="3D2500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rPr>
        <w:t>24.3.5采购人、采购代理机构认为供应商质疑不成立，或者成立但未对成交结果构成影响的，继续开展采购活动；认为供应商质疑成立且影响或者可能影响成交结果的，按照下列情况处理：</w:t>
      </w:r>
    </w:p>
    <w:p w14:paraId="10BBD2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1</w:t>
      </w: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对竞争性磋商文件提出的质疑，依法通过澄清或者修改可以继续开展采购活动的，澄清或者修改竞争性磋商文件后继续开展采购活动；否则应当在修改竞争性磋商文件后重新开展采购活动。</w:t>
      </w:r>
    </w:p>
    <w:p w14:paraId="2DCDB8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2</w:t>
      </w: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对采购过程、成交结果提出的质疑，合格供应商符合法定数量时，可以从合格的成交候选人中另行确定成交供应商的，应当依法另行确定成交供应商；否则应当重新开展采购活动。</w:t>
      </w:r>
    </w:p>
    <w:p w14:paraId="50A900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rPr>
        <w:t>质疑答复导致成交结果改变的，采购人或者采购代理机构应当将有关情况书面报告本级财政部门。</w:t>
      </w:r>
    </w:p>
    <w:p w14:paraId="6220EA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rPr>
        <w:t>24.3.6投诉的权利。质疑供应商对采购人、采购代理机构的答复不满意，或者采购人、采购代理机构未在规定时间内作出答复的，可以在答复期满后15个工作日内向《政府采购质疑和投诉办法》</w:t>
      </w: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财政部令第94号</w:t>
      </w:r>
      <w:r>
        <w:rPr>
          <w:rFonts w:hint="eastAsia" w:ascii="宋体" w:hAnsi="宋体" w:cs="宋体"/>
          <w:b w:val="0"/>
          <w:bCs/>
          <w:color w:val="auto"/>
          <w:spacing w:val="0"/>
          <w:position w:val="0"/>
          <w:szCs w:val="21"/>
          <w:highlight w:val="none"/>
          <w:lang w:eastAsia="zh-CN"/>
        </w:rPr>
        <w:t>）</w:t>
      </w:r>
      <w:r>
        <w:rPr>
          <w:rFonts w:hint="eastAsia" w:ascii="宋体" w:hAnsi="宋体" w:cs="宋体"/>
          <w:b w:val="0"/>
          <w:bCs/>
          <w:color w:val="auto"/>
          <w:spacing w:val="0"/>
          <w:position w:val="0"/>
          <w:szCs w:val="21"/>
          <w:highlight w:val="none"/>
        </w:rPr>
        <w:t>第六条规定的财政部门提起投诉。</w:t>
      </w:r>
    </w:p>
    <w:p w14:paraId="47379B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color w:val="auto"/>
          <w:spacing w:val="0"/>
          <w:position w:val="0"/>
          <w:szCs w:val="21"/>
          <w:highlight w:val="none"/>
        </w:rPr>
      </w:pPr>
      <w:r>
        <w:rPr>
          <w:rFonts w:hint="eastAsia" w:ascii="宋体" w:hAnsi="宋体" w:cs="宋体"/>
          <w:b w:val="0"/>
          <w:bCs/>
          <w:color w:val="auto"/>
          <w:spacing w:val="0"/>
          <w:position w:val="0"/>
          <w:szCs w:val="21"/>
          <w:highlight w:val="none"/>
        </w:rPr>
        <w:t>所有与本磋商文件有关的函件请按下列通讯地址联系：</w:t>
      </w:r>
    </w:p>
    <w:p w14:paraId="0B64C97A">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rPr>
        <w:t>通讯地址：</w:t>
      </w:r>
      <w:r>
        <w:rPr>
          <w:rFonts w:hint="eastAsia" w:ascii="宋体" w:hAnsi="宋体" w:cs="宋体"/>
          <w:color w:val="auto"/>
          <w:sz w:val="21"/>
          <w:szCs w:val="21"/>
          <w:lang w:val="en-US" w:eastAsia="zh-CN"/>
        </w:rPr>
        <w:t xml:space="preserve">浦北县晨华广场64栋-111号（二楼）  </w:t>
      </w:r>
    </w:p>
    <w:p w14:paraId="6937B7E5">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default" w:ascii="宋体" w:hAnsi="宋体" w:eastAsia="宋体" w:cs="宋体"/>
          <w:b w:val="0"/>
          <w:bCs/>
          <w:color w:val="auto"/>
          <w:szCs w:val="21"/>
          <w:highlight w:val="none"/>
          <w:lang w:val="en-US" w:eastAsia="zh-CN"/>
        </w:rPr>
      </w:pPr>
      <w:r>
        <w:rPr>
          <w:rFonts w:hint="eastAsia" w:ascii="宋体" w:hAnsi="宋体" w:cs="宋体"/>
          <w:b w:val="0"/>
          <w:bCs/>
          <w:color w:val="auto"/>
          <w:szCs w:val="21"/>
          <w:highlight w:val="none"/>
        </w:rPr>
        <w:t xml:space="preserve">电话： </w:t>
      </w:r>
      <w:r>
        <w:rPr>
          <w:rFonts w:hint="eastAsia" w:ascii="宋体" w:hAnsi="宋体" w:cs="宋体"/>
          <w:b w:val="0"/>
          <w:bCs/>
          <w:color w:val="auto"/>
          <w:szCs w:val="21"/>
          <w:highlight w:val="none"/>
          <w:lang w:eastAsia="zh-CN"/>
        </w:rPr>
        <w:t>0777-</w:t>
      </w:r>
      <w:r>
        <w:rPr>
          <w:rFonts w:hint="eastAsia" w:ascii="宋体" w:hAnsi="宋体" w:cs="宋体"/>
          <w:b w:val="0"/>
          <w:bCs/>
          <w:color w:val="auto"/>
          <w:szCs w:val="21"/>
          <w:highlight w:val="none"/>
          <w:lang w:val="en-US" w:eastAsia="zh-CN"/>
        </w:rPr>
        <w:t>8381599</w:t>
      </w:r>
    </w:p>
    <w:p w14:paraId="41E562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pacing w:val="0"/>
          <w:position w:val="0"/>
          <w:szCs w:val="21"/>
          <w:highlight w:val="none"/>
          <w:lang w:val="en-US" w:eastAsia="zh-CN"/>
        </w:rPr>
      </w:pPr>
    </w:p>
    <w:p w14:paraId="23F2AA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b w:val="0"/>
          <w:bCs/>
          <w:color w:val="auto"/>
          <w:spacing w:val="0"/>
          <w:position w:val="0"/>
          <w:szCs w:val="21"/>
          <w:highlight w:val="none"/>
        </w:rPr>
      </w:pPr>
    </w:p>
    <w:p w14:paraId="12E64F0A">
      <w:pPr>
        <w:pStyle w:val="15"/>
        <w:rPr>
          <w:rFonts w:ascii="宋体" w:hAnsi="宋体" w:cs="宋体"/>
          <w:b w:val="0"/>
          <w:bCs/>
          <w:color w:val="auto"/>
          <w:spacing w:val="0"/>
          <w:position w:val="0"/>
          <w:szCs w:val="21"/>
          <w:highlight w:val="none"/>
        </w:rPr>
      </w:pPr>
    </w:p>
    <w:p w14:paraId="0D705466">
      <w:pPr>
        <w:pStyle w:val="15"/>
        <w:rPr>
          <w:rFonts w:ascii="宋体" w:hAnsi="宋体" w:cs="宋体"/>
          <w:b w:val="0"/>
          <w:bCs/>
          <w:color w:val="auto"/>
          <w:spacing w:val="0"/>
          <w:position w:val="0"/>
          <w:szCs w:val="21"/>
          <w:highlight w:val="none"/>
        </w:rPr>
      </w:pPr>
    </w:p>
    <w:p w14:paraId="6D9A4ECF">
      <w:pPr>
        <w:jc w:val="center"/>
        <w:outlineLvl w:val="0"/>
        <w:rPr>
          <w:rFonts w:hint="eastAsia" w:ascii="宋体" w:hAnsi="宋体" w:cs="宋体"/>
          <w:b/>
          <w:bCs/>
          <w:color w:val="auto"/>
          <w:spacing w:val="0"/>
          <w:kern w:val="0"/>
          <w:position w:val="0"/>
          <w:sz w:val="36"/>
          <w:szCs w:val="36"/>
          <w:highlight w:val="none"/>
        </w:rPr>
      </w:pPr>
      <w:bookmarkStart w:id="65" w:name="_Toc26558"/>
      <w:r>
        <w:rPr>
          <w:rFonts w:hint="eastAsia" w:ascii="宋体" w:hAnsi="宋体" w:cs="宋体"/>
          <w:b/>
          <w:bCs/>
          <w:color w:val="auto"/>
          <w:spacing w:val="0"/>
          <w:kern w:val="0"/>
          <w:position w:val="0"/>
          <w:sz w:val="36"/>
          <w:szCs w:val="36"/>
          <w:highlight w:val="none"/>
        </w:rPr>
        <w:t>第三章  项目基本情况及要求</w:t>
      </w:r>
      <w:bookmarkEnd w:id="65"/>
    </w:p>
    <w:p w14:paraId="33DBCCF6">
      <w:pPr>
        <w:pStyle w:val="38"/>
        <w:ind w:firstLine="915"/>
        <w:rPr>
          <w:color w:val="auto"/>
          <w:spacing w:val="0"/>
          <w:position w:val="0"/>
          <w:highlight w:val="none"/>
        </w:rPr>
      </w:pPr>
    </w:p>
    <w:p w14:paraId="05074D3B">
      <w:pPr>
        <w:spacing w:line="360" w:lineRule="auto"/>
        <w:jc w:val="left"/>
        <w:rPr>
          <w:rFonts w:hint="eastAsia" w:ascii="宋体" w:hAnsi="宋体" w:cs="宋体"/>
          <w:color w:val="auto"/>
          <w:spacing w:val="0"/>
          <w:position w:val="0"/>
          <w:szCs w:val="21"/>
          <w:highlight w:val="none"/>
        </w:rPr>
      </w:pPr>
      <w:r>
        <w:rPr>
          <w:rFonts w:hint="eastAsia" w:ascii="宋体" w:hAnsi="宋体" w:cs="宋体"/>
          <w:color w:val="auto"/>
          <w:spacing w:val="0"/>
          <w:position w:val="0"/>
          <w:szCs w:val="21"/>
          <w:highlight w:val="none"/>
        </w:rPr>
        <w:t>说明：</w:t>
      </w:r>
    </w:p>
    <w:p w14:paraId="7906813D">
      <w:pPr>
        <w:spacing w:line="360" w:lineRule="auto"/>
        <w:ind w:firstLine="424" w:firstLineChars="202"/>
        <w:jc w:val="left"/>
        <w:rPr>
          <w:rFonts w:hint="eastAsia" w:ascii="宋体" w:hAnsi="宋体" w:cs="宋体"/>
          <w:color w:val="auto"/>
          <w:spacing w:val="0"/>
          <w:position w:val="0"/>
          <w:szCs w:val="21"/>
          <w:highlight w:val="none"/>
          <w:lang w:eastAsia="zh-CN"/>
        </w:rPr>
      </w:pPr>
      <w:r>
        <w:rPr>
          <w:rFonts w:hint="eastAsia" w:ascii="宋体" w:hAnsi="宋体" w:cs="宋体"/>
          <w:color w:val="auto"/>
          <w:spacing w:val="0"/>
          <w:position w:val="0"/>
          <w:szCs w:val="21"/>
          <w:highlight w:val="none"/>
          <w:lang w:val="en-US" w:eastAsia="zh-CN"/>
        </w:rPr>
        <w:t>1.</w:t>
      </w:r>
      <w:r>
        <w:rPr>
          <w:rFonts w:hint="eastAsia" w:ascii="宋体" w:hAnsi="宋体" w:cs="宋体"/>
          <w:color w:val="auto"/>
          <w:spacing w:val="0"/>
          <w:position w:val="0"/>
          <w:szCs w:val="21"/>
          <w:highlight w:val="none"/>
          <w:lang w:eastAsia="zh-CN"/>
        </w:rPr>
        <w:t>供应商必须自行为其竞标产品侵犯他人的知识产权或者专利成果的行为承担相应法律责任。</w:t>
      </w:r>
    </w:p>
    <w:p w14:paraId="62307E37">
      <w:pPr>
        <w:spacing w:line="360" w:lineRule="auto"/>
        <w:ind w:firstLine="424" w:firstLineChars="202"/>
        <w:jc w:val="left"/>
        <w:rPr>
          <w:rFonts w:hint="eastAsia" w:ascii="宋体" w:hAnsi="宋体" w:eastAsia="宋体" w:cs="宋体"/>
          <w:color w:val="auto"/>
          <w:spacing w:val="0"/>
          <w:position w:val="0"/>
          <w:szCs w:val="21"/>
          <w:highlight w:val="none"/>
          <w:lang w:val="en-US" w:eastAsia="zh-CN"/>
        </w:rPr>
      </w:pPr>
      <w:bookmarkStart w:id="66" w:name="_Toc20069"/>
      <w:r>
        <w:rPr>
          <w:rFonts w:hint="eastAsia" w:ascii="宋体" w:hAnsi="宋体" w:cs="宋体"/>
          <w:color w:val="auto"/>
          <w:spacing w:val="0"/>
          <w:position w:val="0"/>
          <w:szCs w:val="21"/>
          <w:highlight w:val="none"/>
          <w:lang w:val="en-US" w:eastAsia="zh-CN"/>
        </w:rPr>
        <w:t>2</w:t>
      </w:r>
      <w:r>
        <w:rPr>
          <w:rFonts w:hint="eastAsia" w:ascii="宋体" w:hAnsi="宋体" w:eastAsia="宋体" w:cs="宋体"/>
          <w:color w:val="auto"/>
          <w:spacing w:val="0"/>
          <w:position w:val="0"/>
          <w:szCs w:val="21"/>
          <w:highlight w:val="none"/>
          <w:lang w:val="en-US" w:eastAsia="zh-CN"/>
        </w:rPr>
        <w:t>、采购范围详见：</w:t>
      </w:r>
      <w:r>
        <w:rPr>
          <w:rFonts w:hint="eastAsia" w:ascii="宋体" w:hAnsi="宋体" w:cs="宋体"/>
          <w:color w:val="auto"/>
          <w:spacing w:val="0"/>
          <w:position w:val="0"/>
          <w:szCs w:val="21"/>
          <w:highlight w:val="none"/>
          <w:lang w:val="en-US" w:eastAsia="zh-CN"/>
        </w:rPr>
        <w:t>工程量清单</w:t>
      </w:r>
      <w:r>
        <w:rPr>
          <w:rFonts w:hint="eastAsia" w:ascii="宋体" w:hAnsi="宋体" w:eastAsia="宋体" w:cs="宋体"/>
          <w:color w:val="auto"/>
          <w:spacing w:val="0"/>
          <w:position w:val="0"/>
          <w:szCs w:val="21"/>
          <w:highlight w:val="none"/>
          <w:lang w:val="en-US" w:eastAsia="zh-CN"/>
        </w:rPr>
        <w:t>（另册）。</w:t>
      </w:r>
    </w:p>
    <w:p w14:paraId="7FF9F9B3">
      <w:pPr>
        <w:spacing w:line="360" w:lineRule="auto"/>
        <w:ind w:firstLine="424" w:firstLineChars="202"/>
        <w:jc w:val="left"/>
        <w:rPr>
          <w:rFonts w:hint="eastAsia" w:ascii="宋体" w:hAnsi="宋体" w:eastAsia="宋体" w:cs="宋体"/>
          <w:color w:val="auto"/>
          <w:spacing w:val="0"/>
          <w:position w:val="0"/>
          <w:szCs w:val="21"/>
          <w:highlight w:val="none"/>
          <w:lang w:val="en-US" w:eastAsia="zh-CN"/>
        </w:rPr>
      </w:pPr>
      <w:r>
        <w:rPr>
          <w:rFonts w:hint="eastAsia" w:ascii="宋体" w:hAnsi="宋体" w:cs="宋体"/>
          <w:color w:val="auto"/>
          <w:spacing w:val="0"/>
          <w:position w:val="0"/>
          <w:szCs w:val="21"/>
          <w:highlight w:val="none"/>
          <w:lang w:val="en-US" w:eastAsia="zh-CN"/>
        </w:rPr>
        <w:t>3、</w:t>
      </w:r>
      <w:r>
        <w:rPr>
          <w:rFonts w:hint="eastAsia" w:ascii="宋体" w:hAnsi="宋体" w:eastAsia="宋体" w:cs="宋体"/>
          <w:color w:val="auto"/>
          <w:spacing w:val="0"/>
          <w:position w:val="0"/>
          <w:szCs w:val="21"/>
          <w:highlight w:val="none"/>
          <w:lang w:val="en-US" w:eastAsia="zh-CN"/>
        </w:rPr>
        <w:t>“实质性要求”是指招标文件中已经指明不满足则投标无效的条款，或者不能负偏离的条款，或者</w:t>
      </w:r>
      <w:r>
        <w:rPr>
          <w:rFonts w:hint="eastAsia" w:ascii="宋体" w:hAnsi="宋体" w:cs="宋体"/>
          <w:color w:val="auto"/>
          <w:spacing w:val="0"/>
          <w:position w:val="0"/>
          <w:szCs w:val="21"/>
          <w:highlight w:val="none"/>
          <w:lang w:val="en-US" w:eastAsia="zh-CN"/>
        </w:rPr>
        <w:t>“</w:t>
      </w:r>
      <w:r>
        <w:rPr>
          <w:rFonts w:hint="eastAsia" w:ascii="宋体" w:hAnsi="宋体" w:eastAsia="宋体" w:cs="宋体"/>
          <w:color w:val="auto"/>
          <w:spacing w:val="0"/>
          <w:position w:val="0"/>
          <w:szCs w:val="21"/>
          <w:highlight w:val="none"/>
          <w:lang w:val="en-US" w:eastAsia="zh-CN"/>
        </w:rPr>
        <w:t>项目基本情况及要求</w:t>
      </w:r>
      <w:r>
        <w:rPr>
          <w:rFonts w:hint="eastAsia" w:ascii="宋体" w:hAnsi="宋体" w:cs="宋体"/>
          <w:color w:val="auto"/>
          <w:spacing w:val="0"/>
          <w:position w:val="0"/>
          <w:szCs w:val="21"/>
          <w:highlight w:val="none"/>
          <w:lang w:val="en-US" w:eastAsia="zh-CN"/>
        </w:rPr>
        <w:t>”</w:t>
      </w:r>
      <w:r>
        <w:rPr>
          <w:rFonts w:hint="eastAsia" w:ascii="宋体" w:hAnsi="宋体" w:eastAsia="宋体" w:cs="宋体"/>
          <w:color w:val="auto"/>
          <w:spacing w:val="0"/>
          <w:position w:val="0"/>
          <w:szCs w:val="21"/>
          <w:highlight w:val="none"/>
          <w:lang w:val="en-US" w:eastAsia="zh-CN"/>
        </w:rPr>
        <w:t>中带“▲”的条款</w:t>
      </w:r>
    </w:p>
    <w:p w14:paraId="30ED1158">
      <w:pPr>
        <w:spacing w:line="360" w:lineRule="auto"/>
        <w:ind w:firstLine="424" w:firstLineChars="202"/>
        <w:jc w:val="left"/>
        <w:rPr>
          <w:rFonts w:hint="eastAsia" w:ascii="宋体" w:hAnsi="宋体" w:eastAsia="宋体" w:cs="宋体"/>
          <w:color w:val="auto"/>
          <w:spacing w:val="0"/>
          <w:position w:val="0"/>
          <w:szCs w:val="21"/>
          <w:highlight w:val="none"/>
          <w:lang w:val="en-US" w:eastAsia="zh-CN"/>
        </w:rPr>
      </w:pPr>
      <w:r>
        <w:rPr>
          <w:rFonts w:hint="eastAsia" w:ascii="宋体" w:hAnsi="宋体" w:eastAsia="宋体" w:cs="宋体"/>
          <w:color w:val="auto"/>
          <w:spacing w:val="0"/>
          <w:position w:val="0"/>
          <w:szCs w:val="21"/>
          <w:highlight w:val="none"/>
          <w:lang w:val="en-US" w:eastAsia="zh-CN"/>
        </w:rPr>
        <w:t>▲</w:t>
      </w:r>
      <w:r>
        <w:rPr>
          <w:rFonts w:hint="eastAsia" w:ascii="宋体" w:hAnsi="宋体" w:cs="宋体"/>
          <w:color w:val="auto"/>
          <w:spacing w:val="0"/>
          <w:position w:val="0"/>
          <w:szCs w:val="21"/>
          <w:highlight w:val="none"/>
          <w:lang w:val="en-US" w:eastAsia="zh-CN"/>
        </w:rPr>
        <w:t>4</w:t>
      </w:r>
      <w:r>
        <w:rPr>
          <w:rFonts w:hint="eastAsia" w:ascii="宋体" w:hAnsi="宋体" w:eastAsia="宋体" w:cs="宋体"/>
          <w:color w:val="auto"/>
          <w:spacing w:val="0"/>
          <w:position w:val="0"/>
          <w:szCs w:val="21"/>
          <w:highlight w:val="none"/>
          <w:lang w:val="en-US" w:eastAsia="zh-CN"/>
        </w:rPr>
        <w:t>、商务条款：</w:t>
      </w:r>
    </w:p>
    <w:p w14:paraId="032C979C">
      <w:pPr>
        <w:spacing w:line="360" w:lineRule="auto"/>
        <w:ind w:firstLine="424" w:firstLineChars="202"/>
        <w:jc w:val="left"/>
        <w:rPr>
          <w:rFonts w:hint="eastAsia" w:ascii="宋体" w:hAnsi="宋体" w:eastAsia="宋体" w:cs="宋体"/>
          <w:color w:val="auto"/>
          <w:spacing w:val="0"/>
          <w:position w:val="0"/>
          <w:szCs w:val="21"/>
          <w:highlight w:val="none"/>
          <w:lang w:val="en-US" w:eastAsia="zh-CN"/>
        </w:rPr>
      </w:pPr>
      <w:r>
        <w:rPr>
          <w:rFonts w:hint="eastAsia" w:ascii="宋体" w:hAnsi="宋体" w:eastAsia="宋体" w:cs="宋体"/>
          <w:color w:val="auto"/>
          <w:spacing w:val="0"/>
          <w:position w:val="0"/>
          <w:szCs w:val="21"/>
          <w:highlight w:val="none"/>
          <w:lang w:val="en-US" w:eastAsia="zh-CN"/>
        </w:rPr>
        <w:t>质量标准：达到合格标准；</w:t>
      </w:r>
    </w:p>
    <w:p w14:paraId="5EB395C2">
      <w:pPr>
        <w:spacing w:line="360" w:lineRule="auto"/>
        <w:ind w:firstLine="424" w:firstLineChars="202"/>
        <w:jc w:val="left"/>
        <w:rPr>
          <w:rFonts w:hint="eastAsia" w:ascii="宋体" w:hAnsi="宋体" w:eastAsia="宋体" w:cs="宋体"/>
          <w:color w:val="auto"/>
          <w:spacing w:val="0"/>
          <w:position w:val="0"/>
          <w:szCs w:val="21"/>
          <w:highlight w:val="none"/>
          <w:lang w:val="en-US" w:eastAsia="zh-CN"/>
        </w:rPr>
      </w:pPr>
      <w:r>
        <w:rPr>
          <w:rFonts w:hint="eastAsia" w:ascii="宋体" w:hAnsi="宋体" w:eastAsia="宋体" w:cs="宋体"/>
          <w:color w:val="auto"/>
          <w:spacing w:val="0"/>
          <w:position w:val="0"/>
          <w:szCs w:val="21"/>
          <w:highlight w:val="none"/>
          <w:lang w:val="en-US" w:eastAsia="zh-CN"/>
        </w:rPr>
        <w:t>工期要求：</w:t>
      </w:r>
      <w:r>
        <w:rPr>
          <w:rFonts w:hint="eastAsia" w:ascii="宋体" w:hAnsi="宋体" w:cs="宋体"/>
          <w:color w:val="auto"/>
          <w:spacing w:val="0"/>
          <w:position w:val="0"/>
          <w:szCs w:val="21"/>
          <w:highlight w:val="none"/>
          <w:lang w:val="en-US" w:eastAsia="zh-CN"/>
        </w:rPr>
        <w:t>60</w:t>
      </w:r>
      <w:r>
        <w:rPr>
          <w:rFonts w:hint="eastAsia" w:ascii="宋体" w:hAnsi="宋体" w:eastAsia="宋体" w:cs="宋体"/>
          <w:color w:val="auto"/>
          <w:spacing w:val="0"/>
          <w:position w:val="0"/>
          <w:szCs w:val="21"/>
          <w:highlight w:val="none"/>
          <w:lang w:val="en-US" w:eastAsia="zh-CN"/>
        </w:rPr>
        <w:t>个日历天；</w:t>
      </w:r>
    </w:p>
    <w:p w14:paraId="6E7FAD98">
      <w:pPr>
        <w:spacing w:line="360" w:lineRule="auto"/>
        <w:ind w:firstLine="424" w:firstLineChars="202"/>
        <w:jc w:val="left"/>
        <w:rPr>
          <w:rFonts w:hint="eastAsia" w:ascii="宋体" w:hAnsi="宋体" w:eastAsia="宋体" w:cs="宋体"/>
          <w:color w:val="auto"/>
          <w:spacing w:val="0"/>
          <w:position w:val="0"/>
          <w:szCs w:val="21"/>
          <w:highlight w:val="none"/>
          <w:lang w:val="en-US" w:eastAsia="zh-CN"/>
        </w:rPr>
      </w:pPr>
      <w:r>
        <w:rPr>
          <w:rFonts w:hint="eastAsia" w:ascii="宋体" w:hAnsi="宋体" w:eastAsia="宋体" w:cs="宋体"/>
          <w:color w:val="auto"/>
          <w:spacing w:val="0"/>
          <w:position w:val="0"/>
          <w:szCs w:val="21"/>
          <w:highlight w:val="none"/>
          <w:lang w:val="en-US" w:eastAsia="zh-CN"/>
        </w:rPr>
        <w:t>付款方式：合同内进度款支付限额为己完成工程量的90%，工程变更部分进度款支付限额为已完成工程量的80%;工程完工验收达到质量要求，结算经浦北县审计中心审定后，工程款支付至结算总价的97%;发包人按工程价款结算总额的3%预留工程质量保修金，待工程缺陷责任期满后返还。</w:t>
      </w:r>
    </w:p>
    <w:p w14:paraId="0B4E5550">
      <w:pPr>
        <w:spacing w:line="360" w:lineRule="auto"/>
        <w:ind w:firstLine="424" w:firstLineChars="202"/>
        <w:jc w:val="left"/>
        <w:rPr>
          <w:rFonts w:hint="eastAsia" w:ascii="宋体" w:hAnsi="宋体" w:eastAsia="宋体" w:cs="宋体"/>
          <w:color w:val="auto"/>
          <w:spacing w:val="0"/>
          <w:position w:val="0"/>
          <w:szCs w:val="21"/>
          <w:highlight w:val="none"/>
          <w:lang w:val="en-US" w:eastAsia="zh-CN"/>
        </w:rPr>
      </w:pPr>
      <w:r>
        <w:rPr>
          <w:rFonts w:hint="eastAsia" w:ascii="宋体" w:hAnsi="宋体" w:eastAsia="宋体" w:cs="宋体"/>
          <w:color w:val="auto"/>
          <w:spacing w:val="0"/>
          <w:position w:val="0"/>
          <w:szCs w:val="21"/>
          <w:highlight w:val="none"/>
          <w:lang w:val="en-US" w:eastAsia="zh-CN"/>
        </w:rPr>
        <w:t>报价方式：工程量清单报价；</w:t>
      </w:r>
    </w:p>
    <w:p w14:paraId="58076BBB">
      <w:pPr>
        <w:spacing w:line="360" w:lineRule="auto"/>
        <w:ind w:firstLine="424" w:firstLineChars="202"/>
        <w:jc w:val="left"/>
        <w:rPr>
          <w:rFonts w:hint="eastAsia" w:ascii="宋体" w:hAnsi="宋体" w:eastAsia="宋体" w:cs="宋体"/>
          <w:color w:val="auto"/>
          <w:spacing w:val="0"/>
          <w:position w:val="0"/>
          <w:szCs w:val="21"/>
          <w:highlight w:val="none"/>
          <w:lang w:val="en-US" w:eastAsia="zh-CN"/>
        </w:rPr>
      </w:pPr>
      <w:r>
        <w:rPr>
          <w:rFonts w:hint="eastAsia" w:ascii="宋体" w:hAnsi="宋体" w:eastAsia="宋体" w:cs="宋体"/>
          <w:color w:val="auto"/>
          <w:spacing w:val="0"/>
          <w:position w:val="0"/>
          <w:szCs w:val="21"/>
          <w:highlight w:val="none"/>
          <w:lang w:val="en-US" w:eastAsia="zh-CN"/>
        </w:rPr>
        <w:t>合同签订期：中标通知书发出之日起25日内；</w:t>
      </w:r>
    </w:p>
    <w:p w14:paraId="365FD100">
      <w:pPr>
        <w:spacing w:line="360" w:lineRule="auto"/>
        <w:ind w:firstLine="424" w:firstLineChars="202"/>
        <w:jc w:val="left"/>
        <w:rPr>
          <w:rFonts w:hint="eastAsia" w:ascii="宋体" w:hAnsi="宋体" w:eastAsia="宋体" w:cs="宋体"/>
          <w:color w:val="auto"/>
          <w:spacing w:val="0"/>
          <w:position w:val="0"/>
          <w:szCs w:val="21"/>
          <w:highlight w:val="none"/>
          <w:lang w:val="en-US" w:eastAsia="zh-CN"/>
        </w:rPr>
      </w:pPr>
      <w:r>
        <w:rPr>
          <w:rFonts w:hint="eastAsia" w:ascii="宋体" w:hAnsi="宋体" w:eastAsia="宋体" w:cs="宋体"/>
          <w:color w:val="auto"/>
          <w:spacing w:val="0"/>
          <w:position w:val="0"/>
          <w:szCs w:val="21"/>
          <w:highlight w:val="none"/>
          <w:lang w:val="en-US" w:eastAsia="zh-CN"/>
        </w:rPr>
        <w:t>项目地址：浦北县</w:t>
      </w:r>
      <w:r>
        <w:rPr>
          <w:rFonts w:hint="eastAsia" w:ascii="宋体" w:hAnsi="宋体" w:cs="宋体"/>
          <w:color w:val="auto"/>
          <w:spacing w:val="0"/>
          <w:position w:val="0"/>
          <w:szCs w:val="21"/>
          <w:highlight w:val="none"/>
          <w:lang w:val="en-US" w:eastAsia="zh-CN"/>
        </w:rPr>
        <w:t>乐民镇。</w:t>
      </w:r>
    </w:p>
    <w:p w14:paraId="6C4D8502">
      <w:pPr>
        <w:spacing w:line="360" w:lineRule="auto"/>
        <w:ind w:firstLine="424" w:firstLineChars="202"/>
        <w:jc w:val="left"/>
        <w:rPr>
          <w:rFonts w:hint="eastAsia" w:ascii="宋体" w:hAnsi="宋体" w:eastAsia="宋体" w:cs="宋体"/>
          <w:color w:val="auto"/>
          <w:spacing w:val="0"/>
          <w:position w:val="0"/>
          <w:szCs w:val="21"/>
          <w:highlight w:val="none"/>
          <w:lang w:val="en-US" w:eastAsia="zh-CN"/>
        </w:rPr>
      </w:pPr>
      <w:r>
        <w:rPr>
          <w:rFonts w:hint="eastAsia" w:ascii="宋体" w:hAnsi="宋体" w:eastAsia="宋体" w:cs="宋体"/>
          <w:color w:val="auto"/>
          <w:spacing w:val="0"/>
          <w:position w:val="0"/>
          <w:szCs w:val="21"/>
          <w:highlight w:val="none"/>
          <w:lang w:val="en-US" w:eastAsia="zh-CN"/>
        </w:rPr>
        <w:t>3、本项目所属行业：建筑业</w:t>
      </w:r>
    </w:p>
    <w:p w14:paraId="03CF2562">
      <w:pPr>
        <w:pStyle w:val="13"/>
        <w:numPr>
          <w:ilvl w:val="0"/>
          <w:numId w:val="0"/>
        </w:numPr>
        <w:spacing w:line="360" w:lineRule="auto"/>
        <w:ind w:leftChars="0"/>
        <w:jc w:val="both"/>
        <w:outlineLvl w:val="0"/>
        <w:rPr>
          <w:rFonts w:hint="eastAsia" w:ascii="黑体" w:hAnsi="宋体" w:eastAsia="黑体" w:cs="Times New Roman"/>
          <w:b/>
          <w:bCs/>
          <w:color w:val="auto"/>
          <w:spacing w:val="0"/>
          <w:kern w:val="0"/>
          <w:position w:val="0"/>
          <w:sz w:val="36"/>
          <w:szCs w:val="36"/>
          <w:highlight w:val="none"/>
          <w:lang w:val="en-US" w:eastAsia="zh-CN"/>
        </w:rPr>
      </w:pPr>
    </w:p>
    <w:p w14:paraId="41C3EBC7">
      <w:pPr>
        <w:pStyle w:val="13"/>
        <w:numPr>
          <w:ilvl w:val="0"/>
          <w:numId w:val="0"/>
        </w:numPr>
        <w:spacing w:line="360" w:lineRule="auto"/>
        <w:ind w:leftChars="0"/>
        <w:jc w:val="center"/>
        <w:outlineLvl w:val="0"/>
        <w:rPr>
          <w:rFonts w:hint="eastAsia" w:ascii="黑体" w:hAnsi="宋体" w:eastAsia="黑体" w:cs="Times New Roman"/>
          <w:b/>
          <w:bCs/>
          <w:color w:val="auto"/>
          <w:spacing w:val="0"/>
          <w:kern w:val="0"/>
          <w:position w:val="0"/>
          <w:sz w:val="36"/>
          <w:szCs w:val="36"/>
          <w:highlight w:val="none"/>
          <w:lang w:val="en-US" w:eastAsia="zh-CN"/>
        </w:rPr>
      </w:pPr>
    </w:p>
    <w:p w14:paraId="502FC492">
      <w:pPr>
        <w:pStyle w:val="13"/>
        <w:numPr>
          <w:ilvl w:val="0"/>
          <w:numId w:val="0"/>
        </w:numPr>
        <w:spacing w:line="360" w:lineRule="auto"/>
        <w:ind w:leftChars="0"/>
        <w:jc w:val="center"/>
        <w:outlineLvl w:val="0"/>
        <w:rPr>
          <w:rFonts w:hint="eastAsia" w:ascii="黑体" w:hAnsi="宋体" w:eastAsia="黑体" w:cs="Times New Roman"/>
          <w:b/>
          <w:bCs/>
          <w:color w:val="auto"/>
          <w:spacing w:val="0"/>
          <w:kern w:val="0"/>
          <w:position w:val="0"/>
          <w:sz w:val="36"/>
          <w:szCs w:val="36"/>
          <w:highlight w:val="none"/>
          <w:lang w:val="en-US" w:eastAsia="zh-CN"/>
        </w:rPr>
      </w:pPr>
    </w:p>
    <w:p w14:paraId="14F31D1E">
      <w:pPr>
        <w:pStyle w:val="13"/>
        <w:numPr>
          <w:ilvl w:val="0"/>
          <w:numId w:val="0"/>
        </w:numPr>
        <w:spacing w:line="360" w:lineRule="auto"/>
        <w:ind w:leftChars="0"/>
        <w:jc w:val="center"/>
        <w:outlineLvl w:val="0"/>
        <w:rPr>
          <w:rFonts w:hint="eastAsia" w:ascii="黑体" w:hAnsi="宋体" w:eastAsia="黑体" w:cs="Times New Roman"/>
          <w:b/>
          <w:bCs/>
          <w:color w:val="auto"/>
          <w:spacing w:val="0"/>
          <w:kern w:val="0"/>
          <w:position w:val="0"/>
          <w:sz w:val="36"/>
          <w:szCs w:val="36"/>
          <w:highlight w:val="none"/>
          <w:lang w:val="en-US" w:eastAsia="zh-CN"/>
        </w:rPr>
      </w:pPr>
    </w:p>
    <w:p w14:paraId="785382C5">
      <w:pPr>
        <w:pStyle w:val="13"/>
        <w:numPr>
          <w:ilvl w:val="0"/>
          <w:numId w:val="0"/>
        </w:numPr>
        <w:spacing w:line="360" w:lineRule="auto"/>
        <w:ind w:leftChars="0"/>
        <w:jc w:val="center"/>
        <w:outlineLvl w:val="0"/>
        <w:rPr>
          <w:rFonts w:hint="eastAsia" w:ascii="黑体" w:hAnsi="宋体" w:eastAsia="黑体" w:cs="Times New Roman"/>
          <w:b/>
          <w:bCs/>
          <w:color w:val="auto"/>
          <w:spacing w:val="0"/>
          <w:kern w:val="0"/>
          <w:position w:val="0"/>
          <w:sz w:val="36"/>
          <w:szCs w:val="36"/>
          <w:highlight w:val="none"/>
          <w:lang w:val="en-US" w:eastAsia="zh-CN"/>
        </w:rPr>
      </w:pPr>
    </w:p>
    <w:p w14:paraId="54995E1A">
      <w:pPr>
        <w:pStyle w:val="13"/>
        <w:numPr>
          <w:ilvl w:val="0"/>
          <w:numId w:val="0"/>
        </w:numPr>
        <w:spacing w:line="360" w:lineRule="auto"/>
        <w:ind w:leftChars="0"/>
        <w:jc w:val="center"/>
        <w:outlineLvl w:val="0"/>
        <w:rPr>
          <w:rFonts w:hint="eastAsia" w:ascii="黑体" w:hAnsi="宋体" w:eastAsia="黑体" w:cs="Times New Roman"/>
          <w:b/>
          <w:bCs/>
          <w:color w:val="auto"/>
          <w:spacing w:val="0"/>
          <w:kern w:val="0"/>
          <w:position w:val="0"/>
          <w:sz w:val="36"/>
          <w:szCs w:val="36"/>
          <w:highlight w:val="none"/>
          <w:lang w:val="en-US" w:eastAsia="zh-CN"/>
        </w:rPr>
      </w:pPr>
    </w:p>
    <w:p w14:paraId="1B45525F">
      <w:pPr>
        <w:pStyle w:val="13"/>
        <w:numPr>
          <w:ilvl w:val="0"/>
          <w:numId w:val="0"/>
        </w:numPr>
        <w:spacing w:line="360" w:lineRule="auto"/>
        <w:ind w:leftChars="0"/>
        <w:jc w:val="center"/>
        <w:outlineLvl w:val="0"/>
        <w:rPr>
          <w:rFonts w:hint="eastAsia" w:ascii="黑体" w:hAnsi="宋体" w:eastAsia="黑体" w:cs="Times New Roman"/>
          <w:b/>
          <w:bCs/>
          <w:color w:val="auto"/>
          <w:spacing w:val="0"/>
          <w:kern w:val="0"/>
          <w:position w:val="0"/>
          <w:sz w:val="36"/>
          <w:szCs w:val="36"/>
          <w:highlight w:val="none"/>
          <w:lang w:val="en-US" w:eastAsia="zh-CN"/>
        </w:rPr>
      </w:pPr>
    </w:p>
    <w:p w14:paraId="5C9C52EE">
      <w:pPr>
        <w:pStyle w:val="13"/>
        <w:numPr>
          <w:ilvl w:val="0"/>
          <w:numId w:val="0"/>
        </w:numPr>
        <w:spacing w:line="360" w:lineRule="auto"/>
        <w:ind w:leftChars="0"/>
        <w:jc w:val="center"/>
        <w:outlineLvl w:val="0"/>
        <w:rPr>
          <w:rFonts w:hint="eastAsia" w:ascii="黑体" w:hAnsi="宋体" w:eastAsia="黑体" w:cs="Times New Roman"/>
          <w:b/>
          <w:bCs/>
          <w:color w:val="auto"/>
          <w:spacing w:val="0"/>
          <w:kern w:val="0"/>
          <w:position w:val="0"/>
          <w:sz w:val="36"/>
          <w:szCs w:val="36"/>
          <w:highlight w:val="none"/>
          <w:lang w:val="en-US" w:eastAsia="zh-CN"/>
        </w:rPr>
      </w:pPr>
    </w:p>
    <w:p w14:paraId="59891931">
      <w:pPr>
        <w:pStyle w:val="13"/>
        <w:numPr>
          <w:ilvl w:val="0"/>
          <w:numId w:val="0"/>
        </w:numPr>
        <w:spacing w:line="360" w:lineRule="auto"/>
        <w:ind w:leftChars="0"/>
        <w:jc w:val="center"/>
        <w:outlineLvl w:val="0"/>
        <w:rPr>
          <w:rFonts w:hint="eastAsia" w:ascii="黑体" w:hAnsi="宋体" w:eastAsia="黑体" w:cs="Times New Roman"/>
          <w:b/>
          <w:bCs/>
          <w:color w:val="auto"/>
          <w:spacing w:val="0"/>
          <w:kern w:val="0"/>
          <w:position w:val="0"/>
          <w:sz w:val="36"/>
          <w:szCs w:val="36"/>
          <w:highlight w:val="none"/>
          <w:lang w:val="en-US" w:eastAsia="zh-CN"/>
        </w:rPr>
      </w:pPr>
    </w:p>
    <w:p w14:paraId="4D7DC8CF">
      <w:pPr>
        <w:pStyle w:val="13"/>
        <w:numPr>
          <w:ilvl w:val="0"/>
          <w:numId w:val="0"/>
        </w:numPr>
        <w:spacing w:line="360" w:lineRule="auto"/>
        <w:ind w:leftChars="0"/>
        <w:jc w:val="center"/>
        <w:outlineLvl w:val="0"/>
        <w:rPr>
          <w:rFonts w:hint="eastAsia" w:ascii="黑体" w:hAnsi="宋体" w:eastAsia="黑体" w:cs="Times New Roman"/>
          <w:b/>
          <w:bCs/>
          <w:color w:val="auto"/>
          <w:spacing w:val="0"/>
          <w:kern w:val="0"/>
          <w:position w:val="0"/>
          <w:sz w:val="36"/>
          <w:szCs w:val="36"/>
          <w:highlight w:val="none"/>
          <w:lang w:val="en-US" w:eastAsia="zh-CN"/>
        </w:rPr>
      </w:pPr>
    </w:p>
    <w:p w14:paraId="712CAF1D">
      <w:pPr>
        <w:spacing w:line="360" w:lineRule="auto"/>
        <w:jc w:val="center"/>
        <w:rPr>
          <w:rFonts w:hint="eastAsia" w:ascii="宋体" w:hAnsi="宋体" w:eastAsia="宋体" w:cs="方正小标宋简体"/>
          <w:b/>
          <w:bCs/>
          <w:color w:val="auto"/>
          <w:spacing w:val="0"/>
          <w:kern w:val="2"/>
          <w:position w:val="0"/>
          <w:sz w:val="32"/>
          <w:szCs w:val="32"/>
          <w:highlight w:val="none"/>
          <w:lang w:val="en-US" w:eastAsia="zh-CN" w:bidi="ar-SA"/>
        </w:rPr>
      </w:pPr>
      <w:r>
        <w:rPr>
          <w:rFonts w:hint="eastAsia" w:ascii="宋体" w:hAnsi="宋体" w:cs="方正小标宋简体"/>
          <w:b/>
          <w:bCs/>
          <w:color w:val="auto"/>
          <w:spacing w:val="0"/>
          <w:kern w:val="2"/>
          <w:position w:val="0"/>
          <w:sz w:val="32"/>
          <w:szCs w:val="32"/>
          <w:highlight w:val="none"/>
          <w:lang w:val="en-US" w:eastAsia="zh-CN" w:bidi="ar-SA"/>
        </w:rPr>
        <w:t>附件1：最后</w:t>
      </w:r>
      <w:r>
        <w:rPr>
          <w:rFonts w:hint="eastAsia" w:ascii="宋体" w:hAnsi="宋体" w:eastAsia="宋体" w:cs="方正小标宋简体"/>
          <w:b/>
          <w:bCs/>
          <w:color w:val="auto"/>
          <w:spacing w:val="0"/>
          <w:kern w:val="2"/>
          <w:position w:val="0"/>
          <w:sz w:val="32"/>
          <w:szCs w:val="32"/>
          <w:highlight w:val="none"/>
          <w:lang w:val="en-US" w:eastAsia="zh-CN" w:bidi="ar-SA"/>
        </w:rPr>
        <w:t>报价表（格式）</w:t>
      </w:r>
    </w:p>
    <w:p w14:paraId="28D066D8">
      <w:pPr>
        <w:spacing w:line="440" w:lineRule="exact"/>
        <w:jc w:val="center"/>
        <w:rPr>
          <w:rFonts w:hint="eastAsia" w:ascii="方正小标宋简体" w:hAnsi="方正小标宋简体" w:eastAsia="方正小标宋简体" w:cs="方正小标宋简体"/>
          <w:bCs/>
          <w:color w:val="auto"/>
          <w:spacing w:val="0"/>
          <w:position w:val="0"/>
          <w:sz w:val="32"/>
          <w:szCs w:val="32"/>
          <w:highlight w:val="none"/>
        </w:rPr>
      </w:pPr>
    </w:p>
    <w:p w14:paraId="7E8BA864">
      <w:pPr>
        <w:spacing w:line="360" w:lineRule="auto"/>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 xml:space="preserve">                                                </w:t>
      </w:r>
      <w:r>
        <w:rPr>
          <w:rFonts w:hint="eastAsia" w:ascii="宋体" w:hAnsi="宋体" w:cs="仿宋_GB2312"/>
          <w:color w:val="auto"/>
          <w:spacing w:val="0"/>
          <w:position w:val="0"/>
          <w:sz w:val="24"/>
          <w:highlight w:val="none"/>
          <w:lang w:val="en-US" w:eastAsia="zh-CN"/>
        </w:rPr>
        <w:t xml:space="preserve">                </w:t>
      </w:r>
      <w:r>
        <w:rPr>
          <w:rFonts w:hint="eastAsia" w:ascii="宋体" w:hAnsi="宋体" w:cs="仿宋_GB2312"/>
          <w:color w:val="auto"/>
          <w:spacing w:val="0"/>
          <w:position w:val="0"/>
          <w:sz w:val="24"/>
          <w:highlight w:val="none"/>
        </w:rPr>
        <w:t>单位：元</w:t>
      </w:r>
    </w:p>
    <w:tbl>
      <w:tblPr>
        <w:tblStyle w:val="30"/>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712"/>
        <w:gridCol w:w="1505"/>
        <w:gridCol w:w="3107"/>
        <w:gridCol w:w="1184"/>
      </w:tblGrid>
      <w:tr w14:paraId="6E703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0"/>
            <w:vAlign w:val="center"/>
          </w:tcPr>
          <w:p w14:paraId="72268D82">
            <w:pPr>
              <w:spacing w:line="360" w:lineRule="auto"/>
              <w:contextualSpacing/>
              <w:jc w:val="center"/>
              <w:rPr>
                <w:rFonts w:ascii="宋体" w:hAnsi="宋体" w:cs="仿宋_GB2312"/>
                <w:color w:val="auto"/>
                <w:spacing w:val="0"/>
                <w:position w:val="0"/>
                <w:sz w:val="24"/>
                <w:highlight w:val="none"/>
              </w:rPr>
            </w:pPr>
            <w:r>
              <w:rPr>
                <w:rFonts w:ascii="宋体" w:hAnsi="宋体" w:cs="仿宋_GB2312"/>
                <w:color w:val="auto"/>
                <w:spacing w:val="0"/>
                <w:position w:val="0"/>
                <w:sz w:val="24"/>
                <w:highlight w:val="none"/>
              </w:rPr>
              <w:t>序号</w:t>
            </w:r>
          </w:p>
        </w:tc>
        <w:tc>
          <w:tcPr>
            <w:tcW w:w="2712" w:type="dxa"/>
            <w:tcBorders>
              <w:top w:val="single" w:color="auto" w:sz="4" w:space="0"/>
              <w:left w:val="single" w:color="auto" w:sz="4" w:space="0"/>
              <w:bottom w:val="single" w:color="auto" w:sz="4" w:space="0"/>
              <w:right w:val="single" w:color="auto" w:sz="4" w:space="0"/>
            </w:tcBorders>
            <w:noWrap w:val="0"/>
            <w:vAlign w:val="center"/>
          </w:tcPr>
          <w:p w14:paraId="60AC3CB3">
            <w:pPr>
              <w:spacing w:line="360" w:lineRule="auto"/>
              <w:contextualSpacing/>
              <w:jc w:val="center"/>
              <w:rPr>
                <w:rFonts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lang w:eastAsia="zh-CN"/>
              </w:rPr>
              <w:t>标的</w:t>
            </w:r>
            <w:r>
              <w:rPr>
                <w:rFonts w:ascii="宋体" w:hAnsi="宋体" w:cs="仿宋_GB2312"/>
                <w:color w:val="auto"/>
                <w:spacing w:val="0"/>
                <w:position w:val="0"/>
                <w:sz w:val="24"/>
                <w:highlight w:val="none"/>
              </w:rPr>
              <w:t>名称</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81FE992">
            <w:pPr>
              <w:spacing w:line="360" w:lineRule="auto"/>
              <w:contextualSpacing/>
              <w:jc w:val="center"/>
              <w:rPr>
                <w:rFonts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数量及单位</w:t>
            </w:r>
          </w:p>
        </w:tc>
        <w:tc>
          <w:tcPr>
            <w:tcW w:w="3107" w:type="dxa"/>
            <w:tcBorders>
              <w:top w:val="single" w:color="auto" w:sz="4" w:space="0"/>
              <w:left w:val="single" w:color="auto" w:sz="4" w:space="0"/>
              <w:bottom w:val="single" w:color="auto" w:sz="4" w:space="0"/>
              <w:right w:val="single" w:color="auto" w:sz="4" w:space="0"/>
            </w:tcBorders>
            <w:noWrap w:val="0"/>
            <w:vAlign w:val="center"/>
          </w:tcPr>
          <w:p w14:paraId="0168A3E1">
            <w:pPr>
              <w:spacing w:line="360" w:lineRule="auto"/>
              <w:contextualSpacing/>
              <w:jc w:val="center"/>
              <w:rPr>
                <w:rFonts w:hint="eastAsia" w:ascii="宋体" w:hAnsi="宋体" w:eastAsia="宋体" w:cs="仿宋_GB2312"/>
                <w:color w:val="auto"/>
                <w:spacing w:val="0"/>
                <w:position w:val="0"/>
                <w:sz w:val="24"/>
                <w:highlight w:val="none"/>
                <w:lang w:eastAsia="zh-CN"/>
              </w:rPr>
            </w:pPr>
            <w:r>
              <w:rPr>
                <w:rFonts w:hint="eastAsia" w:ascii="宋体" w:hAnsi="宋体" w:cs="仿宋_GB2312"/>
                <w:color w:val="auto"/>
                <w:spacing w:val="0"/>
                <w:position w:val="0"/>
                <w:sz w:val="24"/>
                <w:highlight w:val="none"/>
                <w:lang w:eastAsia="zh-CN"/>
              </w:rPr>
              <w:t>最后报价（元）</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483EB085">
            <w:pPr>
              <w:spacing w:line="360" w:lineRule="auto"/>
              <w:contextualSpacing/>
              <w:jc w:val="center"/>
              <w:rPr>
                <w:rFonts w:ascii="宋体" w:hAnsi="宋体" w:cs="仿宋_GB2312"/>
                <w:color w:val="auto"/>
                <w:spacing w:val="0"/>
                <w:position w:val="0"/>
                <w:sz w:val="24"/>
                <w:highlight w:val="none"/>
              </w:rPr>
            </w:pPr>
            <w:r>
              <w:rPr>
                <w:rFonts w:ascii="宋体" w:hAnsi="宋体" w:cs="仿宋_GB2312"/>
                <w:color w:val="auto"/>
                <w:spacing w:val="0"/>
                <w:position w:val="0"/>
                <w:sz w:val="24"/>
                <w:highlight w:val="none"/>
              </w:rPr>
              <w:t>备注</w:t>
            </w:r>
          </w:p>
        </w:tc>
      </w:tr>
      <w:tr w14:paraId="5718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0"/>
            <w:vAlign w:val="center"/>
          </w:tcPr>
          <w:p w14:paraId="368D50CE">
            <w:pPr>
              <w:spacing w:line="360" w:lineRule="auto"/>
              <w:contextualSpacing/>
              <w:jc w:val="center"/>
              <w:rPr>
                <w:rFonts w:ascii="宋体" w:hAnsi="宋体" w:cs="仿宋_GB2312"/>
                <w:color w:val="auto"/>
                <w:spacing w:val="0"/>
                <w:position w:val="0"/>
                <w:sz w:val="24"/>
                <w:highlight w:val="none"/>
              </w:rPr>
            </w:pPr>
            <w:r>
              <w:rPr>
                <w:rFonts w:ascii="宋体" w:hAnsi="宋体" w:cs="仿宋_GB2312"/>
                <w:color w:val="auto"/>
                <w:spacing w:val="0"/>
                <w:position w:val="0"/>
                <w:sz w:val="24"/>
                <w:highlight w:val="none"/>
              </w:rPr>
              <w:t>1</w:t>
            </w:r>
          </w:p>
        </w:tc>
        <w:tc>
          <w:tcPr>
            <w:tcW w:w="2712" w:type="dxa"/>
            <w:tcBorders>
              <w:top w:val="single" w:color="auto" w:sz="4" w:space="0"/>
              <w:left w:val="single" w:color="auto" w:sz="4" w:space="0"/>
              <w:bottom w:val="single" w:color="auto" w:sz="4" w:space="0"/>
              <w:right w:val="single" w:color="auto" w:sz="4" w:space="0"/>
            </w:tcBorders>
            <w:noWrap w:val="0"/>
            <w:vAlign w:val="center"/>
          </w:tcPr>
          <w:p w14:paraId="60CACE37">
            <w:pPr>
              <w:spacing w:line="360" w:lineRule="auto"/>
              <w:contextualSpacing/>
              <w:jc w:val="center"/>
              <w:rPr>
                <w:rFonts w:ascii="宋体" w:hAnsi="宋体" w:cs="仿宋_GB2312"/>
                <w:color w:val="auto"/>
                <w:spacing w:val="0"/>
                <w:position w:val="0"/>
                <w:sz w:val="24"/>
                <w:highlight w:val="none"/>
              </w:rPr>
            </w:pP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CA5F7B5">
            <w:pPr>
              <w:spacing w:line="360" w:lineRule="auto"/>
              <w:contextualSpacing/>
              <w:jc w:val="center"/>
              <w:rPr>
                <w:rFonts w:ascii="宋体" w:hAnsi="宋体" w:cs="仿宋_GB2312"/>
                <w:color w:val="auto"/>
                <w:spacing w:val="0"/>
                <w:position w:val="0"/>
                <w:sz w:val="24"/>
                <w:highlight w:val="none"/>
              </w:rPr>
            </w:pPr>
          </w:p>
        </w:tc>
        <w:tc>
          <w:tcPr>
            <w:tcW w:w="3107" w:type="dxa"/>
            <w:tcBorders>
              <w:top w:val="single" w:color="auto" w:sz="4" w:space="0"/>
              <w:left w:val="single" w:color="auto" w:sz="4" w:space="0"/>
              <w:bottom w:val="single" w:color="auto" w:sz="4" w:space="0"/>
              <w:right w:val="single" w:color="auto" w:sz="4" w:space="0"/>
            </w:tcBorders>
            <w:noWrap w:val="0"/>
            <w:vAlign w:val="top"/>
          </w:tcPr>
          <w:p w14:paraId="50663ACE">
            <w:pPr>
              <w:spacing w:line="360" w:lineRule="auto"/>
              <w:contextualSpacing/>
              <w:rPr>
                <w:rFonts w:ascii="宋体" w:hAnsi="宋体" w:cs="仿宋_GB2312"/>
                <w:color w:val="auto"/>
                <w:spacing w:val="0"/>
                <w:position w:val="0"/>
                <w:sz w:val="24"/>
                <w:highlight w:val="none"/>
              </w:rPr>
            </w:pPr>
          </w:p>
        </w:tc>
        <w:tc>
          <w:tcPr>
            <w:tcW w:w="1184" w:type="dxa"/>
            <w:tcBorders>
              <w:top w:val="single" w:color="auto" w:sz="4" w:space="0"/>
              <w:left w:val="single" w:color="auto" w:sz="4" w:space="0"/>
              <w:bottom w:val="single" w:color="auto" w:sz="4" w:space="0"/>
              <w:right w:val="single" w:color="auto" w:sz="4" w:space="0"/>
            </w:tcBorders>
            <w:noWrap w:val="0"/>
            <w:vAlign w:val="center"/>
          </w:tcPr>
          <w:p w14:paraId="4DD043CD">
            <w:pPr>
              <w:spacing w:line="360" w:lineRule="auto"/>
              <w:contextualSpacing/>
              <w:rPr>
                <w:rFonts w:ascii="宋体" w:hAnsi="宋体" w:cs="仿宋_GB2312"/>
                <w:color w:val="auto"/>
                <w:spacing w:val="0"/>
                <w:position w:val="0"/>
                <w:sz w:val="24"/>
                <w:highlight w:val="none"/>
              </w:rPr>
            </w:pPr>
          </w:p>
        </w:tc>
      </w:tr>
      <w:tr w14:paraId="2F49C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0"/>
            <w:vAlign w:val="center"/>
          </w:tcPr>
          <w:p w14:paraId="675DB5D7">
            <w:pPr>
              <w:spacing w:line="360" w:lineRule="auto"/>
              <w:contextualSpacing/>
              <w:jc w:val="center"/>
              <w:rPr>
                <w:rFonts w:hint="eastAsia" w:ascii="宋体" w:hAnsi="宋体" w:eastAsia="宋体" w:cs="仿宋_GB2312"/>
                <w:color w:val="auto"/>
                <w:spacing w:val="0"/>
                <w:position w:val="0"/>
                <w:sz w:val="24"/>
                <w:highlight w:val="none"/>
                <w:lang w:eastAsia="zh-CN"/>
              </w:rPr>
            </w:pPr>
            <w:r>
              <w:rPr>
                <w:rFonts w:hint="eastAsia" w:ascii="宋体" w:hAnsi="宋体" w:cs="仿宋_GB2312"/>
                <w:color w:val="auto"/>
                <w:spacing w:val="0"/>
                <w:position w:val="0"/>
                <w:sz w:val="24"/>
                <w:highlight w:val="none"/>
                <w:lang w:eastAsia="zh-CN"/>
              </w:rPr>
              <w:t>…</w:t>
            </w:r>
          </w:p>
        </w:tc>
        <w:tc>
          <w:tcPr>
            <w:tcW w:w="2712" w:type="dxa"/>
            <w:tcBorders>
              <w:top w:val="single" w:color="auto" w:sz="4" w:space="0"/>
              <w:left w:val="single" w:color="auto" w:sz="4" w:space="0"/>
              <w:bottom w:val="single" w:color="auto" w:sz="4" w:space="0"/>
              <w:right w:val="single" w:color="auto" w:sz="4" w:space="0"/>
            </w:tcBorders>
            <w:noWrap w:val="0"/>
            <w:vAlign w:val="center"/>
          </w:tcPr>
          <w:p w14:paraId="2AA5CBAB">
            <w:pPr>
              <w:spacing w:line="360" w:lineRule="auto"/>
              <w:contextualSpacing/>
              <w:jc w:val="center"/>
              <w:rPr>
                <w:rFonts w:ascii="宋体" w:hAnsi="宋体" w:cs="仿宋_GB2312"/>
                <w:color w:val="auto"/>
                <w:spacing w:val="0"/>
                <w:position w:val="0"/>
                <w:sz w:val="24"/>
                <w:highlight w:val="none"/>
              </w:rPr>
            </w:pPr>
          </w:p>
        </w:tc>
        <w:tc>
          <w:tcPr>
            <w:tcW w:w="1505" w:type="dxa"/>
            <w:tcBorders>
              <w:top w:val="single" w:color="auto" w:sz="4" w:space="0"/>
              <w:left w:val="single" w:color="auto" w:sz="4" w:space="0"/>
              <w:bottom w:val="single" w:color="auto" w:sz="4" w:space="0"/>
              <w:right w:val="single" w:color="auto" w:sz="4" w:space="0"/>
            </w:tcBorders>
            <w:noWrap w:val="0"/>
            <w:vAlign w:val="center"/>
          </w:tcPr>
          <w:p w14:paraId="4A87F5B8">
            <w:pPr>
              <w:spacing w:line="360" w:lineRule="auto"/>
              <w:contextualSpacing/>
              <w:jc w:val="center"/>
              <w:rPr>
                <w:rFonts w:hint="eastAsia" w:ascii="宋体" w:hAnsi="宋体" w:cs="仿宋_GB2312"/>
                <w:color w:val="auto"/>
                <w:spacing w:val="0"/>
                <w:position w:val="0"/>
                <w:sz w:val="24"/>
                <w:highlight w:val="none"/>
              </w:rPr>
            </w:pPr>
          </w:p>
        </w:tc>
        <w:tc>
          <w:tcPr>
            <w:tcW w:w="3107" w:type="dxa"/>
            <w:tcBorders>
              <w:top w:val="single" w:color="auto" w:sz="4" w:space="0"/>
              <w:left w:val="single" w:color="auto" w:sz="4" w:space="0"/>
              <w:bottom w:val="single" w:color="auto" w:sz="4" w:space="0"/>
              <w:right w:val="single" w:color="auto" w:sz="4" w:space="0"/>
            </w:tcBorders>
            <w:noWrap w:val="0"/>
            <w:vAlign w:val="top"/>
          </w:tcPr>
          <w:p w14:paraId="333E0F8F">
            <w:pPr>
              <w:spacing w:line="360" w:lineRule="auto"/>
              <w:contextualSpacing/>
              <w:rPr>
                <w:rFonts w:ascii="宋体" w:hAnsi="宋体" w:cs="仿宋_GB2312"/>
                <w:color w:val="auto"/>
                <w:spacing w:val="0"/>
                <w:position w:val="0"/>
                <w:sz w:val="24"/>
                <w:highlight w:val="none"/>
              </w:rPr>
            </w:pPr>
          </w:p>
        </w:tc>
        <w:tc>
          <w:tcPr>
            <w:tcW w:w="1184" w:type="dxa"/>
            <w:tcBorders>
              <w:top w:val="single" w:color="auto" w:sz="4" w:space="0"/>
              <w:left w:val="single" w:color="auto" w:sz="4" w:space="0"/>
              <w:bottom w:val="single" w:color="auto" w:sz="4" w:space="0"/>
              <w:right w:val="single" w:color="auto" w:sz="4" w:space="0"/>
            </w:tcBorders>
            <w:noWrap w:val="0"/>
            <w:vAlign w:val="center"/>
          </w:tcPr>
          <w:p w14:paraId="6E03E143">
            <w:pPr>
              <w:spacing w:line="360" w:lineRule="auto"/>
              <w:contextualSpacing/>
              <w:rPr>
                <w:rFonts w:ascii="宋体" w:hAnsi="宋体" w:cs="仿宋_GB2312"/>
                <w:color w:val="auto"/>
                <w:spacing w:val="0"/>
                <w:position w:val="0"/>
                <w:sz w:val="24"/>
                <w:highlight w:val="none"/>
              </w:rPr>
            </w:pPr>
          </w:p>
        </w:tc>
      </w:tr>
      <w:tr w14:paraId="78316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9095" w:type="dxa"/>
            <w:gridSpan w:val="5"/>
            <w:tcBorders>
              <w:top w:val="single" w:color="auto" w:sz="4" w:space="0"/>
              <w:left w:val="single" w:color="auto" w:sz="4" w:space="0"/>
              <w:bottom w:val="single" w:color="auto" w:sz="4" w:space="0"/>
              <w:right w:val="single" w:color="auto" w:sz="4" w:space="0"/>
            </w:tcBorders>
            <w:noWrap w:val="0"/>
            <w:vAlign w:val="center"/>
          </w:tcPr>
          <w:p w14:paraId="5142D61C">
            <w:pPr>
              <w:spacing w:line="360" w:lineRule="auto"/>
              <w:contextualSpacing/>
              <w:rPr>
                <w:rFonts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合计金额（人民币）</w:t>
            </w:r>
            <w:r>
              <w:rPr>
                <w:rFonts w:hint="eastAsia" w:ascii="宋体" w:hAnsi="宋体" w:cs="仿宋_GB2312"/>
                <w:color w:val="auto"/>
                <w:spacing w:val="0"/>
                <w:position w:val="0"/>
                <w:sz w:val="24"/>
                <w:highlight w:val="none"/>
                <w:u w:val="single"/>
              </w:rPr>
              <w:t xml:space="preserve">大写：                      </w:t>
            </w:r>
            <w:r>
              <w:rPr>
                <w:rFonts w:hint="eastAsia" w:ascii="宋体" w:hAnsi="宋体" w:cs="仿宋_GB2312"/>
                <w:color w:val="auto"/>
                <w:spacing w:val="0"/>
                <w:position w:val="0"/>
                <w:sz w:val="24"/>
                <w:highlight w:val="none"/>
                <w:lang w:eastAsia="zh-CN"/>
              </w:rPr>
              <w:t>（</w:t>
            </w:r>
            <w:r>
              <w:rPr>
                <w:rFonts w:hint="default" w:ascii="Arial" w:hAnsi="Arial" w:cs="Arial"/>
                <w:color w:val="auto"/>
                <w:spacing w:val="0"/>
                <w:position w:val="0"/>
                <w:sz w:val="24"/>
                <w:highlight w:val="none"/>
              </w:rPr>
              <w:t>¥</w:t>
            </w:r>
            <w:r>
              <w:rPr>
                <w:rFonts w:hint="eastAsia" w:ascii="宋体" w:hAnsi="宋体" w:cs="仿宋_GB2312"/>
                <w:color w:val="auto"/>
                <w:spacing w:val="0"/>
                <w:position w:val="0"/>
                <w:sz w:val="24"/>
                <w:highlight w:val="none"/>
                <w:u w:val="single"/>
              </w:rPr>
              <w:t xml:space="preserve">                </w:t>
            </w:r>
            <w:r>
              <w:rPr>
                <w:rFonts w:hint="eastAsia" w:ascii="宋体" w:hAnsi="宋体" w:cs="仿宋_GB2312"/>
                <w:color w:val="auto"/>
                <w:spacing w:val="0"/>
                <w:position w:val="0"/>
                <w:sz w:val="24"/>
                <w:highlight w:val="none"/>
              </w:rPr>
              <w:t>）</w:t>
            </w:r>
          </w:p>
        </w:tc>
      </w:tr>
    </w:tbl>
    <w:p w14:paraId="6767CBCE">
      <w:pPr>
        <w:spacing w:line="360" w:lineRule="auto"/>
        <w:contextualSpacing/>
        <w:jc w:val="left"/>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注</w:t>
      </w:r>
      <w:r>
        <w:rPr>
          <w:rFonts w:hint="eastAsia" w:ascii="宋体" w:hAnsi="宋体" w:cs="仿宋_GB2312"/>
          <w:color w:val="auto"/>
          <w:spacing w:val="0"/>
          <w:position w:val="0"/>
          <w:sz w:val="24"/>
          <w:highlight w:val="none"/>
          <w:lang w:eastAsia="zh-CN"/>
        </w:rPr>
        <w:t>：</w:t>
      </w:r>
      <w:r>
        <w:rPr>
          <w:rFonts w:hint="eastAsia" w:ascii="宋体" w:hAnsi="宋体" w:cs="仿宋_GB2312"/>
          <w:color w:val="auto"/>
          <w:spacing w:val="0"/>
          <w:position w:val="0"/>
          <w:sz w:val="24"/>
          <w:highlight w:val="none"/>
        </w:rPr>
        <w:t xml:space="preserve"> </w:t>
      </w:r>
    </w:p>
    <w:p w14:paraId="4172B86A">
      <w:pPr>
        <w:spacing w:line="360" w:lineRule="auto"/>
        <w:ind w:firstLine="480" w:firstLineChars="200"/>
        <w:contextualSpacing/>
        <w:jc w:val="left"/>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1. 供应商的</w:t>
      </w:r>
      <w:r>
        <w:rPr>
          <w:rFonts w:hint="eastAsia" w:ascii="宋体" w:hAnsi="宋体" w:cs="仿宋_GB2312"/>
          <w:color w:val="auto"/>
          <w:spacing w:val="0"/>
          <w:position w:val="0"/>
          <w:sz w:val="24"/>
          <w:highlight w:val="none"/>
          <w:lang w:eastAsia="zh-CN"/>
        </w:rPr>
        <w:t>最后</w:t>
      </w:r>
      <w:r>
        <w:rPr>
          <w:rFonts w:hint="eastAsia" w:ascii="宋体" w:hAnsi="宋体" w:cs="仿宋_GB2312"/>
          <w:color w:val="auto"/>
          <w:spacing w:val="0"/>
          <w:position w:val="0"/>
          <w:sz w:val="24"/>
          <w:highlight w:val="none"/>
        </w:rPr>
        <w:t>报价表必须加盖供应商电子签章并由法定代表人或者委托代理人签字或者电子签名，</w:t>
      </w:r>
      <w:r>
        <w:rPr>
          <w:rFonts w:hint="eastAsia" w:ascii="宋体" w:hAnsi="宋体" w:cs="仿宋_GB2312"/>
          <w:b/>
          <w:color w:val="auto"/>
          <w:spacing w:val="0"/>
          <w:position w:val="0"/>
          <w:sz w:val="24"/>
          <w:highlight w:val="none"/>
        </w:rPr>
        <w:t>否则其响应文件按无效处理</w:t>
      </w:r>
      <w:r>
        <w:rPr>
          <w:rFonts w:hint="eastAsia" w:ascii="宋体" w:hAnsi="宋体" w:cs="仿宋_GB2312"/>
          <w:color w:val="auto"/>
          <w:spacing w:val="0"/>
          <w:position w:val="0"/>
          <w:sz w:val="24"/>
          <w:highlight w:val="none"/>
        </w:rPr>
        <w:t>。</w:t>
      </w:r>
    </w:p>
    <w:p w14:paraId="49018CB4">
      <w:pPr>
        <w:spacing w:line="360" w:lineRule="auto"/>
        <w:ind w:firstLine="480" w:firstLineChars="200"/>
        <w:contextualSpacing/>
        <w:jc w:val="left"/>
        <w:rPr>
          <w:rFonts w:hint="eastAsia" w:ascii="宋体" w:hAnsi="宋体" w:cs="仿宋_GB2312"/>
          <w:b/>
          <w:color w:val="auto"/>
          <w:spacing w:val="0"/>
          <w:position w:val="0"/>
          <w:sz w:val="24"/>
          <w:highlight w:val="none"/>
        </w:rPr>
      </w:pPr>
      <w:r>
        <w:rPr>
          <w:rFonts w:hint="eastAsia" w:ascii="宋体" w:hAnsi="宋体" w:cs="仿宋_GB2312"/>
          <w:bCs/>
          <w:color w:val="auto"/>
          <w:spacing w:val="0"/>
          <w:position w:val="0"/>
          <w:sz w:val="24"/>
          <w:highlight w:val="none"/>
        </w:rPr>
        <w:t>2.</w:t>
      </w:r>
      <w:r>
        <w:rPr>
          <w:rFonts w:hint="eastAsia" w:ascii="宋体" w:hAnsi="宋体" w:cs="仿宋_GB2312"/>
          <w:color w:val="auto"/>
          <w:spacing w:val="0"/>
          <w:position w:val="0"/>
          <w:sz w:val="24"/>
          <w:highlight w:val="none"/>
        </w:rPr>
        <w:t xml:space="preserve"> </w:t>
      </w:r>
      <w:r>
        <w:rPr>
          <w:rFonts w:hint="eastAsia" w:ascii="宋体" w:hAnsi="宋体" w:cs="仿宋_GB2312"/>
          <w:color w:val="auto"/>
          <w:spacing w:val="0"/>
          <w:position w:val="0"/>
          <w:sz w:val="24"/>
          <w:highlight w:val="none"/>
          <w:lang w:eastAsia="zh-CN"/>
        </w:rPr>
        <w:t>最后</w:t>
      </w:r>
      <w:r>
        <w:rPr>
          <w:rFonts w:hint="eastAsia" w:ascii="宋体" w:hAnsi="宋体" w:cs="仿宋_GB2312"/>
          <w:color w:val="auto"/>
          <w:spacing w:val="0"/>
          <w:position w:val="0"/>
          <w:sz w:val="24"/>
          <w:highlight w:val="none"/>
        </w:rPr>
        <w:t>报价一经涂改，应在涂改处加盖供应商公章或者加盖电子签章或者由法定代表人或者授权委托人签字</w:t>
      </w:r>
      <w:r>
        <w:rPr>
          <w:rFonts w:hint="eastAsia" w:ascii="宋体" w:hAnsi="宋体"/>
          <w:color w:val="auto"/>
          <w:spacing w:val="0"/>
          <w:position w:val="0"/>
          <w:sz w:val="24"/>
          <w:highlight w:val="none"/>
        </w:rPr>
        <w:t>（或者电子签名）</w:t>
      </w:r>
      <w:r>
        <w:rPr>
          <w:rFonts w:hint="eastAsia" w:ascii="宋体" w:hAnsi="宋体" w:cs="仿宋_GB2312"/>
          <w:b/>
          <w:color w:val="auto"/>
          <w:spacing w:val="0"/>
          <w:position w:val="0"/>
          <w:sz w:val="24"/>
          <w:highlight w:val="none"/>
        </w:rPr>
        <w:t>，否则其响应文件按无效处理。</w:t>
      </w:r>
    </w:p>
    <w:p w14:paraId="37ADFDD6">
      <w:pPr>
        <w:spacing w:line="360" w:lineRule="auto"/>
        <w:ind w:firstLine="643" w:firstLineChars="200"/>
        <w:contextualSpacing/>
        <w:jc w:val="left"/>
        <w:rPr>
          <w:rFonts w:hint="default" w:ascii="宋体" w:hAnsi="宋体" w:cs="仿宋_GB2312"/>
          <w:b/>
          <w:bCs/>
          <w:color w:val="auto"/>
          <w:spacing w:val="0"/>
          <w:position w:val="0"/>
          <w:sz w:val="32"/>
          <w:szCs w:val="32"/>
          <w:highlight w:val="none"/>
          <w:lang w:val="en-US" w:eastAsia="zh-CN"/>
        </w:rPr>
      </w:pPr>
      <w:r>
        <w:rPr>
          <w:rFonts w:hint="eastAsia" w:ascii="宋体" w:hAnsi="宋体" w:cs="仿宋_GB2312"/>
          <w:b/>
          <w:bCs/>
          <w:color w:val="auto"/>
          <w:spacing w:val="0"/>
          <w:position w:val="0"/>
          <w:sz w:val="32"/>
          <w:szCs w:val="32"/>
          <w:highlight w:val="none"/>
          <w:lang w:val="en-US" w:eastAsia="zh-CN"/>
        </w:rPr>
        <w:t>3.</w:t>
      </w:r>
      <w:r>
        <w:rPr>
          <w:rFonts w:hint="eastAsia" w:ascii="宋体" w:hAnsi="宋体" w:eastAsia="宋体" w:cs="宋体"/>
          <w:b/>
          <w:bCs/>
          <w:color w:val="auto"/>
          <w:spacing w:val="0"/>
          <w:position w:val="0"/>
          <w:sz w:val="32"/>
          <w:szCs w:val="32"/>
          <w:highlight w:val="none"/>
          <w:lang w:val="en-US" w:eastAsia="zh-CN"/>
        </w:rPr>
        <w:t>在</w:t>
      </w:r>
      <w:r>
        <w:rPr>
          <w:rFonts w:hint="eastAsia" w:ascii="宋体" w:hAnsi="宋体" w:cs="宋体"/>
          <w:b/>
          <w:bCs/>
          <w:color w:val="auto"/>
          <w:spacing w:val="0"/>
          <w:position w:val="0"/>
          <w:sz w:val="32"/>
          <w:szCs w:val="32"/>
          <w:highlight w:val="none"/>
          <w:lang w:val="en-US" w:eastAsia="zh-CN"/>
        </w:rPr>
        <w:t>广西政府采购云平台</w:t>
      </w:r>
      <w:r>
        <w:rPr>
          <w:rFonts w:hint="eastAsia" w:ascii="宋体" w:hAnsi="宋体" w:eastAsia="宋体" w:cs="宋体"/>
          <w:b/>
          <w:bCs/>
          <w:color w:val="auto"/>
          <w:spacing w:val="0"/>
          <w:position w:val="0"/>
          <w:sz w:val="32"/>
          <w:szCs w:val="32"/>
          <w:highlight w:val="none"/>
          <w:lang w:val="en-US" w:eastAsia="zh-CN"/>
        </w:rPr>
        <w:t>评审过程中，</w:t>
      </w:r>
      <w:r>
        <w:rPr>
          <w:rFonts w:hint="eastAsia" w:ascii="宋体" w:hAnsi="宋体" w:cs="宋体"/>
          <w:b/>
          <w:bCs/>
          <w:color w:val="auto"/>
          <w:spacing w:val="0"/>
          <w:position w:val="0"/>
          <w:sz w:val="32"/>
          <w:szCs w:val="32"/>
          <w:highlight w:val="none"/>
          <w:u w:val="single"/>
          <w:lang w:val="en-US" w:eastAsia="zh-CN"/>
        </w:rPr>
        <w:t>供应商提交的</w:t>
      </w:r>
      <w:r>
        <w:rPr>
          <w:rFonts w:hint="eastAsia" w:ascii="宋体" w:hAnsi="宋体" w:cs="仿宋_GB2312"/>
          <w:b/>
          <w:bCs/>
          <w:color w:val="auto"/>
          <w:spacing w:val="0"/>
          <w:position w:val="0"/>
          <w:sz w:val="32"/>
          <w:szCs w:val="32"/>
          <w:highlight w:val="none"/>
          <w:u w:val="single"/>
        </w:rPr>
        <w:t>最后报价与首次报价相比有调整的</w:t>
      </w:r>
      <w:r>
        <w:rPr>
          <w:rFonts w:hint="eastAsia" w:ascii="宋体" w:hAnsi="宋体" w:cs="仿宋_GB2312"/>
          <w:b/>
          <w:bCs/>
          <w:color w:val="auto"/>
          <w:spacing w:val="0"/>
          <w:position w:val="0"/>
          <w:sz w:val="32"/>
          <w:szCs w:val="32"/>
          <w:highlight w:val="none"/>
          <w:u w:val="single"/>
          <w:lang w:eastAsia="zh-CN"/>
        </w:rPr>
        <w:t>，必须同时上传相对应的“已标价的工程量清单”作为附件</w:t>
      </w:r>
      <w:r>
        <w:rPr>
          <w:rFonts w:hint="eastAsia" w:ascii="宋体" w:hAnsi="宋体" w:cs="仿宋_GB2312"/>
          <w:b/>
          <w:bCs/>
          <w:color w:val="auto"/>
          <w:spacing w:val="0"/>
          <w:position w:val="0"/>
          <w:sz w:val="32"/>
          <w:szCs w:val="32"/>
          <w:highlight w:val="none"/>
          <w:lang w:eastAsia="zh-CN"/>
        </w:rPr>
        <w:t>，</w:t>
      </w:r>
      <w:r>
        <w:rPr>
          <w:rFonts w:hint="eastAsia" w:ascii="宋体" w:hAnsi="宋体" w:cs="仿宋_GB2312"/>
          <w:b/>
          <w:bCs/>
          <w:color w:val="auto"/>
          <w:spacing w:val="0"/>
          <w:position w:val="0"/>
          <w:sz w:val="32"/>
          <w:szCs w:val="32"/>
          <w:highlight w:val="none"/>
        </w:rPr>
        <w:t>否则其响应文件按无效处理。</w:t>
      </w:r>
    </w:p>
    <w:p w14:paraId="15208902">
      <w:pPr>
        <w:spacing w:line="360" w:lineRule="auto"/>
        <w:ind w:right="-817" w:rightChars="-389"/>
        <w:contextualSpacing/>
        <w:rPr>
          <w:rFonts w:hint="eastAsia" w:ascii="宋体" w:hAnsi="宋体" w:cs="仿宋_GB2312"/>
          <w:color w:val="auto"/>
          <w:spacing w:val="0"/>
          <w:position w:val="0"/>
          <w:sz w:val="24"/>
          <w:highlight w:val="none"/>
        </w:rPr>
      </w:pPr>
    </w:p>
    <w:p w14:paraId="3352D795">
      <w:pPr>
        <w:spacing w:line="360" w:lineRule="auto"/>
        <w:ind w:right="-817" w:rightChars="-389" w:firstLine="2640" w:firstLineChars="11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 xml:space="preserve">法定代表人或者委托代理人（签字或者电子签名）：                    </w:t>
      </w:r>
    </w:p>
    <w:p w14:paraId="72CC1C76">
      <w:pPr>
        <w:spacing w:line="360" w:lineRule="auto"/>
        <w:ind w:right="-817" w:rightChars="-389" w:firstLine="2640" w:firstLineChars="11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 xml:space="preserve">供应商（电子签章）：      </w:t>
      </w:r>
    </w:p>
    <w:p w14:paraId="715CD08D">
      <w:pPr>
        <w:spacing w:line="360" w:lineRule="auto"/>
        <w:ind w:right="-817" w:rightChars="-389" w:firstLine="4080" w:firstLineChars="17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日期：   年   月   日</w:t>
      </w:r>
    </w:p>
    <w:p w14:paraId="5F2B3FEE">
      <w:pPr>
        <w:pStyle w:val="13"/>
        <w:numPr>
          <w:ilvl w:val="0"/>
          <w:numId w:val="0"/>
        </w:numPr>
        <w:spacing w:line="360" w:lineRule="auto"/>
        <w:ind w:leftChars="0"/>
        <w:jc w:val="center"/>
        <w:outlineLvl w:val="0"/>
        <w:rPr>
          <w:rFonts w:hint="eastAsia" w:ascii="黑体" w:hAnsi="宋体" w:eastAsia="黑体" w:cs="Times New Roman"/>
          <w:b/>
          <w:bCs/>
          <w:color w:val="auto"/>
          <w:spacing w:val="0"/>
          <w:kern w:val="0"/>
          <w:position w:val="0"/>
          <w:sz w:val="36"/>
          <w:szCs w:val="36"/>
          <w:highlight w:val="none"/>
          <w:lang w:val="en-US" w:eastAsia="zh-CN"/>
        </w:rPr>
        <w:sectPr>
          <w:pgSz w:w="11906" w:h="16838"/>
          <w:pgMar w:top="1247" w:right="1417" w:bottom="1247" w:left="1417" w:header="851" w:footer="992" w:gutter="0"/>
          <w:cols w:space="0" w:num="1"/>
          <w:docGrid w:type="lines" w:linePitch="312" w:charSpace="0"/>
        </w:sectPr>
      </w:pPr>
    </w:p>
    <w:p w14:paraId="0BA04351">
      <w:pPr>
        <w:pStyle w:val="13"/>
        <w:numPr>
          <w:ilvl w:val="0"/>
          <w:numId w:val="0"/>
        </w:numPr>
        <w:spacing w:line="360" w:lineRule="auto"/>
        <w:ind w:leftChars="0"/>
        <w:jc w:val="center"/>
        <w:outlineLvl w:val="0"/>
        <w:rPr>
          <w:rFonts w:hint="eastAsia" w:ascii="黑体" w:hAnsi="宋体" w:eastAsia="黑体" w:cs="Times New Roman"/>
          <w:b/>
          <w:bCs/>
          <w:color w:val="auto"/>
          <w:spacing w:val="0"/>
          <w:kern w:val="0"/>
          <w:position w:val="0"/>
          <w:sz w:val="36"/>
          <w:szCs w:val="36"/>
          <w:highlight w:val="none"/>
        </w:rPr>
      </w:pPr>
      <w:r>
        <w:rPr>
          <w:rFonts w:hint="eastAsia" w:ascii="黑体" w:hAnsi="宋体" w:eastAsia="黑体" w:cs="Times New Roman"/>
          <w:b/>
          <w:bCs/>
          <w:color w:val="auto"/>
          <w:spacing w:val="0"/>
          <w:kern w:val="0"/>
          <w:position w:val="0"/>
          <w:sz w:val="36"/>
          <w:szCs w:val="36"/>
          <w:highlight w:val="none"/>
          <w:lang w:val="en-US" w:eastAsia="zh-CN"/>
        </w:rPr>
        <w:t>第四章</w:t>
      </w:r>
      <w:r>
        <w:rPr>
          <w:rFonts w:hint="eastAsia" w:ascii="黑体" w:hAnsi="宋体" w:eastAsia="黑体" w:cs="Times New Roman"/>
          <w:b/>
          <w:bCs/>
          <w:color w:val="auto"/>
          <w:spacing w:val="0"/>
          <w:kern w:val="0"/>
          <w:position w:val="0"/>
          <w:sz w:val="36"/>
          <w:szCs w:val="36"/>
          <w:highlight w:val="none"/>
        </w:rPr>
        <w:t xml:space="preserve"> 评审标准</w:t>
      </w:r>
      <w:bookmarkEnd w:id="66"/>
    </w:p>
    <w:p w14:paraId="67756828">
      <w:pPr>
        <w:pStyle w:val="5"/>
        <w:numPr>
          <w:ilvl w:val="0"/>
          <w:numId w:val="0"/>
        </w:numPr>
        <w:spacing w:line="360" w:lineRule="auto"/>
        <w:ind w:leftChars="0"/>
        <w:jc w:val="both"/>
        <w:rPr>
          <w:rFonts w:hint="eastAsia"/>
          <w:color w:val="auto"/>
          <w:spacing w:val="0"/>
          <w:position w:val="0"/>
          <w:sz w:val="24"/>
          <w:szCs w:val="24"/>
          <w:highlight w:val="none"/>
        </w:rPr>
      </w:pPr>
      <w:r>
        <w:rPr>
          <w:rFonts w:hint="eastAsia"/>
          <w:color w:val="auto"/>
          <w:spacing w:val="0"/>
          <w:position w:val="0"/>
          <w:sz w:val="24"/>
          <w:szCs w:val="24"/>
          <w:highlight w:val="none"/>
        </w:rPr>
        <w:t>一、评审程序和评审方法</w:t>
      </w:r>
    </w:p>
    <w:p w14:paraId="31224F56">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b/>
          <w:bCs/>
          <w:color w:val="auto"/>
          <w:spacing w:val="0"/>
          <w:position w:val="0"/>
          <w:highlight w:val="none"/>
        </w:rPr>
      </w:pPr>
      <w:r>
        <w:rPr>
          <w:rFonts w:hint="eastAsia"/>
          <w:b/>
          <w:bCs/>
          <w:color w:val="auto"/>
          <w:spacing w:val="0"/>
          <w:position w:val="0"/>
          <w:highlight w:val="none"/>
        </w:rPr>
        <w:t>1.资格审查</w:t>
      </w:r>
    </w:p>
    <w:p w14:paraId="19B748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1.1响应文件开启后，磋商小组依法对供应商的资格证明文件进行审查。</w:t>
      </w:r>
    </w:p>
    <w:p w14:paraId="10366E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注：采购人或者采购代理机构在资格审查结束前，对供应商进行信用查询。</w:t>
      </w:r>
    </w:p>
    <w:p w14:paraId="725E39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lang w:eastAsia="zh-CN"/>
        </w:rPr>
        <w:t>（</w:t>
      </w:r>
      <w:r>
        <w:rPr>
          <w:rFonts w:hint="eastAsia"/>
          <w:color w:val="auto"/>
          <w:spacing w:val="0"/>
          <w:position w:val="0"/>
          <w:highlight w:val="none"/>
        </w:rPr>
        <w:t>1</w:t>
      </w:r>
      <w:r>
        <w:rPr>
          <w:rFonts w:hint="eastAsia"/>
          <w:color w:val="auto"/>
          <w:spacing w:val="0"/>
          <w:position w:val="0"/>
          <w:highlight w:val="none"/>
          <w:lang w:eastAsia="zh-CN"/>
        </w:rPr>
        <w:t>）</w:t>
      </w:r>
      <w:r>
        <w:rPr>
          <w:rFonts w:hint="eastAsia"/>
          <w:color w:val="auto"/>
          <w:spacing w:val="0"/>
          <w:position w:val="0"/>
          <w:highlight w:val="none"/>
        </w:rPr>
        <w:t>查询渠道：“信用中国”网站</w:t>
      </w:r>
      <w:r>
        <w:rPr>
          <w:rFonts w:hint="eastAsia"/>
          <w:color w:val="auto"/>
          <w:spacing w:val="0"/>
          <w:position w:val="0"/>
          <w:highlight w:val="none"/>
          <w:lang w:eastAsia="zh-CN"/>
        </w:rPr>
        <w:t>（</w:t>
      </w:r>
      <w:r>
        <w:rPr>
          <w:rFonts w:hint="eastAsia"/>
          <w:color w:val="auto"/>
          <w:spacing w:val="0"/>
          <w:position w:val="0"/>
          <w:highlight w:val="none"/>
        </w:rPr>
        <w:t>www.creditchina.gov.cn</w:t>
      </w:r>
      <w:r>
        <w:rPr>
          <w:rFonts w:hint="eastAsia"/>
          <w:color w:val="auto"/>
          <w:spacing w:val="0"/>
          <w:position w:val="0"/>
          <w:highlight w:val="none"/>
          <w:lang w:eastAsia="zh-CN"/>
        </w:rPr>
        <w:t>）</w:t>
      </w:r>
      <w:r>
        <w:rPr>
          <w:rFonts w:hint="eastAsia"/>
          <w:color w:val="auto"/>
          <w:spacing w:val="0"/>
          <w:position w:val="0"/>
          <w:highlight w:val="none"/>
        </w:rPr>
        <w:t>、中国政府采购网</w:t>
      </w:r>
      <w:r>
        <w:rPr>
          <w:rFonts w:hint="eastAsia"/>
          <w:color w:val="auto"/>
          <w:spacing w:val="0"/>
          <w:position w:val="0"/>
          <w:highlight w:val="none"/>
          <w:lang w:eastAsia="zh-CN"/>
        </w:rPr>
        <w:t>（</w:t>
      </w:r>
      <w:r>
        <w:rPr>
          <w:rFonts w:hint="eastAsia"/>
          <w:color w:val="auto"/>
          <w:spacing w:val="0"/>
          <w:position w:val="0"/>
          <w:highlight w:val="none"/>
        </w:rPr>
        <w:t>www.ccgp.gov.cn</w:t>
      </w:r>
      <w:r>
        <w:rPr>
          <w:rFonts w:hint="eastAsia"/>
          <w:color w:val="auto"/>
          <w:spacing w:val="0"/>
          <w:position w:val="0"/>
          <w:highlight w:val="none"/>
          <w:lang w:eastAsia="zh-CN"/>
        </w:rPr>
        <w:t>）</w:t>
      </w:r>
      <w:r>
        <w:rPr>
          <w:rFonts w:hint="eastAsia"/>
          <w:color w:val="auto"/>
          <w:spacing w:val="0"/>
          <w:position w:val="0"/>
          <w:highlight w:val="none"/>
        </w:rPr>
        <w:t>。</w:t>
      </w:r>
    </w:p>
    <w:p w14:paraId="1EEE7C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lang w:eastAsia="zh-CN"/>
        </w:rPr>
        <w:t>（</w:t>
      </w:r>
      <w:r>
        <w:rPr>
          <w:rFonts w:hint="eastAsia"/>
          <w:color w:val="auto"/>
          <w:spacing w:val="0"/>
          <w:position w:val="0"/>
          <w:highlight w:val="none"/>
        </w:rPr>
        <w:t>2</w:t>
      </w:r>
      <w:r>
        <w:rPr>
          <w:rFonts w:hint="eastAsia"/>
          <w:color w:val="auto"/>
          <w:spacing w:val="0"/>
          <w:position w:val="0"/>
          <w:highlight w:val="none"/>
          <w:lang w:eastAsia="zh-CN"/>
        </w:rPr>
        <w:t>）</w:t>
      </w:r>
      <w:r>
        <w:rPr>
          <w:rFonts w:hint="eastAsia"/>
          <w:color w:val="auto"/>
          <w:spacing w:val="0"/>
          <w:position w:val="0"/>
          <w:highlight w:val="none"/>
        </w:rPr>
        <w:t>信用查询截止时点：资格审查结束前。</w:t>
      </w:r>
    </w:p>
    <w:p w14:paraId="68020D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查询记录和证据留存方式：在查询网站中直接打印查询记录，打印材料作为评审资料保存。</w:t>
      </w:r>
    </w:p>
    <w:p w14:paraId="2DDF69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信用信息使用规则：对在“信用中国”网站</w:t>
      </w:r>
      <w:r>
        <w:rPr>
          <w:rFonts w:hint="eastAsia"/>
          <w:color w:val="auto"/>
          <w:spacing w:val="0"/>
          <w:position w:val="0"/>
          <w:highlight w:val="none"/>
          <w:lang w:eastAsia="zh-CN"/>
        </w:rPr>
        <w:t>（</w:t>
      </w:r>
      <w:r>
        <w:rPr>
          <w:rFonts w:hint="eastAsia"/>
          <w:color w:val="auto"/>
          <w:spacing w:val="0"/>
          <w:position w:val="0"/>
          <w:highlight w:val="none"/>
        </w:rPr>
        <w:t>www.creditchina.gov.cn</w:t>
      </w:r>
      <w:r>
        <w:rPr>
          <w:rFonts w:hint="eastAsia"/>
          <w:color w:val="auto"/>
          <w:spacing w:val="0"/>
          <w:position w:val="0"/>
          <w:highlight w:val="none"/>
          <w:lang w:eastAsia="zh-CN"/>
        </w:rPr>
        <w:t>）</w:t>
      </w:r>
      <w:r>
        <w:rPr>
          <w:rFonts w:hint="eastAsia"/>
          <w:color w:val="auto"/>
          <w:spacing w:val="0"/>
          <w:position w:val="0"/>
          <w:highlight w:val="none"/>
        </w:rPr>
        <w:t>、中国政府采购网</w:t>
      </w:r>
      <w:r>
        <w:rPr>
          <w:rFonts w:hint="eastAsia"/>
          <w:color w:val="auto"/>
          <w:spacing w:val="0"/>
          <w:position w:val="0"/>
          <w:highlight w:val="none"/>
          <w:lang w:eastAsia="zh-CN"/>
        </w:rPr>
        <w:t>（</w:t>
      </w:r>
      <w:r>
        <w:rPr>
          <w:rFonts w:hint="eastAsia"/>
          <w:color w:val="auto"/>
          <w:spacing w:val="0"/>
          <w:position w:val="0"/>
          <w:highlight w:val="none"/>
        </w:rPr>
        <w:t>www.ccgp.gov.cn</w:t>
      </w:r>
      <w:r>
        <w:rPr>
          <w:rFonts w:hint="eastAsia"/>
          <w:color w:val="auto"/>
          <w:spacing w:val="0"/>
          <w:position w:val="0"/>
          <w:highlight w:val="none"/>
          <w:lang w:eastAsia="zh-CN"/>
        </w:rPr>
        <w:t>）</w:t>
      </w:r>
      <w:r>
        <w:rPr>
          <w:rFonts w:hint="eastAsia"/>
          <w:color w:val="auto"/>
          <w:spacing w:val="0"/>
          <w:position w:val="0"/>
          <w:highlight w:val="none"/>
        </w:rPr>
        <w:t>被列入失信被执行人、重大税收违法案件当事人名单、政府采购严重违法失信行为记录名单及其他不符合《中华人民共和国政府采购法》第二十二条规定条件的供应商，资格审查不通过，不得参与政府采购活动。</w:t>
      </w:r>
    </w:p>
    <w:p w14:paraId="1EA78E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1.2资格审查标准为本磋商文件中载明对供应商资格要求的条件。资格审查采用合格制，凡符合磋商文件规定的供应商资格要求的响应文件均通过资格审查。</w:t>
      </w:r>
    </w:p>
    <w:p w14:paraId="49BB90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1.3供应商有下列情形之一的，资格审查不通过，其响应文件按无效响应处理：</w:t>
      </w:r>
    </w:p>
    <w:p w14:paraId="6560BA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lang w:eastAsia="zh-CN"/>
        </w:rPr>
        <w:t>（</w:t>
      </w:r>
      <w:r>
        <w:rPr>
          <w:rFonts w:hint="eastAsia"/>
          <w:color w:val="auto"/>
          <w:spacing w:val="0"/>
          <w:position w:val="0"/>
          <w:highlight w:val="none"/>
        </w:rPr>
        <w:t>1</w:t>
      </w:r>
      <w:r>
        <w:rPr>
          <w:rFonts w:hint="eastAsia"/>
          <w:color w:val="auto"/>
          <w:spacing w:val="0"/>
          <w:position w:val="0"/>
          <w:highlight w:val="none"/>
          <w:lang w:eastAsia="zh-CN"/>
        </w:rPr>
        <w:t>）</w:t>
      </w:r>
      <w:r>
        <w:rPr>
          <w:rFonts w:hint="eastAsia"/>
          <w:color w:val="auto"/>
          <w:spacing w:val="0"/>
          <w:position w:val="0"/>
          <w:highlight w:val="none"/>
        </w:rPr>
        <w:t>不具备磋商文件中规定的资格要求的；</w:t>
      </w:r>
    </w:p>
    <w:p w14:paraId="7BBAAF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lang w:eastAsia="zh-CN"/>
        </w:rPr>
        <w:t>（</w:t>
      </w:r>
      <w:r>
        <w:rPr>
          <w:rFonts w:hint="eastAsia"/>
          <w:color w:val="auto"/>
          <w:spacing w:val="0"/>
          <w:position w:val="0"/>
          <w:highlight w:val="none"/>
        </w:rPr>
        <w:t>2</w:t>
      </w:r>
      <w:r>
        <w:rPr>
          <w:rFonts w:hint="eastAsia"/>
          <w:color w:val="auto"/>
          <w:spacing w:val="0"/>
          <w:position w:val="0"/>
          <w:highlight w:val="none"/>
          <w:lang w:eastAsia="zh-CN"/>
        </w:rPr>
        <w:t>）</w:t>
      </w:r>
      <w:r>
        <w:rPr>
          <w:rFonts w:hint="eastAsia"/>
          <w:color w:val="auto"/>
          <w:spacing w:val="0"/>
          <w:position w:val="0"/>
          <w:highlight w:val="none"/>
        </w:rPr>
        <w:t>响应文件未提供任一项“供应商须知前附表”资格证明文件规定的“必须提供”的文件资料的；</w:t>
      </w:r>
    </w:p>
    <w:p w14:paraId="3DFA9E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lang w:eastAsia="zh-CN"/>
        </w:rPr>
        <w:t>（</w:t>
      </w:r>
      <w:r>
        <w:rPr>
          <w:rFonts w:hint="eastAsia"/>
          <w:color w:val="auto"/>
          <w:spacing w:val="0"/>
          <w:position w:val="0"/>
          <w:highlight w:val="none"/>
        </w:rPr>
        <w:t>3</w:t>
      </w:r>
      <w:r>
        <w:rPr>
          <w:rFonts w:hint="eastAsia"/>
          <w:color w:val="auto"/>
          <w:spacing w:val="0"/>
          <w:position w:val="0"/>
          <w:highlight w:val="none"/>
          <w:lang w:eastAsia="zh-CN"/>
        </w:rPr>
        <w:t>）</w:t>
      </w:r>
      <w:r>
        <w:rPr>
          <w:rFonts w:hint="eastAsia"/>
          <w:color w:val="auto"/>
          <w:spacing w:val="0"/>
          <w:position w:val="0"/>
          <w:highlight w:val="none"/>
        </w:rPr>
        <w:t>响应文件提供的资格证明文件出现任一项不符合“供应商须知前附表”资格证明文件规定的“必须提供”的文件资料要求或者无效的。</w:t>
      </w:r>
    </w:p>
    <w:p w14:paraId="65FCA7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1.4通过资格审查的合格供应商不足3家的，不得进入符合性审查环节，采购人或者采购代理机构应当重新开展采购活动。</w:t>
      </w:r>
    </w:p>
    <w:p w14:paraId="3BED8A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2.符合性审查</w:t>
      </w:r>
    </w:p>
    <w:p w14:paraId="55F583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2.1由磋商小组对通过资格审查的合格供应商的响应文件的竞标报价、商务、技术等实质性要求进行符合性审查，以确定其是否满足磋商文件的实质性要求。</w:t>
      </w:r>
    </w:p>
    <w:p w14:paraId="16042E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1977B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2.3磋商小组要求供应商澄清、说明或者更正响应文件应当要求供应商在合理时间内通过</w:t>
      </w:r>
      <w:r>
        <w:rPr>
          <w:rFonts w:hint="eastAsia"/>
          <w:color w:val="auto"/>
          <w:spacing w:val="0"/>
          <w:position w:val="0"/>
          <w:highlight w:val="none"/>
          <w:lang w:eastAsia="zh-CN"/>
        </w:rPr>
        <w:t>广西政府采购云平台（https://www.gcy.zfcg.gxzf.gov.cn/）</w:t>
      </w:r>
      <w:r>
        <w:rPr>
          <w:rFonts w:hint="eastAsia"/>
          <w:color w:val="auto"/>
          <w:spacing w:val="0"/>
          <w:position w:val="0"/>
          <w:highlight w:val="none"/>
        </w:rPr>
        <w:t>的方式形式作出。供应商的澄清、说明或者更正必须通过</w:t>
      </w:r>
      <w:r>
        <w:rPr>
          <w:rFonts w:hint="eastAsia"/>
          <w:color w:val="auto"/>
          <w:spacing w:val="0"/>
          <w:position w:val="0"/>
          <w:highlight w:val="none"/>
          <w:lang w:eastAsia="zh-CN"/>
        </w:rPr>
        <w:t>广西政府采购云平台</w:t>
      </w:r>
      <w:r>
        <w:rPr>
          <w:rFonts w:hint="eastAsia"/>
          <w:color w:val="auto"/>
          <w:spacing w:val="0"/>
          <w:position w:val="0"/>
          <w:highlight w:val="none"/>
        </w:rPr>
        <w:t>以书面形式按照磋商小组的要求作出明确的澄清、说明或者更正，未按磋商小组的要求作出明确澄清、说明或者更正的供应商的响应文件将按照有利于采购人的原则由磋商小组进行判定。供应商的澄清、说明或者更正必须由法定代表人或者其委托代理人签字或者加盖CA签章。由委托代理人签字的，若委托代理人不是响应文件中授权的委托代理人时，必须同时出示有效的法定代表人授权委托书原件。供应商为自然人的，必须由本人签字并附身份证明。</w:t>
      </w:r>
    </w:p>
    <w:p w14:paraId="29890A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2.4首次响应文件报价出现前后不一致的，按照下列规定修正：</w:t>
      </w:r>
    </w:p>
    <w:p w14:paraId="026734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lang w:eastAsia="zh-CN"/>
        </w:rPr>
        <w:t>（</w:t>
      </w:r>
      <w:r>
        <w:rPr>
          <w:rFonts w:hint="eastAsia"/>
          <w:color w:val="auto"/>
          <w:spacing w:val="0"/>
          <w:position w:val="0"/>
          <w:highlight w:val="none"/>
        </w:rPr>
        <w:t>1</w:t>
      </w:r>
      <w:r>
        <w:rPr>
          <w:rFonts w:hint="eastAsia"/>
          <w:color w:val="auto"/>
          <w:spacing w:val="0"/>
          <w:position w:val="0"/>
          <w:highlight w:val="none"/>
          <w:lang w:eastAsia="zh-CN"/>
        </w:rPr>
        <w:t>）</w:t>
      </w:r>
      <w:r>
        <w:rPr>
          <w:rFonts w:hint="eastAsia"/>
          <w:color w:val="auto"/>
          <w:spacing w:val="0"/>
          <w:position w:val="0"/>
          <w:highlight w:val="none"/>
        </w:rPr>
        <w:t>响应文件中报价表内容与响应文件中相应内容不一致的，以报价表为准；</w:t>
      </w:r>
    </w:p>
    <w:p w14:paraId="2F7D01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lang w:eastAsia="zh-CN"/>
        </w:rPr>
        <w:t>（</w:t>
      </w:r>
      <w:r>
        <w:rPr>
          <w:rFonts w:hint="eastAsia"/>
          <w:color w:val="auto"/>
          <w:spacing w:val="0"/>
          <w:position w:val="0"/>
          <w:highlight w:val="none"/>
        </w:rPr>
        <w:t>2</w:t>
      </w:r>
      <w:r>
        <w:rPr>
          <w:rFonts w:hint="eastAsia"/>
          <w:color w:val="auto"/>
          <w:spacing w:val="0"/>
          <w:position w:val="0"/>
          <w:highlight w:val="none"/>
          <w:lang w:eastAsia="zh-CN"/>
        </w:rPr>
        <w:t>）</w:t>
      </w:r>
      <w:r>
        <w:rPr>
          <w:rFonts w:hint="eastAsia"/>
          <w:color w:val="auto"/>
          <w:spacing w:val="0"/>
          <w:position w:val="0"/>
          <w:highlight w:val="none"/>
        </w:rPr>
        <w:t>大写金额和小写金额不一致的，以大写金额为准；</w:t>
      </w:r>
    </w:p>
    <w:p w14:paraId="04D22F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lang w:eastAsia="zh-CN"/>
        </w:rPr>
        <w:t>（</w:t>
      </w:r>
      <w:r>
        <w:rPr>
          <w:rFonts w:hint="eastAsia"/>
          <w:color w:val="auto"/>
          <w:spacing w:val="0"/>
          <w:position w:val="0"/>
          <w:highlight w:val="none"/>
        </w:rPr>
        <w:t>3</w:t>
      </w:r>
      <w:r>
        <w:rPr>
          <w:rFonts w:hint="eastAsia"/>
          <w:color w:val="auto"/>
          <w:spacing w:val="0"/>
          <w:position w:val="0"/>
          <w:highlight w:val="none"/>
          <w:lang w:eastAsia="zh-CN"/>
        </w:rPr>
        <w:t>）</w:t>
      </w:r>
      <w:r>
        <w:rPr>
          <w:rFonts w:hint="eastAsia"/>
          <w:color w:val="auto"/>
          <w:spacing w:val="0"/>
          <w:position w:val="0"/>
          <w:highlight w:val="none"/>
        </w:rPr>
        <w:t>单价金额小数点或者百分比有明显错位的，以报价表的总价为准，并修改单价；</w:t>
      </w:r>
    </w:p>
    <w:p w14:paraId="1F9823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lang w:eastAsia="zh-CN"/>
        </w:rPr>
        <w:t>（</w:t>
      </w:r>
      <w:r>
        <w:rPr>
          <w:rFonts w:hint="eastAsia"/>
          <w:color w:val="auto"/>
          <w:spacing w:val="0"/>
          <w:position w:val="0"/>
          <w:highlight w:val="none"/>
        </w:rPr>
        <w:t>4</w:t>
      </w:r>
      <w:r>
        <w:rPr>
          <w:rFonts w:hint="eastAsia"/>
          <w:color w:val="auto"/>
          <w:spacing w:val="0"/>
          <w:position w:val="0"/>
          <w:highlight w:val="none"/>
          <w:lang w:eastAsia="zh-CN"/>
        </w:rPr>
        <w:t>）</w:t>
      </w:r>
      <w:r>
        <w:rPr>
          <w:rFonts w:hint="eastAsia"/>
          <w:color w:val="auto"/>
          <w:spacing w:val="0"/>
          <w:position w:val="0"/>
          <w:highlight w:val="none"/>
        </w:rPr>
        <w:t>总价金额与按单价汇总金额不一致的，以单价金额计算结果为准。</w:t>
      </w:r>
    </w:p>
    <w:p w14:paraId="1D24C2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同时出现两种以上不一致的，按照以上</w:t>
      </w:r>
      <w:r>
        <w:rPr>
          <w:rFonts w:hint="eastAsia"/>
          <w:color w:val="auto"/>
          <w:spacing w:val="0"/>
          <w:position w:val="0"/>
          <w:highlight w:val="none"/>
          <w:lang w:eastAsia="zh-CN"/>
        </w:rPr>
        <w:t>（</w:t>
      </w:r>
      <w:r>
        <w:rPr>
          <w:rFonts w:hint="eastAsia"/>
          <w:color w:val="auto"/>
          <w:spacing w:val="0"/>
          <w:position w:val="0"/>
          <w:highlight w:val="none"/>
        </w:rPr>
        <w:t>1</w:t>
      </w:r>
      <w:r>
        <w:rPr>
          <w:rFonts w:hint="eastAsia"/>
          <w:color w:val="auto"/>
          <w:spacing w:val="0"/>
          <w:position w:val="0"/>
          <w:highlight w:val="none"/>
          <w:lang w:eastAsia="zh-CN"/>
        </w:rPr>
        <w:t>）</w:t>
      </w:r>
      <w:r>
        <w:rPr>
          <w:rFonts w:hint="eastAsia"/>
          <w:color w:val="auto"/>
          <w:spacing w:val="0"/>
          <w:position w:val="0"/>
          <w:highlight w:val="none"/>
        </w:rPr>
        <w:t>-</w:t>
      </w:r>
      <w:r>
        <w:rPr>
          <w:rFonts w:hint="eastAsia"/>
          <w:color w:val="auto"/>
          <w:spacing w:val="0"/>
          <w:position w:val="0"/>
          <w:highlight w:val="none"/>
          <w:lang w:eastAsia="zh-CN"/>
        </w:rPr>
        <w:t>（</w:t>
      </w:r>
      <w:r>
        <w:rPr>
          <w:rFonts w:hint="eastAsia"/>
          <w:color w:val="auto"/>
          <w:spacing w:val="0"/>
          <w:position w:val="0"/>
          <w:highlight w:val="none"/>
        </w:rPr>
        <w:t>4</w:t>
      </w:r>
      <w:r>
        <w:rPr>
          <w:rFonts w:hint="eastAsia"/>
          <w:color w:val="auto"/>
          <w:spacing w:val="0"/>
          <w:position w:val="0"/>
          <w:highlight w:val="none"/>
          <w:lang w:eastAsia="zh-CN"/>
        </w:rPr>
        <w:t>）</w:t>
      </w:r>
      <w:r>
        <w:rPr>
          <w:rFonts w:hint="eastAsia"/>
          <w:color w:val="auto"/>
          <w:spacing w:val="0"/>
          <w:position w:val="0"/>
          <w:highlight w:val="none"/>
        </w:rPr>
        <w:t>规定的顺序逐条进行修正。修正后的报价经供应商确认后产生约束力，供应商不确认的，其响应文件按无效响应处理。</w:t>
      </w:r>
    </w:p>
    <w:p w14:paraId="6B2715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2.5商务技术报价评审</w:t>
      </w:r>
    </w:p>
    <w:p w14:paraId="6FE7C3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在评审时，如发现下列情形之一的，将被视为响应文件无效处理：</w:t>
      </w:r>
    </w:p>
    <w:p w14:paraId="429B97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lang w:eastAsia="zh-CN"/>
        </w:rPr>
        <w:t>（</w:t>
      </w:r>
      <w:r>
        <w:rPr>
          <w:rFonts w:hint="eastAsia"/>
          <w:color w:val="auto"/>
          <w:spacing w:val="0"/>
          <w:position w:val="0"/>
          <w:highlight w:val="none"/>
        </w:rPr>
        <w:t>1</w:t>
      </w:r>
      <w:r>
        <w:rPr>
          <w:rFonts w:hint="eastAsia"/>
          <w:color w:val="auto"/>
          <w:spacing w:val="0"/>
          <w:position w:val="0"/>
          <w:highlight w:val="none"/>
          <w:lang w:eastAsia="zh-CN"/>
        </w:rPr>
        <w:t>）</w:t>
      </w:r>
      <w:r>
        <w:rPr>
          <w:rFonts w:hint="eastAsia"/>
          <w:color w:val="auto"/>
          <w:spacing w:val="0"/>
          <w:position w:val="0"/>
          <w:highlight w:val="none"/>
        </w:rPr>
        <w:t>商务技术评审</w:t>
      </w:r>
    </w:p>
    <w:p w14:paraId="2884AD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1</w:t>
      </w:r>
      <w:r>
        <w:rPr>
          <w:rFonts w:hint="eastAsia"/>
          <w:color w:val="auto"/>
          <w:spacing w:val="0"/>
          <w:position w:val="0"/>
          <w:highlight w:val="none"/>
          <w:lang w:eastAsia="zh-CN"/>
        </w:rPr>
        <w:t>）</w:t>
      </w:r>
      <w:r>
        <w:rPr>
          <w:rFonts w:hint="eastAsia"/>
          <w:color w:val="auto"/>
          <w:spacing w:val="0"/>
          <w:position w:val="0"/>
          <w:highlight w:val="none"/>
        </w:rPr>
        <w:t>响应文件未按磋商文件要求签署、盖章；</w:t>
      </w:r>
    </w:p>
    <w:p w14:paraId="122A1D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2</w:t>
      </w:r>
      <w:r>
        <w:rPr>
          <w:rFonts w:hint="eastAsia"/>
          <w:color w:val="auto"/>
          <w:spacing w:val="0"/>
          <w:position w:val="0"/>
          <w:highlight w:val="none"/>
          <w:lang w:eastAsia="zh-CN"/>
        </w:rPr>
        <w:t>）</w:t>
      </w:r>
      <w:r>
        <w:rPr>
          <w:rFonts w:hint="eastAsia"/>
          <w:color w:val="auto"/>
          <w:spacing w:val="0"/>
          <w:position w:val="0"/>
          <w:highlight w:val="none"/>
        </w:rPr>
        <w:t>委托代理人未能出具有效身份证明或者出具的身份证明与授权委托书中的信息不符；</w:t>
      </w:r>
    </w:p>
    <w:p w14:paraId="47B7BC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3</w:t>
      </w:r>
      <w:r>
        <w:rPr>
          <w:rFonts w:hint="eastAsia"/>
          <w:color w:val="auto"/>
          <w:spacing w:val="0"/>
          <w:position w:val="0"/>
          <w:highlight w:val="none"/>
          <w:lang w:eastAsia="zh-CN"/>
        </w:rPr>
        <w:t>）</w:t>
      </w:r>
      <w:r>
        <w:rPr>
          <w:rFonts w:hint="eastAsia"/>
          <w:color w:val="auto"/>
          <w:spacing w:val="0"/>
          <w:position w:val="0"/>
          <w:highlight w:val="none"/>
        </w:rPr>
        <w:t>响应文件未提供任一项“供应商须知前附表”报价商务技术文件中“必须提供”或者“委托时必须提供”的文件资料；响应文件提供的报价商务技术文件出现任一项不符合“供应商须知前附表”报价商务技术文件中“必须提供”或者“委托时必须提供”文件资料要求的规定或者提供的报价商务技术文件无效。</w:t>
      </w:r>
    </w:p>
    <w:p w14:paraId="00FF48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4</w:t>
      </w:r>
      <w:r>
        <w:rPr>
          <w:rFonts w:hint="eastAsia"/>
          <w:color w:val="auto"/>
          <w:spacing w:val="0"/>
          <w:position w:val="0"/>
          <w:highlight w:val="none"/>
          <w:lang w:eastAsia="zh-CN"/>
        </w:rPr>
        <w:t>）</w:t>
      </w:r>
      <w:r>
        <w:rPr>
          <w:rFonts w:hint="eastAsia"/>
          <w:color w:val="auto"/>
          <w:spacing w:val="0"/>
          <w:position w:val="0"/>
          <w:highlight w:val="none"/>
        </w:rPr>
        <w:t>商务条款中标“▲”的条款发生负偏离的或者允许负偏离的条款数超过“供应商须知前附表”规定项数的或者标明实质性的要求发生负偏离；</w:t>
      </w:r>
    </w:p>
    <w:p w14:paraId="31DBFF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5</w:t>
      </w:r>
      <w:r>
        <w:rPr>
          <w:rFonts w:hint="eastAsia"/>
          <w:color w:val="auto"/>
          <w:spacing w:val="0"/>
          <w:position w:val="0"/>
          <w:highlight w:val="none"/>
          <w:lang w:eastAsia="zh-CN"/>
        </w:rPr>
        <w:t>）</w:t>
      </w:r>
      <w:r>
        <w:rPr>
          <w:rFonts w:hint="eastAsia"/>
          <w:color w:val="auto"/>
          <w:spacing w:val="0"/>
          <w:position w:val="0"/>
          <w:highlight w:val="none"/>
        </w:rPr>
        <w:t>未对竞标有效期作出响应或者响应文件承诺的竞标有效期不满足磋商文件要求；</w:t>
      </w:r>
    </w:p>
    <w:p w14:paraId="3DAFD9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6</w:t>
      </w:r>
      <w:r>
        <w:rPr>
          <w:rFonts w:hint="eastAsia"/>
          <w:color w:val="auto"/>
          <w:spacing w:val="0"/>
          <w:position w:val="0"/>
          <w:highlight w:val="none"/>
          <w:lang w:eastAsia="zh-CN"/>
        </w:rPr>
        <w:t>）</w:t>
      </w:r>
      <w:r>
        <w:rPr>
          <w:rFonts w:hint="eastAsia"/>
          <w:color w:val="auto"/>
          <w:spacing w:val="0"/>
          <w:position w:val="0"/>
          <w:highlight w:val="none"/>
        </w:rPr>
        <w:t>响应文件的实质性内容未使用中文表述、使用计量单位不符合磋商文件要求；</w:t>
      </w:r>
    </w:p>
    <w:p w14:paraId="2C5756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7</w:t>
      </w:r>
      <w:r>
        <w:rPr>
          <w:rFonts w:hint="eastAsia"/>
          <w:color w:val="auto"/>
          <w:spacing w:val="0"/>
          <w:position w:val="0"/>
          <w:highlight w:val="none"/>
          <w:lang w:eastAsia="zh-CN"/>
        </w:rPr>
        <w:t>）</w:t>
      </w:r>
      <w:r>
        <w:rPr>
          <w:rFonts w:hint="eastAsia"/>
          <w:color w:val="auto"/>
          <w:spacing w:val="0"/>
          <w:position w:val="0"/>
          <w:highlight w:val="none"/>
        </w:rPr>
        <w:t>响应文件中的文件资料因填写不齐全或者内容虚假或者出现其他情形而导致被磋商小组认定无效；</w:t>
      </w:r>
    </w:p>
    <w:p w14:paraId="5BDDF8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8</w:t>
      </w:r>
      <w:r>
        <w:rPr>
          <w:rFonts w:hint="eastAsia"/>
          <w:color w:val="auto"/>
          <w:spacing w:val="0"/>
          <w:position w:val="0"/>
          <w:highlight w:val="none"/>
          <w:lang w:eastAsia="zh-CN"/>
        </w:rPr>
        <w:t>）</w:t>
      </w:r>
      <w:r>
        <w:rPr>
          <w:rFonts w:hint="eastAsia"/>
          <w:color w:val="auto"/>
          <w:spacing w:val="0"/>
          <w:position w:val="0"/>
          <w:highlight w:val="none"/>
        </w:rPr>
        <w:t>响应文件含有采购人不能接受的附加条件；</w:t>
      </w:r>
    </w:p>
    <w:p w14:paraId="12535C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9</w:t>
      </w:r>
      <w:r>
        <w:rPr>
          <w:rFonts w:hint="eastAsia"/>
          <w:color w:val="auto"/>
          <w:spacing w:val="0"/>
          <w:position w:val="0"/>
          <w:highlight w:val="none"/>
          <w:lang w:eastAsia="zh-CN"/>
        </w:rPr>
        <w:t>）</w:t>
      </w:r>
      <w:r>
        <w:rPr>
          <w:rFonts w:hint="eastAsia"/>
          <w:color w:val="auto"/>
          <w:spacing w:val="0"/>
          <w:position w:val="0"/>
          <w:highlight w:val="none"/>
        </w:rPr>
        <w:t>属于“供应商须知正文”第7.7条情形；</w:t>
      </w:r>
    </w:p>
    <w:p w14:paraId="50731B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10</w:t>
      </w:r>
      <w:r>
        <w:rPr>
          <w:rFonts w:hint="eastAsia"/>
          <w:color w:val="auto"/>
          <w:spacing w:val="0"/>
          <w:position w:val="0"/>
          <w:highlight w:val="none"/>
          <w:lang w:eastAsia="zh-CN"/>
        </w:rPr>
        <w:t>）</w:t>
      </w:r>
      <w:r>
        <w:rPr>
          <w:rFonts w:hint="eastAsia"/>
          <w:color w:val="auto"/>
          <w:spacing w:val="0"/>
          <w:position w:val="0"/>
          <w:highlight w:val="none"/>
        </w:rPr>
        <w:t>技术需求允许负偏离的条款数超过“供应商须知前附表”规定项数；</w:t>
      </w:r>
    </w:p>
    <w:p w14:paraId="7AFB9B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11</w:t>
      </w:r>
      <w:r>
        <w:rPr>
          <w:rFonts w:hint="eastAsia"/>
          <w:color w:val="auto"/>
          <w:spacing w:val="0"/>
          <w:position w:val="0"/>
          <w:highlight w:val="none"/>
          <w:lang w:eastAsia="zh-CN"/>
        </w:rPr>
        <w:t>）</w:t>
      </w:r>
      <w:r>
        <w:rPr>
          <w:rFonts w:hint="eastAsia"/>
          <w:color w:val="auto"/>
          <w:spacing w:val="0"/>
          <w:position w:val="0"/>
          <w:highlight w:val="none"/>
        </w:rPr>
        <w:t>虚假竞标，或者出现其他情形而导致被磋商小组认定无效；</w:t>
      </w:r>
    </w:p>
    <w:p w14:paraId="3E632A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12</w:t>
      </w:r>
      <w:r>
        <w:rPr>
          <w:rFonts w:hint="eastAsia"/>
          <w:color w:val="auto"/>
          <w:spacing w:val="0"/>
          <w:position w:val="0"/>
          <w:highlight w:val="none"/>
          <w:lang w:eastAsia="zh-CN"/>
        </w:rPr>
        <w:t>）</w:t>
      </w:r>
      <w:r>
        <w:rPr>
          <w:rFonts w:hint="eastAsia"/>
          <w:color w:val="auto"/>
          <w:spacing w:val="0"/>
          <w:position w:val="0"/>
          <w:highlight w:val="none"/>
        </w:rPr>
        <w:t>竞标技术方案不明确，磋商文件未允许但响应文件中存在一个或者一个以上备选</w:t>
      </w:r>
      <w:r>
        <w:rPr>
          <w:rFonts w:hint="eastAsia"/>
          <w:color w:val="auto"/>
          <w:spacing w:val="0"/>
          <w:position w:val="0"/>
          <w:highlight w:val="none"/>
          <w:lang w:eastAsia="zh-CN"/>
        </w:rPr>
        <w:t>（</w:t>
      </w:r>
      <w:r>
        <w:rPr>
          <w:rFonts w:hint="eastAsia"/>
          <w:color w:val="auto"/>
          <w:spacing w:val="0"/>
          <w:position w:val="0"/>
          <w:highlight w:val="none"/>
        </w:rPr>
        <w:t>替代</w:t>
      </w:r>
      <w:r>
        <w:rPr>
          <w:rFonts w:hint="eastAsia"/>
          <w:color w:val="auto"/>
          <w:spacing w:val="0"/>
          <w:position w:val="0"/>
          <w:highlight w:val="none"/>
          <w:lang w:eastAsia="zh-CN"/>
        </w:rPr>
        <w:t>）</w:t>
      </w:r>
      <w:r>
        <w:rPr>
          <w:rFonts w:hint="eastAsia"/>
          <w:color w:val="auto"/>
          <w:spacing w:val="0"/>
          <w:position w:val="0"/>
          <w:highlight w:val="none"/>
        </w:rPr>
        <w:t>竞标方案；</w:t>
      </w:r>
    </w:p>
    <w:p w14:paraId="2FFFE8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13</w:t>
      </w:r>
      <w:r>
        <w:rPr>
          <w:rFonts w:hint="eastAsia"/>
          <w:color w:val="auto"/>
          <w:spacing w:val="0"/>
          <w:position w:val="0"/>
          <w:highlight w:val="none"/>
          <w:lang w:eastAsia="zh-CN"/>
        </w:rPr>
        <w:t>）</w:t>
      </w:r>
      <w:r>
        <w:rPr>
          <w:rFonts w:hint="eastAsia"/>
          <w:color w:val="auto"/>
          <w:spacing w:val="0"/>
          <w:position w:val="0"/>
          <w:highlight w:val="none"/>
        </w:rPr>
        <w:t>响应文件标注的项目名称或者项目编号与竞争性磋商文件标注的项目名称或者项目编号不一致的；</w:t>
      </w:r>
    </w:p>
    <w:p w14:paraId="343F5A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14</w:t>
      </w:r>
      <w:r>
        <w:rPr>
          <w:rFonts w:hint="eastAsia"/>
          <w:color w:val="auto"/>
          <w:spacing w:val="0"/>
          <w:position w:val="0"/>
          <w:highlight w:val="none"/>
          <w:lang w:eastAsia="zh-CN"/>
        </w:rPr>
        <w:t>）</w:t>
      </w:r>
      <w:r>
        <w:rPr>
          <w:rFonts w:hint="eastAsia"/>
          <w:color w:val="auto"/>
          <w:spacing w:val="0"/>
          <w:position w:val="0"/>
          <w:highlight w:val="none"/>
        </w:rPr>
        <w:t>未响应磋商文件实质性要求；</w:t>
      </w:r>
    </w:p>
    <w:p w14:paraId="46DCE8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15</w:t>
      </w:r>
      <w:r>
        <w:rPr>
          <w:rFonts w:hint="eastAsia"/>
          <w:color w:val="auto"/>
          <w:spacing w:val="0"/>
          <w:position w:val="0"/>
          <w:highlight w:val="none"/>
          <w:lang w:eastAsia="zh-CN"/>
        </w:rPr>
        <w:t>）</w:t>
      </w:r>
      <w:r>
        <w:rPr>
          <w:rFonts w:hint="eastAsia"/>
          <w:color w:val="auto"/>
          <w:spacing w:val="0"/>
          <w:position w:val="0"/>
          <w:highlight w:val="none"/>
        </w:rPr>
        <w:t>法律、法规和磋商文件规定的其他无效情形。</w:t>
      </w:r>
    </w:p>
    <w:p w14:paraId="43CC6C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lang w:eastAsia="zh-CN"/>
        </w:rPr>
        <w:t>（</w:t>
      </w:r>
      <w:r>
        <w:rPr>
          <w:rFonts w:hint="eastAsia"/>
          <w:color w:val="auto"/>
          <w:spacing w:val="0"/>
          <w:position w:val="0"/>
          <w:highlight w:val="none"/>
        </w:rPr>
        <w:t>2</w:t>
      </w:r>
      <w:r>
        <w:rPr>
          <w:rFonts w:hint="eastAsia"/>
          <w:color w:val="auto"/>
          <w:spacing w:val="0"/>
          <w:position w:val="0"/>
          <w:highlight w:val="none"/>
          <w:lang w:eastAsia="zh-CN"/>
        </w:rPr>
        <w:t>）</w:t>
      </w:r>
      <w:r>
        <w:rPr>
          <w:rFonts w:hint="eastAsia"/>
          <w:color w:val="auto"/>
          <w:spacing w:val="0"/>
          <w:position w:val="0"/>
          <w:highlight w:val="none"/>
        </w:rPr>
        <w:t>报价评审</w:t>
      </w:r>
    </w:p>
    <w:p w14:paraId="48095E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1</w:t>
      </w:r>
      <w:r>
        <w:rPr>
          <w:rFonts w:hint="eastAsia"/>
          <w:color w:val="auto"/>
          <w:spacing w:val="0"/>
          <w:position w:val="0"/>
          <w:highlight w:val="none"/>
          <w:lang w:eastAsia="zh-CN"/>
        </w:rPr>
        <w:t>）</w:t>
      </w:r>
      <w:r>
        <w:rPr>
          <w:rFonts w:hint="eastAsia"/>
          <w:color w:val="auto"/>
          <w:spacing w:val="0"/>
          <w:position w:val="0"/>
          <w:highlight w:val="none"/>
        </w:rPr>
        <w:t>响应文件未提供“供应商须知前附表”报价商务技术文件中规定的；</w:t>
      </w:r>
    </w:p>
    <w:p w14:paraId="17E00A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2</w:t>
      </w:r>
      <w:r>
        <w:rPr>
          <w:rFonts w:hint="eastAsia"/>
          <w:color w:val="auto"/>
          <w:spacing w:val="0"/>
          <w:position w:val="0"/>
          <w:highlight w:val="none"/>
          <w:lang w:eastAsia="zh-CN"/>
        </w:rPr>
        <w:t>）</w:t>
      </w:r>
      <w:r>
        <w:rPr>
          <w:rFonts w:hint="eastAsia"/>
          <w:color w:val="auto"/>
          <w:spacing w:val="0"/>
          <w:position w:val="0"/>
          <w:highlight w:val="none"/>
        </w:rPr>
        <w:t>未采用人民币报价或者未按照磋商文件标明的币种报价；</w:t>
      </w:r>
    </w:p>
    <w:p w14:paraId="762DCD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3</w:t>
      </w:r>
      <w:r>
        <w:rPr>
          <w:rFonts w:hint="eastAsia"/>
          <w:color w:val="auto"/>
          <w:spacing w:val="0"/>
          <w:position w:val="0"/>
          <w:highlight w:val="none"/>
          <w:lang w:eastAsia="zh-CN"/>
        </w:rPr>
        <w:t>）</w:t>
      </w:r>
      <w:r>
        <w:rPr>
          <w:rFonts w:hint="eastAsia"/>
          <w:color w:val="auto"/>
          <w:spacing w:val="0"/>
          <w:position w:val="0"/>
          <w:highlight w:val="none"/>
        </w:rPr>
        <w:t>供应商未就所磋商分标进行报价或者存在漏项报价；供应商未就所磋商分标的单项内容作唯一报价；供应商未就所磋商分标的全部内容作唯一总价报价；供应商响应文件中存在有选择、有条件报价的</w:t>
      </w:r>
      <w:r>
        <w:rPr>
          <w:rFonts w:hint="eastAsia"/>
          <w:color w:val="auto"/>
          <w:spacing w:val="0"/>
          <w:position w:val="0"/>
          <w:highlight w:val="none"/>
          <w:lang w:eastAsia="zh-CN"/>
        </w:rPr>
        <w:t>（</w:t>
      </w:r>
      <w:r>
        <w:rPr>
          <w:rFonts w:hint="eastAsia"/>
          <w:color w:val="auto"/>
          <w:spacing w:val="0"/>
          <w:position w:val="0"/>
          <w:highlight w:val="none"/>
        </w:rPr>
        <w:t>磋商文件允许有备选方案或者其他约定的除外</w:t>
      </w:r>
      <w:r>
        <w:rPr>
          <w:rFonts w:hint="eastAsia"/>
          <w:color w:val="auto"/>
          <w:spacing w:val="0"/>
          <w:position w:val="0"/>
          <w:highlight w:val="none"/>
          <w:lang w:eastAsia="zh-CN"/>
        </w:rPr>
        <w:t>）</w:t>
      </w:r>
      <w:r>
        <w:rPr>
          <w:rFonts w:hint="eastAsia"/>
          <w:color w:val="auto"/>
          <w:spacing w:val="0"/>
          <w:position w:val="0"/>
          <w:highlight w:val="none"/>
        </w:rPr>
        <w:t>；</w:t>
      </w:r>
    </w:p>
    <w:p w14:paraId="654CC0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4</w:t>
      </w:r>
      <w:r>
        <w:rPr>
          <w:rFonts w:hint="eastAsia"/>
          <w:color w:val="auto"/>
          <w:spacing w:val="0"/>
          <w:position w:val="0"/>
          <w:highlight w:val="none"/>
          <w:lang w:eastAsia="zh-CN"/>
        </w:rPr>
        <w:t>）</w:t>
      </w:r>
      <w:r>
        <w:rPr>
          <w:rFonts w:hint="eastAsia"/>
          <w:color w:val="auto"/>
          <w:spacing w:val="0"/>
          <w:position w:val="0"/>
          <w:highlight w:val="none"/>
        </w:rPr>
        <w:t>磋商报价</w:t>
      </w:r>
      <w:r>
        <w:rPr>
          <w:rFonts w:hint="eastAsia"/>
          <w:color w:val="auto"/>
          <w:spacing w:val="0"/>
          <w:position w:val="0"/>
          <w:highlight w:val="none"/>
          <w:lang w:eastAsia="zh-CN"/>
        </w:rPr>
        <w:t>（</w:t>
      </w:r>
      <w:r>
        <w:rPr>
          <w:rFonts w:hint="eastAsia"/>
          <w:color w:val="auto"/>
          <w:spacing w:val="0"/>
          <w:position w:val="0"/>
          <w:highlight w:val="none"/>
        </w:rPr>
        <w:t>包含首次报价、最后报价</w:t>
      </w:r>
      <w:r>
        <w:rPr>
          <w:rFonts w:hint="eastAsia"/>
          <w:color w:val="auto"/>
          <w:spacing w:val="0"/>
          <w:position w:val="0"/>
          <w:highlight w:val="none"/>
          <w:lang w:eastAsia="zh-CN"/>
        </w:rPr>
        <w:t>）</w:t>
      </w:r>
      <w:r>
        <w:rPr>
          <w:rFonts w:hint="eastAsia"/>
          <w:color w:val="auto"/>
          <w:spacing w:val="0"/>
          <w:position w:val="0"/>
          <w:highlight w:val="none"/>
        </w:rPr>
        <w:t>超过的采购预算金额或者最高限价的</w:t>
      </w:r>
      <w:r>
        <w:rPr>
          <w:rFonts w:hint="eastAsia"/>
          <w:color w:val="auto"/>
          <w:spacing w:val="0"/>
          <w:position w:val="0"/>
          <w:highlight w:val="none"/>
          <w:lang w:eastAsia="zh-CN"/>
        </w:rPr>
        <w:t>（</w:t>
      </w:r>
      <w:r>
        <w:rPr>
          <w:rFonts w:hint="eastAsia"/>
          <w:color w:val="auto"/>
          <w:spacing w:val="0"/>
          <w:position w:val="0"/>
          <w:highlight w:val="none"/>
        </w:rPr>
        <w:t>如本项目公布了最高限价</w:t>
      </w:r>
      <w:r>
        <w:rPr>
          <w:rFonts w:hint="eastAsia"/>
          <w:color w:val="auto"/>
          <w:spacing w:val="0"/>
          <w:position w:val="0"/>
          <w:highlight w:val="none"/>
          <w:lang w:eastAsia="zh-CN"/>
        </w:rPr>
        <w:t>）</w:t>
      </w:r>
      <w:r>
        <w:rPr>
          <w:rFonts w:hint="eastAsia"/>
          <w:color w:val="auto"/>
          <w:spacing w:val="0"/>
          <w:position w:val="0"/>
          <w:highlight w:val="none"/>
        </w:rPr>
        <w:t>；磋商报价</w:t>
      </w:r>
      <w:r>
        <w:rPr>
          <w:rFonts w:hint="eastAsia"/>
          <w:color w:val="auto"/>
          <w:spacing w:val="0"/>
          <w:position w:val="0"/>
          <w:highlight w:val="none"/>
          <w:lang w:eastAsia="zh-CN"/>
        </w:rPr>
        <w:t>（</w:t>
      </w:r>
      <w:r>
        <w:rPr>
          <w:rFonts w:hint="eastAsia"/>
          <w:color w:val="auto"/>
          <w:spacing w:val="0"/>
          <w:position w:val="0"/>
          <w:highlight w:val="none"/>
        </w:rPr>
        <w:t>包含首次报价、最后报价</w:t>
      </w:r>
      <w:r>
        <w:rPr>
          <w:rFonts w:hint="eastAsia"/>
          <w:color w:val="auto"/>
          <w:spacing w:val="0"/>
          <w:position w:val="0"/>
          <w:highlight w:val="none"/>
          <w:lang w:eastAsia="zh-CN"/>
        </w:rPr>
        <w:t>）</w:t>
      </w:r>
      <w:r>
        <w:rPr>
          <w:rFonts w:hint="eastAsia"/>
          <w:color w:val="auto"/>
          <w:spacing w:val="0"/>
          <w:position w:val="0"/>
          <w:highlight w:val="none"/>
        </w:rPr>
        <w:t>超过磋商文件分项采购预算金额或者最高限价的</w:t>
      </w:r>
      <w:r>
        <w:rPr>
          <w:rFonts w:hint="eastAsia"/>
          <w:color w:val="auto"/>
          <w:spacing w:val="0"/>
          <w:position w:val="0"/>
          <w:highlight w:val="none"/>
          <w:lang w:eastAsia="zh-CN"/>
        </w:rPr>
        <w:t>（</w:t>
      </w:r>
      <w:r>
        <w:rPr>
          <w:rFonts w:hint="eastAsia"/>
          <w:color w:val="auto"/>
          <w:spacing w:val="0"/>
          <w:position w:val="0"/>
          <w:highlight w:val="none"/>
        </w:rPr>
        <w:t>如本项目公布了最高限价</w:t>
      </w:r>
      <w:r>
        <w:rPr>
          <w:rFonts w:hint="eastAsia"/>
          <w:color w:val="auto"/>
          <w:spacing w:val="0"/>
          <w:position w:val="0"/>
          <w:highlight w:val="none"/>
          <w:lang w:eastAsia="zh-CN"/>
        </w:rPr>
        <w:t>）</w:t>
      </w:r>
      <w:r>
        <w:rPr>
          <w:rFonts w:hint="eastAsia"/>
          <w:color w:val="auto"/>
          <w:spacing w:val="0"/>
          <w:position w:val="0"/>
          <w:highlight w:val="none"/>
        </w:rPr>
        <w:t>；</w:t>
      </w:r>
    </w:p>
    <w:p w14:paraId="2B3B90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5</w:t>
      </w:r>
      <w:r>
        <w:rPr>
          <w:rFonts w:hint="eastAsia"/>
          <w:color w:val="auto"/>
          <w:spacing w:val="0"/>
          <w:position w:val="0"/>
          <w:highlight w:val="none"/>
          <w:lang w:eastAsia="zh-CN"/>
        </w:rPr>
        <w:t>）</w:t>
      </w:r>
      <w:r>
        <w:rPr>
          <w:rFonts w:hint="eastAsia"/>
          <w:color w:val="auto"/>
          <w:spacing w:val="0"/>
          <w:position w:val="0"/>
          <w:highlight w:val="none"/>
        </w:rPr>
        <w:t>修正后的报价，供应商不确认的；或者经供应商确认修正后的磋商报价</w:t>
      </w:r>
      <w:r>
        <w:rPr>
          <w:rFonts w:hint="eastAsia"/>
          <w:color w:val="auto"/>
          <w:spacing w:val="0"/>
          <w:position w:val="0"/>
          <w:highlight w:val="none"/>
          <w:lang w:eastAsia="zh-CN"/>
        </w:rPr>
        <w:t>（</w:t>
      </w:r>
      <w:r>
        <w:rPr>
          <w:rFonts w:hint="eastAsia"/>
          <w:color w:val="auto"/>
          <w:spacing w:val="0"/>
          <w:position w:val="0"/>
          <w:highlight w:val="none"/>
        </w:rPr>
        <w:t>包含首次报价、最后报价</w:t>
      </w:r>
      <w:r>
        <w:rPr>
          <w:rFonts w:hint="eastAsia"/>
          <w:color w:val="auto"/>
          <w:spacing w:val="0"/>
          <w:position w:val="0"/>
          <w:highlight w:val="none"/>
          <w:lang w:eastAsia="zh-CN"/>
        </w:rPr>
        <w:t>）</w:t>
      </w:r>
      <w:r>
        <w:rPr>
          <w:rFonts w:hint="eastAsia"/>
          <w:color w:val="auto"/>
          <w:spacing w:val="0"/>
          <w:position w:val="0"/>
          <w:highlight w:val="none"/>
        </w:rPr>
        <w:t>超过所磋商分标规定的采购预算金额或者最高限价</w:t>
      </w:r>
      <w:r>
        <w:rPr>
          <w:rFonts w:hint="eastAsia"/>
          <w:color w:val="auto"/>
          <w:spacing w:val="0"/>
          <w:position w:val="0"/>
          <w:highlight w:val="none"/>
          <w:lang w:eastAsia="zh-CN"/>
        </w:rPr>
        <w:t>（</w:t>
      </w:r>
      <w:r>
        <w:rPr>
          <w:rFonts w:hint="eastAsia"/>
          <w:color w:val="auto"/>
          <w:spacing w:val="0"/>
          <w:position w:val="0"/>
          <w:highlight w:val="none"/>
        </w:rPr>
        <w:t>如本项目公布了最高限价</w:t>
      </w:r>
      <w:r>
        <w:rPr>
          <w:rFonts w:hint="eastAsia"/>
          <w:color w:val="auto"/>
          <w:spacing w:val="0"/>
          <w:position w:val="0"/>
          <w:highlight w:val="none"/>
          <w:lang w:eastAsia="zh-CN"/>
        </w:rPr>
        <w:t>）</w:t>
      </w:r>
      <w:r>
        <w:rPr>
          <w:rFonts w:hint="eastAsia"/>
          <w:color w:val="auto"/>
          <w:spacing w:val="0"/>
          <w:position w:val="0"/>
          <w:highlight w:val="none"/>
        </w:rPr>
        <w:t>；或者经供应商确认修正后磋商报价</w:t>
      </w:r>
      <w:r>
        <w:rPr>
          <w:rFonts w:hint="eastAsia"/>
          <w:color w:val="auto"/>
          <w:spacing w:val="0"/>
          <w:position w:val="0"/>
          <w:highlight w:val="none"/>
          <w:lang w:eastAsia="zh-CN"/>
        </w:rPr>
        <w:t>（</w:t>
      </w:r>
      <w:r>
        <w:rPr>
          <w:rFonts w:hint="eastAsia"/>
          <w:color w:val="auto"/>
          <w:spacing w:val="0"/>
          <w:position w:val="0"/>
          <w:highlight w:val="none"/>
        </w:rPr>
        <w:t>包含首次报价、最后报价</w:t>
      </w:r>
      <w:r>
        <w:rPr>
          <w:rFonts w:hint="eastAsia"/>
          <w:color w:val="auto"/>
          <w:spacing w:val="0"/>
          <w:position w:val="0"/>
          <w:highlight w:val="none"/>
          <w:lang w:eastAsia="zh-CN"/>
        </w:rPr>
        <w:t>）</w:t>
      </w:r>
      <w:r>
        <w:rPr>
          <w:rFonts w:hint="eastAsia"/>
          <w:color w:val="auto"/>
          <w:spacing w:val="0"/>
          <w:position w:val="0"/>
          <w:highlight w:val="none"/>
        </w:rPr>
        <w:t>超过磋商文件分项采购预算金额或者最高限价的</w:t>
      </w:r>
      <w:r>
        <w:rPr>
          <w:rFonts w:hint="eastAsia"/>
          <w:color w:val="auto"/>
          <w:spacing w:val="0"/>
          <w:position w:val="0"/>
          <w:highlight w:val="none"/>
          <w:lang w:eastAsia="zh-CN"/>
        </w:rPr>
        <w:t>（</w:t>
      </w:r>
      <w:r>
        <w:rPr>
          <w:rFonts w:hint="eastAsia"/>
          <w:color w:val="auto"/>
          <w:spacing w:val="0"/>
          <w:position w:val="0"/>
          <w:highlight w:val="none"/>
        </w:rPr>
        <w:t>如本项目公布了最高限价</w:t>
      </w:r>
      <w:r>
        <w:rPr>
          <w:rFonts w:hint="eastAsia"/>
          <w:color w:val="auto"/>
          <w:spacing w:val="0"/>
          <w:position w:val="0"/>
          <w:highlight w:val="none"/>
          <w:lang w:eastAsia="zh-CN"/>
        </w:rPr>
        <w:t>）</w:t>
      </w:r>
      <w:r>
        <w:rPr>
          <w:rFonts w:hint="eastAsia"/>
          <w:color w:val="auto"/>
          <w:spacing w:val="0"/>
          <w:position w:val="0"/>
          <w:highlight w:val="none"/>
        </w:rPr>
        <w:t>。</w:t>
      </w:r>
    </w:p>
    <w:p w14:paraId="40F072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6</w:t>
      </w:r>
      <w:r>
        <w:rPr>
          <w:rFonts w:hint="eastAsia"/>
          <w:color w:val="auto"/>
          <w:spacing w:val="0"/>
          <w:position w:val="0"/>
          <w:highlight w:val="none"/>
          <w:lang w:eastAsia="zh-CN"/>
        </w:rPr>
        <w:t>）</w:t>
      </w:r>
      <w:r>
        <w:rPr>
          <w:rFonts w:hint="eastAsia"/>
          <w:color w:val="auto"/>
          <w:spacing w:val="0"/>
          <w:position w:val="0"/>
          <w:highlight w:val="none"/>
        </w:rPr>
        <w:t>响应文件响应的标的数量及单位与竞争性磋商采购文件要求实质性不一致的。</w:t>
      </w:r>
    </w:p>
    <w:p w14:paraId="4C9F74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2.6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692584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2.7通过符合性审查的合格供应商不足3家的，不得进入磋商环节，采购人或者采购代理机构应当重新开展采购活动。</w:t>
      </w:r>
    </w:p>
    <w:p w14:paraId="070EBE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3.磋商程序</w:t>
      </w:r>
    </w:p>
    <w:p w14:paraId="5E67B0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3.1磋商小组按照“供应商须知前附表”确定的顺序，集中与单一供应商分别进行磋商，并给予所有参加磋商的供应商平等的磋商机会。符合磋商资格的供应商必须实时关注</w:t>
      </w:r>
      <w:r>
        <w:rPr>
          <w:rFonts w:hint="eastAsia"/>
          <w:color w:val="auto"/>
          <w:spacing w:val="0"/>
          <w:position w:val="0"/>
          <w:highlight w:val="none"/>
          <w:lang w:eastAsia="zh-CN"/>
        </w:rPr>
        <w:t>广西政府采购云平台（https://www.gcy.zfcg.gxzf.gov.cn/）</w:t>
      </w:r>
      <w:r>
        <w:rPr>
          <w:rFonts w:hint="eastAsia"/>
          <w:color w:val="auto"/>
          <w:spacing w:val="0"/>
          <w:position w:val="0"/>
          <w:highlight w:val="none"/>
        </w:rPr>
        <w:t>开标信息，在接到磋商通知后规定时间内参加磋商，未在规定时间内参加磋商的视同放弃参加磋商权利，其响应文件按无效响应处理。</w:t>
      </w:r>
    </w:p>
    <w:p w14:paraId="6BB2CA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0CC7F9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3.3对磋商文件作出的实质性变动是磋商文件的有效组成部分，由磋商小组及时以书面形式同时通知所有参加磋商的供应商。</w:t>
      </w:r>
    </w:p>
    <w:p w14:paraId="1A96DC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3.4供应商必须按照磋商文件的变动情况和磋商小组的要求重新提交响应文件，并由其法定代表人或者授权代表签字或者加盖CA签章在</w:t>
      </w:r>
      <w:r>
        <w:rPr>
          <w:rFonts w:hint="eastAsia"/>
          <w:color w:val="auto"/>
          <w:spacing w:val="0"/>
          <w:position w:val="0"/>
          <w:highlight w:val="none"/>
          <w:lang w:eastAsia="zh-CN"/>
        </w:rPr>
        <w:t>广西政府采购云平台（https://www.gcy.zfcg.gxzf.gov.cn/）</w:t>
      </w:r>
      <w:r>
        <w:rPr>
          <w:rFonts w:hint="eastAsia"/>
          <w:color w:val="auto"/>
          <w:spacing w:val="0"/>
          <w:position w:val="0"/>
          <w:highlight w:val="none"/>
        </w:rPr>
        <w:t>提交。由委托代理人签字的，若委托代理人不是响应文件中授权的委托代理人时，必须同时出示有效的法定代表人授权委托书原件。供应商为自然人的，必须由本人签字并附身份证明。参加磋商的供应商未在规定时间内重新提交响应文件的，视同退出磋商。</w:t>
      </w:r>
    </w:p>
    <w:p w14:paraId="73B58D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3.5磋商中，磋商的任何一方不得透露与磋商有关的其他供应商的技术资料、价格和其他信息。</w:t>
      </w:r>
    </w:p>
    <w:p w14:paraId="7B753A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3.6采购代理机构对磋商过程和重要磋商内容进行记录，磋商双方在记录上签字确认。</w:t>
      </w:r>
    </w:p>
    <w:p w14:paraId="1EF975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3.7磋商过程中重新提交的响应文件，供应商可以在开启前补充、修改。</w:t>
      </w:r>
    </w:p>
    <w:p w14:paraId="60A91E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3.8对磋商过程提交的响应文件进行有效性、完整性和响应程度审查，通过审查的合格供应商不足3家的，采购人或者采购代理机构应当重新开展采购活动。</w:t>
      </w:r>
    </w:p>
    <w:p w14:paraId="36E91F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3.9本项目所有响应文件的首次报价及所有磋商报价均不公布。最后磋商结束后，磋商小组不得再与供应商进行任何形式的商谈。</w:t>
      </w:r>
    </w:p>
    <w:p w14:paraId="7968FE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4.最后报价</w:t>
      </w:r>
    </w:p>
    <w:p w14:paraId="2E0E43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4.1磋商文件能够详细列明采购标的的技术、服务要求的，磋商结束后，由磋商小组要求所有继续参加磋商的供应商在规定时间内在</w:t>
      </w:r>
      <w:r>
        <w:rPr>
          <w:rFonts w:hint="eastAsia"/>
          <w:color w:val="auto"/>
          <w:spacing w:val="0"/>
          <w:position w:val="0"/>
          <w:highlight w:val="none"/>
          <w:lang w:eastAsia="zh-CN"/>
        </w:rPr>
        <w:t>广西政府采购云平台（https://www.gcy.zfcg.gxzf.gov.cn/）</w:t>
      </w:r>
      <w:r>
        <w:rPr>
          <w:rFonts w:hint="eastAsia"/>
          <w:color w:val="auto"/>
          <w:spacing w:val="0"/>
          <w:position w:val="0"/>
          <w:highlight w:val="none"/>
        </w:rPr>
        <w:t>提交最后报价，提交最后报价的供应商不得少于3家，除本章第4.3条外，否则必须重新采购。</w:t>
      </w:r>
    </w:p>
    <w:p w14:paraId="395768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w:t>
      </w:r>
      <w:r>
        <w:rPr>
          <w:rFonts w:hint="eastAsia"/>
          <w:color w:val="auto"/>
          <w:spacing w:val="0"/>
          <w:position w:val="0"/>
          <w:highlight w:val="none"/>
          <w:lang w:eastAsia="zh-CN"/>
        </w:rPr>
        <w:t>广西政府采购云平台（https://www.gcy.zfcg.gxzf.gov.cn/）</w:t>
      </w:r>
      <w:r>
        <w:rPr>
          <w:rFonts w:hint="eastAsia"/>
          <w:color w:val="auto"/>
          <w:spacing w:val="0"/>
          <w:position w:val="0"/>
          <w:highlight w:val="none"/>
        </w:rPr>
        <w:t>提交最后报价。</w:t>
      </w:r>
    </w:p>
    <w:p w14:paraId="2BB5CC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①最后报价与首次报价相比无调整的：供应商提交的最后报价只须注明与首次报价相同。</w:t>
      </w:r>
    </w:p>
    <w:p w14:paraId="48F2ED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②最后报价与首次报价相比有调整的：供应商提交的最后报价必须包含已标价的工程量清单，即最后报价是工程量清单全部工作内容的价格体现，具体包括供应商部分</w:t>
      </w:r>
      <w:r>
        <w:rPr>
          <w:rFonts w:hint="eastAsia"/>
          <w:color w:val="auto"/>
          <w:spacing w:val="0"/>
          <w:position w:val="0"/>
          <w:highlight w:val="none"/>
          <w:lang w:eastAsia="zh-CN"/>
        </w:rPr>
        <w:t>（</w:t>
      </w:r>
      <w:r>
        <w:rPr>
          <w:rFonts w:hint="eastAsia"/>
          <w:color w:val="auto"/>
          <w:spacing w:val="0"/>
          <w:position w:val="0"/>
          <w:highlight w:val="none"/>
        </w:rPr>
        <w:t>分部分项工程量清单费用、措施项目清单费用、规费、税金、其它项目</w:t>
      </w:r>
      <w:r>
        <w:rPr>
          <w:rFonts w:hint="eastAsia"/>
          <w:color w:val="auto"/>
          <w:spacing w:val="0"/>
          <w:position w:val="0"/>
          <w:highlight w:val="none"/>
          <w:lang w:eastAsia="zh-CN"/>
        </w:rPr>
        <w:t>）</w:t>
      </w:r>
      <w:r>
        <w:rPr>
          <w:rFonts w:hint="eastAsia"/>
          <w:color w:val="auto"/>
          <w:spacing w:val="0"/>
          <w:position w:val="0"/>
          <w:highlight w:val="none"/>
        </w:rPr>
        <w:t>和采购人部分</w:t>
      </w:r>
      <w:r>
        <w:rPr>
          <w:rFonts w:hint="eastAsia"/>
          <w:color w:val="auto"/>
          <w:spacing w:val="0"/>
          <w:position w:val="0"/>
          <w:highlight w:val="none"/>
          <w:lang w:eastAsia="zh-CN"/>
        </w:rPr>
        <w:t>（</w:t>
      </w:r>
      <w:r>
        <w:rPr>
          <w:rFonts w:hint="eastAsia"/>
          <w:color w:val="auto"/>
          <w:spacing w:val="0"/>
          <w:position w:val="0"/>
          <w:highlight w:val="none"/>
        </w:rPr>
        <w:t>暂列金、材料购置费</w:t>
      </w:r>
      <w:r>
        <w:rPr>
          <w:rFonts w:hint="eastAsia"/>
          <w:color w:val="auto"/>
          <w:spacing w:val="0"/>
          <w:position w:val="0"/>
          <w:highlight w:val="none"/>
          <w:lang w:eastAsia="zh-CN"/>
        </w:rPr>
        <w:t>）（</w:t>
      </w:r>
      <w:r>
        <w:rPr>
          <w:rFonts w:hint="eastAsia"/>
          <w:color w:val="auto"/>
          <w:spacing w:val="0"/>
          <w:position w:val="0"/>
          <w:highlight w:val="none"/>
        </w:rPr>
        <w:t>如有</w:t>
      </w:r>
      <w:r>
        <w:rPr>
          <w:rFonts w:hint="eastAsia"/>
          <w:color w:val="auto"/>
          <w:spacing w:val="0"/>
          <w:position w:val="0"/>
          <w:highlight w:val="none"/>
          <w:lang w:eastAsia="zh-CN"/>
        </w:rPr>
        <w:t>）</w:t>
      </w:r>
      <w:r>
        <w:rPr>
          <w:rFonts w:hint="eastAsia"/>
          <w:color w:val="auto"/>
          <w:spacing w:val="0"/>
          <w:position w:val="0"/>
          <w:highlight w:val="none"/>
        </w:rPr>
        <w:t>等完成本工程并经验收合格至达到质量保修期限所需的费用、合理利润及风险。如磋商文件或磋商程中明确供应商应提供技术服务及其它服务的</w:t>
      </w:r>
      <w:r>
        <w:rPr>
          <w:rFonts w:hint="eastAsia"/>
          <w:color w:val="auto"/>
          <w:spacing w:val="0"/>
          <w:position w:val="0"/>
          <w:highlight w:val="none"/>
          <w:lang w:eastAsia="zh-CN"/>
        </w:rPr>
        <w:t>（</w:t>
      </w:r>
      <w:r>
        <w:rPr>
          <w:rFonts w:hint="eastAsia"/>
          <w:color w:val="auto"/>
          <w:spacing w:val="0"/>
          <w:position w:val="0"/>
          <w:highlight w:val="none"/>
        </w:rPr>
        <w:t>如检测费、验收发生的费用</w:t>
      </w:r>
      <w:r>
        <w:rPr>
          <w:rFonts w:hint="eastAsia"/>
          <w:color w:val="auto"/>
          <w:spacing w:val="0"/>
          <w:position w:val="0"/>
          <w:highlight w:val="none"/>
          <w:lang w:eastAsia="zh-CN"/>
        </w:rPr>
        <w:t>）</w:t>
      </w:r>
      <w:r>
        <w:rPr>
          <w:rFonts w:hint="eastAsia"/>
          <w:color w:val="auto"/>
          <w:spacing w:val="0"/>
          <w:position w:val="0"/>
          <w:highlight w:val="none"/>
        </w:rPr>
        <w:t>，相应费用也应包括在最后报价中。最后报价不允许采用汇总后优惠、打折的形式，否则其报价无效并作无效响应处理。供应商在报价时可只报总价，但必须将包含已标价工程量清单的最后报价在规定时间内在</w:t>
      </w:r>
      <w:r>
        <w:rPr>
          <w:rFonts w:hint="eastAsia"/>
          <w:color w:val="auto"/>
          <w:spacing w:val="0"/>
          <w:position w:val="0"/>
          <w:highlight w:val="none"/>
          <w:lang w:eastAsia="zh-CN"/>
        </w:rPr>
        <w:t>广西政府采购云平台（https://www.gcy.zfcg.gxzf.gov.cn/）</w:t>
      </w:r>
      <w:r>
        <w:rPr>
          <w:rFonts w:hint="eastAsia"/>
          <w:color w:val="auto"/>
          <w:spacing w:val="0"/>
          <w:position w:val="0"/>
          <w:highlight w:val="none"/>
        </w:rPr>
        <w:t>提交，</w:t>
      </w:r>
      <w:r>
        <w:rPr>
          <w:rFonts w:hint="eastAsia"/>
          <w:color w:val="auto"/>
          <w:spacing w:val="0"/>
          <w:position w:val="0"/>
          <w:highlight w:val="none"/>
          <w:lang w:eastAsia="zh-CN"/>
        </w:rPr>
        <w:t>逾期视为放弃磋商资格、退出磋商</w:t>
      </w:r>
      <w:r>
        <w:rPr>
          <w:rFonts w:hint="eastAsia"/>
          <w:color w:val="auto"/>
          <w:spacing w:val="0"/>
          <w:position w:val="0"/>
          <w:highlight w:val="none"/>
        </w:rPr>
        <w:t>。</w:t>
      </w:r>
    </w:p>
    <w:p w14:paraId="6E5F35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4.3最后报价是供应商响应文件的有效组成部分。符合《政府采购竞争性磋商采购方式管理暂行办法》</w:t>
      </w:r>
      <w:r>
        <w:rPr>
          <w:rFonts w:hint="eastAsia"/>
          <w:color w:val="auto"/>
          <w:spacing w:val="0"/>
          <w:position w:val="0"/>
          <w:highlight w:val="none"/>
          <w:lang w:eastAsia="zh-CN"/>
        </w:rPr>
        <w:t>（</w:t>
      </w:r>
      <w:r>
        <w:rPr>
          <w:rFonts w:hint="eastAsia"/>
          <w:color w:val="auto"/>
          <w:spacing w:val="0"/>
          <w:position w:val="0"/>
          <w:highlight w:val="none"/>
        </w:rPr>
        <w:t>财库〔2014〕214号</w:t>
      </w:r>
      <w:r>
        <w:rPr>
          <w:rFonts w:hint="eastAsia"/>
          <w:color w:val="auto"/>
          <w:spacing w:val="0"/>
          <w:position w:val="0"/>
          <w:highlight w:val="none"/>
          <w:lang w:eastAsia="zh-CN"/>
        </w:rPr>
        <w:t>）</w:t>
      </w:r>
      <w:r>
        <w:rPr>
          <w:rFonts w:hint="eastAsia"/>
          <w:color w:val="auto"/>
          <w:spacing w:val="0"/>
          <w:position w:val="0"/>
          <w:highlight w:val="none"/>
        </w:rPr>
        <w:t>第三条第四项“市场竞争不充分的科研项目，以及需要扶持的科技成果转化项目”的，提交最后报价的供应商可以为2家。</w:t>
      </w:r>
    </w:p>
    <w:p w14:paraId="180A92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4.4已经提交响应文件的供应商，在提交最后报价之前，可以根据磋商情况退出磋商，退出磋商的供应商的响应文件按无效响应处理。采购人、采购代理机构将退还退出磋商的供应商的保证金。</w:t>
      </w:r>
    </w:p>
    <w:p w14:paraId="049236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4.5供应商未在规定时间内提交最后报价的，视同退出磋商。</w:t>
      </w:r>
    </w:p>
    <w:p w14:paraId="3E50A2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4.6磋商小组收齐某一分标最后报价后统一开启，磋商小组对最后报价进行有效性、完整性和响应程度的审查。</w:t>
      </w:r>
    </w:p>
    <w:p w14:paraId="58A91C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4.7响应文件最后报价出现前后不一致的，按照本正文第25.2.4条的规定修正。</w:t>
      </w:r>
    </w:p>
    <w:p w14:paraId="6EFC60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4.8修正后的报价出现下列情形的，按无效响应处理：</w:t>
      </w:r>
    </w:p>
    <w:p w14:paraId="57CE81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lang w:eastAsia="zh-CN"/>
        </w:rPr>
        <w:t>（</w:t>
      </w:r>
      <w:r>
        <w:rPr>
          <w:rFonts w:hint="eastAsia"/>
          <w:color w:val="auto"/>
          <w:spacing w:val="0"/>
          <w:position w:val="0"/>
          <w:highlight w:val="none"/>
        </w:rPr>
        <w:t>1</w:t>
      </w:r>
      <w:r>
        <w:rPr>
          <w:rFonts w:hint="eastAsia"/>
          <w:color w:val="auto"/>
          <w:spacing w:val="0"/>
          <w:position w:val="0"/>
          <w:highlight w:val="none"/>
          <w:lang w:eastAsia="zh-CN"/>
        </w:rPr>
        <w:t>）</w:t>
      </w:r>
      <w:r>
        <w:rPr>
          <w:rFonts w:hint="eastAsia"/>
          <w:color w:val="auto"/>
          <w:spacing w:val="0"/>
          <w:position w:val="0"/>
          <w:highlight w:val="none"/>
        </w:rPr>
        <w:t>供应商不确认的；</w:t>
      </w:r>
    </w:p>
    <w:p w14:paraId="45D0D7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lang w:eastAsia="zh-CN"/>
        </w:rPr>
        <w:t>（</w:t>
      </w:r>
      <w:r>
        <w:rPr>
          <w:rFonts w:hint="eastAsia"/>
          <w:color w:val="auto"/>
          <w:spacing w:val="0"/>
          <w:position w:val="0"/>
          <w:highlight w:val="none"/>
        </w:rPr>
        <w:t>2</w:t>
      </w:r>
      <w:r>
        <w:rPr>
          <w:rFonts w:hint="eastAsia"/>
          <w:color w:val="auto"/>
          <w:spacing w:val="0"/>
          <w:position w:val="0"/>
          <w:highlight w:val="none"/>
          <w:lang w:eastAsia="zh-CN"/>
        </w:rPr>
        <w:t>）</w:t>
      </w:r>
      <w:r>
        <w:rPr>
          <w:rFonts w:hint="eastAsia"/>
          <w:color w:val="auto"/>
          <w:spacing w:val="0"/>
          <w:position w:val="0"/>
          <w:highlight w:val="none"/>
        </w:rPr>
        <w:t>经供应商确认修正后的竞标报价</w:t>
      </w:r>
      <w:r>
        <w:rPr>
          <w:rFonts w:hint="eastAsia"/>
          <w:color w:val="auto"/>
          <w:spacing w:val="0"/>
          <w:position w:val="0"/>
          <w:highlight w:val="none"/>
          <w:lang w:eastAsia="zh-CN"/>
        </w:rPr>
        <w:t>（</w:t>
      </w:r>
      <w:r>
        <w:rPr>
          <w:rFonts w:hint="eastAsia"/>
          <w:color w:val="auto"/>
          <w:spacing w:val="0"/>
          <w:position w:val="0"/>
          <w:highlight w:val="none"/>
        </w:rPr>
        <w:t>包含首次报价、最后报价</w:t>
      </w:r>
      <w:r>
        <w:rPr>
          <w:rFonts w:hint="eastAsia"/>
          <w:color w:val="auto"/>
          <w:spacing w:val="0"/>
          <w:position w:val="0"/>
          <w:highlight w:val="none"/>
          <w:lang w:eastAsia="zh-CN"/>
        </w:rPr>
        <w:t>）</w:t>
      </w:r>
      <w:r>
        <w:rPr>
          <w:rFonts w:hint="eastAsia"/>
          <w:color w:val="auto"/>
          <w:spacing w:val="0"/>
          <w:position w:val="0"/>
          <w:highlight w:val="none"/>
        </w:rPr>
        <w:t>超过所竞标规定的采购预算金额或者最高限价的</w:t>
      </w:r>
      <w:r>
        <w:rPr>
          <w:rFonts w:hint="eastAsia"/>
          <w:color w:val="auto"/>
          <w:spacing w:val="0"/>
          <w:position w:val="0"/>
          <w:highlight w:val="none"/>
          <w:lang w:eastAsia="zh-CN"/>
        </w:rPr>
        <w:t>（</w:t>
      </w:r>
      <w:r>
        <w:rPr>
          <w:rFonts w:hint="eastAsia"/>
          <w:color w:val="auto"/>
          <w:spacing w:val="0"/>
          <w:position w:val="0"/>
          <w:highlight w:val="none"/>
        </w:rPr>
        <w:t>如本项目公布了最高限价</w:t>
      </w:r>
      <w:r>
        <w:rPr>
          <w:rFonts w:hint="eastAsia"/>
          <w:color w:val="auto"/>
          <w:spacing w:val="0"/>
          <w:position w:val="0"/>
          <w:highlight w:val="none"/>
          <w:lang w:eastAsia="zh-CN"/>
        </w:rPr>
        <w:t>）</w:t>
      </w:r>
      <w:r>
        <w:rPr>
          <w:rFonts w:hint="eastAsia"/>
          <w:color w:val="auto"/>
          <w:spacing w:val="0"/>
          <w:position w:val="0"/>
          <w:highlight w:val="none"/>
        </w:rPr>
        <w:t>；</w:t>
      </w:r>
    </w:p>
    <w:p w14:paraId="1DE440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lang w:eastAsia="zh-CN"/>
        </w:rPr>
        <w:t>（</w:t>
      </w:r>
      <w:r>
        <w:rPr>
          <w:rFonts w:hint="eastAsia"/>
          <w:color w:val="auto"/>
          <w:spacing w:val="0"/>
          <w:position w:val="0"/>
          <w:highlight w:val="none"/>
        </w:rPr>
        <w:t>3</w:t>
      </w:r>
      <w:r>
        <w:rPr>
          <w:rFonts w:hint="eastAsia"/>
          <w:color w:val="auto"/>
          <w:spacing w:val="0"/>
          <w:position w:val="0"/>
          <w:highlight w:val="none"/>
          <w:lang w:eastAsia="zh-CN"/>
        </w:rPr>
        <w:t>）</w:t>
      </w:r>
      <w:r>
        <w:rPr>
          <w:rFonts w:hint="eastAsia"/>
          <w:color w:val="auto"/>
          <w:spacing w:val="0"/>
          <w:position w:val="0"/>
          <w:highlight w:val="none"/>
        </w:rPr>
        <w:t>经供应商确认修正后的竞标报价</w:t>
      </w:r>
      <w:r>
        <w:rPr>
          <w:rFonts w:hint="eastAsia"/>
          <w:color w:val="auto"/>
          <w:spacing w:val="0"/>
          <w:position w:val="0"/>
          <w:highlight w:val="none"/>
          <w:lang w:eastAsia="zh-CN"/>
        </w:rPr>
        <w:t>（</w:t>
      </w:r>
      <w:r>
        <w:rPr>
          <w:rFonts w:hint="eastAsia"/>
          <w:color w:val="auto"/>
          <w:spacing w:val="0"/>
          <w:position w:val="0"/>
          <w:highlight w:val="none"/>
        </w:rPr>
        <w:t>包含首次报价、最后报价</w:t>
      </w:r>
      <w:r>
        <w:rPr>
          <w:rFonts w:hint="eastAsia"/>
          <w:color w:val="auto"/>
          <w:spacing w:val="0"/>
          <w:position w:val="0"/>
          <w:highlight w:val="none"/>
          <w:lang w:eastAsia="zh-CN"/>
        </w:rPr>
        <w:t>）</w:t>
      </w:r>
      <w:r>
        <w:rPr>
          <w:rFonts w:hint="eastAsia"/>
          <w:color w:val="auto"/>
          <w:spacing w:val="0"/>
          <w:position w:val="0"/>
          <w:highlight w:val="none"/>
        </w:rPr>
        <w:t>超过分项采购预算金额或者最高限价的</w:t>
      </w:r>
      <w:r>
        <w:rPr>
          <w:rFonts w:hint="eastAsia"/>
          <w:color w:val="auto"/>
          <w:spacing w:val="0"/>
          <w:position w:val="0"/>
          <w:highlight w:val="none"/>
          <w:lang w:eastAsia="zh-CN"/>
        </w:rPr>
        <w:t>（</w:t>
      </w:r>
      <w:r>
        <w:rPr>
          <w:rFonts w:hint="eastAsia"/>
          <w:color w:val="auto"/>
          <w:spacing w:val="0"/>
          <w:position w:val="0"/>
          <w:highlight w:val="none"/>
        </w:rPr>
        <w:t>如本项目公布了最高限价</w:t>
      </w:r>
      <w:r>
        <w:rPr>
          <w:rFonts w:hint="eastAsia"/>
          <w:color w:val="auto"/>
          <w:spacing w:val="0"/>
          <w:position w:val="0"/>
          <w:highlight w:val="none"/>
          <w:lang w:eastAsia="zh-CN"/>
        </w:rPr>
        <w:t>）</w:t>
      </w:r>
      <w:r>
        <w:rPr>
          <w:rFonts w:hint="eastAsia"/>
          <w:color w:val="auto"/>
          <w:spacing w:val="0"/>
          <w:position w:val="0"/>
          <w:highlight w:val="none"/>
        </w:rPr>
        <w:t>。</w:t>
      </w:r>
    </w:p>
    <w:p w14:paraId="7C90DF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4.9经供应商确认修正后的最后报价作为评审及签订合同的依据。</w:t>
      </w:r>
    </w:p>
    <w:p w14:paraId="18AF6D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4.10最后报价结束后，磋商小组不得再与供应商进行任何形式的商谈。</w:t>
      </w:r>
    </w:p>
    <w:p w14:paraId="6E59D6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5.比较与评价</w:t>
      </w:r>
    </w:p>
    <w:p w14:paraId="14C52C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5.1评审方法：综合评分法。</w:t>
      </w:r>
    </w:p>
    <w:p w14:paraId="650689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5.2经磋商确定最终采购需求和提交最后报价的供应商后，由磋商小组采用综合评分法对提交最后报价的供应商的响应文件和最后报价进行综合评分。</w:t>
      </w:r>
    </w:p>
    <w:p w14:paraId="326B56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5.3评审时，磋商小组各成员应当独立对每个有效响应的文件进行评价、打分，然后汇总每个供应商每项评分因素的得分。</w:t>
      </w:r>
    </w:p>
    <w:p w14:paraId="2BFBEF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lang w:eastAsia="zh-CN"/>
        </w:rPr>
        <w:t>（</w:t>
      </w:r>
      <w:r>
        <w:rPr>
          <w:rFonts w:hint="eastAsia"/>
          <w:color w:val="auto"/>
          <w:spacing w:val="0"/>
          <w:position w:val="0"/>
          <w:highlight w:val="none"/>
        </w:rPr>
        <w:t>1</w:t>
      </w:r>
      <w:r>
        <w:rPr>
          <w:rFonts w:hint="eastAsia"/>
          <w:color w:val="auto"/>
          <w:spacing w:val="0"/>
          <w:position w:val="0"/>
          <w:highlight w:val="none"/>
          <w:lang w:eastAsia="zh-CN"/>
        </w:rPr>
        <w:t>）</w:t>
      </w:r>
      <w:r>
        <w:rPr>
          <w:rFonts w:hint="eastAsia"/>
          <w:color w:val="auto"/>
          <w:spacing w:val="0"/>
          <w:position w:val="0"/>
          <w:highlight w:val="none"/>
        </w:rPr>
        <w:t>磋商小组按照磋商文件中规定的评审标准计算各供应商的报价得分。项目评审过程中，不得去掉最后报价中的最高报价和最低报价。</w:t>
      </w:r>
    </w:p>
    <w:p w14:paraId="4967B6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lang w:eastAsia="zh-CN"/>
        </w:rPr>
        <w:t>（</w:t>
      </w:r>
      <w:r>
        <w:rPr>
          <w:rFonts w:hint="eastAsia"/>
          <w:color w:val="auto"/>
          <w:spacing w:val="0"/>
          <w:position w:val="0"/>
          <w:highlight w:val="none"/>
        </w:rPr>
        <w:t>2</w:t>
      </w:r>
      <w:r>
        <w:rPr>
          <w:rFonts w:hint="eastAsia"/>
          <w:color w:val="auto"/>
          <w:spacing w:val="0"/>
          <w:position w:val="0"/>
          <w:highlight w:val="none"/>
          <w:lang w:eastAsia="zh-CN"/>
        </w:rPr>
        <w:t>）</w:t>
      </w:r>
      <w:r>
        <w:rPr>
          <w:rFonts w:hint="eastAsia"/>
          <w:color w:val="auto"/>
          <w:spacing w:val="0"/>
          <w:position w:val="0"/>
          <w:highlight w:val="none"/>
        </w:rPr>
        <w:t>各供应商的得分为磋商小组所有成员的有效评分的算术平均数。</w:t>
      </w:r>
    </w:p>
    <w:p w14:paraId="71132A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5.4评审价为供应商的最后报价进行政策性扣除后的价格，评审价只是作为评审时使用。最终成交供应商的成交金额等于最后报价</w:t>
      </w:r>
      <w:r>
        <w:rPr>
          <w:rFonts w:hint="eastAsia"/>
          <w:color w:val="auto"/>
          <w:spacing w:val="0"/>
          <w:position w:val="0"/>
          <w:highlight w:val="none"/>
          <w:lang w:eastAsia="zh-CN"/>
        </w:rPr>
        <w:t>（</w:t>
      </w:r>
      <w:r>
        <w:rPr>
          <w:rFonts w:hint="eastAsia"/>
          <w:color w:val="auto"/>
          <w:spacing w:val="0"/>
          <w:position w:val="0"/>
          <w:highlight w:val="none"/>
        </w:rPr>
        <w:t>如有修正，以确认修正后的最后报价为准</w:t>
      </w:r>
      <w:r>
        <w:rPr>
          <w:rFonts w:hint="eastAsia"/>
          <w:color w:val="auto"/>
          <w:spacing w:val="0"/>
          <w:position w:val="0"/>
          <w:highlight w:val="none"/>
          <w:lang w:eastAsia="zh-CN"/>
        </w:rPr>
        <w:t>）</w:t>
      </w:r>
      <w:r>
        <w:rPr>
          <w:rFonts w:hint="eastAsia"/>
          <w:color w:val="auto"/>
          <w:spacing w:val="0"/>
          <w:position w:val="0"/>
          <w:highlight w:val="none"/>
        </w:rPr>
        <w:t>。</w:t>
      </w:r>
    </w:p>
    <w:p w14:paraId="580E18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5.5由磋商小组根据综合评分情况，按照评审得分由高到低顺序推荐3名以上成交候选供应商，并编写评审报告。符合本章第4.3条情形的，可以推荐2家成交候选供应商。评审得分相同的，按照最后报价由低到高的顺序推荐。评审得分且最后报价相同的，按照技术指标优劣顺序推荐。</w:t>
      </w:r>
    </w:p>
    <w:p w14:paraId="58464B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5.6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897EA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b/>
          <w:bCs/>
          <w:color w:val="auto"/>
          <w:spacing w:val="0"/>
          <w:position w:val="0"/>
          <w:highlight w:val="none"/>
          <w:lang w:eastAsia="zh-CN"/>
        </w:rPr>
      </w:pPr>
      <w:r>
        <w:rPr>
          <w:rFonts w:hint="eastAsia"/>
          <w:b/>
          <w:bCs/>
          <w:color w:val="auto"/>
          <w:spacing w:val="0"/>
          <w:position w:val="0"/>
          <w:highlight w:val="none"/>
        </w:rPr>
        <w:t>二、评定标准</w:t>
      </w:r>
      <w:r>
        <w:rPr>
          <w:rFonts w:hint="eastAsia"/>
          <w:b/>
          <w:bCs/>
          <w:color w:val="auto"/>
          <w:spacing w:val="0"/>
          <w:position w:val="0"/>
          <w:highlight w:val="none"/>
          <w:lang w:eastAsia="zh-CN"/>
        </w:rPr>
        <w:t>（</w:t>
      </w:r>
      <w:r>
        <w:rPr>
          <w:rFonts w:hint="eastAsia"/>
          <w:b/>
          <w:bCs/>
          <w:color w:val="auto"/>
          <w:spacing w:val="0"/>
          <w:position w:val="0"/>
          <w:highlight w:val="none"/>
        </w:rPr>
        <w:t>综合评分法</w:t>
      </w:r>
      <w:r>
        <w:rPr>
          <w:rFonts w:hint="eastAsia"/>
          <w:b/>
          <w:bCs/>
          <w:color w:val="auto"/>
          <w:spacing w:val="0"/>
          <w:position w:val="0"/>
          <w:highlight w:val="none"/>
          <w:lang w:eastAsia="zh-CN"/>
        </w:rPr>
        <w:t>）</w:t>
      </w:r>
    </w:p>
    <w:p w14:paraId="06958D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rPr>
        <w:t>对进入详评的，磋商小组将以竞争性磋商文件、响应文件为评定依据，采用百分制综合评分法；计分办法</w:t>
      </w:r>
      <w:r>
        <w:rPr>
          <w:rFonts w:hint="eastAsia"/>
          <w:color w:val="auto"/>
          <w:spacing w:val="0"/>
          <w:position w:val="0"/>
          <w:highlight w:val="none"/>
          <w:lang w:eastAsia="zh-CN"/>
        </w:rPr>
        <w:t>（按四舍五入取至百分位）</w:t>
      </w:r>
      <w:r>
        <w:rPr>
          <w:rFonts w:hint="eastAsia"/>
          <w:color w:val="auto"/>
          <w:spacing w:val="0"/>
          <w:position w:val="0"/>
          <w:highlight w:val="none"/>
        </w:rPr>
        <w:t>。</w:t>
      </w:r>
    </w:p>
    <w:tbl>
      <w:tblPr>
        <w:tblStyle w:val="30"/>
        <w:tblW w:w="95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958"/>
        <w:gridCol w:w="1115"/>
        <w:gridCol w:w="5935"/>
        <w:gridCol w:w="807"/>
      </w:tblGrid>
      <w:tr w14:paraId="56AE8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719" w:type="dxa"/>
            <w:noWrap w:val="0"/>
            <w:vAlign w:val="center"/>
          </w:tcPr>
          <w:p w14:paraId="47A60922">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leftChars="0" w:right="0" w:rightChars="0"/>
              <w:jc w:val="center"/>
              <w:textAlignment w:val="auto"/>
              <w:rPr>
                <w:rFonts w:hint="eastAsia" w:ascii="宋体" w:hAnsi="宋体" w:eastAsia="宋体" w:cs="宋体"/>
                <w:b w:val="0"/>
                <w:bCs w:val="0"/>
                <w:color w:val="auto"/>
                <w:spacing w:val="0"/>
                <w:w w:val="100"/>
                <w:position w:val="0"/>
                <w:sz w:val="21"/>
                <w:szCs w:val="21"/>
                <w:highlight w:val="none"/>
                <w:lang w:val="en-US" w:eastAsia="zh-CN"/>
              </w:rPr>
            </w:pPr>
            <w:r>
              <w:rPr>
                <w:rFonts w:hint="eastAsia" w:ascii="宋体" w:hAnsi="宋体" w:eastAsia="宋体" w:cs="宋体"/>
                <w:b/>
                <w:bCs/>
                <w:color w:val="auto"/>
                <w:spacing w:val="0"/>
                <w:w w:val="100"/>
                <w:position w:val="0"/>
                <w:sz w:val="21"/>
                <w:szCs w:val="21"/>
                <w:highlight w:val="none"/>
                <w:lang w:val="en-US" w:eastAsia="zh-CN"/>
              </w:rPr>
              <w:t>序</w:t>
            </w:r>
            <w:r>
              <w:rPr>
                <w:rFonts w:hint="eastAsia" w:ascii="宋体" w:hAnsi="宋体" w:eastAsia="宋体" w:cs="宋体"/>
                <w:b/>
                <w:bCs/>
                <w:color w:val="auto"/>
                <w:spacing w:val="0"/>
                <w:w w:val="100"/>
                <w:position w:val="0"/>
                <w:sz w:val="21"/>
                <w:szCs w:val="21"/>
                <w:highlight w:val="none"/>
              </w:rPr>
              <w:t>号</w:t>
            </w:r>
          </w:p>
        </w:tc>
        <w:tc>
          <w:tcPr>
            <w:tcW w:w="2073" w:type="dxa"/>
            <w:gridSpan w:val="2"/>
            <w:noWrap w:val="0"/>
            <w:vAlign w:val="center"/>
          </w:tcPr>
          <w:p w14:paraId="1912DAC4">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leftChars="0" w:right="0" w:rightChars="0"/>
              <w:jc w:val="center"/>
              <w:textAlignment w:val="auto"/>
              <w:rPr>
                <w:rFonts w:hint="eastAsia" w:ascii="宋体" w:hAnsi="宋体" w:eastAsia="宋体" w:cs="宋体"/>
                <w:b w:val="0"/>
                <w:bCs w:val="0"/>
                <w:color w:val="auto"/>
                <w:spacing w:val="0"/>
                <w:w w:val="100"/>
                <w:position w:val="0"/>
                <w:sz w:val="21"/>
                <w:szCs w:val="21"/>
                <w:highlight w:val="none"/>
                <w:lang w:val="en-US" w:eastAsia="zh-CN"/>
              </w:rPr>
            </w:pPr>
            <w:r>
              <w:rPr>
                <w:rFonts w:hint="eastAsia" w:ascii="宋体" w:hAnsi="宋体" w:eastAsia="宋体" w:cs="宋体"/>
                <w:b/>
                <w:bCs/>
                <w:color w:val="auto"/>
                <w:spacing w:val="0"/>
                <w:w w:val="100"/>
                <w:position w:val="0"/>
                <w:sz w:val="21"/>
                <w:szCs w:val="21"/>
                <w:highlight w:val="none"/>
              </w:rPr>
              <w:t>评审因素</w:t>
            </w:r>
          </w:p>
        </w:tc>
        <w:tc>
          <w:tcPr>
            <w:tcW w:w="5935" w:type="dxa"/>
            <w:noWrap w:val="0"/>
            <w:vAlign w:val="center"/>
          </w:tcPr>
          <w:p w14:paraId="150CBB4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jc w:val="center"/>
              <w:textAlignment w:val="auto"/>
              <w:rPr>
                <w:rFonts w:hint="eastAsia" w:ascii="宋体" w:hAnsi="宋体" w:eastAsia="宋体" w:cs="宋体"/>
                <w:b w:val="0"/>
                <w:bCs w:val="0"/>
                <w:color w:val="auto"/>
                <w:spacing w:val="0"/>
                <w:w w:val="100"/>
                <w:position w:val="0"/>
                <w:sz w:val="21"/>
                <w:szCs w:val="21"/>
                <w:highlight w:val="none"/>
              </w:rPr>
            </w:pPr>
            <w:r>
              <w:rPr>
                <w:rFonts w:hint="eastAsia" w:ascii="宋体" w:hAnsi="宋体" w:cs="Tahoma"/>
                <w:b/>
                <w:bCs/>
                <w:color w:val="auto"/>
                <w:spacing w:val="0"/>
                <w:kern w:val="0"/>
                <w:position w:val="0"/>
                <w:szCs w:val="21"/>
                <w:highlight w:val="none"/>
              </w:rPr>
              <w:t>评审因素具体内容</w:t>
            </w:r>
          </w:p>
        </w:tc>
        <w:tc>
          <w:tcPr>
            <w:tcW w:w="807" w:type="dxa"/>
            <w:noWrap w:val="0"/>
            <w:vAlign w:val="center"/>
          </w:tcPr>
          <w:p w14:paraId="169D51A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jc w:val="center"/>
              <w:textAlignment w:val="auto"/>
              <w:rPr>
                <w:rFonts w:hint="eastAsia" w:ascii="宋体" w:hAnsi="宋体" w:eastAsia="宋体" w:cs="Tahoma"/>
                <w:b/>
                <w:bCs/>
                <w:color w:val="auto"/>
                <w:spacing w:val="0"/>
                <w:kern w:val="0"/>
                <w:position w:val="0"/>
                <w:szCs w:val="21"/>
                <w:highlight w:val="none"/>
                <w:lang w:eastAsia="zh-CN"/>
              </w:rPr>
            </w:pPr>
            <w:r>
              <w:rPr>
                <w:rFonts w:hint="eastAsia" w:ascii="宋体" w:hAnsi="宋体" w:cs="Tahoma"/>
                <w:b/>
                <w:bCs/>
                <w:color w:val="auto"/>
                <w:spacing w:val="0"/>
                <w:kern w:val="0"/>
                <w:position w:val="0"/>
                <w:szCs w:val="21"/>
                <w:highlight w:val="none"/>
                <w:lang w:eastAsia="zh-CN"/>
              </w:rPr>
              <w:t>备注</w:t>
            </w:r>
          </w:p>
        </w:tc>
      </w:tr>
      <w:tr w14:paraId="79A92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719" w:type="dxa"/>
            <w:noWrap w:val="0"/>
            <w:vAlign w:val="center"/>
          </w:tcPr>
          <w:p w14:paraId="049CD435">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leftChars="0" w:right="0" w:rightChars="0"/>
              <w:jc w:val="center"/>
              <w:textAlignment w:val="auto"/>
              <w:rPr>
                <w:rFonts w:hint="eastAsia" w:ascii="宋体" w:hAnsi="宋体" w:eastAsia="宋体" w:cs="宋体"/>
                <w:b/>
                <w:bCs/>
                <w:color w:val="auto"/>
                <w:spacing w:val="0"/>
                <w:w w:val="100"/>
                <w:position w:val="0"/>
                <w:sz w:val="21"/>
                <w:szCs w:val="21"/>
                <w:highlight w:val="none"/>
                <w:lang w:val="en-US" w:eastAsia="zh-CN"/>
              </w:rPr>
            </w:pPr>
            <w:r>
              <w:rPr>
                <w:rFonts w:hint="eastAsia" w:ascii="宋体" w:hAnsi="宋体" w:eastAsia="宋体" w:cs="宋体"/>
                <w:b/>
                <w:bCs/>
                <w:color w:val="auto"/>
                <w:spacing w:val="0"/>
                <w:w w:val="100"/>
                <w:position w:val="0"/>
                <w:sz w:val="21"/>
                <w:szCs w:val="21"/>
                <w:highlight w:val="none"/>
                <w:lang w:val="en-US" w:eastAsia="zh-CN"/>
              </w:rPr>
              <w:t>1</w:t>
            </w:r>
          </w:p>
        </w:tc>
        <w:tc>
          <w:tcPr>
            <w:tcW w:w="958" w:type="dxa"/>
            <w:noWrap w:val="0"/>
            <w:vAlign w:val="center"/>
          </w:tcPr>
          <w:p w14:paraId="5254E88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jc w:val="center"/>
              <w:textAlignment w:val="auto"/>
              <w:rPr>
                <w:rFonts w:hint="eastAsia" w:ascii="宋体" w:hAnsi="宋体" w:eastAsia="宋体" w:cs="宋体"/>
                <w:b/>
                <w:bCs/>
                <w:color w:val="auto"/>
                <w:spacing w:val="0"/>
                <w:w w:val="100"/>
                <w:position w:val="0"/>
                <w:sz w:val="21"/>
                <w:szCs w:val="21"/>
                <w:highlight w:val="none"/>
                <w:lang w:eastAsia="zh-CN"/>
              </w:rPr>
            </w:pPr>
            <w:r>
              <w:rPr>
                <w:rFonts w:hint="eastAsia" w:ascii="宋体" w:hAnsi="宋体" w:eastAsia="宋体" w:cs="宋体"/>
                <w:b/>
                <w:bCs/>
                <w:color w:val="auto"/>
                <w:spacing w:val="0"/>
                <w:w w:val="100"/>
                <w:position w:val="0"/>
                <w:sz w:val="21"/>
                <w:szCs w:val="21"/>
                <w:highlight w:val="none"/>
                <w:lang w:eastAsia="zh-CN"/>
              </w:rPr>
              <w:t>报价</w:t>
            </w:r>
          </w:p>
        </w:tc>
        <w:tc>
          <w:tcPr>
            <w:tcW w:w="1115" w:type="dxa"/>
            <w:noWrap w:val="0"/>
            <w:vAlign w:val="center"/>
          </w:tcPr>
          <w:p w14:paraId="104080E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rPr>
            </w:pPr>
            <w:r>
              <w:rPr>
                <w:rFonts w:hint="eastAsia" w:ascii="宋体" w:hAnsi="宋体" w:eastAsia="宋体" w:cs="宋体"/>
                <w:b w:val="0"/>
                <w:bCs w:val="0"/>
                <w:color w:val="auto"/>
                <w:spacing w:val="0"/>
                <w:w w:val="100"/>
                <w:position w:val="0"/>
                <w:sz w:val="21"/>
                <w:szCs w:val="21"/>
                <w:highlight w:val="none"/>
                <w:lang w:val="en-US" w:eastAsia="zh-CN"/>
              </w:rPr>
              <w:t>价格分（满分2</w:t>
            </w:r>
            <w:r>
              <w:rPr>
                <w:rFonts w:hint="eastAsia" w:ascii="宋体" w:hAnsi="宋体" w:cs="宋体"/>
                <w:b w:val="0"/>
                <w:bCs w:val="0"/>
                <w:color w:val="auto"/>
                <w:spacing w:val="0"/>
                <w:w w:val="100"/>
                <w:position w:val="0"/>
                <w:sz w:val="21"/>
                <w:szCs w:val="21"/>
                <w:highlight w:val="none"/>
                <w:lang w:val="en-US" w:eastAsia="zh-CN"/>
              </w:rPr>
              <w:t>0</w:t>
            </w:r>
            <w:r>
              <w:rPr>
                <w:rFonts w:hint="eastAsia" w:ascii="宋体" w:hAnsi="宋体" w:eastAsia="宋体" w:cs="宋体"/>
                <w:b w:val="0"/>
                <w:bCs w:val="0"/>
                <w:color w:val="auto"/>
                <w:spacing w:val="0"/>
                <w:w w:val="100"/>
                <w:position w:val="0"/>
                <w:sz w:val="21"/>
                <w:szCs w:val="21"/>
                <w:highlight w:val="none"/>
                <w:lang w:val="en-US" w:eastAsia="zh-CN"/>
              </w:rPr>
              <w:t>分）</w:t>
            </w:r>
          </w:p>
        </w:tc>
        <w:tc>
          <w:tcPr>
            <w:tcW w:w="5935" w:type="dxa"/>
            <w:noWrap w:val="0"/>
            <w:vAlign w:val="center"/>
          </w:tcPr>
          <w:p w14:paraId="03182B5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0"/>
                <w:w w:val="100"/>
                <w:position w:val="0"/>
                <w:sz w:val="21"/>
                <w:szCs w:val="21"/>
                <w:highlight w:val="none"/>
                <w:lang w:val="en-US" w:eastAsia="zh-CN"/>
              </w:rPr>
            </w:pPr>
            <w:r>
              <w:rPr>
                <w:rFonts w:hint="eastAsia" w:ascii="宋体" w:hAnsi="宋体" w:eastAsia="宋体" w:cs="宋体"/>
                <w:b w:val="0"/>
                <w:bCs w:val="0"/>
                <w:color w:val="auto"/>
                <w:spacing w:val="0"/>
                <w:w w:val="100"/>
                <w:position w:val="0"/>
                <w:sz w:val="21"/>
                <w:szCs w:val="21"/>
                <w:highlight w:val="none"/>
                <w:lang w:val="en-US" w:eastAsia="zh-CN"/>
              </w:rPr>
              <w:t>（1）本项目专门面向中小企业采购（供应商应为中小微企业或监狱企业或残疾人福利性单位)，不再执行价格评审优惠的扶持政策。</w:t>
            </w:r>
          </w:p>
          <w:p w14:paraId="3C632A1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0"/>
                <w:w w:val="100"/>
                <w:position w:val="0"/>
                <w:sz w:val="21"/>
                <w:szCs w:val="21"/>
                <w:highlight w:val="none"/>
              </w:rPr>
            </w:pPr>
            <w:r>
              <w:rPr>
                <w:rFonts w:hint="eastAsia" w:ascii="宋体" w:hAnsi="宋体" w:eastAsia="宋体" w:cs="宋体"/>
                <w:b w:val="0"/>
                <w:bCs w:val="0"/>
                <w:color w:val="auto"/>
                <w:spacing w:val="0"/>
                <w:w w:val="100"/>
                <w:position w:val="0"/>
                <w:sz w:val="21"/>
                <w:szCs w:val="21"/>
                <w:highlight w:val="none"/>
              </w:rPr>
              <w:t>（2）以进入比较与评价环节的</w:t>
            </w:r>
            <w:r>
              <w:rPr>
                <w:rFonts w:hint="eastAsia" w:ascii="宋体" w:hAnsi="宋体" w:eastAsia="宋体" w:cs="宋体"/>
                <w:b w:val="0"/>
                <w:bCs w:val="0"/>
                <w:color w:val="auto"/>
                <w:spacing w:val="0"/>
                <w:w w:val="100"/>
                <w:position w:val="0"/>
                <w:sz w:val="21"/>
                <w:szCs w:val="21"/>
                <w:highlight w:val="none"/>
                <w:lang w:val="en-US" w:eastAsia="zh-CN"/>
              </w:rPr>
              <w:t>最后报价的</w:t>
            </w:r>
            <w:r>
              <w:rPr>
                <w:rFonts w:hint="eastAsia" w:ascii="宋体" w:hAnsi="宋体" w:eastAsia="宋体" w:cs="宋体"/>
                <w:b w:val="0"/>
                <w:bCs w:val="0"/>
                <w:color w:val="auto"/>
                <w:spacing w:val="0"/>
                <w:w w:val="100"/>
                <w:position w:val="0"/>
                <w:sz w:val="21"/>
                <w:szCs w:val="21"/>
                <w:highlight w:val="none"/>
              </w:rPr>
              <w:t>最低</w:t>
            </w:r>
            <w:r>
              <w:rPr>
                <w:rFonts w:hint="eastAsia" w:ascii="宋体" w:hAnsi="宋体" w:eastAsia="宋体" w:cs="宋体"/>
                <w:b w:val="0"/>
                <w:bCs w:val="0"/>
                <w:color w:val="auto"/>
                <w:spacing w:val="0"/>
                <w:w w:val="100"/>
                <w:position w:val="0"/>
                <w:sz w:val="21"/>
                <w:szCs w:val="21"/>
                <w:highlight w:val="none"/>
                <w:lang w:val="en-US" w:eastAsia="zh-CN"/>
              </w:rPr>
              <w:t>价格</w:t>
            </w:r>
            <w:r>
              <w:rPr>
                <w:rFonts w:hint="eastAsia" w:ascii="宋体" w:hAnsi="宋体" w:eastAsia="宋体" w:cs="宋体"/>
                <w:b w:val="0"/>
                <w:bCs w:val="0"/>
                <w:color w:val="auto"/>
                <w:spacing w:val="0"/>
                <w:w w:val="100"/>
                <w:position w:val="0"/>
                <w:sz w:val="21"/>
                <w:szCs w:val="21"/>
                <w:highlight w:val="none"/>
              </w:rPr>
              <w:t>为基准价，基准价得分为</w:t>
            </w:r>
            <w:r>
              <w:rPr>
                <w:rFonts w:hint="eastAsia" w:ascii="宋体" w:hAnsi="宋体" w:eastAsia="宋体" w:cs="宋体"/>
                <w:b w:val="0"/>
                <w:bCs w:val="0"/>
                <w:color w:val="auto"/>
                <w:spacing w:val="0"/>
                <w:w w:val="100"/>
                <w:position w:val="0"/>
                <w:sz w:val="21"/>
                <w:szCs w:val="21"/>
                <w:highlight w:val="none"/>
                <w:lang w:val="en-US" w:eastAsia="zh-CN"/>
              </w:rPr>
              <w:t>2</w:t>
            </w:r>
            <w:r>
              <w:rPr>
                <w:rFonts w:hint="eastAsia" w:ascii="宋体" w:hAnsi="宋体" w:cs="宋体"/>
                <w:b w:val="0"/>
                <w:bCs w:val="0"/>
                <w:color w:val="auto"/>
                <w:spacing w:val="0"/>
                <w:w w:val="100"/>
                <w:position w:val="0"/>
                <w:sz w:val="21"/>
                <w:szCs w:val="21"/>
                <w:highlight w:val="none"/>
                <w:lang w:val="en-US" w:eastAsia="zh-CN"/>
              </w:rPr>
              <w:t>0</w:t>
            </w:r>
            <w:r>
              <w:rPr>
                <w:rFonts w:hint="eastAsia" w:ascii="宋体" w:hAnsi="宋体" w:eastAsia="宋体" w:cs="宋体"/>
                <w:b w:val="0"/>
                <w:bCs w:val="0"/>
                <w:color w:val="auto"/>
                <w:spacing w:val="0"/>
                <w:w w:val="100"/>
                <w:position w:val="0"/>
                <w:sz w:val="21"/>
                <w:szCs w:val="21"/>
                <w:highlight w:val="none"/>
              </w:rPr>
              <w:t>分。</w:t>
            </w:r>
          </w:p>
          <w:p w14:paraId="0594B67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rPr>
              <w:t>（</w:t>
            </w:r>
            <w:r>
              <w:rPr>
                <w:rFonts w:hint="eastAsia" w:ascii="宋体" w:hAnsi="宋体" w:eastAsia="宋体" w:cs="宋体"/>
                <w:b w:val="0"/>
                <w:bCs w:val="0"/>
                <w:color w:val="auto"/>
                <w:spacing w:val="0"/>
                <w:w w:val="100"/>
                <w:position w:val="0"/>
                <w:sz w:val="21"/>
                <w:szCs w:val="21"/>
                <w:highlight w:val="none"/>
                <w:lang w:val="en-US" w:eastAsia="zh-CN"/>
              </w:rPr>
              <w:t>3</w:t>
            </w:r>
            <w:r>
              <w:rPr>
                <w:rFonts w:hint="eastAsia" w:ascii="宋体" w:hAnsi="宋体" w:eastAsia="宋体" w:cs="宋体"/>
                <w:b w:val="0"/>
                <w:bCs w:val="0"/>
                <w:color w:val="auto"/>
                <w:spacing w:val="0"/>
                <w:w w:val="100"/>
                <w:position w:val="0"/>
                <w:sz w:val="21"/>
                <w:szCs w:val="21"/>
                <w:highlight w:val="none"/>
              </w:rPr>
              <w:t>）价格分计算公式：报价得分=（基准价/最后报价）×</w:t>
            </w:r>
            <w:r>
              <w:rPr>
                <w:rFonts w:hint="eastAsia" w:ascii="宋体" w:hAnsi="宋体" w:eastAsia="宋体" w:cs="宋体"/>
                <w:b w:val="0"/>
                <w:bCs w:val="0"/>
                <w:color w:val="auto"/>
                <w:spacing w:val="0"/>
                <w:w w:val="100"/>
                <w:position w:val="0"/>
                <w:sz w:val="21"/>
                <w:szCs w:val="21"/>
                <w:highlight w:val="none"/>
                <w:lang w:val="en-US" w:eastAsia="zh-CN"/>
              </w:rPr>
              <w:t>2</w:t>
            </w:r>
            <w:r>
              <w:rPr>
                <w:rFonts w:hint="eastAsia" w:ascii="宋体" w:hAnsi="宋体" w:cs="宋体"/>
                <w:b w:val="0"/>
                <w:bCs w:val="0"/>
                <w:color w:val="auto"/>
                <w:spacing w:val="0"/>
                <w:w w:val="100"/>
                <w:position w:val="0"/>
                <w:sz w:val="21"/>
                <w:szCs w:val="21"/>
                <w:highlight w:val="none"/>
                <w:lang w:val="en-US" w:eastAsia="zh-CN"/>
              </w:rPr>
              <w:t>0</w:t>
            </w:r>
            <w:r>
              <w:rPr>
                <w:rFonts w:hint="eastAsia" w:ascii="宋体" w:hAnsi="宋体" w:eastAsia="宋体" w:cs="宋体"/>
                <w:b w:val="0"/>
                <w:bCs w:val="0"/>
                <w:color w:val="auto"/>
                <w:spacing w:val="0"/>
                <w:w w:val="100"/>
                <w:position w:val="0"/>
                <w:sz w:val="21"/>
                <w:szCs w:val="21"/>
                <w:highlight w:val="none"/>
              </w:rPr>
              <w:t>分</w:t>
            </w:r>
          </w:p>
        </w:tc>
        <w:tc>
          <w:tcPr>
            <w:tcW w:w="807" w:type="dxa"/>
            <w:noWrap w:val="0"/>
            <w:vAlign w:val="center"/>
          </w:tcPr>
          <w:p w14:paraId="4C7AB4E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lang w:eastAsia="zh-CN"/>
              </w:rPr>
            </w:pPr>
            <w:r>
              <w:rPr>
                <w:rFonts w:hint="eastAsia" w:ascii="宋体" w:hAnsi="宋体" w:eastAsia="宋体" w:cs="宋体"/>
                <w:b w:val="0"/>
                <w:bCs w:val="0"/>
                <w:color w:val="auto"/>
                <w:spacing w:val="0"/>
                <w:w w:val="100"/>
                <w:position w:val="0"/>
                <w:sz w:val="21"/>
                <w:szCs w:val="21"/>
                <w:highlight w:val="none"/>
                <w:lang w:eastAsia="zh-CN"/>
              </w:rPr>
              <w:t>客观分</w:t>
            </w:r>
          </w:p>
        </w:tc>
      </w:tr>
      <w:tr w14:paraId="3478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9" w:type="dxa"/>
            <w:noWrap w:val="0"/>
            <w:vAlign w:val="center"/>
          </w:tcPr>
          <w:p w14:paraId="5BA17F51">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leftChars="0" w:right="0" w:rightChars="0"/>
              <w:jc w:val="center"/>
              <w:textAlignment w:val="auto"/>
              <w:rPr>
                <w:rFonts w:hint="eastAsia" w:ascii="宋体" w:hAnsi="宋体" w:eastAsia="宋体" w:cs="宋体"/>
                <w:b w:val="0"/>
                <w:bCs w:val="0"/>
                <w:color w:val="auto"/>
                <w:spacing w:val="0"/>
                <w:w w:val="100"/>
                <w:position w:val="0"/>
                <w:sz w:val="21"/>
                <w:szCs w:val="21"/>
                <w:highlight w:val="none"/>
                <w:lang w:val="en-US" w:eastAsia="zh-CN"/>
              </w:rPr>
            </w:pPr>
            <w:r>
              <w:rPr>
                <w:rFonts w:hint="eastAsia" w:ascii="宋体" w:hAnsi="宋体" w:eastAsia="宋体" w:cs="宋体"/>
                <w:b/>
                <w:bCs/>
                <w:color w:val="auto"/>
                <w:spacing w:val="0"/>
                <w:w w:val="100"/>
                <w:position w:val="0"/>
                <w:sz w:val="21"/>
                <w:szCs w:val="21"/>
                <w:highlight w:val="none"/>
              </w:rPr>
              <w:t>2</w:t>
            </w:r>
          </w:p>
        </w:tc>
        <w:tc>
          <w:tcPr>
            <w:tcW w:w="958" w:type="dxa"/>
            <w:noWrap w:val="0"/>
            <w:vAlign w:val="center"/>
          </w:tcPr>
          <w:p w14:paraId="53DED0BE">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leftChars="0" w:right="0" w:rightChars="0"/>
              <w:jc w:val="center"/>
              <w:textAlignment w:val="auto"/>
              <w:rPr>
                <w:rFonts w:hint="eastAsia" w:ascii="宋体" w:hAnsi="宋体" w:eastAsia="宋体" w:cs="宋体"/>
                <w:b w:val="0"/>
                <w:bCs w:val="0"/>
                <w:color w:val="auto"/>
                <w:spacing w:val="0"/>
                <w:w w:val="100"/>
                <w:position w:val="0"/>
                <w:sz w:val="21"/>
                <w:szCs w:val="21"/>
                <w:highlight w:val="none"/>
              </w:rPr>
            </w:pPr>
            <w:r>
              <w:rPr>
                <w:rFonts w:hint="eastAsia" w:ascii="宋体" w:hAnsi="宋体" w:eastAsia="宋体" w:cs="宋体"/>
                <w:b/>
                <w:bCs/>
                <w:color w:val="auto"/>
                <w:spacing w:val="0"/>
                <w:w w:val="100"/>
                <w:position w:val="0"/>
                <w:sz w:val="21"/>
                <w:szCs w:val="21"/>
                <w:highlight w:val="none"/>
                <w:lang w:val="en-US" w:eastAsia="zh-CN"/>
              </w:rPr>
              <w:t>技术</w:t>
            </w:r>
          </w:p>
        </w:tc>
        <w:tc>
          <w:tcPr>
            <w:tcW w:w="7050" w:type="dxa"/>
            <w:gridSpan w:val="2"/>
            <w:noWrap w:val="0"/>
            <w:vAlign w:val="center"/>
          </w:tcPr>
          <w:p w14:paraId="6A4669CA">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leftChars="0" w:right="0" w:rightChars="0"/>
              <w:jc w:val="center"/>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p>
        </w:tc>
        <w:tc>
          <w:tcPr>
            <w:tcW w:w="807" w:type="dxa"/>
            <w:noWrap w:val="0"/>
            <w:vAlign w:val="center"/>
          </w:tcPr>
          <w:p w14:paraId="1EB3A028">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leftChars="0" w:right="0" w:rightChars="0"/>
              <w:jc w:val="center"/>
              <w:textAlignment w:val="auto"/>
              <w:rPr>
                <w:rFonts w:hint="eastAsia" w:ascii="宋体" w:hAnsi="宋体" w:eastAsia="宋体" w:cs="宋体"/>
                <w:b/>
                <w:bCs/>
                <w:color w:val="auto"/>
                <w:spacing w:val="0"/>
                <w:w w:val="100"/>
                <w:position w:val="0"/>
                <w:sz w:val="21"/>
                <w:szCs w:val="21"/>
                <w:highlight w:val="none"/>
              </w:rPr>
            </w:pPr>
          </w:p>
        </w:tc>
      </w:tr>
      <w:tr w14:paraId="39C7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719" w:type="dxa"/>
            <w:vMerge w:val="restart"/>
            <w:noWrap w:val="0"/>
            <w:vAlign w:val="center"/>
          </w:tcPr>
          <w:p w14:paraId="424C3A10">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lang w:val="en-US" w:eastAsia="zh-CN"/>
              </w:rPr>
            </w:pPr>
            <w:r>
              <w:rPr>
                <w:rFonts w:hint="eastAsia" w:ascii="宋体" w:hAnsi="宋体" w:eastAsia="宋体" w:cs="宋体"/>
                <w:b w:val="0"/>
                <w:bCs w:val="0"/>
                <w:color w:val="auto"/>
                <w:spacing w:val="0"/>
                <w:w w:val="100"/>
                <w:position w:val="0"/>
                <w:sz w:val="21"/>
                <w:szCs w:val="21"/>
                <w:highlight w:val="none"/>
                <w:lang w:val="en-US" w:eastAsia="zh-CN"/>
              </w:rPr>
              <w:t>2.1</w:t>
            </w:r>
          </w:p>
        </w:tc>
        <w:tc>
          <w:tcPr>
            <w:tcW w:w="958" w:type="dxa"/>
            <w:vMerge w:val="restart"/>
            <w:noWrap w:val="0"/>
            <w:vAlign w:val="center"/>
          </w:tcPr>
          <w:p w14:paraId="26011FB2">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rPr>
            </w:pPr>
            <w:r>
              <w:rPr>
                <w:rFonts w:hint="eastAsia" w:ascii="宋体" w:hAnsi="宋体" w:eastAsia="宋体" w:cs="宋体"/>
                <w:b w:val="0"/>
                <w:bCs w:val="0"/>
                <w:color w:val="auto"/>
                <w:spacing w:val="0"/>
                <w:w w:val="100"/>
                <w:position w:val="0"/>
                <w:sz w:val="21"/>
                <w:szCs w:val="21"/>
                <w:highlight w:val="none"/>
              </w:rPr>
              <w:t>施工组织设计</w:t>
            </w:r>
          </w:p>
        </w:tc>
        <w:tc>
          <w:tcPr>
            <w:tcW w:w="1115" w:type="dxa"/>
            <w:noWrap w:val="0"/>
            <w:vAlign w:val="center"/>
          </w:tcPr>
          <w:p w14:paraId="40FE4D5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b w:val="0"/>
                <w:bCs w:val="0"/>
                <w:color w:val="auto"/>
                <w:spacing w:val="0"/>
                <w:w w:val="100"/>
                <w:position w:val="0"/>
                <w:sz w:val="21"/>
                <w:szCs w:val="21"/>
                <w:highlight w:val="none"/>
              </w:rPr>
            </w:pPr>
            <w:r>
              <w:rPr>
                <w:rFonts w:hint="eastAsia" w:ascii="宋体" w:hAnsi="宋体" w:eastAsia="宋体" w:cs="宋体"/>
                <w:b w:val="0"/>
                <w:bCs w:val="0"/>
                <w:color w:val="auto"/>
                <w:spacing w:val="0"/>
                <w:w w:val="100"/>
                <w:position w:val="0"/>
                <w:sz w:val="21"/>
                <w:szCs w:val="21"/>
                <w:highlight w:val="none"/>
              </w:rPr>
              <w:t>（1）施工机械设备情况（满分10分）</w:t>
            </w:r>
          </w:p>
        </w:tc>
        <w:tc>
          <w:tcPr>
            <w:tcW w:w="5935" w:type="dxa"/>
            <w:noWrap w:val="0"/>
            <w:vAlign w:val="center"/>
          </w:tcPr>
          <w:p w14:paraId="14DACDD3">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由磋商小组在打分前根据供应商提供的拟投入施工机械设备情况，在相应档次内独立打分。</w:t>
            </w:r>
          </w:p>
          <w:p w14:paraId="18482D23">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一档（0分）：投入的施工机械、设备、机具组织计划差，投入计划与进度计划不呼应，不能满足施工需要。</w:t>
            </w:r>
          </w:p>
          <w:p w14:paraId="018C86CB">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二档（3分）：投入的施工机械、设备、机具有组织计划，设备数量、选型配置、进场投入计划与进度计划呼应，基本满足施工需要。</w:t>
            </w:r>
          </w:p>
          <w:p w14:paraId="526DB050">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三档（6分）：投入的施工机械、设备、机具有详细的组织计划，设备数量、选型配置、进场投入计划与进度计划呼应，满足施工需要。</w:t>
            </w:r>
          </w:p>
          <w:p w14:paraId="5A0E1C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color w:val="auto"/>
                <w:spacing w:val="0"/>
                <w:w w:val="100"/>
                <w:position w:val="0"/>
                <w:sz w:val="21"/>
                <w:szCs w:val="21"/>
                <w:highlight w:val="none"/>
              </w:rPr>
            </w:pPr>
            <w:r>
              <w:rPr>
                <w:rFonts w:hint="eastAsia" w:ascii="宋体" w:hAnsi="宋体" w:eastAsia="宋体" w:cs="宋体"/>
                <w:b w:val="0"/>
                <w:bCs w:val="0"/>
                <w:color w:val="auto"/>
                <w:spacing w:val="0"/>
                <w:w w:val="100"/>
                <w:position w:val="0"/>
                <w:sz w:val="21"/>
                <w:szCs w:val="21"/>
                <w:highlight w:val="none"/>
                <w:vertAlign w:val="baseline"/>
                <w:lang w:eastAsia="zh-CN"/>
              </w:rPr>
              <w:t>四档（10分）：投入的施工机械、设备、机具有详细的组织计划且计划周密，设备数量、选型配置、进场时间安排合理，满足施工需要。</w:t>
            </w:r>
          </w:p>
        </w:tc>
        <w:tc>
          <w:tcPr>
            <w:tcW w:w="807" w:type="dxa"/>
            <w:noWrap w:val="0"/>
            <w:vAlign w:val="center"/>
          </w:tcPr>
          <w:p w14:paraId="338FA0A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主观分</w:t>
            </w:r>
          </w:p>
        </w:tc>
      </w:tr>
      <w:tr w14:paraId="47BF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19" w:type="dxa"/>
            <w:vMerge w:val="continue"/>
            <w:noWrap w:val="0"/>
            <w:vAlign w:val="center"/>
          </w:tcPr>
          <w:p w14:paraId="4D1FC177">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rPr>
            </w:pPr>
          </w:p>
        </w:tc>
        <w:tc>
          <w:tcPr>
            <w:tcW w:w="958" w:type="dxa"/>
            <w:vMerge w:val="continue"/>
            <w:noWrap w:val="0"/>
            <w:vAlign w:val="center"/>
          </w:tcPr>
          <w:p w14:paraId="4C3A23BC">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rPr>
            </w:pPr>
          </w:p>
        </w:tc>
        <w:tc>
          <w:tcPr>
            <w:tcW w:w="1115" w:type="dxa"/>
            <w:noWrap w:val="0"/>
            <w:vAlign w:val="center"/>
          </w:tcPr>
          <w:p w14:paraId="4C5960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b w:val="0"/>
                <w:bCs w:val="0"/>
                <w:color w:val="auto"/>
                <w:spacing w:val="0"/>
                <w:w w:val="100"/>
                <w:position w:val="0"/>
                <w:sz w:val="21"/>
                <w:szCs w:val="21"/>
                <w:highlight w:val="none"/>
              </w:rPr>
            </w:pPr>
            <w:r>
              <w:rPr>
                <w:rFonts w:hint="eastAsia" w:ascii="宋体" w:hAnsi="宋体" w:eastAsia="宋体" w:cs="宋体"/>
                <w:b w:val="0"/>
                <w:bCs w:val="0"/>
                <w:color w:val="auto"/>
                <w:spacing w:val="0"/>
                <w:w w:val="100"/>
                <w:position w:val="0"/>
                <w:sz w:val="21"/>
                <w:szCs w:val="21"/>
                <w:highlight w:val="none"/>
              </w:rPr>
              <w:t>（2）劳动力安排计划（满分10分）</w:t>
            </w:r>
          </w:p>
        </w:tc>
        <w:tc>
          <w:tcPr>
            <w:tcW w:w="5935" w:type="dxa"/>
            <w:noWrap w:val="0"/>
            <w:vAlign w:val="top"/>
          </w:tcPr>
          <w:p w14:paraId="2B396BC8">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磋商小组在打分前根据供应商提供的劳动力安排计划，在相应档次内独立打分。</w:t>
            </w:r>
          </w:p>
          <w:p w14:paraId="2AD88F78">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一档（0分）：各主要施工工序劳动力安排计划不全，无各工种劳动力安排计划或计划不全，劳动力投入不合理，不能满足施工需要。</w:t>
            </w:r>
          </w:p>
          <w:p w14:paraId="2C19AD51">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二档（3分）：各主要施工工序应有劳动力安排计划，有各工种劳动力安排计划，劳动力投入基本合理，基本满足施工需要。</w:t>
            </w:r>
          </w:p>
          <w:p w14:paraId="2FCC99C7">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三档（6分）：各主要施工工序有详细的劳动力安排计划，有各工种劳动力安排计划，劳动力投入合理，满足施工需要。</w:t>
            </w:r>
          </w:p>
          <w:p w14:paraId="47E27485">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kern w:val="2"/>
                <w:position w:val="0"/>
                <w:sz w:val="21"/>
                <w:szCs w:val="21"/>
                <w:highlight w:val="none"/>
                <w:vertAlign w:val="baseline"/>
                <w:lang w:val="en-US" w:eastAsia="zh-CN" w:bidi="ar-SA"/>
              </w:rPr>
            </w:pPr>
            <w:r>
              <w:rPr>
                <w:rFonts w:hint="eastAsia" w:ascii="宋体" w:hAnsi="宋体" w:eastAsia="宋体" w:cs="宋体"/>
                <w:b w:val="0"/>
                <w:bCs w:val="0"/>
                <w:color w:val="auto"/>
                <w:spacing w:val="0"/>
                <w:w w:val="100"/>
                <w:position w:val="0"/>
                <w:sz w:val="21"/>
                <w:szCs w:val="21"/>
                <w:highlight w:val="none"/>
                <w:vertAlign w:val="baseline"/>
                <w:lang w:eastAsia="zh-CN"/>
              </w:rPr>
              <w:t>四档（10分）：各主要施工工序有详细周密的劳动力安排计划，各工种劳动力安排计划齐全，劳动力投入与进度计划呼应合理，满足施工需要。</w:t>
            </w:r>
          </w:p>
        </w:tc>
        <w:tc>
          <w:tcPr>
            <w:tcW w:w="807" w:type="dxa"/>
            <w:noWrap w:val="0"/>
            <w:vAlign w:val="center"/>
          </w:tcPr>
          <w:p w14:paraId="465D9E95">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主观分</w:t>
            </w:r>
          </w:p>
        </w:tc>
      </w:tr>
      <w:tr w14:paraId="66592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9" w:type="dxa"/>
            <w:vMerge w:val="continue"/>
            <w:noWrap w:val="0"/>
            <w:vAlign w:val="center"/>
          </w:tcPr>
          <w:p w14:paraId="71A47D4F">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rPr>
            </w:pPr>
          </w:p>
        </w:tc>
        <w:tc>
          <w:tcPr>
            <w:tcW w:w="958" w:type="dxa"/>
            <w:vMerge w:val="continue"/>
            <w:noWrap w:val="0"/>
            <w:vAlign w:val="center"/>
          </w:tcPr>
          <w:p w14:paraId="4407F0F0">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rPr>
            </w:pPr>
          </w:p>
        </w:tc>
        <w:tc>
          <w:tcPr>
            <w:tcW w:w="1115" w:type="dxa"/>
            <w:noWrap w:val="0"/>
            <w:vAlign w:val="center"/>
          </w:tcPr>
          <w:p w14:paraId="4C2E7C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b w:val="0"/>
                <w:bCs w:val="0"/>
                <w:color w:val="auto"/>
                <w:spacing w:val="0"/>
                <w:w w:val="100"/>
                <w:position w:val="0"/>
                <w:sz w:val="21"/>
                <w:szCs w:val="21"/>
                <w:highlight w:val="none"/>
              </w:rPr>
            </w:pPr>
            <w:r>
              <w:rPr>
                <w:rFonts w:hint="eastAsia" w:ascii="宋体" w:hAnsi="宋体" w:eastAsia="宋体" w:cs="宋体"/>
                <w:b w:val="0"/>
                <w:bCs w:val="0"/>
                <w:color w:val="auto"/>
                <w:spacing w:val="0"/>
                <w:w w:val="100"/>
                <w:position w:val="0"/>
                <w:sz w:val="21"/>
                <w:szCs w:val="21"/>
                <w:highlight w:val="none"/>
              </w:rPr>
              <w:t>（3）确保工程质量的技术组织措施（满分10分）</w:t>
            </w:r>
          </w:p>
        </w:tc>
        <w:tc>
          <w:tcPr>
            <w:tcW w:w="5935" w:type="dxa"/>
            <w:noWrap w:val="0"/>
            <w:vAlign w:val="top"/>
          </w:tcPr>
          <w:p w14:paraId="2885EE75">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磋商小组在打分前根据供应商提供的工程质量技术组织措施，在相应档次内独立打分。</w:t>
            </w:r>
          </w:p>
          <w:p w14:paraId="3C21743E">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一档（0分）：质量技术管理班子人员配备不合理，制度不健全。质量技术保证措施和手段不可行，没有质量违约责任承诺。</w:t>
            </w:r>
          </w:p>
          <w:p w14:paraId="33F65283">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二档（3分）：质量技术管理班子人员配备基本合理，制度基本健全。主要工序有质量技术保证措施和手段，能有效保证技术质量，满足磋商文件的质量要求。</w:t>
            </w:r>
          </w:p>
          <w:p w14:paraId="0167AB6B">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三档（6分）：有专门的质量技术管理班子和制度，且人员配备合理，制度健全。主要工序有质量技术保证措施和手段，自控体系完整，能有效保证技术质量，达到承诺的质量标准。</w:t>
            </w:r>
          </w:p>
          <w:p w14:paraId="7D648F18">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kern w:val="2"/>
                <w:position w:val="0"/>
                <w:sz w:val="21"/>
                <w:szCs w:val="21"/>
                <w:highlight w:val="none"/>
                <w:vertAlign w:val="baseline"/>
                <w:lang w:val="en-US" w:eastAsia="zh-CN" w:bidi="ar-SA"/>
              </w:rPr>
            </w:pPr>
            <w:r>
              <w:rPr>
                <w:rFonts w:hint="eastAsia" w:ascii="宋体" w:hAnsi="宋体" w:eastAsia="宋体" w:cs="宋体"/>
                <w:b w:val="0"/>
                <w:bCs w:val="0"/>
                <w:color w:val="auto"/>
                <w:spacing w:val="0"/>
                <w:w w:val="100"/>
                <w:position w:val="0"/>
                <w:sz w:val="21"/>
                <w:szCs w:val="21"/>
                <w:highlight w:val="none"/>
                <w:vertAlign w:val="baseline"/>
                <w:lang w:eastAsia="zh-CN"/>
              </w:rPr>
              <w:t>四档（10分）：有专门的质量技术管理班子和制度，且人员配备合理，制度健全。主要工序有质量技术保证措施和手段，且先进、可行、具体，高于磋商文件的质量要求及施工验收规范要求，达到承诺的质量标准。</w:t>
            </w:r>
          </w:p>
        </w:tc>
        <w:tc>
          <w:tcPr>
            <w:tcW w:w="807" w:type="dxa"/>
            <w:noWrap w:val="0"/>
            <w:vAlign w:val="center"/>
          </w:tcPr>
          <w:p w14:paraId="2FEDED87">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主观分</w:t>
            </w:r>
          </w:p>
        </w:tc>
      </w:tr>
      <w:tr w14:paraId="1CD2E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9" w:type="dxa"/>
            <w:vMerge w:val="continue"/>
            <w:noWrap w:val="0"/>
            <w:vAlign w:val="center"/>
          </w:tcPr>
          <w:p w14:paraId="66BC9316">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rPr>
            </w:pPr>
          </w:p>
        </w:tc>
        <w:tc>
          <w:tcPr>
            <w:tcW w:w="958" w:type="dxa"/>
            <w:vMerge w:val="continue"/>
            <w:noWrap w:val="0"/>
            <w:vAlign w:val="center"/>
          </w:tcPr>
          <w:p w14:paraId="5494A3E4">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rPr>
            </w:pPr>
          </w:p>
        </w:tc>
        <w:tc>
          <w:tcPr>
            <w:tcW w:w="1115" w:type="dxa"/>
            <w:noWrap w:val="0"/>
            <w:vAlign w:val="center"/>
          </w:tcPr>
          <w:p w14:paraId="3804B4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b w:val="0"/>
                <w:bCs w:val="0"/>
                <w:color w:val="auto"/>
                <w:spacing w:val="0"/>
                <w:w w:val="100"/>
                <w:position w:val="0"/>
                <w:sz w:val="21"/>
                <w:szCs w:val="21"/>
                <w:highlight w:val="none"/>
              </w:rPr>
            </w:pPr>
            <w:r>
              <w:rPr>
                <w:rFonts w:hint="eastAsia" w:ascii="宋体" w:hAnsi="宋体" w:eastAsia="宋体" w:cs="宋体"/>
                <w:b w:val="0"/>
                <w:bCs w:val="0"/>
                <w:color w:val="auto"/>
                <w:spacing w:val="0"/>
                <w:w w:val="100"/>
                <w:position w:val="0"/>
                <w:sz w:val="21"/>
                <w:szCs w:val="21"/>
                <w:highlight w:val="none"/>
              </w:rPr>
              <w:t>（4）确保安全生产的技术组织措施（满分10分）</w:t>
            </w:r>
          </w:p>
        </w:tc>
        <w:tc>
          <w:tcPr>
            <w:tcW w:w="5935" w:type="dxa"/>
            <w:noWrap w:val="0"/>
            <w:vAlign w:val="top"/>
          </w:tcPr>
          <w:p w14:paraId="2C65D2AF">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磋商小组在打分前根据供应商提供的安全生产技术组织措施，在相应档次内独立打分。</w:t>
            </w:r>
          </w:p>
          <w:p w14:paraId="6A9382C6">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一档（0分）：有配备满足项目要求的专职安全员，人员配备不合理，安全管理制度不健全，各道工序安全技术措施基本符合实际，不能满足有关安全技术标准要求。现场防火、应急救援、社会治安安全措施不合理。</w:t>
            </w:r>
          </w:p>
          <w:p w14:paraId="6FD2DE6B">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二档（3分）：有配备满足项目要求的专职安全员，人员配备基本合理，安全管理制度基本健全，各道工序安全技术措施基本符合实际，基本满足有关安全技术标准要求。现场防火、应急救援、社会治安安全措施基本合理。</w:t>
            </w:r>
          </w:p>
          <w:p w14:paraId="6BFAAB52">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三档（6分）：有配备满足项目要求的专职安全员，人员配备合理，有健全的安全管理制度，各道工序安全技术措施符合实际且满足有关安全技术标准要求。现场防火、应急救援、社会治安安全措施合理。</w:t>
            </w:r>
          </w:p>
          <w:p w14:paraId="4C63BA38">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kern w:val="2"/>
                <w:position w:val="0"/>
                <w:sz w:val="21"/>
                <w:szCs w:val="21"/>
                <w:highlight w:val="none"/>
                <w:vertAlign w:val="baseline"/>
                <w:lang w:val="en-US" w:eastAsia="zh-CN" w:bidi="ar-SA"/>
              </w:rPr>
            </w:pPr>
            <w:r>
              <w:rPr>
                <w:rFonts w:hint="eastAsia" w:ascii="宋体" w:hAnsi="宋体" w:eastAsia="宋体" w:cs="宋体"/>
                <w:b w:val="0"/>
                <w:bCs w:val="0"/>
                <w:color w:val="auto"/>
                <w:spacing w:val="0"/>
                <w:w w:val="100"/>
                <w:position w:val="0"/>
                <w:sz w:val="21"/>
                <w:szCs w:val="21"/>
                <w:highlight w:val="none"/>
                <w:vertAlign w:val="baseline"/>
                <w:lang w:eastAsia="zh-CN"/>
              </w:rPr>
              <w:t>四档（10分）：有配备满足项目要求的专职安全员，人员配备合理。有健全的安全管理制度，各道工序安全技术措施针对性强，符合实际且高于国家有关安全技术标准要求。现场防火、应急救援、社会治安安全措施得力。</w:t>
            </w:r>
          </w:p>
        </w:tc>
        <w:tc>
          <w:tcPr>
            <w:tcW w:w="807" w:type="dxa"/>
            <w:noWrap w:val="0"/>
            <w:vAlign w:val="center"/>
          </w:tcPr>
          <w:p w14:paraId="6AA48DC5">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主观分</w:t>
            </w:r>
          </w:p>
        </w:tc>
      </w:tr>
      <w:tr w14:paraId="1BBB8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9" w:type="dxa"/>
            <w:vMerge w:val="continue"/>
            <w:noWrap w:val="0"/>
            <w:vAlign w:val="center"/>
          </w:tcPr>
          <w:p w14:paraId="02310484">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rPr>
            </w:pPr>
          </w:p>
        </w:tc>
        <w:tc>
          <w:tcPr>
            <w:tcW w:w="958" w:type="dxa"/>
            <w:vMerge w:val="continue"/>
            <w:noWrap w:val="0"/>
            <w:vAlign w:val="center"/>
          </w:tcPr>
          <w:p w14:paraId="72A8848A">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rPr>
            </w:pPr>
          </w:p>
        </w:tc>
        <w:tc>
          <w:tcPr>
            <w:tcW w:w="1115" w:type="dxa"/>
            <w:noWrap w:val="0"/>
            <w:vAlign w:val="center"/>
          </w:tcPr>
          <w:p w14:paraId="475325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b w:val="0"/>
                <w:bCs w:val="0"/>
                <w:color w:val="auto"/>
                <w:spacing w:val="0"/>
                <w:w w:val="100"/>
                <w:kern w:val="0"/>
                <w:position w:val="0"/>
                <w:sz w:val="21"/>
                <w:szCs w:val="21"/>
                <w:highlight w:val="none"/>
              </w:rPr>
            </w:pPr>
            <w:r>
              <w:rPr>
                <w:rFonts w:hint="eastAsia" w:ascii="宋体" w:hAnsi="宋体" w:eastAsia="宋体" w:cs="宋体"/>
                <w:b w:val="0"/>
                <w:bCs w:val="0"/>
                <w:color w:val="auto"/>
                <w:spacing w:val="0"/>
                <w:w w:val="100"/>
                <w:kern w:val="0"/>
                <w:position w:val="0"/>
                <w:sz w:val="21"/>
                <w:szCs w:val="21"/>
                <w:highlight w:val="none"/>
              </w:rPr>
              <w:t>（5）确保工期的技术组织措施（满分10分）</w:t>
            </w:r>
          </w:p>
        </w:tc>
        <w:tc>
          <w:tcPr>
            <w:tcW w:w="5935" w:type="dxa"/>
            <w:noWrap w:val="0"/>
            <w:vAlign w:val="top"/>
          </w:tcPr>
          <w:p w14:paraId="788A91F4">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磋商小组在打分前根据供应商提供的工期技术组织措施，在相应档次内独立打分。</w:t>
            </w:r>
          </w:p>
          <w:p w14:paraId="6B40D841">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一档（0分）：有保证工期的具体措施。各项计划图表编制不完善，安排不合理，不能满足本项目施工实际要求。</w:t>
            </w:r>
          </w:p>
          <w:p w14:paraId="419E9406">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二档（3分）：有保证工期的具体措施，措施基本得当。各项计划图表编制基本齐全，安排基本合理，基本符合本项目施工实际要求。</w:t>
            </w:r>
          </w:p>
          <w:p w14:paraId="4E40272C">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三档（6分）：有保证工期的具体措施且措施得当。各项计划图表编制完善，安排较合理，符合本项目施工实际要求。</w:t>
            </w:r>
          </w:p>
          <w:p w14:paraId="571EDD25">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lang w:val="en-US"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四档（10分）：有保证工期的具体措施且措施得力。各项计划图表编制详尽周密，安排科学合理，符合本项目施工实际要求。</w:t>
            </w:r>
          </w:p>
        </w:tc>
        <w:tc>
          <w:tcPr>
            <w:tcW w:w="807" w:type="dxa"/>
            <w:noWrap w:val="0"/>
            <w:vAlign w:val="center"/>
          </w:tcPr>
          <w:p w14:paraId="7F96E088">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主观分</w:t>
            </w:r>
          </w:p>
        </w:tc>
      </w:tr>
      <w:tr w14:paraId="4FF30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19" w:type="dxa"/>
            <w:vMerge w:val="continue"/>
            <w:noWrap w:val="0"/>
            <w:vAlign w:val="center"/>
          </w:tcPr>
          <w:p w14:paraId="77BF07CF">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rPr>
            </w:pPr>
          </w:p>
        </w:tc>
        <w:tc>
          <w:tcPr>
            <w:tcW w:w="958" w:type="dxa"/>
            <w:vMerge w:val="continue"/>
            <w:noWrap w:val="0"/>
            <w:vAlign w:val="center"/>
          </w:tcPr>
          <w:p w14:paraId="28B570B4">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rPr>
            </w:pPr>
          </w:p>
        </w:tc>
        <w:tc>
          <w:tcPr>
            <w:tcW w:w="1115" w:type="dxa"/>
            <w:noWrap w:val="0"/>
            <w:vAlign w:val="center"/>
          </w:tcPr>
          <w:p w14:paraId="046AF3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b w:val="0"/>
                <w:bCs w:val="0"/>
                <w:color w:val="auto"/>
                <w:spacing w:val="0"/>
                <w:w w:val="100"/>
                <w:position w:val="0"/>
                <w:sz w:val="21"/>
                <w:szCs w:val="21"/>
                <w:highlight w:val="none"/>
              </w:rPr>
            </w:pPr>
            <w:r>
              <w:rPr>
                <w:rFonts w:hint="eastAsia" w:ascii="宋体" w:hAnsi="宋体" w:eastAsia="宋体" w:cs="宋体"/>
                <w:b w:val="0"/>
                <w:bCs w:val="0"/>
                <w:color w:val="auto"/>
                <w:spacing w:val="0"/>
                <w:w w:val="100"/>
                <w:position w:val="0"/>
                <w:sz w:val="21"/>
                <w:szCs w:val="21"/>
                <w:highlight w:val="none"/>
              </w:rPr>
              <w:t>（6）确保文明施工的技术组织措施（满分10分）</w:t>
            </w:r>
          </w:p>
        </w:tc>
        <w:tc>
          <w:tcPr>
            <w:tcW w:w="5935" w:type="dxa"/>
            <w:noWrap w:val="0"/>
            <w:vAlign w:val="top"/>
          </w:tcPr>
          <w:p w14:paraId="4777F443">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磋商小组在打分前根据供应商提供的文明施工技术组织措施，在相应档次内独立打分。</w:t>
            </w:r>
          </w:p>
          <w:p w14:paraId="06F57519">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一档（0分）：现场文明施工、环境保护措施和内容与《建筑施工安全生产检查标准》、《广西壮族自治区建筑工程文明施工导则》的要求偏差大，无现场文明施工目标的承诺。</w:t>
            </w:r>
          </w:p>
          <w:p w14:paraId="4DA0FA8F">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二档（3分）：现场文明施工、环境保护措施和内容基本达到《建筑施工安全生产检查标准》、《广西壮族自治区建筑工程文明施工导则》；有具体实现现场文明施工目标的承诺，而且各项措施基本周全、具体、有效的。</w:t>
            </w:r>
          </w:p>
          <w:p w14:paraId="6226E363">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三档（6分）：现场文明施工、环境保护措施和内容达到《建筑施工安全生产检查标准》、《广西壮族自治区建筑工程文明施工导则》；承诺创建市级文明工地和标准化工地，而且各项措施周全、具体、有效的。</w:t>
            </w:r>
          </w:p>
          <w:p w14:paraId="5C984099">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lang w:val="en-US"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四档（10分）：现场文明施工、环境保护措施和内容达到《建筑施工安全生产检查标准》、《广西壮族自治区建筑工程文明施工导则》要求；承诺创建自治区级及以上文明工地和标准化工地，而且各项措施周全、具体、有效的。</w:t>
            </w:r>
          </w:p>
        </w:tc>
        <w:tc>
          <w:tcPr>
            <w:tcW w:w="807" w:type="dxa"/>
            <w:noWrap w:val="0"/>
            <w:vAlign w:val="center"/>
          </w:tcPr>
          <w:p w14:paraId="13771770">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主观分</w:t>
            </w:r>
          </w:p>
        </w:tc>
      </w:tr>
      <w:tr w14:paraId="47AA2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719" w:type="dxa"/>
            <w:vMerge w:val="continue"/>
            <w:noWrap w:val="0"/>
            <w:vAlign w:val="center"/>
          </w:tcPr>
          <w:p w14:paraId="2C3D978D">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rPr>
            </w:pPr>
          </w:p>
        </w:tc>
        <w:tc>
          <w:tcPr>
            <w:tcW w:w="958" w:type="dxa"/>
            <w:vMerge w:val="continue"/>
            <w:noWrap w:val="0"/>
            <w:vAlign w:val="center"/>
          </w:tcPr>
          <w:p w14:paraId="6F97148B">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rPr>
            </w:pPr>
          </w:p>
        </w:tc>
        <w:tc>
          <w:tcPr>
            <w:tcW w:w="1115" w:type="dxa"/>
            <w:noWrap w:val="0"/>
            <w:vAlign w:val="center"/>
          </w:tcPr>
          <w:p w14:paraId="4088AD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b w:val="0"/>
                <w:bCs w:val="0"/>
                <w:color w:val="auto"/>
                <w:spacing w:val="0"/>
                <w:w w:val="100"/>
                <w:position w:val="0"/>
                <w:sz w:val="21"/>
                <w:szCs w:val="21"/>
                <w:highlight w:val="none"/>
              </w:rPr>
            </w:pPr>
            <w:r>
              <w:rPr>
                <w:rFonts w:hint="eastAsia" w:ascii="宋体" w:hAnsi="宋体" w:eastAsia="宋体" w:cs="宋体"/>
                <w:b w:val="0"/>
                <w:bCs w:val="0"/>
                <w:color w:val="auto"/>
                <w:spacing w:val="0"/>
                <w:w w:val="100"/>
                <w:position w:val="0"/>
                <w:sz w:val="21"/>
                <w:szCs w:val="21"/>
                <w:highlight w:val="none"/>
              </w:rPr>
              <w:t>（7）工程施工的重点和难点及保证措施（满分</w:t>
            </w:r>
            <w:r>
              <w:rPr>
                <w:rFonts w:hint="eastAsia" w:ascii="宋体" w:hAnsi="宋体" w:cs="宋体"/>
                <w:b w:val="0"/>
                <w:bCs w:val="0"/>
                <w:color w:val="auto"/>
                <w:spacing w:val="0"/>
                <w:w w:val="100"/>
                <w:position w:val="0"/>
                <w:sz w:val="21"/>
                <w:szCs w:val="21"/>
                <w:highlight w:val="none"/>
                <w:lang w:val="en-US" w:eastAsia="zh-CN"/>
              </w:rPr>
              <w:t>10</w:t>
            </w:r>
            <w:r>
              <w:rPr>
                <w:rFonts w:hint="eastAsia" w:ascii="宋体" w:hAnsi="宋体" w:eastAsia="宋体" w:cs="宋体"/>
                <w:b w:val="0"/>
                <w:bCs w:val="0"/>
                <w:color w:val="auto"/>
                <w:spacing w:val="0"/>
                <w:w w:val="100"/>
                <w:position w:val="0"/>
                <w:sz w:val="21"/>
                <w:szCs w:val="21"/>
                <w:highlight w:val="none"/>
              </w:rPr>
              <w:t>分）</w:t>
            </w:r>
          </w:p>
        </w:tc>
        <w:tc>
          <w:tcPr>
            <w:tcW w:w="5935" w:type="dxa"/>
            <w:noWrap w:val="0"/>
            <w:vAlign w:val="top"/>
          </w:tcPr>
          <w:p w14:paraId="4C750C32">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磋商小组在打分前根据供应商提供的工程施工重点和难点及保证措施，在相应档次内独立打分。</w:t>
            </w:r>
          </w:p>
          <w:p w14:paraId="5818BDCE">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一档（0分）：未针对该项目的难点、重点进行分析，未考虑各部分施工如何相互交叉和衔接，施工质量效果和设计效果的无法统一。</w:t>
            </w:r>
          </w:p>
          <w:p w14:paraId="07105298">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二档（</w:t>
            </w:r>
            <w:r>
              <w:rPr>
                <w:rFonts w:hint="eastAsia" w:ascii="宋体" w:hAnsi="宋体" w:cs="宋体"/>
                <w:b w:val="0"/>
                <w:bCs w:val="0"/>
                <w:color w:val="auto"/>
                <w:spacing w:val="0"/>
                <w:w w:val="100"/>
                <w:position w:val="0"/>
                <w:sz w:val="21"/>
                <w:szCs w:val="21"/>
                <w:highlight w:val="none"/>
                <w:vertAlign w:val="baseline"/>
                <w:lang w:val="en-US" w:eastAsia="zh-CN"/>
              </w:rPr>
              <w:t>3</w:t>
            </w:r>
            <w:r>
              <w:rPr>
                <w:rFonts w:hint="eastAsia" w:ascii="宋体" w:hAnsi="宋体" w:eastAsia="宋体" w:cs="宋体"/>
                <w:b w:val="0"/>
                <w:bCs w:val="0"/>
                <w:color w:val="auto"/>
                <w:spacing w:val="0"/>
                <w:w w:val="100"/>
                <w:position w:val="0"/>
                <w:sz w:val="21"/>
                <w:szCs w:val="21"/>
                <w:highlight w:val="none"/>
                <w:vertAlign w:val="baseline"/>
                <w:lang w:eastAsia="zh-CN"/>
              </w:rPr>
              <w:t>分）：针对该项目的难点、重点分析不具体，各部分施工如何相互交叉和衔接不合理，施工质量效果和设计效果有较大差距。</w:t>
            </w:r>
          </w:p>
          <w:p w14:paraId="031100C1">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三档（</w:t>
            </w:r>
            <w:r>
              <w:rPr>
                <w:rFonts w:hint="eastAsia" w:ascii="宋体" w:hAnsi="宋体" w:cs="宋体"/>
                <w:b w:val="0"/>
                <w:bCs w:val="0"/>
                <w:color w:val="auto"/>
                <w:spacing w:val="0"/>
                <w:w w:val="100"/>
                <w:position w:val="0"/>
                <w:sz w:val="21"/>
                <w:szCs w:val="21"/>
                <w:highlight w:val="none"/>
                <w:vertAlign w:val="baseline"/>
                <w:lang w:val="en-US" w:eastAsia="zh-CN"/>
              </w:rPr>
              <w:t>6</w:t>
            </w:r>
            <w:r>
              <w:rPr>
                <w:rFonts w:hint="eastAsia" w:ascii="宋体" w:hAnsi="宋体" w:eastAsia="宋体" w:cs="宋体"/>
                <w:b w:val="0"/>
                <w:bCs w:val="0"/>
                <w:color w:val="auto"/>
                <w:spacing w:val="0"/>
                <w:w w:val="100"/>
                <w:position w:val="0"/>
                <w:sz w:val="21"/>
                <w:szCs w:val="21"/>
                <w:highlight w:val="none"/>
                <w:vertAlign w:val="baseline"/>
                <w:lang w:eastAsia="zh-CN"/>
              </w:rPr>
              <w:t>分）：针对该项目的难点、重点分析简单，未重点考虑各部分施工如何相互交叉和衔接，施工质量效果基本达到设计效果。</w:t>
            </w:r>
          </w:p>
          <w:p w14:paraId="45EBB8FF">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lang w:val="en-US"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四档（</w:t>
            </w:r>
            <w:r>
              <w:rPr>
                <w:rFonts w:hint="eastAsia" w:ascii="宋体" w:hAnsi="宋体" w:cs="宋体"/>
                <w:b w:val="0"/>
                <w:bCs w:val="0"/>
                <w:color w:val="auto"/>
                <w:spacing w:val="0"/>
                <w:w w:val="100"/>
                <w:position w:val="0"/>
                <w:sz w:val="21"/>
                <w:szCs w:val="21"/>
                <w:highlight w:val="none"/>
                <w:vertAlign w:val="baseline"/>
                <w:lang w:val="en-US" w:eastAsia="zh-CN"/>
              </w:rPr>
              <w:t>10</w:t>
            </w:r>
            <w:r>
              <w:rPr>
                <w:rFonts w:hint="eastAsia" w:ascii="宋体" w:hAnsi="宋体" w:eastAsia="宋体" w:cs="宋体"/>
                <w:b w:val="0"/>
                <w:bCs w:val="0"/>
                <w:color w:val="auto"/>
                <w:spacing w:val="0"/>
                <w:w w:val="100"/>
                <w:position w:val="0"/>
                <w:sz w:val="21"/>
                <w:szCs w:val="21"/>
                <w:highlight w:val="none"/>
                <w:vertAlign w:val="baseline"/>
                <w:lang w:eastAsia="zh-CN"/>
              </w:rPr>
              <w:t>分）：针对该项目的难点、重点详细分析，重点考虑各部分施工如何相互交叉和衔接，以保证施工质量效果和设计效果的完美统一。</w:t>
            </w:r>
          </w:p>
        </w:tc>
        <w:tc>
          <w:tcPr>
            <w:tcW w:w="807" w:type="dxa"/>
            <w:noWrap w:val="0"/>
            <w:vAlign w:val="center"/>
          </w:tcPr>
          <w:p w14:paraId="44CCA5DC">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主观分</w:t>
            </w:r>
          </w:p>
        </w:tc>
      </w:tr>
      <w:tr w14:paraId="79E1C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719" w:type="dxa"/>
            <w:vMerge w:val="continue"/>
            <w:noWrap w:val="0"/>
            <w:vAlign w:val="center"/>
          </w:tcPr>
          <w:p w14:paraId="2589BA93">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rPr>
            </w:pPr>
          </w:p>
        </w:tc>
        <w:tc>
          <w:tcPr>
            <w:tcW w:w="958" w:type="dxa"/>
            <w:vMerge w:val="continue"/>
            <w:noWrap w:val="0"/>
            <w:vAlign w:val="center"/>
          </w:tcPr>
          <w:p w14:paraId="551F6DCA">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rPr>
            </w:pPr>
          </w:p>
        </w:tc>
        <w:tc>
          <w:tcPr>
            <w:tcW w:w="1115" w:type="dxa"/>
            <w:noWrap w:val="0"/>
            <w:vAlign w:val="center"/>
          </w:tcPr>
          <w:p w14:paraId="343B32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b w:val="0"/>
                <w:bCs w:val="0"/>
                <w:color w:val="auto"/>
                <w:spacing w:val="0"/>
                <w:w w:val="100"/>
                <w:position w:val="0"/>
                <w:sz w:val="21"/>
                <w:szCs w:val="21"/>
                <w:highlight w:val="none"/>
              </w:rPr>
            </w:pPr>
            <w:r>
              <w:rPr>
                <w:rFonts w:hint="eastAsia" w:ascii="宋体" w:hAnsi="宋体" w:eastAsia="宋体" w:cs="宋体"/>
                <w:b w:val="0"/>
                <w:bCs w:val="0"/>
                <w:color w:val="auto"/>
                <w:spacing w:val="0"/>
                <w:w w:val="100"/>
                <w:position w:val="0"/>
                <w:sz w:val="21"/>
                <w:szCs w:val="21"/>
                <w:highlight w:val="none"/>
              </w:rPr>
              <w:t>（8）施工总平面布置图（满分5分）</w:t>
            </w:r>
          </w:p>
        </w:tc>
        <w:tc>
          <w:tcPr>
            <w:tcW w:w="5935" w:type="dxa"/>
            <w:noWrap w:val="0"/>
            <w:vAlign w:val="top"/>
          </w:tcPr>
          <w:p w14:paraId="01823C53">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磋商小组在打分前根据供应商提供的本工程施工总平面布置图，在相应档次内独立打分。</w:t>
            </w:r>
          </w:p>
          <w:p w14:paraId="5CA676F4">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一档（0分）：总体布置不合理，不符合安全、文明生产要求。</w:t>
            </w:r>
          </w:p>
          <w:p w14:paraId="515BF852">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二档（1分）：总体布置基本合理，基本满足施工需要。</w:t>
            </w:r>
          </w:p>
          <w:p w14:paraId="484BC61E">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三档（3分）：总体布置合理，能满足施工需要，基本符合安全、文明生产要求。</w:t>
            </w:r>
          </w:p>
          <w:p w14:paraId="469D8FCC">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pacing w:val="0"/>
                <w:w w:val="100"/>
                <w:kern w:val="2"/>
                <w:position w:val="0"/>
                <w:sz w:val="21"/>
                <w:szCs w:val="21"/>
                <w:highlight w:val="none"/>
                <w:vertAlign w:val="baseline"/>
                <w:lang w:val="en-US" w:eastAsia="zh-CN" w:bidi="ar-SA"/>
              </w:rPr>
            </w:pPr>
            <w:r>
              <w:rPr>
                <w:rFonts w:hint="eastAsia" w:ascii="宋体" w:hAnsi="宋体" w:eastAsia="宋体" w:cs="宋体"/>
                <w:b w:val="0"/>
                <w:bCs w:val="0"/>
                <w:color w:val="auto"/>
                <w:spacing w:val="0"/>
                <w:w w:val="100"/>
                <w:position w:val="0"/>
                <w:sz w:val="21"/>
                <w:szCs w:val="21"/>
                <w:highlight w:val="none"/>
                <w:vertAlign w:val="baseline"/>
                <w:lang w:eastAsia="zh-CN"/>
              </w:rPr>
              <w:t>四档（5分）：总体布置有针对性、合理，较好满足施工需要，符合安全、文明生产要求。</w:t>
            </w:r>
          </w:p>
        </w:tc>
        <w:tc>
          <w:tcPr>
            <w:tcW w:w="807" w:type="dxa"/>
            <w:noWrap w:val="0"/>
            <w:vAlign w:val="center"/>
          </w:tcPr>
          <w:p w14:paraId="7A41EB84">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主观分</w:t>
            </w:r>
          </w:p>
        </w:tc>
      </w:tr>
      <w:tr w14:paraId="5287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19" w:type="dxa"/>
            <w:vMerge w:val="restart"/>
            <w:noWrap w:val="0"/>
            <w:vAlign w:val="center"/>
          </w:tcPr>
          <w:p w14:paraId="317A0C7D">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default" w:ascii="宋体" w:hAnsi="宋体" w:eastAsia="宋体" w:cs="宋体"/>
                <w:b w:val="0"/>
                <w:bCs w:val="0"/>
                <w:color w:val="auto"/>
                <w:spacing w:val="0"/>
                <w:w w:val="100"/>
                <w:position w:val="0"/>
                <w:sz w:val="21"/>
                <w:szCs w:val="21"/>
                <w:highlight w:val="none"/>
                <w:lang w:val="en-US" w:eastAsia="zh-CN"/>
              </w:rPr>
            </w:pPr>
            <w:r>
              <w:rPr>
                <w:rFonts w:hint="eastAsia" w:ascii="宋体" w:hAnsi="宋体" w:eastAsia="宋体" w:cs="宋体"/>
                <w:b w:val="0"/>
                <w:bCs w:val="0"/>
                <w:color w:val="auto"/>
                <w:spacing w:val="0"/>
                <w:w w:val="100"/>
                <w:position w:val="0"/>
                <w:sz w:val="21"/>
                <w:szCs w:val="21"/>
                <w:highlight w:val="none"/>
                <w:lang w:val="en-US" w:eastAsia="zh-CN"/>
              </w:rPr>
              <w:t>3</w:t>
            </w:r>
          </w:p>
        </w:tc>
        <w:tc>
          <w:tcPr>
            <w:tcW w:w="958" w:type="dxa"/>
            <w:vMerge w:val="restart"/>
            <w:noWrap w:val="0"/>
            <w:vAlign w:val="center"/>
          </w:tcPr>
          <w:p w14:paraId="2B8FC8B0">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lang w:eastAsia="zh-CN"/>
              </w:rPr>
            </w:pPr>
            <w:r>
              <w:rPr>
                <w:rFonts w:hint="eastAsia" w:ascii="宋体" w:hAnsi="宋体" w:eastAsia="宋体" w:cs="宋体"/>
                <w:b w:val="0"/>
                <w:bCs w:val="0"/>
                <w:color w:val="auto"/>
                <w:spacing w:val="0"/>
                <w:w w:val="100"/>
                <w:position w:val="0"/>
                <w:sz w:val="21"/>
                <w:szCs w:val="21"/>
                <w:highlight w:val="none"/>
                <w:lang w:eastAsia="zh-CN"/>
              </w:rPr>
              <w:t>商务</w:t>
            </w:r>
          </w:p>
        </w:tc>
        <w:tc>
          <w:tcPr>
            <w:tcW w:w="1115" w:type="dxa"/>
            <w:noWrap w:val="0"/>
            <w:vAlign w:val="center"/>
          </w:tcPr>
          <w:p w14:paraId="1D3655C0">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leftChars="0" w:right="0" w:rightChars="0"/>
              <w:jc w:val="both"/>
              <w:textAlignment w:val="auto"/>
              <w:rPr>
                <w:rFonts w:hint="eastAsia" w:ascii="宋体" w:hAnsi="宋体" w:eastAsia="宋体" w:cs="宋体"/>
                <w:b w:val="0"/>
                <w:bCs w:val="0"/>
                <w:color w:val="auto"/>
                <w:spacing w:val="0"/>
                <w:w w:val="100"/>
                <w:position w:val="0"/>
                <w:sz w:val="21"/>
                <w:szCs w:val="21"/>
                <w:highlight w:val="none"/>
                <w:lang w:eastAsia="zh-CN"/>
              </w:rPr>
            </w:pPr>
            <w:r>
              <w:rPr>
                <w:rFonts w:hint="eastAsia" w:ascii="宋体" w:hAnsi="宋体" w:eastAsia="宋体" w:cs="宋体"/>
                <w:b w:val="0"/>
                <w:bCs w:val="0"/>
                <w:color w:val="auto"/>
                <w:spacing w:val="0"/>
                <w:w w:val="100"/>
                <w:position w:val="0"/>
                <w:sz w:val="21"/>
                <w:szCs w:val="21"/>
                <w:highlight w:val="none"/>
                <w:lang w:eastAsia="zh-CN"/>
              </w:rPr>
              <w:t>（1）拟投入人员配备情况（满分</w:t>
            </w:r>
            <w:r>
              <w:rPr>
                <w:rFonts w:hint="eastAsia" w:ascii="宋体" w:hAnsi="宋体" w:cs="宋体"/>
                <w:b w:val="0"/>
                <w:bCs w:val="0"/>
                <w:color w:val="auto"/>
                <w:spacing w:val="0"/>
                <w:w w:val="100"/>
                <w:position w:val="0"/>
                <w:sz w:val="21"/>
                <w:szCs w:val="21"/>
                <w:highlight w:val="none"/>
                <w:lang w:val="en-US" w:eastAsia="zh-CN"/>
              </w:rPr>
              <w:t>2</w:t>
            </w:r>
            <w:r>
              <w:rPr>
                <w:rFonts w:hint="eastAsia" w:ascii="宋体" w:hAnsi="宋体" w:eastAsia="宋体" w:cs="宋体"/>
                <w:b w:val="0"/>
                <w:bCs w:val="0"/>
                <w:color w:val="auto"/>
                <w:spacing w:val="0"/>
                <w:w w:val="100"/>
                <w:position w:val="0"/>
                <w:sz w:val="21"/>
                <w:szCs w:val="21"/>
                <w:highlight w:val="none"/>
                <w:lang w:eastAsia="zh-CN"/>
              </w:rPr>
              <w:t>分）</w:t>
            </w:r>
          </w:p>
        </w:tc>
        <w:tc>
          <w:tcPr>
            <w:tcW w:w="5935" w:type="dxa"/>
            <w:noWrap w:val="0"/>
            <w:vAlign w:val="center"/>
          </w:tcPr>
          <w:p w14:paraId="6A9648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eastAsia="zh-CN"/>
              </w:rPr>
              <w:t>拟派驻本项目的技术负责人具有工程类中级（</w:t>
            </w:r>
            <w:r>
              <w:rPr>
                <w:rFonts w:hint="eastAsia" w:ascii="宋体" w:hAnsi="宋体" w:eastAsia="宋体" w:cs="宋体"/>
                <w:b w:val="0"/>
                <w:bCs w:val="0"/>
                <w:color w:val="auto"/>
                <w:spacing w:val="0"/>
                <w:w w:val="100"/>
                <w:position w:val="0"/>
                <w:sz w:val="21"/>
                <w:szCs w:val="21"/>
                <w:highlight w:val="none"/>
                <w:vertAlign w:val="baseline"/>
                <w:lang w:val="en-US" w:eastAsia="zh-CN"/>
              </w:rPr>
              <w:t>含中级</w:t>
            </w:r>
            <w:r>
              <w:rPr>
                <w:rFonts w:hint="eastAsia" w:ascii="宋体" w:hAnsi="宋体" w:eastAsia="宋体" w:cs="宋体"/>
                <w:b w:val="0"/>
                <w:bCs w:val="0"/>
                <w:color w:val="auto"/>
                <w:spacing w:val="0"/>
                <w:w w:val="100"/>
                <w:position w:val="0"/>
                <w:sz w:val="21"/>
                <w:szCs w:val="21"/>
                <w:highlight w:val="none"/>
                <w:vertAlign w:val="baseline"/>
                <w:lang w:eastAsia="zh-CN"/>
              </w:rPr>
              <w:t>）及以上职称证书得</w:t>
            </w:r>
            <w:r>
              <w:rPr>
                <w:rFonts w:hint="eastAsia" w:ascii="宋体" w:hAnsi="宋体" w:cs="宋体"/>
                <w:b w:val="0"/>
                <w:bCs w:val="0"/>
                <w:color w:val="auto"/>
                <w:spacing w:val="0"/>
                <w:w w:val="100"/>
                <w:position w:val="0"/>
                <w:sz w:val="21"/>
                <w:szCs w:val="21"/>
                <w:highlight w:val="none"/>
                <w:vertAlign w:val="baseline"/>
                <w:lang w:val="en-US" w:eastAsia="zh-CN"/>
              </w:rPr>
              <w:t>2</w:t>
            </w:r>
            <w:r>
              <w:rPr>
                <w:rFonts w:hint="eastAsia" w:ascii="宋体" w:hAnsi="宋体" w:eastAsia="宋体" w:cs="宋体"/>
                <w:b w:val="0"/>
                <w:bCs w:val="0"/>
                <w:color w:val="auto"/>
                <w:spacing w:val="0"/>
                <w:w w:val="100"/>
                <w:position w:val="0"/>
                <w:sz w:val="21"/>
                <w:szCs w:val="21"/>
                <w:highlight w:val="none"/>
                <w:vertAlign w:val="baseline"/>
                <w:lang w:val="en-US" w:eastAsia="zh-CN"/>
              </w:rPr>
              <w:t>分</w:t>
            </w:r>
            <w:r>
              <w:rPr>
                <w:rFonts w:hint="eastAsia" w:ascii="宋体" w:hAnsi="宋体" w:eastAsia="宋体" w:cs="宋体"/>
                <w:b w:val="0"/>
                <w:bCs w:val="0"/>
                <w:color w:val="auto"/>
                <w:spacing w:val="0"/>
                <w:w w:val="100"/>
                <w:position w:val="0"/>
                <w:sz w:val="21"/>
                <w:szCs w:val="21"/>
                <w:highlight w:val="none"/>
                <w:vertAlign w:val="baseline"/>
                <w:lang w:eastAsia="zh-CN"/>
              </w:rPr>
              <w:t>，否则不得分。</w:t>
            </w:r>
          </w:p>
        </w:tc>
        <w:tc>
          <w:tcPr>
            <w:tcW w:w="807" w:type="dxa"/>
            <w:noWrap w:val="0"/>
            <w:vAlign w:val="center"/>
          </w:tcPr>
          <w:p w14:paraId="53DFD72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b/>
                <w:bCs/>
                <w:color w:val="auto"/>
                <w:spacing w:val="0"/>
                <w:w w:val="100"/>
                <w:position w:val="0"/>
                <w:sz w:val="21"/>
                <w:szCs w:val="21"/>
                <w:highlight w:val="none"/>
                <w:lang w:val="en-US" w:eastAsia="zh-CN"/>
              </w:rPr>
            </w:pPr>
            <w:r>
              <w:rPr>
                <w:rFonts w:hint="eastAsia" w:ascii="宋体" w:hAnsi="宋体" w:eastAsia="宋体" w:cs="宋体"/>
                <w:b w:val="0"/>
                <w:bCs w:val="0"/>
                <w:color w:val="auto"/>
                <w:spacing w:val="0"/>
                <w:w w:val="100"/>
                <w:position w:val="0"/>
                <w:sz w:val="21"/>
                <w:szCs w:val="21"/>
                <w:highlight w:val="none"/>
                <w:lang w:eastAsia="zh-CN"/>
              </w:rPr>
              <w:t>客观分</w:t>
            </w:r>
          </w:p>
        </w:tc>
      </w:tr>
      <w:tr w14:paraId="060A5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19" w:type="dxa"/>
            <w:vMerge w:val="continue"/>
            <w:noWrap w:val="0"/>
            <w:vAlign w:val="center"/>
          </w:tcPr>
          <w:p w14:paraId="6694E4A0">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lang w:val="en-US" w:eastAsia="zh-CN"/>
              </w:rPr>
            </w:pPr>
          </w:p>
        </w:tc>
        <w:tc>
          <w:tcPr>
            <w:tcW w:w="958" w:type="dxa"/>
            <w:vMerge w:val="continue"/>
            <w:noWrap w:val="0"/>
            <w:vAlign w:val="center"/>
          </w:tcPr>
          <w:p w14:paraId="5AD8EF4F">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宋体" w:hAnsi="宋体" w:eastAsia="宋体" w:cs="宋体"/>
                <w:b w:val="0"/>
                <w:bCs w:val="0"/>
                <w:color w:val="auto"/>
                <w:spacing w:val="0"/>
                <w:w w:val="100"/>
                <w:position w:val="0"/>
                <w:sz w:val="21"/>
                <w:szCs w:val="21"/>
                <w:highlight w:val="none"/>
                <w:lang w:eastAsia="zh-CN"/>
              </w:rPr>
            </w:pPr>
          </w:p>
        </w:tc>
        <w:tc>
          <w:tcPr>
            <w:tcW w:w="1115" w:type="dxa"/>
            <w:noWrap w:val="0"/>
            <w:vAlign w:val="center"/>
          </w:tcPr>
          <w:p w14:paraId="6174EF89">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leftChars="0" w:right="0" w:rightChars="0"/>
              <w:jc w:val="both"/>
              <w:textAlignment w:val="auto"/>
              <w:rPr>
                <w:rFonts w:hint="eastAsia" w:ascii="宋体" w:hAnsi="宋体" w:eastAsia="宋体" w:cs="宋体"/>
                <w:b w:val="0"/>
                <w:bCs w:val="0"/>
                <w:color w:val="auto"/>
                <w:spacing w:val="0"/>
                <w:w w:val="100"/>
                <w:position w:val="0"/>
                <w:sz w:val="21"/>
                <w:szCs w:val="21"/>
                <w:highlight w:val="none"/>
                <w:lang w:eastAsia="zh-CN"/>
              </w:rPr>
            </w:pPr>
            <w:r>
              <w:rPr>
                <w:rFonts w:hint="eastAsia" w:ascii="宋体" w:hAnsi="宋体" w:cs="宋体"/>
                <w:b w:val="0"/>
                <w:bCs w:val="0"/>
                <w:color w:val="auto"/>
                <w:spacing w:val="0"/>
                <w:w w:val="100"/>
                <w:position w:val="0"/>
                <w:sz w:val="21"/>
                <w:szCs w:val="21"/>
                <w:highlight w:val="none"/>
                <w:lang w:val="en-US" w:eastAsia="zh-CN"/>
              </w:rPr>
              <w:t>（2）</w:t>
            </w:r>
            <w:r>
              <w:rPr>
                <w:rFonts w:hint="eastAsia" w:ascii="宋体" w:hAnsi="宋体" w:eastAsia="宋体" w:cs="宋体"/>
                <w:b w:val="0"/>
                <w:bCs w:val="0"/>
                <w:color w:val="auto"/>
                <w:spacing w:val="0"/>
                <w:w w:val="100"/>
                <w:position w:val="0"/>
                <w:sz w:val="21"/>
                <w:szCs w:val="21"/>
                <w:highlight w:val="none"/>
                <w:lang w:val="en-US" w:eastAsia="zh-CN"/>
              </w:rPr>
              <w:t>业绩分（</w:t>
            </w:r>
            <w:r>
              <w:rPr>
                <w:rFonts w:hint="eastAsia" w:ascii="宋体" w:hAnsi="宋体" w:cs="宋体"/>
                <w:b w:val="0"/>
                <w:bCs w:val="0"/>
                <w:color w:val="auto"/>
                <w:spacing w:val="0"/>
                <w:w w:val="100"/>
                <w:position w:val="0"/>
                <w:sz w:val="21"/>
                <w:szCs w:val="21"/>
                <w:highlight w:val="none"/>
                <w:lang w:val="en-US" w:eastAsia="zh-CN"/>
              </w:rPr>
              <w:t>3</w:t>
            </w:r>
            <w:r>
              <w:rPr>
                <w:rFonts w:hint="eastAsia" w:ascii="宋体" w:hAnsi="宋体" w:eastAsia="宋体" w:cs="宋体"/>
                <w:b w:val="0"/>
                <w:bCs w:val="0"/>
                <w:color w:val="auto"/>
                <w:spacing w:val="0"/>
                <w:w w:val="100"/>
                <w:position w:val="0"/>
                <w:sz w:val="21"/>
                <w:szCs w:val="21"/>
                <w:highlight w:val="none"/>
                <w:lang w:val="en-US" w:eastAsia="zh-CN"/>
              </w:rPr>
              <w:t>分）</w:t>
            </w:r>
          </w:p>
        </w:tc>
        <w:tc>
          <w:tcPr>
            <w:tcW w:w="5935" w:type="dxa"/>
            <w:noWrap w:val="0"/>
            <w:vAlign w:val="center"/>
          </w:tcPr>
          <w:p w14:paraId="042BB9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val="en-US" w:eastAsia="zh-CN"/>
              </w:rPr>
              <w:t>202</w:t>
            </w:r>
            <w:r>
              <w:rPr>
                <w:rFonts w:hint="eastAsia" w:ascii="宋体" w:hAnsi="宋体" w:cs="宋体"/>
                <w:b w:val="0"/>
                <w:bCs w:val="0"/>
                <w:color w:val="auto"/>
                <w:spacing w:val="0"/>
                <w:w w:val="100"/>
                <w:position w:val="0"/>
                <w:sz w:val="21"/>
                <w:szCs w:val="21"/>
                <w:highlight w:val="none"/>
                <w:vertAlign w:val="baseline"/>
                <w:lang w:val="en-US" w:eastAsia="zh-CN"/>
              </w:rPr>
              <w:t>3</w:t>
            </w:r>
            <w:r>
              <w:rPr>
                <w:rFonts w:hint="eastAsia" w:ascii="宋体" w:hAnsi="宋体" w:eastAsia="宋体" w:cs="宋体"/>
                <w:b w:val="0"/>
                <w:bCs w:val="0"/>
                <w:color w:val="auto"/>
                <w:spacing w:val="0"/>
                <w:w w:val="100"/>
                <w:position w:val="0"/>
                <w:sz w:val="21"/>
                <w:szCs w:val="21"/>
                <w:highlight w:val="none"/>
                <w:vertAlign w:val="baseline"/>
                <w:lang w:val="en-US" w:eastAsia="zh-CN"/>
              </w:rPr>
              <w:t xml:space="preserve"> 年 </w:t>
            </w:r>
            <w:r>
              <w:rPr>
                <w:rFonts w:hint="eastAsia" w:ascii="宋体" w:hAnsi="宋体" w:cs="宋体"/>
                <w:b w:val="0"/>
                <w:bCs w:val="0"/>
                <w:color w:val="auto"/>
                <w:spacing w:val="0"/>
                <w:w w:val="100"/>
                <w:position w:val="0"/>
                <w:sz w:val="21"/>
                <w:szCs w:val="21"/>
                <w:highlight w:val="none"/>
                <w:vertAlign w:val="baseline"/>
                <w:lang w:val="en-US" w:eastAsia="zh-CN"/>
              </w:rPr>
              <w:t>01</w:t>
            </w:r>
            <w:r>
              <w:rPr>
                <w:rFonts w:hint="eastAsia" w:ascii="宋体" w:hAnsi="宋体" w:eastAsia="宋体" w:cs="宋体"/>
                <w:b w:val="0"/>
                <w:bCs w:val="0"/>
                <w:color w:val="auto"/>
                <w:spacing w:val="0"/>
                <w:w w:val="100"/>
                <w:position w:val="0"/>
                <w:sz w:val="21"/>
                <w:szCs w:val="21"/>
                <w:highlight w:val="none"/>
                <w:vertAlign w:val="baseline"/>
                <w:lang w:val="en-US" w:eastAsia="zh-CN"/>
              </w:rPr>
              <w:t xml:space="preserve">月 </w:t>
            </w:r>
            <w:r>
              <w:rPr>
                <w:rFonts w:hint="eastAsia" w:ascii="宋体" w:hAnsi="宋体" w:cs="宋体"/>
                <w:b w:val="0"/>
                <w:bCs w:val="0"/>
                <w:color w:val="auto"/>
                <w:spacing w:val="0"/>
                <w:w w:val="100"/>
                <w:position w:val="0"/>
                <w:sz w:val="21"/>
                <w:szCs w:val="21"/>
                <w:highlight w:val="none"/>
                <w:vertAlign w:val="baseline"/>
                <w:lang w:val="en-US" w:eastAsia="zh-CN"/>
              </w:rPr>
              <w:t>0</w:t>
            </w:r>
            <w:r>
              <w:rPr>
                <w:rFonts w:hint="eastAsia" w:ascii="宋体" w:hAnsi="宋体" w:eastAsia="宋体" w:cs="宋体"/>
                <w:b w:val="0"/>
                <w:bCs w:val="0"/>
                <w:color w:val="auto"/>
                <w:spacing w:val="0"/>
                <w:w w:val="100"/>
                <w:position w:val="0"/>
                <w:sz w:val="21"/>
                <w:szCs w:val="21"/>
                <w:highlight w:val="none"/>
                <w:vertAlign w:val="baseline"/>
                <w:lang w:val="en-US" w:eastAsia="zh-CN"/>
              </w:rPr>
              <w:t xml:space="preserve">1 日以来至响应文件递交截止日期止，供应商 </w:t>
            </w:r>
          </w:p>
          <w:p w14:paraId="00D5F7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cs="宋体"/>
                <w:b w:val="0"/>
                <w:bCs w:val="0"/>
                <w:color w:val="auto"/>
                <w:spacing w:val="0"/>
                <w:w w:val="100"/>
                <w:position w:val="0"/>
                <w:sz w:val="21"/>
                <w:szCs w:val="21"/>
                <w:highlight w:val="none"/>
                <w:vertAlign w:val="baseline"/>
                <w:lang w:val="en-US" w:eastAsia="zh-CN"/>
              </w:rPr>
              <w:t>提供类似工程</w:t>
            </w:r>
            <w:r>
              <w:rPr>
                <w:rFonts w:hint="eastAsia" w:ascii="宋体" w:hAnsi="宋体" w:eastAsia="宋体" w:cs="宋体"/>
                <w:b w:val="0"/>
                <w:bCs w:val="0"/>
                <w:color w:val="auto"/>
                <w:spacing w:val="0"/>
                <w:w w:val="100"/>
                <w:position w:val="0"/>
                <w:sz w:val="21"/>
                <w:szCs w:val="21"/>
                <w:highlight w:val="none"/>
                <w:vertAlign w:val="baseline"/>
                <w:lang w:val="en-US" w:eastAsia="zh-CN"/>
              </w:rPr>
              <w:t>项目业绩的，每项得</w:t>
            </w:r>
            <w:r>
              <w:rPr>
                <w:rFonts w:hint="eastAsia" w:ascii="宋体" w:hAnsi="宋体" w:cs="宋体"/>
                <w:b w:val="0"/>
                <w:bCs w:val="0"/>
                <w:color w:val="auto"/>
                <w:spacing w:val="0"/>
                <w:w w:val="100"/>
                <w:position w:val="0"/>
                <w:sz w:val="21"/>
                <w:szCs w:val="21"/>
                <w:highlight w:val="none"/>
                <w:vertAlign w:val="baseline"/>
                <w:lang w:val="en-US" w:eastAsia="zh-CN"/>
              </w:rPr>
              <w:t>1</w:t>
            </w:r>
            <w:r>
              <w:rPr>
                <w:rFonts w:hint="eastAsia" w:ascii="宋体" w:hAnsi="宋体" w:eastAsia="宋体" w:cs="宋体"/>
                <w:b w:val="0"/>
                <w:bCs w:val="0"/>
                <w:color w:val="auto"/>
                <w:spacing w:val="0"/>
                <w:w w:val="100"/>
                <w:position w:val="0"/>
                <w:sz w:val="21"/>
                <w:szCs w:val="21"/>
                <w:highlight w:val="none"/>
                <w:vertAlign w:val="baseline"/>
                <w:lang w:val="en-US" w:eastAsia="zh-CN"/>
              </w:rPr>
              <w:t xml:space="preserve"> </w:t>
            </w:r>
            <w:r>
              <w:rPr>
                <w:rFonts w:hint="eastAsia" w:ascii="宋体" w:hAnsi="宋体" w:cs="宋体"/>
                <w:b w:val="0"/>
                <w:bCs w:val="0"/>
                <w:color w:val="auto"/>
                <w:spacing w:val="0"/>
                <w:w w:val="100"/>
                <w:position w:val="0"/>
                <w:sz w:val="21"/>
                <w:szCs w:val="21"/>
                <w:highlight w:val="none"/>
                <w:vertAlign w:val="baseline"/>
                <w:lang w:val="en-US" w:eastAsia="zh-CN"/>
              </w:rPr>
              <w:t>.5</w:t>
            </w:r>
            <w:r>
              <w:rPr>
                <w:rFonts w:hint="eastAsia" w:ascii="宋体" w:hAnsi="宋体" w:eastAsia="宋体" w:cs="宋体"/>
                <w:b w:val="0"/>
                <w:bCs w:val="0"/>
                <w:color w:val="auto"/>
                <w:spacing w:val="0"/>
                <w:w w:val="100"/>
                <w:position w:val="0"/>
                <w:sz w:val="21"/>
                <w:szCs w:val="21"/>
                <w:highlight w:val="none"/>
                <w:vertAlign w:val="baseline"/>
                <w:lang w:val="en-US" w:eastAsia="zh-CN"/>
              </w:rPr>
              <w:t xml:space="preserve">分，满分 </w:t>
            </w:r>
            <w:r>
              <w:rPr>
                <w:rFonts w:hint="eastAsia" w:ascii="宋体" w:hAnsi="宋体" w:cs="宋体"/>
                <w:b w:val="0"/>
                <w:bCs w:val="0"/>
                <w:color w:val="auto"/>
                <w:spacing w:val="0"/>
                <w:w w:val="100"/>
                <w:position w:val="0"/>
                <w:sz w:val="21"/>
                <w:szCs w:val="21"/>
                <w:highlight w:val="none"/>
                <w:vertAlign w:val="baseline"/>
                <w:lang w:val="en-US" w:eastAsia="zh-CN"/>
              </w:rPr>
              <w:t>3</w:t>
            </w:r>
            <w:r>
              <w:rPr>
                <w:rFonts w:hint="eastAsia" w:ascii="宋体" w:hAnsi="宋体" w:eastAsia="宋体" w:cs="宋体"/>
                <w:b w:val="0"/>
                <w:bCs w:val="0"/>
                <w:color w:val="auto"/>
                <w:spacing w:val="0"/>
                <w:w w:val="100"/>
                <w:position w:val="0"/>
                <w:sz w:val="21"/>
                <w:szCs w:val="21"/>
                <w:highlight w:val="none"/>
                <w:vertAlign w:val="baseline"/>
                <w:lang w:val="en-US" w:eastAsia="zh-CN"/>
              </w:rPr>
              <w:t xml:space="preserve"> 分。[以合 </w:t>
            </w:r>
          </w:p>
          <w:p w14:paraId="2989F6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val="en-US" w:eastAsia="zh-CN"/>
              </w:rPr>
              <w:t xml:space="preserve">同或者中标（成交）通知书复印件或扫描件为准，并加盖供 </w:t>
            </w:r>
          </w:p>
          <w:p w14:paraId="570C1C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pacing w:val="0"/>
                <w:w w:val="100"/>
                <w:position w:val="0"/>
                <w:sz w:val="21"/>
                <w:szCs w:val="21"/>
                <w:highlight w:val="none"/>
                <w:vertAlign w:val="baseline"/>
                <w:lang w:eastAsia="zh-CN"/>
              </w:rPr>
            </w:pPr>
            <w:r>
              <w:rPr>
                <w:rFonts w:hint="eastAsia" w:ascii="宋体" w:hAnsi="宋体" w:eastAsia="宋体" w:cs="宋体"/>
                <w:b w:val="0"/>
                <w:bCs w:val="0"/>
                <w:color w:val="auto"/>
                <w:spacing w:val="0"/>
                <w:w w:val="100"/>
                <w:position w:val="0"/>
                <w:sz w:val="21"/>
                <w:szCs w:val="21"/>
                <w:highlight w:val="none"/>
                <w:vertAlign w:val="baseline"/>
                <w:lang w:val="en-US" w:eastAsia="zh-CN"/>
              </w:rPr>
              <w:t>应商 CA 电子签章]。</w:t>
            </w:r>
          </w:p>
        </w:tc>
        <w:tc>
          <w:tcPr>
            <w:tcW w:w="807" w:type="dxa"/>
            <w:noWrap w:val="0"/>
            <w:vAlign w:val="center"/>
          </w:tcPr>
          <w:p w14:paraId="29A40E8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b w:val="0"/>
                <w:bCs w:val="0"/>
                <w:color w:val="auto"/>
                <w:spacing w:val="0"/>
                <w:w w:val="100"/>
                <w:position w:val="0"/>
                <w:sz w:val="21"/>
                <w:szCs w:val="21"/>
                <w:highlight w:val="none"/>
                <w:lang w:eastAsia="zh-CN"/>
              </w:rPr>
            </w:pPr>
            <w:r>
              <w:rPr>
                <w:rFonts w:hint="eastAsia" w:ascii="宋体" w:hAnsi="宋体" w:eastAsia="宋体" w:cs="宋体"/>
                <w:b w:val="0"/>
                <w:bCs w:val="0"/>
                <w:color w:val="auto"/>
                <w:spacing w:val="0"/>
                <w:w w:val="100"/>
                <w:position w:val="0"/>
                <w:sz w:val="21"/>
                <w:szCs w:val="21"/>
                <w:highlight w:val="none"/>
                <w:lang w:eastAsia="zh-CN"/>
              </w:rPr>
              <w:t>客观分</w:t>
            </w:r>
          </w:p>
        </w:tc>
      </w:tr>
      <w:tr w14:paraId="25C2C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677" w:type="dxa"/>
            <w:gridSpan w:val="2"/>
            <w:noWrap w:val="0"/>
            <w:vAlign w:val="center"/>
          </w:tcPr>
          <w:p w14:paraId="304DD43B">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both"/>
              <w:textAlignment w:val="auto"/>
              <w:rPr>
                <w:rFonts w:hint="eastAsia" w:ascii="宋体" w:hAnsi="宋体" w:eastAsia="宋体" w:cs="宋体"/>
                <w:b w:val="0"/>
                <w:bCs w:val="0"/>
                <w:color w:val="auto"/>
                <w:spacing w:val="0"/>
                <w:w w:val="100"/>
                <w:position w:val="0"/>
                <w:sz w:val="21"/>
                <w:szCs w:val="21"/>
                <w:highlight w:val="none"/>
                <w:lang w:eastAsia="zh-CN"/>
              </w:rPr>
            </w:pPr>
            <w:r>
              <w:rPr>
                <w:rFonts w:hint="eastAsia" w:ascii="宋体" w:hAnsi="宋体" w:eastAsia="宋体" w:cs="宋体"/>
                <w:b w:val="0"/>
                <w:bCs w:val="0"/>
                <w:color w:val="auto"/>
                <w:spacing w:val="0"/>
                <w:w w:val="100"/>
                <w:position w:val="0"/>
                <w:sz w:val="21"/>
                <w:szCs w:val="21"/>
                <w:highlight w:val="none"/>
                <w:lang w:eastAsia="zh-CN"/>
              </w:rPr>
              <w:t>供应商</w:t>
            </w:r>
            <w:r>
              <w:rPr>
                <w:rFonts w:hint="eastAsia" w:ascii="宋体" w:hAnsi="宋体" w:eastAsia="宋体" w:cs="宋体"/>
                <w:b w:val="0"/>
                <w:bCs w:val="0"/>
                <w:color w:val="auto"/>
                <w:spacing w:val="0"/>
                <w:w w:val="100"/>
                <w:position w:val="0"/>
                <w:sz w:val="21"/>
                <w:szCs w:val="21"/>
                <w:highlight w:val="none"/>
              </w:rPr>
              <w:t>汇总得分</w:t>
            </w:r>
          </w:p>
        </w:tc>
        <w:tc>
          <w:tcPr>
            <w:tcW w:w="7050" w:type="dxa"/>
            <w:gridSpan w:val="2"/>
            <w:noWrap w:val="0"/>
            <w:vAlign w:val="center"/>
          </w:tcPr>
          <w:p w14:paraId="1CE369C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宋体" w:hAnsi="宋体" w:eastAsia="宋体" w:cs="宋体"/>
                <w:b w:val="0"/>
                <w:bCs w:val="0"/>
                <w:color w:val="auto"/>
                <w:spacing w:val="0"/>
                <w:w w:val="100"/>
                <w:position w:val="0"/>
                <w:sz w:val="21"/>
                <w:szCs w:val="21"/>
                <w:highlight w:val="none"/>
                <w:lang w:val="en-US" w:eastAsia="zh-CN"/>
              </w:rPr>
            </w:pPr>
            <w:r>
              <w:rPr>
                <w:rFonts w:hint="eastAsia" w:ascii="宋体" w:hAnsi="宋体" w:eastAsia="宋体" w:cs="宋体"/>
                <w:b w:val="0"/>
                <w:bCs w:val="0"/>
                <w:color w:val="auto"/>
                <w:spacing w:val="0"/>
                <w:w w:val="100"/>
                <w:position w:val="0"/>
                <w:sz w:val="21"/>
                <w:szCs w:val="21"/>
                <w:highlight w:val="none"/>
                <w:lang w:val="en-US" w:eastAsia="zh-CN"/>
              </w:rPr>
              <w:t>=报价分得分+技术分得分+商务分得分</w:t>
            </w:r>
          </w:p>
        </w:tc>
        <w:tc>
          <w:tcPr>
            <w:tcW w:w="807" w:type="dxa"/>
            <w:noWrap w:val="0"/>
            <w:vAlign w:val="center"/>
          </w:tcPr>
          <w:p w14:paraId="7C10C5E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宋体" w:hAnsi="宋体" w:eastAsia="宋体" w:cs="宋体"/>
                <w:b w:val="0"/>
                <w:bCs w:val="0"/>
                <w:color w:val="auto"/>
                <w:spacing w:val="0"/>
                <w:w w:val="100"/>
                <w:position w:val="0"/>
                <w:sz w:val="21"/>
                <w:szCs w:val="21"/>
                <w:highlight w:val="none"/>
                <w:lang w:val="en-US" w:eastAsia="zh-CN"/>
              </w:rPr>
            </w:pPr>
          </w:p>
        </w:tc>
      </w:tr>
    </w:tbl>
    <w:p w14:paraId="17E4B7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bCs/>
          <w:color w:val="auto"/>
          <w:spacing w:val="0"/>
          <w:position w:val="0"/>
          <w:highlight w:val="none"/>
          <w:lang w:eastAsia="zh-CN"/>
        </w:rPr>
      </w:pPr>
      <w:r>
        <w:rPr>
          <w:rFonts w:hint="eastAsia" w:ascii="Times New Roman" w:hAnsi="Times New Roman" w:eastAsia="宋体" w:cs="Times New Roman"/>
          <w:b/>
          <w:bCs/>
          <w:color w:val="auto"/>
          <w:spacing w:val="0"/>
          <w:position w:val="0"/>
          <w:highlight w:val="none"/>
          <w:lang w:eastAsia="zh-CN"/>
        </w:rPr>
        <w:t>三、成交候选供应商推荐原则</w:t>
      </w:r>
    </w:p>
    <w:p w14:paraId="02830E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lang w:eastAsia="zh-CN"/>
        </w:rPr>
        <w:t>（</w:t>
      </w:r>
      <w:r>
        <w:rPr>
          <w:rFonts w:hint="eastAsia"/>
          <w:color w:val="auto"/>
          <w:spacing w:val="0"/>
          <w:position w:val="0"/>
          <w:highlight w:val="none"/>
        </w:rPr>
        <w:t>一</w:t>
      </w:r>
      <w:r>
        <w:rPr>
          <w:rFonts w:hint="eastAsia"/>
          <w:color w:val="auto"/>
          <w:spacing w:val="0"/>
          <w:position w:val="0"/>
          <w:highlight w:val="none"/>
          <w:lang w:eastAsia="zh-CN"/>
        </w:rPr>
        <w:t>）</w:t>
      </w:r>
      <w:r>
        <w:rPr>
          <w:rFonts w:hint="eastAsia"/>
          <w:color w:val="auto"/>
          <w:spacing w:val="0"/>
          <w:position w:val="0"/>
          <w:highlight w:val="none"/>
        </w:rPr>
        <w:t>磋商小组将根据总得分由高到低对供应商排列次序</w:t>
      </w:r>
      <w:r>
        <w:rPr>
          <w:rFonts w:hint="eastAsia"/>
          <w:color w:val="auto"/>
          <w:spacing w:val="0"/>
          <w:position w:val="0"/>
          <w:highlight w:val="none"/>
          <w:lang w:eastAsia="zh-CN"/>
        </w:rPr>
        <w:t>（</w:t>
      </w:r>
      <w:r>
        <w:rPr>
          <w:rFonts w:hint="eastAsia"/>
          <w:color w:val="auto"/>
          <w:spacing w:val="0"/>
          <w:position w:val="0"/>
          <w:highlight w:val="none"/>
        </w:rPr>
        <w:t>得分相同时，以</w:t>
      </w:r>
      <w:r>
        <w:rPr>
          <w:rFonts w:hint="eastAsia"/>
          <w:color w:val="auto"/>
          <w:spacing w:val="0"/>
          <w:position w:val="0"/>
          <w:highlight w:val="none"/>
          <w:lang w:eastAsia="zh-CN"/>
        </w:rPr>
        <w:t>最后报价</w:t>
      </w:r>
      <w:r>
        <w:rPr>
          <w:rFonts w:hint="eastAsia"/>
          <w:color w:val="auto"/>
          <w:spacing w:val="0"/>
          <w:position w:val="0"/>
          <w:highlight w:val="none"/>
        </w:rPr>
        <w:t>由低到高顺序排列；得分相同且</w:t>
      </w:r>
      <w:r>
        <w:rPr>
          <w:rFonts w:hint="eastAsia"/>
          <w:color w:val="auto"/>
          <w:spacing w:val="0"/>
          <w:position w:val="0"/>
          <w:highlight w:val="none"/>
          <w:lang w:eastAsia="zh-CN"/>
        </w:rPr>
        <w:t>最后报价</w:t>
      </w:r>
      <w:r>
        <w:rPr>
          <w:rFonts w:hint="eastAsia"/>
          <w:color w:val="auto"/>
          <w:spacing w:val="0"/>
          <w:position w:val="0"/>
          <w:highlight w:val="none"/>
        </w:rPr>
        <w:t>相同的，按技术指标优劣顺序排列</w:t>
      </w:r>
      <w:r>
        <w:rPr>
          <w:rFonts w:hint="eastAsia"/>
          <w:color w:val="auto"/>
          <w:spacing w:val="0"/>
          <w:position w:val="0"/>
          <w:highlight w:val="none"/>
          <w:lang w:eastAsia="zh-CN"/>
        </w:rPr>
        <w:t>）</w:t>
      </w:r>
      <w:r>
        <w:rPr>
          <w:rFonts w:hint="eastAsia"/>
          <w:color w:val="auto"/>
          <w:spacing w:val="0"/>
          <w:position w:val="0"/>
          <w:highlight w:val="none"/>
        </w:rPr>
        <w:t>，并推荐前三名为成交候选人。采购人应当确定磋商小组推荐排名第一的成交候选人为成交供应商。</w:t>
      </w:r>
    </w:p>
    <w:p w14:paraId="631D14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pacing w:val="0"/>
          <w:position w:val="0"/>
          <w:highlight w:val="none"/>
        </w:rPr>
      </w:pPr>
      <w:r>
        <w:rPr>
          <w:rFonts w:hint="eastAsia"/>
          <w:color w:val="auto"/>
          <w:spacing w:val="0"/>
          <w:position w:val="0"/>
          <w:highlight w:val="none"/>
          <w:lang w:eastAsia="zh-CN"/>
        </w:rPr>
        <w:t>（</w:t>
      </w:r>
      <w:r>
        <w:rPr>
          <w:rFonts w:hint="eastAsia"/>
          <w:color w:val="auto"/>
          <w:spacing w:val="0"/>
          <w:position w:val="0"/>
          <w:highlight w:val="none"/>
        </w:rPr>
        <w:t>二</w:t>
      </w:r>
      <w:r>
        <w:rPr>
          <w:rFonts w:hint="eastAsia"/>
          <w:color w:val="auto"/>
          <w:spacing w:val="0"/>
          <w:position w:val="0"/>
          <w:highlight w:val="none"/>
          <w:lang w:eastAsia="zh-CN"/>
        </w:rPr>
        <w:t>）</w:t>
      </w:r>
      <w:r>
        <w:rPr>
          <w:rFonts w:hint="eastAsia"/>
          <w:color w:val="auto"/>
          <w:spacing w:val="0"/>
          <w:position w:val="0"/>
          <w:highlight w:val="none"/>
        </w:rPr>
        <w:t>成交供应商放弃成交、因不可抗力提出不能履行合同，或者采购文件规定应当提交履约保证金而在规定的期限内未能提交的，采购人可以确定排名第二的成交候选人为成交供应商，也可以重新开展采购活动，以此类推。拒绝签订政府采购合同的成交供应商不得参加对该项目重新开展的采购活动。</w:t>
      </w:r>
    </w:p>
    <w:p w14:paraId="5C84E6A4">
      <w:pPr>
        <w:pStyle w:val="39"/>
        <w:rPr>
          <w:rFonts w:hint="eastAsia" w:ascii="黑体" w:hAnsi="宋体" w:eastAsia="黑体" w:cs="Times New Roman"/>
          <w:b/>
          <w:bCs/>
          <w:color w:val="auto"/>
          <w:spacing w:val="0"/>
          <w:kern w:val="0"/>
          <w:position w:val="0"/>
          <w:sz w:val="36"/>
          <w:szCs w:val="36"/>
          <w:highlight w:val="none"/>
        </w:rPr>
      </w:pPr>
    </w:p>
    <w:p w14:paraId="3DB0A3F3">
      <w:pPr>
        <w:rPr>
          <w:rFonts w:hint="eastAsia" w:ascii="黑体" w:hAnsi="宋体" w:eastAsia="黑体" w:cs="Times New Roman"/>
          <w:b/>
          <w:bCs/>
          <w:color w:val="auto"/>
          <w:spacing w:val="0"/>
          <w:kern w:val="0"/>
          <w:position w:val="0"/>
          <w:sz w:val="36"/>
          <w:szCs w:val="36"/>
          <w:highlight w:val="none"/>
        </w:rPr>
      </w:pPr>
      <w:bookmarkStart w:id="67" w:name="_Toc15543"/>
    </w:p>
    <w:p w14:paraId="3F7B7997">
      <w:pPr>
        <w:pStyle w:val="13"/>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ascii="黑体" w:hAnsi="宋体" w:eastAsia="黑体" w:cs="Times New Roman"/>
          <w:b/>
          <w:bCs/>
          <w:color w:val="auto"/>
          <w:spacing w:val="0"/>
          <w:kern w:val="0"/>
          <w:position w:val="0"/>
          <w:sz w:val="36"/>
          <w:szCs w:val="36"/>
          <w:highlight w:val="none"/>
        </w:rPr>
      </w:pPr>
      <w:r>
        <w:rPr>
          <w:rFonts w:hint="eastAsia" w:ascii="黑体" w:hAnsi="宋体" w:eastAsia="黑体" w:cs="Times New Roman"/>
          <w:b/>
          <w:bCs/>
          <w:color w:val="auto"/>
          <w:spacing w:val="0"/>
          <w:kern w:val="0"/>
          <w:position w:val="0"/>
          <w:sz w:val="36"/>
          <w:szCs w:val="36"/>
          <w:highlight w:val="none"/>
        </w:rPr>
        <w:t>第</w:t>
      </w:r>
      <w:r>
        <w:rPr>
          <w:rFonts w:hint="eastAsia" w:ascii="黑体" w:hAnsi="宋体" w:eastAsia="黑体" w:cs="Times New Roman"/>
          <w:b/>
          <w:bCs/>
          <w:color w:val="auto"/>
          <w:spacing w:val="0"/>
          <w:kern w:val="0"/>
          <w:position w:val="0"/>
          <w:sz w:val="36"/>
          <w:szCs w:val="36"/>
          <w:highlight w:val="none"/>
          <w:lang w:val="en-US" w:eastAsia="zh-CN"/>
        </w:rPr>
        <w:t>五</w:t>
      </w:r>
      <w:r>
        <w:rPr>
          <w:rFonts w:hint="eastAsia" w:ascii="黑体" w:hAnsi="宋体" w:eastAsia="黑体" w:cs="Times New Roman"/>
          <w:b/>
          <w:bCs/>
          <w:color w:val="auto"/>
          <w:spacing w:val="0"/>
          <w:kern w:val="0"/>
          <w:position w:val="0"/>
          <w:sz w:val="36"/>
          <w:szCs w:val="36"/>
          <w:highlight w:val="none"/>
        </w:rPr>
        <w:t>章  响应文件（格式）</w:t>
      </w:r>
      <w:bookmarkEnd w:id="67"/>
    </w:p>
    <w:p w14:paraId="717833B8">
      <w:pPr>
        <w:autoSpaceDE w:val="0"/>
        <w:autoSpaceDN w:val="0"/>
        <w:adjustRightInd w:val="0"/>
        <w:spacing w:line="360" w:lineRule="auto"/>
        <w:rPr>
          <w:rFonts w:ascii="宋体" w:cs="宋体"/>
          <w:color w:val="auto"/>
          <w:spacing w:val="0"/>
          <w:position w:val="0"/>
          <w:szCs w:val="21"/>
          <w:highlight w:val="none"/>
          <w:lang w:val="zh-CN"/>
        </w:rPr>
      </w:pPr>
    </w:p>
    <w:p w14:paraId="572EF062">
      <w:pPr>
        <w:rPr>
          <w:rFonts w:hint="eastAsia"/>
          <w:b/>
          <w:color w:val="auto"/>
          <w:spacing w:val="0"/>
          <w:position w:val="0"/>
          <w:sz w:val="32"/>
          <w:szCs w:val="32"/>
          <w:highlight w:val="none"/>
        </w:rPr>
      </w:pPr>
      <w:bookmarkStart w:id="68" w:name="_Toc35611516"/>
      <w:bookmarkStart w:id="69" w:name="_Toc31723070"/>
      <w:bookmarkStart w:id="70" w:name="_Toc35611438"/>
      <w:bookmarkStart w:id="71" w:name="_Toc44229899"/>
      <w:bookmarkStart w:id="72" w:name="_Toc71366186"/>
      <w:bookmarkStart w:id="73" w:name="_Toc31728084"/>
      <w:r>
        <w:rPr>
          <w:rFonts w:hint="eastAsia"/>
          <w:b/>
          <w:color w:val="auto"/>
          <w:spacing w:val="0"/>
          <w:position w:val="0"/>
          <w:sz w:val="32"/>
          <w:szCs w:val="32"/>
          <w:highlight w:val="none"/>
        </w:rPr>
        <w:t>一、资格证明文件格式</w:t>
      </w:r>
      <w:bookmarkEnd w:id="68"/>
      <w:bookmarkEnd w:id="69"/>
      <w:bookmarkEnd w:id="70"/>
      <w:bookmarkEnd w:id="71"/>
      <w:bookmarkEnd w:id="72"/>
      <w:bookmarkEnd w:id="73"/>
    </w:p>
    <w:p w14:paraId="606748B9">
      <w:pPr>
        <w:snapToGrid w:val="0"/>
        <w:spacing w:before="156" w:beforeLines="50" w:after="50" w:line="360" w:lineRule="auto"/>
        <w:jc w:val="left"/>
        <w:rPr>
          <w:rFonts w:hint="eastAsia" w:ascii="宋体" w:hAnsi="宋体"/>
          <w:b/>
          <w:color w:val="auto"/>
          <w:spacing w:val="0"/>
          <w:position w:val="0"/>
          <w:sz w:val="24"/>
          <w:highlight w:val="none"/>
        </w:rPr>
      </w:pPr>
      <w:r>
        <w:rPr>
          <w:rFonts w:hint="eastAsia" w:ascii="宋体" w:hAnsi="宋体"/>
          <w:b/>
          <w:color w:val="auto"/>
          <w:spacing w:val="0"/>
          <w:position w:val="0"/>
          <w:sz w:val="32"/>
          <w:szCs w:val="32"/>
          <w:highlight w:val="none"/>
        </w:rPr>
        <w:t>1.资格证明文件封面格式：</w:t>
      </w:r>
      <w:r>
        <w:rPr>
          <w:rFonts w:hint="eastAsia" w:ascii="宋体" w:hAnsi="宋体"/>
          <w:b/>
          <w:color w:val="auto"/>
          <w:spacing w:val="0"/>
          <w:position w:val="0"/>
          <w:sz w:val="24"/>
          <w:highlight w:val="none"/>
        </w:rPr>
        <w:t xml:space="preserve"> </w:t>
      </w:r>
    </w:p>
    <w:p w14:paraId="7D1F30F9">
      <w:pPr>
        <w:snapToGrid w:val="0"/>
        <w:spacing w:before="156" w:beforeLines="50" w:after="50"/>
        <w:jc w:val="center"/>
        <w:rPr>
          <w:rFonts w:ascii="宋体" w:hAnsi="宋体"/>
          <w:color w:val="auto"/>
          <w:spacing w:val="0"/>
          <w:position w:val="0"/>
          <w:sz w:val="44"/>
          <w:szCs w:val="44"/>
          <w:highlight w:val="none"/>
        </w:rPr>
      </w:pPr>
    </w:p>
    <w:p w14:paraId="5C8755A5">
      <w:pPr>
        <w:snapToGrid w:val="0"/>
        <w:spacing w:before="156" w:beforeLines="50" w:after="50"/>
        <w:jc w:val="center"/>
        <w:rPr>
          <w:rFonts w:ascii="宋体" w:hAnsi="宋体"/>
          <w:color w:val="auto"/>
          <w:spacing w:val="0"/>
          <w:position w:val="0"/>
          <w:sz w:val="44"/>
          <w:szCs w:val="44"/>
          <w:highlight w:val="none"/>
        </w:rPr>
      </w:pPr>
      <w:r>
        <w:rPr>
          <w:rFonts w:hint="eastAsia" w:ascii="宋体" w:hAnsi="宋体"/>
          <w:color w:val="auto"/>
          <w:spacing w:val="0"/>
          <w:position w:val="0"/>
          <w:sz w:val="44"/>
          <w:szCs w:val="44"/>
          <w:highlight w:val="none"/>
        </w:rPr>
        <w:t xml:space="preserve">电 子 </w:t>
      </w:r>
      <w:r>
        <w:rPr>
          <w:rFonts w:hint="eastAsia" w:ascii="宋体" w:hAnsi="宋体"/>
          <w:color w:val="auto"/>
          <w:spacing w:val="0"/>
          <w:position w:val="0"/>
          <w:sz w:val="44"/>
          <w:szCs w:val="44"/>
          <w:highlight w:val="none"/>
          <w:lang w:eastAsia="zh-CN"/>
        </w:rPr>
        <w:t>响</w:t>
      </w:r>
      <w:r>
        <w:rPr>
          <w:rFonts w:hint="eastAsia" w:ascii="宋体" w:hAnsi="宋体"/>
          <w:color w:val="auto"/>
          <w:spacing w:val="0"/>
          <w:position w:val="0"/>
          <w:sz w:val="44"/>
          <w:szCs w:val="44"/>
          <w:highlight w:val="none"/>
          <w:lang w:val="en-US" w:eastAsia="zh-CN"/>
        </w:rPr>
        <w:t xml:space="preserve"> </w:t>
      </w:r>
      <w:r>
        <w:rPr>
          <w:rFonts w:hint="eastAsia" w:ascii="宋体" w:hAnsi="宋体"/>
          <w:color w:val="auto"/>
          <w:spacing w:val="0"/>
          <w:position w:val="0"/>
          <w:sz w:val="44"/>
          <w:szCs w:val="44"/>
          <w:highlight w:val="none"/>
          <w:lang w:eastAsia="zh-CN"/>
        </w:rPr>
        <w:t>应</w:t>
      </w:r>
      <w:r>
        <w:rPr>
          <w:rFonts w:hint="eastAsia" w:ascii="宋体" w:hAnsi="宋体"/>
          <w:color w:val="auto"/>
          <w:spacing w:val="0"/>
          <w:position w:val="0"/>
          <w:sz w:val="44"/>
          <w:szCs w:val="44"/>
          <w:highlight w:val="none"/>
        </w:rPr>
        <w:t xml:space="preserve"> 文 件</w:t>
      </w:r>
    </w:p>
    <w:p w14:paraId="2C3E78BC">
      <w:pPr>
        <w:snapToGrid w:val="0"/>
        <w:spacing w:before="156" w:beforeLines="50" w:after="50"/>
        <w:rPr>
          <w:rFonts w:hint="eastAsia" w:ascii="宋体" w:hAnsi="宋体"/>
          <w:color w:val="auto"/>
          <w:spacing w:val="0"/>
          <w:position w:val="0"/>
          <w:sz w:val="24"/>
          <w:szCs w:val="20"/>
          <w:highlight w:val="none"/>
        </w:rPr>
      </w:pPr>
    </w:p>
    <w:p w14:paraId="2EDF55E0">
      <w:pPr>
        <w:snapToGrid w:val="0"/>
        <w:spacing w:before="156" w:beforeLines="50" w:after="50"/>
        <w:jc w:val="center"/>
        <w:rPr>
          <w:rFonts w:hint="eastAsia" w:ascii="方正小标宋简体" w:hAnsi="方正小标宋简体" w:eastAsia="方正小标宋简体" w:cs="方正小标宋简体"/>
          <w:bCs/>
          <w:color w:val="auto"/>
          <w:spacing w:val="0"/>
          <w:position w:val="0"/>
          <w:sz w:val="44"/>
          <w:szCs w:val="44"/>
          <w:highlight w:val="none"/>
        </w:rPr>
      </w:pPr>
      <w:r>
        <w:rPr>
          <w:rFonts w:hint="eastAsia" w:ascii="方正小标宋简体" w:hAnsi="方正小标宋简体" w:eastAsia="方正小标宋简体" w:cs="方正小标宋简体"/>
          <w:bCs/>
          <w:color w:val="auto"/>
          <w:spacing w:val="0"/>
          <w:position w:val="0"/>
          <w:sz w:val="44"/>
          <w:szCs w:val="44"/>
          <w:highlight w:val="none"/>
        </w:rPr>
        <w:t>资  格  证  明  文  件</w:t>
      </w:r>
    </w:p>
    <w:p w14:paraId="4A030333">
      <w:pPr>
        <w:snapToGrid w:val="0"/>
        <w:spacing w:before="156" w:beforeLines="50" w:after="50"/>
        <w:rPr>
          <w:rFonts w:hint="eastAsia" w:ascii="宋体" w:hAnsi="宋体"/>
          <w:bCs/>
          <w:color w:val="auto"/>
          <w:spacing w:val="0"/>
          <w:position w:val="0"/>
          <w:sz w:val="24"/>
          <w:szCs w:val="20"/>
          <w:highlight w:val="none"/>
        </w:rPr>
      </w:pPr>
    </w:p>
    <w:p w14:paraId="38964F37">
      <w:pPr>
        <w:snapToGrid w:val="0"/>
        <w:spacing w:before="156" w:beforeLines="50" w:after="50"/>
        <w:rPr>
          <w:rFonts w:hint="eastAsia" w:ascii="宋体" w:hAnsi="宋体"/>
          <w:bCs/>
          <w:color w:val="auto"/>
          <w:spacing w:val="0"/>
          <w:position w:val="0"/>
          <w:sz w:val="24"/>
          <w:szCs w:val="20"/>
          <w:highlight w:val="none"/>
        </w:rPr>
      </w:pPr>
    </w:p>
    <w:p w14:paraId="2738451B">
      <w:pPr>
        <w:snapToGrid w:val="0"/>
        <w:spacing w:before="156" w:beforeLines="50" w:after="50"/>
        <w:rPr>
          <w:rFonts w:hint="eastAsia" w:ascii="宋体" w:hAnsi="宋体"/>
          <w:bCs/>
          <w:color w:val="auto"/>
          <w:spacing w:val="0"/>
          <w:position w:val="0"/>
          <w:sz w:val="24"/>
          <w:szCs w:val="20"/>
          <w:highlight w:val="none"/>
        </w:rPr>
      </w:pPr>
    </w:p>
    <w:p w14:paraId="546E829F">
      <w:pPr>
        <w:snapToGrid w:val="0"/>
        <w:spacing w:before="156" w:beforeLines="50" w:after="50"/>
        <w:rPr>
          <w:rFonts w:hint="eastAsia" w:ascii="宋体" w:hAnsi="宋体"/>
          <w:bCs/>
          <w:color w:val="auto"/>
          <w:spacing w:val="0"/>
          <w:position w:val="0"/>
          <w:sz w:val="24"/>
          <w:szCs w:val="20"/>
          <w:highlight w:val="none"/>
        </w:rPr>
      </w:pPr>
    </w:p>
    <w:p w14:paraId="1B94E6A7">
      <w:pPr>
        <w:snapToGrid w:val="0"/>
        <w:spacing w:before="156" w:beforeLines="50" w:after="50"/>
        <w:rPr>
          <w:rFonts w:hint="eastAsia" w:ascii="宋体" w:hAnsi="宋体"/>
          <w:bCs/>
          <w:color w:val="auto"/>
          <w:spacing w:val="0"/>
          <w:position w:val="0"/>
          <w:sz w:val="24"/>
          <w:szCs w:val="20"/>
          <w:highlight w:val="none"/>
        </w:rPr>
      </w:pPr>
    </w:p>
    <w:p w14:paraId="44F0DF93">
      <w:pPr>
        <w:snapToGrid w:val="0"/>
        <w:spacing w:before="156" w:beforeLines="50" w:after="50"/>
        <w:ind w:firstLine="640" w:firstLineChars="200"/>
        <w:rPr>
          <w:rFonts w:hint="eastAsia" w:ascii="宋体" w:hAnsi="宋体" w:cs="仿宋_GB2312"/>
          <w:bCs/>
          <w:color w:val="auto"/>
          <w:spacing w:val="0"/>
          <w:position w:val="0"/>
          <w:sz w:val="32"/>
          <w:szCs w:val="32"/>
          <w:highlight w:val="none"/>
        </w:rPr>
      </w:pPr>
      <w:r>
        <w:rPr>
          <w:rFonts w:hint="eastAsia" w:ascii="宋体" w:hAnsi="宋体" w:cs="仿宋_GB2312"/>
          <w:bCs/>
          <w:color w:val="auto"/>
          <w:spacing w:val="0"/>
          <w:position w:val="0"/>
          <w:sz w:val="32"/>
          <w:szCs w:val="32"/>
          <w:highlight w:val="none"/>
        </w:rPr>
        <w:t>项目名称：</w:t>
      </w:r>
    </w:p>
    <w:p w14:paraId="42A63245">
      <w:pPr>
        <w:snapToGrid w:val="0"/>
        <w:spacing w:before="156" w:beforeLines="50" w:after="50"/>
        <w:ind w:firstLine="720" w:firstLineChars="225"/>
        <w:rPr>
          <w:rFonts w:hint="eastAsia" w:ascii="宋体" w:hAnsi="宋体" w:cs="仿宋_GB2312"/>
          <w:bCs/>
          <w:color w:val="auto"/>
          <w:spacing w:val="0"/>
          <w:position w:val="0"/>
          <w:sz w:val="32"/>
          <w:szCs w:val="32"/>
          <w:highlight w:val="none"/>
        </w:rPr>
      </w:pPr>
    </w:p>
    <w:p w14:paraId="2D17D171">
      <w:pPr>
        <w:snapToGrid w:val="0"/>
        <w:spacing w:before="156" w:beforeLines="50" w:after="50"/>
        <w:ind w:firstLine="640" w:firstLineChars="200"/>
        <w:rPr>
          <w:rFonts w:hint="eastAsia" w:ascii="宋体" w:hAnsi="宋体" w:cs="仿宋_GB2312"/>
          <w:bCs/>
          <w:color w:val="auto"/>
          <w:spacing w:val="0"/>
          <w:position w:val="0"/>
          <w:sz w:val="32"/>
          <w:szCs w:val="32"/>
          <w:highlight w:val="none"/>
        </w:rPr>
      </w:pPr>
      <w:r>
        <w:rPr>
          <w:rFonts w:hint="eastAsia" w:ascii="宋体" w:hAnsi="宋体" w:cs="仿宋_GB2312"/>
          <w:bCs/>
          <w:color w:val="auto"/>
          <w:spacing w:val="0"/>
          <w:position w:val="0"/>
          <w:sz w:val="32"/>
          <w:szCs w:val="32"/>
          <w:highlight w:val="none"/>
        </w:rPr>
        <w:t>项目编号：</w:t>
      </w:r>
    </w:p>
    <w:p w14:paraId="363A9E60">
      <w:pPr>
        <w:snapToGrid w:val="0"/>
        <w:spacing w:before="156" w:beforeLines="50" w:after="50"/>
        <w:ind w:firstLine="720" w:firstLineChars="225"/>
        <w:rPr>
          <w:rFonts w:hint="eastAsia" w:ascii="宋体" w:hAnsi="宋体" w:cs="仿宋_GB2312"/>
          <w:bCs/>
          <w:color w:val="auto"/>
          <w:spacing w:val="0"/>
          <w:position w:val="0"/>
          <w:sz w:val="32"/>
          <w:szCs w:val="32"/>
          <w:highlight w:val="none"/>
        </w:rPr>
      </w:pPr>
    </w:p>
    <w:p w14:paraId="254B6252">
      <w:pPr>
        <w:pStyle w:val="8"/>
        <w:snapToGrid w:val="0"/>
        <w:spacing w:before="50" w:after="50"/>
        <w:rPr>
          <w:rFonts w:hint="eastAsia" w:ascii="宋体" w:hAnsi="宋体" w:cs="仿宋_GB2312"/>
          <w:bCs/>
          <w:color w:val="auto"/>
          <w:spacing w:val="0"/>
          <w:position w:val="0"/>
          <w:sz w:val="32"/>
          <w:szCs w:val="32"/>
          <w:highlight w:val="none"/>
        </w:rPr>
      </w:pPr>
      <w:r>
        <w:rPr>
          <w:rFonts w:hint="eastAsia" w:ascii="宋体" w:hAnsi="宋体" w:cs="仿宋_GB2312"/>
          <w:bCs/>
          <w:color w:val="auto"/>
          <w:spacing w:val="0"/>
          <w:position w:val="0"/>
          <w:sz w:val="32"/>
          <w:szCs w:val="32"/>
          <w:highlight w:val="none"/>
        </w:rPr>
        <w:t>供应商名称：</w:t>
      </w:r>
    </w:p>
    <w:p w14:paraId="4D4B30B5">
      <w:pPr>
        <w:pStyle w:val="8"/>
        <w:snapToGrid w:val="0"/>
        <w:spacing w:before="50" w:after="50"/>
        <w:rPr>
          <w:rFonts w:hint="eastAsia" w:ascii="宋体" w:hAnsi="宋体" w:cs="仿宋_GB2312"/>
          <w:bCs/>
          <w:color w:val="auto"/>
          <w:spacing w:val="0"/>
          <w:position w:val="0"/>
          <w:sz w:val="32"/>
          <w:szCs w:val="32"/>
          <w:highlight w:val="none"/>
        </w:rPr>
      </w:pPr>
    </w:p>
    <w:p w14:paraId="158DC07F">
      <w:pPr>
        <w:pStyle w:val="8"/>
        <w:snapToGrid w:val="0"/>
        <w:spacing w:before="50" w:after="50"/>
        <w:rPr>
          <w:rFonts w:hint="eastAsia" w:ascii="宋体" w:hAnsi="宋体" w:eastAsia="宋体" w:cs="仿宋_GB2312"/>
          <w:bCs/>
          <w:color w:val="auto"/>
          <w:spacing w:val="0"/>
          <w:position w:val="0"/>
          <w:sz w:val="32"/>
          <w:szCs w:val="32"/>
          <w:highlight w:val="none"/>
          <w:lang w:eastAsia="zh-CN"/>
        </w:rPr>
      </w:pPr>
      <w:r>
        <w:rPr>
          <w:rFonts w:hint="eastAsia" w:ascii="宋体" w:hAnsi="宋体" w:cs="仿宋_GB2312"/>
          <w:bCs/>
          <w:color w:val="auto"/>
          <w:spacing w:val="0"/>
          <w:position w:val="0"/>
          <w:sz w:val="32"/>
          <w:szCs w:val="32"/>
          <w:highlight w:val="none"/>
          <w:lang w:eastAsia="zh-CN"/>
        </w:rPr>
        <w:t>供应商地址：</w:t>
      </w:r>
    </w:p>
    <w:p w14:paraId="1F168C20">
      <w:pPr>
        <w:snapToGrid w:val="0"/>
        <w:spacing w:before="156" w:beforeLines="50" w:after="50"/>
        <w:ind w:firstLine="640" w:firstLineChars="200"/>
        <w:rPr>
          <w:rFonts w:hint="eastAsia" w:ascii="宋体" w:hAnsi="宋体" w:cs="仿宋_GB2312"/>
          <w:bCs/>
          <w:color w:val="auto"/>
          <w:spacing w:val="0"/>
          <w:position w:val="0"/>
          <w:sz w:val="32"/>
          <w:szCs w:val="32"/>
          <w:highlight w:val="none"/>
        </w:rPr>
      </w:pPr>
    </w:p>
    <w:p w14:paraId="3B49516F">
      <w:pPr>
        <w:pStyle w:val="8"/>
        <w:snapToGrid w:val="0"/>
        <w:spacing w:before="50" w:after="50"/>
        <w:ind w:firstLine="720" w:firstLineChars="225"/>
        <w:rPr>
          <w:rFonts w:hint="eastAsia" w:ascii="宋体" w:hAnsi="宋体" w:cs="仿宋_GB2312"/>
          <w:bCs/>
          <w:color w:val="auto"/>
          <w:spacing w:val="0"/>
          <w:position w:val="0"/>
          <w:sz w:val="32"/>
          <w:szCs w:val="32"/>
          <w:highlight w:val="none"/>
        </w:rPr>
      </w:pPr>
    </w:p>
    <w:p w14:paraId="5B4F9493">
      <w:pPr>
        <w:pStyle w:val="8"/>
        <w:snapToGrid w:val="0"/>
        <w:spacing w:before="50" w:after="50"/>
        <w:ind w:firstLine="1280" w:firstLineChars="400"/>
        <w:rPr>
          <w:rFonts w:hint="eastAsia" w:ascii="宋体" w:hAnsi="宋体" w:cs="仿宋_GB2312"/>
          <w:bCs/>
          <w:color w:val="auto"/>
          <w:spacing w:val="0"/>
          <w:position w:val="0"/>
          <w:sz w:val="32"/>
          <w:szCs w:val="32"/>
          <w:highlight w:val="none"/>
        </w:rPr>
      </w:pPr>
    </w:p>
    <w:p w14:paraId="7CD75E4E">
      <w:pPr>
        <w:snapToGrid w:val="0"/>
        <w:spacing w:before="156" w:beforeLines="50" w:after="50"/>
        <w:jc w:val="center"/>
        <w:rPr>
          <w:rFonts w:hint="eastAsia" w:ascii="宋体" w:hAnsi="宋体" w:cs="仿宋_GB2312"/>
          <w:color w:val="auto"/>
          <w:spacing w:val="0"/>
          <w:position w:val="0"/>
          <w:sz w:val="32"/>
          <w:szCs w:val="32"/>
          <w:highlight w:val="none"/>
        </w:rPr>
      </w:pPr>
      <w:r>
        <w:rPr>
          <w:rFonts w:hint="eastAsia" w:ascii="宋体" w:hAnsi="宋体" w:cs="仿宋_GB2312"/>
          <w:color w:val="auto"/>
          <w:spacing w:val="0"/>
          <w:position w:val="0"/>
          <w:sz w:val="32"/>
          <w:szCs w:val="32"/>
          <w:highlight w:val="none"/>
        </w:rPr>
        <w:t>年    月    日</w:t>
      </w:r>
    </w:p>
    <w:p w14:paraId="15FEE6A7">
      <w:pPr>
        <w:snapToGrid w:val="0"/>
        <w:spacing w:before="156" w:beforeLines="50" w:after="50" w:line="360" w:lineRule="auto"/>
        <w:ind w:left="142"/>
        <w:jc w:val="left"/>
        <w:rPr>
          <w:rFonts w:hint="eastAsia" w:ascii="宋体" w:hAnsi="宋体"/>
          <w:b/>
          <w:bCs/>
          <w:color w:val="auto"/>
          <w:spacing w:val="0"/>
          <w:position w:val="0"/>
          <w:sz w:val="32"/>
          <w:szCs w:val="32"/>
          <w:highlight w:val="none"/>
        </w:rPr>
      </w:pPr>
      <w:r>
        <w:rPr>
          <w:rFonts w:ascii="宋体" w:hAnsi="宋体"/>
          <w:color w:val="auto"/>
          <w:spacing w:val="0"/>
          <w:position w:val="0"/>
          <w:sz w:val="24"/>
          <w:highlight w:val="none"/>
        </w:rPr>
        <w:br w:type="page"/>
      </w:r>
      <w:r>
        <w:rPr>
          <w:rFonts w:hint="eastAsia" w:ascii="宋体" w:hAnsi="宋体"/>
          <w:b/>
          <w:bCs/>
          <w:color w:val="auto"/>
          <w:spacing w:val="0"/>
          <w:position w:val="0"/>
          <w:sz w:val="32"/>
          <w:szCs w:val="32"/>
          <w:highlight w:val="none"/>
        </w:rPr>
        <w:t>2.资格证明文件目录</w:t>
      </w:r>
    </w:p>
    <w:p w14:paraId="2D2BFFE6">
      <w:pPr>
        <w:snapToGrid w:val="0"/>
        <w:spacing w:before="156" w:beforeLines="50" w:after="50" w:line="360" w:lineRule="auto"/>
        <w:ind w:firstLine="645"/>
        <w:rPr>
          <w:rFonts w:ascii="宋体" w:hAnsi="宋体"/>
          <w:color w:val="auto"/>
          <w:spacing w:val="0"/>
          <w:position w:val="0"/>
          <w:sz w:val="32"/>
          <w:szCs w:val="32"/>
          <w:highlight w:val="none"/>
        </w:rPr>
      </w:pPr>
      <w:r>
        <w:rPr>
          <w:rFonts w:hint="eastAsia" w:ascii="宋体" w:hAnsi="宋体"/>
          <w:color w:val="auto"/>
          <w:spacing w:val="0"/>
          <w:position w:val="0"/>
          <w:sz w:val="32"/>
          <w:szCs w:val="32"/>
          <w:highlight w:val="none"/>
        </w:rPr>
        <w:t>根据磋商文件规定及供应商提供的材料自行编写目录（部分格式后附）。</w:t>
      </w:r>
    </w:p>
    <w:p w14:paraId="1959FF7C">
      <w:pPr>
        <w:snapToGrid w:val="0"/>
        <w:spacing w:before="156" w:beforeLines="50" w:after="50"/>
        <w:rPr>
          <w:rFonts w:ascii="宋体" w:hAnsi="宋体"/>
          <w:color w:val="auto"/>
          <w:spacing w:val="0"/>
          <w:position w:val="0"/>
          <w:sz w:val="24"/>
          <w:szCs w:val="20"/>
          <w:highlight w:val="none"/>
        </w:rPr>
      </w:pPr>
      <w:r>
        <w:rPr>
          <w:rFonts w:ascii="宋体" w:hAnsi="宋体"/>
          <w:color w:val="auto"/>
          <w:spacing w:val="0"/>
          <w:position w:val="0"/>
          <w:sz w:val="24"/>
          <w:szCs w:val="20"/>
          <w:highlight w:val="none"/>
        </w:rPr>
        <w:t xml:space="preserve"> </w:t>
      </w:r>
    </w:p>
    <w:p w14:paraId="171D1704">
      <w:pPr>
        <w:spacing w:line="300" w:lineRule="auto"/>
        <w:rPr>
          <w:rFonts w:hint="eastAsia" w:ascii="宋体" w:hAnsi="宋体"/>
          <w:color w:val="auto"/>
          <w:spacing w:val="0"/>
          <w:position w:val="0"/>
          <w:szCs w:val="21"/>
          <w:highlight w:val="none"/>
        </w:rPr>
      </w:pPr>
    </w:p>
    <w:p w14:paraId="32D03646">
      <w:pPr>
        <w:spacing w:line="300" w:lineRule="auto"/>
        <w:rPr>
          <w:rFonts w:hint="eastAsia" w:ascii="宋体" w:hAnsi="宋体"/>
          <w:color w:val="auto"/>
          <w:spacing w:val="0"/>
          <w:position w:val="0"/>
          <w:szCs w:val="21"/>
          <w:highlight w:val="none"/>
        </w:rPr>
      </w:pPr>
    </w:p>
    <w:p w14:paraId="48E1CEFB">
      <w:pPr>
        <w:spacing w:line="300" w:lineRule="auto"/>
        <w:rPr>
          <w:rFonts w:hint="eastAsia" w:ascii="宋体" w:hAnsi="宋体"/>
          <w:color w:val="auto"/>
          <w:spacing w:val="0"/>
          <w:position w:val="0"/>
          <w:szCs w:val="21"/>
          <w:highlight w:val="none"/>
        </w:rPr>
      </w:pPr>
    </w:p>
    <w:p w14:paraId="38262E3C">
      <w:pPr>
        <w:spacing w:line="300" w:lineRule="auto"/>
        <w:rPr>
          <w:rFonts w:hint="eastAsia" w:ascii="宋体" w:hAnsi="宋体"/>
          <w:color w:val="auto"/>
          <w:spacing w:val="0"/>
          <w:position w:val="0"/>
          <w:szCs w:val="21"/>
          <w:highlight w:val="none"/>
        </w:rPr>
      </w:pPr>
    </w:p>
    <w:p w14:paraId="5D6E93FF">
      <w:pPr>
        <w:spacing w:line="300" w:lineRule="auto"/>
        <w:rPr>
          <w:rFonts w:hint="eastAsia" w:ascii="宋体" w:hAnsi="宋体"/>
          <w:color w:val="auto"/>
          <w:spacing w:val="0"/>
          <w:position w:val="0"/>
          <w:szCs w:val="21"/>
          <w:highlight w:val="none"/>
        </w:rPr>
      </w:pPr>
    </w:p>
    <w:p w14:paraId="56AEA47B">
      <w:pPr>
        <w:spacing w:line="300" w:lineRule="auto"/>
        <w:rPr>
          <w:rFonts w:hint="eastAsia" w:ascii="宋体" w:hAnsi="宋体"/>
          <w:color w:val="auto"/>
          <w:spacing w:val="0"/>
          <w:position w:val="0"/>
          <w:szCs w:val="21"/>
          <w:highlight w:val="none"/>
        </w:rPr>
      </w:pPr>
    </w:p>
    <w:p w14:paraId="54CF5BD6">
      <w:pPr>
        <w:spacing w:line="300" w:lineRule="auto"/>
        <w:rPr>
          <w:rFonts w:hint="eastAsia" w:ascii="宋体" w:hAnsi="宋体"/>
          <w:color w:val="auto"/>
          <w:spacing w:val="0"/>
          <w:position w:val="0"/>
          <w:szCs w:val="21"/>
          <w:highlight w:val="none"/>
        </w:rPr>
      </w:pPr>
    </w:p>
    <w:p w14:paraId="209AAEC3">
      <w:pPr>
        <w:spacing w:line="300" w:lineRule="auto"/>
        <w:rPr>
          <w:rFonts w:hint="eastAsia" w:ascii="宋体" w:hAnsi="宋体"/>
          <w:color w:val="auto"/>
          <w:spacing w:val="0"/>
          <w:position w:val="0"/>
          <w:szCs w:val="21"/>
          <w:highlight w:val="none"/>
        </w:rPr>
      </w:pPr>
    </w:p>
    <w:p w14:paraId="69ECE309">
      <w:pPr>
        <w:spacing w:line="300" w:lineRule="auto"/>
        <w:rPr>
          <w:rFonts w:hint="eastAsia" w:ascii="宋体" w:hAnsi="宋体"/>
          <w:color w:val="auto"/>
          <w:spacing w:val="0"/>
          <w:position w:val="0"/>
          <w:szCs w:val="21"/>
          <w:highlight w:val="none"/>
        </w:rPr>
      </w:pPr>
    </w:p>
    <w:p w14:paraId="365C258D">
      <w:pPr>
        <w:spacing w:line="300" w:lineRule="auto"/>
        <w:rPr>
          <w:rFonts w:hint="eastAsia" w:ascii="宋体" w:hAnsi="宋体"/>
          <w:color w:val="auto"/>
          <w:spacing w:val="0"/>
          <w:position w:val="0"/>
          <w:szCs w:val="21"/>
          <w:highlight w:val="none"/>
        </w:rPr>
      </w:pPr>
    </w:p>
    <w:p w14:paraId="48C0B437">
      <w:pPr>
        <w:spacing w:line="300" w:lineRule="auto"/>
        <w:rPr>
          <w:rFonts w:hint="eastAsia" w:ascii="宋体" w:hAnsi="宋体"/>
          <w:color w:val="auto"/>
          <w:spacing w:val="0"/>
          <w:position w:val="0"/>
          <w:szCs w:val="21"/>
          <w:highlight w:val="none"/>
        </w:rPr>
      </w:pPr>
    </w:p>
    <w:p w14:paraId="3BC629A0">
      <w:pPr>
        <w:spacing w:line="300" w:lineRule="auto"/>
        <w:rPr>
          <w:rFonts w:hint="eastAsia" w:ascii="宋体" w:hAnsi="宋体"/>
          <w:color w:val="auto"/>
          <w:spacing w:val="0"/>
          <w:position w:val="0"/>
          <w:szCs w:val="21"/>
          <w:highlight w:val="none"/>
        </w:rPr>
      </w:pPr>
    </w:p>
    <w:p w14:paraId="282FFACB">
      <w:pPr>
        <w:spacing w:line="300" w:lineRule="auto"/>
        <w:rPr>
          <w:rFonts w:hint="eastAsia" w:ascii="宋体" w:hAnsi="宋体"/>
          <w:color w:val="auto"/>
          <w:spacing w:val="0"/>
          <w:position w:val="0"/>
          <w:szCs w:val="21"/>
          <w:highlight w:val="none"/>
        </w:rPr>
      </w:pPr>
    </w:p>
    <w:p w14:paraId="704719E4">
      <w:pPr>
        <w:spacing w:line="300" w:lineRule="auto"/>
        <w:rPr>
          <w:rFonts w:hint="eastAsia" w:ascii="宋体" w:hAnsi="宋体"/>
          <w:color w:val="auto"/>
          <w:spacing w:val="0"/>
          <w:position w:val="0"/>
          <w:szCs w:val="21"/>
          <w:highlight w:val="none"/>
        </w:rPr>
      </w:pPr>
    </w:p>
    <w:p w14:paraId="77B34F9E">
      <w:pPr>
        <w:spacing w:line="300" w:lineRule="auto"/>
        <w:rPr>
          <w:rFonts w:hint="eastAsia" w:ascii="宋体" w:hAnsi="宋体"/>
          <w:color w:val="auto"/>
          <w:spacing w:val="0"/>
          <w:position w:val="0"/>
          <w:szCs w:val="21"/>
          <w:highlight w:val="none"/>
        </w:rPr>
      </w:pPr>
    </w:p>
    <w:p w14:paraId="4E474C50">
      <w:pPr>
        <w:spacing w:line="320" w:lineRule="exact"/>
        <w:jc w:val="center"/>
        <w:rPr>
          <w:rFonts w:hint="eastAsia" w:ascii="宋体" w:hAnsi="宋体"/>
          <w:b/>
          <w:color w:val="auto"/>
          <w:spacing w:val="0"/>
          <w:position w:val="0"/>
          <w:sz w:val="32"/>
          <w:szCs w:val="32"/>
          <w:highlight w:val="none"/>
        </w:rPr>
      </w:pPr>
      <w:r>
        <w:rPr>
          <w:rFonts w:ascii="宋体" w:hAnsi="宋体"/>
          <w:color w:val="auto"/>
          <w:spacing w:val="0"/>
          <w:position w:val="0"/>
          <w:szCs w:val="21"/>
          <w:highlight w:val="none"/>
        </w:rPr>
        <w:br w:type="page"/>
      </w:r>
      <w:r>
        <w:rPr>
          <w:rFonts w:hint="eastAsia" w:ascii="宋体" w:hAnsi="宋体"/>
          <w:b/>
          <w:color w:val="auto"/>
          <w:spacing w:val="0"/>
          <w:position w:val="0"/>
          <w:sz w:val="32"/>
          <w:szCs w:val="32"/>
          <w:highlight w:val="none"/>
        </w:rPr>
        <w:t>竞标声明</w:t>
      </w:r>
      <w:r>
        <w:rPr>
          <w:rFonts w:hint="eastAsia" w:ascii="宋体" w:hAnsi="宋体"/>
          <w:b/>
          <w:color w:val="auto"/>
          <w:spacing w:val="0"/>
          <w:position w:val="0"/>
          <w:sz w:val="32"/>
          <w:szCs w:val="32"/>
          <w:highlight w:val="none"/>
          <w:lang w:eastAsia="zh-CN"/>
        </w:rPr>
        <w:t>（格式）</w:t>
      </w:r>
    </w:p>
    <w:p w14:paraId="43DAD1D5">
      <w:pPr>
        <w:spacing w:line="320" w:lineRule="exact"/>
        <w:jc w:val="center"/>
        <w:rPr>
          <w:rFonts w:hint="eastAsia" w:ascii="宋体" w:hAnsi="宋体"/>
          <w:color w:val="auto"/>
          <w:spacing w:val="0"/>
          <w:position w:val="0"/>
          <w:sz w:val="24"/>
          <w:szCs w:val="20"/>
          <w:highlight w:val="none"/>
        </w:rPr>
      </w:pPr>
    </w:p>
    <w:p w14:paraId="2251655F">
      <w:pPr>
        <w:spacing w:line="360" w:lineRule="auto"/>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致：</w:t>
      </w:r>
      <w:r>
        <w:rPr>
          <w:rFonts w:hint="eastAsia" w:ascii="宋体" w:hAnsi="宋体" w:cs="宋体"/>
          <w:color w:val="auto"/>
          <w:spacing w:val="0"/>
          <w:position w:val="0"/>
          <w:sz w:val="24"/>
          <w:highlight w:val="none"/>
          <w:u w:val="single"/>
        </w:rPr>
        <w:t>（采购人名称）</w:t>
      </w:r>
      <w:r>
        <w:rPr>
          <w:rFonts w:hint="eastAsia" w:ascii="宋体" w:hAnsi="宋体" w:cs="宋体"/>
          <w:color w:val="auto"/>
          <w:spacing w:val="0"/>
          <w:position w:val="0"/>
          <w:sz w:val="24"/>
          <w:highlight w:val="none"/>
        </w:rPr>
        <w:t>：</w:t>
      </w:r>
    </w:p>
    <w:p w14:paraId="5D075636">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我方</w:t>
      </w:r>
      <w:r>
        <w:rPr>
          <w:rFonts w:hint="eastAsia" w:ascii="宋体" w:hAnsi="宋体" w:cs="宋体"/>
          <w:color w:val="auto"/>
          <w:spacing w:val="0"/>
          <w:position w:val="0"/>
          <w:sz w:val="24"/>
          <w:highlight w:val="none"/>
          <w:u w:val="single"/>
        </w:rPr>
        <w:t>（供应商名称）</w:t>
      </w:r>
      <w:r>
        <w:rPr>
          <w:rFonts w:hint="eastAsia" w:ascii="宋体" w:hAnsi="宋体" w:cs="宋体"/>
          <w:color w:val="auto"/>
          <w:spacing w:val="0"/>
          <w:position w:val="0"/>
          <w:sz w:val="24"/>
          <w:highlight w:val="none"/>
        </w:rPr>
        <w:t>系中华人民共和国合法供应商，经营地址</w:t>
      </w:r>
      <w:r>
        <w:rPr>
          <w:rFonts w:hint="eastAsia" w:ascii="宋体" w:hAnsi="宋体" w:cs="宋体"/>
          <w:color w:val="auto"/>
          <w:spacing w:val="0"/>
          <w:position w:val="0"/>
          <w:sz w:val="24"/>
          <w:highlight w:val="none"/>
          <w:u w:val="single"/>
        </w:rPr>
        <w:t xml:space="preserve">                              </w:t>
      </w:r>
      <w:r>
        <w:rPr>
          <w:rFonts w:hint="eastAsia" w:ascii="宋体" w:hAnsi="宋体" w:cs="宋体"/>
          <w:color w:val="auto"/>
          <w:spacing w:val="0"/>
          <w:position w:val="0"/>
          <w:sz w:val="24"/>
          <w:highlight w:val="none"/>
        </w:rPr>
        <w:t>。</w:t>
      </w:r>
    </w:p>
    <w:p w14:paraId="78C354C6">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我方愿意参加贵方组织的</w:t>
      </w:r>
      <w:r>
        <w:rPr>
          <w:rFonts w:hint="eastAsia" w:ascii="宋体" w:hAnsi="宋体" w:cs="宋体"/>
          <w:color w:val="auto"/>
          <w:spacing w:val="0"/>
          <w:position w:val="0"/>
          <w:sz w:val="24"/>
          <w:highlight w:val="none"/>
          <w:u w:val="single"/>
        </w:rPr>
        <w:t>（项目名称）（项目编号）</w:t>
      </w:r>
      <w:r>
        <w:rPr>
          <w:rFonts w:hint="eastAsia" w:ascii="宋体" w:hAnsi="宋体" w:cs="宋体"/>
          <w:color w:val="auto"/>
          <w:spacing w:val="0"/>
          <w:position w:val="0"/>
          <w:sz w:val="24"/>
          <w:highlight w:val="none"/>
        </w:rPr>
        <w:t>项目的竞标，为便于贵方公正、择优地确定成交供应商及其服务，我方就本次竞标有关事项郑重声明如下：</w:t>
      </w:r>
    </w:p>
    <w:p w14:paraId="4A6F05AA">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1.我方向贵方提交的所有响应文件、资料都是准确的和真实的。</w:t>
      </w:r>
    </w:p>
    <w:p w14:paraId="4C4BD97F">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2.</w:t>
      </w:r>
      <w:r>
        <w:rPr>
          <w:rFonts w:hint="eastAsia" w:ascii="宋体" w:hAnsi="宋体"/>
          <w:color w:val="auto"/>
          <w:spacing w:val="0"/>
          <w:position w:val="0"/>
          <w:sz w:val="24"/>
          <w:highlight w:val="none"/>
        </w:rPr>
        <w:t>我方不是为本次采购项目提供整体设计、规范编制或者项目管理、监理、检测等服务的供应商</w:t>
      </w:r>
      <w:r>
        <w:rPr>
          <w:rFonts w:hint="eastAsia" w:ascii="宋体" w:hAnsi="宋体" w:cs="宋体"/>
          <w:color w:val="auto"/>
          <w:spacing w:val="0"/>
          <w:position w:val="0"/>
          <w:sz w:val="24"/>
          <w:highlight w:val="none"/>
        </w:rPr>
        <w:t>。</w:t>
      </w:r>
    </w:p>
    <w:p w14:paraId="31B6CA3A">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3.在此，我方宣布同意如下：</w:t>
      </w:r>
    </w:p>
    <w:p w14:paraId="6E2E8DC6">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（1）将按磋商文件的约定履行合同责任和义务；</w:t>
      </w:r>
    </w:p>
    <w:p w14:paraId="1C648883">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（2）已详细审查全部磋商文件，包括澄清或者更正公告（如有）；</w:t>
      </w:r>
    </w:p>
    <w:p w14:paraId="205B7DE3">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（3）同意提供按照贵方可能要求的与磋商有关的一切数据或者资料；</w:t>
      </w:r>
    </w:p>
    <w:p w14:paraId="7BE741B2">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（4）响应磋商文件规定的竞标有效期。</w:t>
      </w:r>
    </w:p>
    <w:p w14:paraId="095E7B5C">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4.我方承诺符合《中华人民共和国政府采购法》第二十二条规定：</w:t>
      </w:r>
    </w:p>
    <w:p w14:paraId="285E97BC">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（1）具有独立承担民事责任的能力；</w:t>
      </w:r>
    </w:p>
    <w:p w14:paraId="0590B1CB">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（2）具有良好的商业信誉和健全的财务会计制度；</w:t>
      </w:r>
    </w:p>
    <w:p w14:paraId="1E4E29E9">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（3）具有履行合同所必需的设备和专业技术能力；</w:t>
      </w:r>
    </w:p>
    <w:p w14:paraId="07EBD700">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（4）有依法缴纳税收和社会保障资金的良好记录；</w:t>
      </w:r>
    </w:p>
    <w:p w14:paraId="77E96264">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（5）参加政府采购活动前三年内，在经营活动中没有重大违法记录；</w:t>
      </w:r>
    </w:p>
    <w:p w14:paraId="742530CD">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（6）法律、行政法规规定的其他条件。</w:t>
      </w:r>
    </w:p>
    <w:p w14:paraId="70DC61CC">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54CBB0CF">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3B7DA7A6">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□我方本次响应文件</w:t>
      </w:r>
      <w:r>
        <w:rPr>
          <w:rFonts w:hint="eastAsia" w:ascii="宋体" w:hAnsi="宋体" w:cs="宋体"/>
          <w:color w:val="auto"/>
          <w:spacing w:val="0"/>
          <w:kern w:val="0"/>
          <w:position w:val="0"/>
          <w:sz w:val="24"/>
          <w:highlight w:val="none"/>
        </w:rPr>
        <w:t>内容中</w:t>
      </w:r>
      <w:r>
        <w:rPr>
          <w:rFonts w:hint="eastAsia" w:ascii="宋体" w:hAnsi="宋体" w:cs="宋体"/>
          <w:color w:val="auto"/>
          <w:spacing w:val="0"/>
          <w:position w:val="0"/>
          <w:sz w:val="24"/>
          <w:highlight w:val="none"/>
        </w:rPr>
        <w:t>未</w:t>
      </w:r>
      <w:r>
        <w:rPr>
          <w:rFonts w:hint="eastAsia" w:ascii="宋体" w:hAnsi="宋体" w:cs="宋体"/>
          <w:color w:val="auto"/>
          <w:spacing w:val="0"/>
          <w:kern w:val="0"/>
          <w:position w:val="0"/>
          <w:sz w:val="24"/>
          <w:highlight w:val="none"/>
        </w:rPr>
        <w:t>涉及商业秘密；</w:t>
      </w:r>
    </w:p>
    <w:p w14:paraId="32E14BEF">
      <w:pPr>
        <w:spacing w:line="360" w:lineRule="auto"/>
        <w:ind w:firstLine="480" w:firstLineChars="200"/>
        <w:contextualSpacing/>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□我方本次响应文件</w:t>
      </w:r>
      <w:r>
        <w:rPr>
          <w:rFonts w:hint="eastAsia" w:ascii="宋体" w:hAnsi="宋体" w:cs="宋体"/>
          <w:color w:val="auto"/>
          <w:spacing w:val="0"/>
          <w:kern w:val="0"/>
          <w:position w:val="0"/>
          <w:sz w:val="24"/>
          <w:highlight w:val="none"/>
        </w:rPr>
        <w:t>涉及商业秘密的内容有：</w:t>
      </w:r>
      <w:r>
        <w:rPr>
          <w:rFonts w:hint="eastAsia" w:ascii="宋体" w:hAnsi="宋体" w:cs="宋体"/>
          <w:color w:val="auto"/>
          <w:spacing w:val="0"/>
          <w:kern w:val="0"/>
          <w:position w:val="0"/>
          <w:sz w:val="24"/>
          <w:highlight w:val="none"/>
          <w:u w:val="single"/>
        </w:rPr>
        <w:t xml:space="preserve">                         </w:t>
      </w:r>
      <w:r>
        <w:rPr>
          <w:rFonts w:hint="eastAsia" w:ascii="宋体" w:hAnsi="宋体" w:cs="宋体"/>
          <w:color w:val="auto"/>
          <w:spacing w:val="0"/>
          <w:kern w:val="0"/>
          <w:position w:val="0"/>
          <w:sz w:val="24"/>
          <w:highlight w:val="none"/>
        </w:rPr>
        <w:t>；</w:t>
      </w:r>
    </w:p>
    <w:p w14:paraId="25C2A37B">
      <w:pPr>
        <w:pStyle w:val="13"/>
        <w:spacing w:line="360" w:lineRule="auto"/>
        <w:ind w:firstLine="480" w:firstLineChars="200"/>
        <w:contextualSpacing/>
        <w:rPr>
          <w:rFonts w:hint="eastAsia" w:hAnsi="宋体" w:cs="宋体"/>
          <w:color w:val="auto"/>
          <w:spacing w:val="0"/>
          <w:position w:val="0"/>
          <w:sz w:val="24"/>
          <w:szCs w:val="24"/>
          <w:highlight w:val="none"/>
          <w:u w:val="single"/>
        </w:rPr>
      </w:pPr>
      <w:r>
        <w:rPr>
          <w:rFonts w:hint="eastAsia" w:hAnsi="宋体" w:cs="宋体"/>
          <w:color w:val="auto"/>
          <w:spacing w:val="0"/>
          <w:position w:val="0"/>
          <w:sz w:val="24"/>
          <w:szCs w:val="24"/>
          <w:highlight w:val="none"/>
        </w:rPr>
        <w:t>7.与本磋商有关的一切正式往来信函请寄：</w:t>
      </w:r>
      <w:r>
        <w:rPr>
          <w:rFonts w:hint="eastAsia" w:hAnsi="宋体" w:cs="宋体"/>
          <w:color w:val="auto"/>
          <w:spacing w:val="0"/>
          <w:position w:val="0"/>
          <w:sz w:val="24"/>
          <w:szCs w:val="24"/>
          <w:highlight w:val="none"/>
          <w:u w:val="single"/>
        </w:rPr>
        <w:t xml:space="preserve">                  </w:t>
      </w:r>
      <w:r>
        <w:rPr>
          <w:rFonts w:hint="eastAsia" w:hAnsi="宋体" w:cs="宋体"/>
          <w:color w:val="auto"/>
          <w:spacing w:val="0"/>
          <w:position w:val="0"/>
          <w:sz w:val="24"/>
          <w:szCs w:val="24"/>
          <w:highlight w:val="none"/>
        </w:rPr>
        <w:t>邮政编号：</w:t>
      </w:r>
      <w:r>
        <w:rPr>
          <w:rFonts w:hint="eastAsia" w:hAnsi="宋体" w:cs="宋体"/>
          <w:color w:val="auto"/>
          <w:spacing w:val="0"/>
          <w:position w:val="0"/>
          <w:sz w:val="24"/>
          <w:szCs w:val="24"/>
          <w:highlight w:val="none"/>
          <w:u w:val="single"/>
        </w:rPr>
        <w:t xml:space="preserve">        </w:t>
      </w:r>
    </w:p>
    <w:p w14:paraId="152EEF8D">
      <w:pPr>
        <w:pStyle w:val="13"/>
        <w:spacing w:line="360" w:lineRule="auto"/>
        <w:ind w:firstLine="480" w:firstLineChars="200"/>
        <w:contextualSpacing/>
        <w:rPr>
          <w:rFonts w:hint="eastAsia" w:hAnsi="宋体" w:cs="宋体"/>
          <w:color w:val="auto"/>
          <w:spacing w:val="0"/>
          <w:position w:val="0"/>
          <w:sz w:val="24"/>
          <w:szCs w:val="24"/>
          <w:highlight w:val="none"/>
        </w:rPr>
      </w:pPr>
      <w:r>
        <w:rPr>
          <w:rFonts w:hint="eastAsia" w:hAnsi="宋体" w:cs="宋体"/>
          <w:color w:val="auto"/>
          <w:spacing w:val="0"/>
          <w:position w:val="0"/>
          <w:sz w:val="24"/>
          <w:szCs w:val="24"/>
          <w:highlight w:val="none"/>
        </w:rPr>
        <w:t>电话/传真：</w:t>
      </w:r>
      <w:r>
        <w:rPr>
          <w:rFonts w:hint="eastAsia" w:hAnsi="宋体" w:cs="宋体"/>
          <w:color w:val="auto"/>
          <w:spacing w:val="0"/>
          <w:position w:val="0"/>
          <w:sz w:val="24"/>
          <w:szCs w:val="24"/>
          <w:highlight w:val="none"/>
          <w:u w:val="single"/>
        </w:rPr>
        <w:t xml:space="preserve">                        </w:t>
      </w:r>
      <w:r>
        <w:rPr>
          <w:rFonts w:hint="eastAsia" w:hAnsi="宋体" w:cs="宋体"/>
          <w:color w:val="auto"/>
          <w:spacing w:val="0"/>
          <w:position w:val="0"/>
          <w:sz w:val="24"/>
          <w:szCs w:val="24"/>
          <w:highlight w:val="none"/>
        </w:rPr>
        <w:t xml:space="preserve"> 电子邮箱：</w:t>
      </w:r>
      <w:r>
        <w:rPr>
          <w:rFonts w:hint="eastAsia" w:hAnsi="宋体" w:cs="宋体"/>
          <w:color w:val="auto"/>
          <w:spacing w:val="0"/>
          <w:position w:val="0"/>
          <w:sz w:val="24"/>
          <w:szCs w:val="24"/>
          <w:highlight w:val="none"/>
          <w:u w:val="single"/>
        </w:rPr>
        <w:t xml:space="preserve">                            </w:t>
      </w:r>
      <w:r>
        <w:rPr>
          <w:rFonts w:hint="eastAsia" w:hAnsi="宋体" w:cs="宋体"/>
          <w:color w:val="auto"/>
          <w:spacing w:val="0"/>
          <w:position w:val="0"/>
          <w:sz w:val="24"/>
          <w:szCs w:val="24"/>
          <w:highlight w:val="none"/>
        </w:rPr>
        <w:t xml:space="preserve">    </w:t>
      </w:r>
    </w:p>
    <w:p w14:paraId="09FC4C28">
      <w:pPr>
        <w:pStyle w:val="12"/>
        <w:tabs>
          <w:tab w:val="left" w:pos="939"/>
        </w:tabs>
        <w:spacing w:line="360" w:lineRule="auto"/>
        <w:ind w:left="141" w:leftChars="67" w:firstLine="360" w:firstLineChars="150"/>
        <w:rPr>
          <w:rFonts w:hint="eastAsia" w:ascii="宋体" w:hAnsi="宋体" w:cs="宋体"/>
          <w:color w:val="auto"/>
          <w:spacing w:val="0"/>
          <w:position w:val="0"/>
          <w:sz w:val="24"/>
          <w:highlight w:val="none"/>
          <w:u w:val="single"/>
        </w:rPr>
      </w:pPr>
      <w:r>
        <w:rPr>
          <w:rFonts w:hint="eastAsia" w:ascii="宋体" w:hAnsi="宋体" w:cs="宋体"/>
          <w:color w:val="auto"/>
          <w:spacing w:val="0"/>
          <w:position w:val="0"/>
          <w:sz w:val="24"/>
          <w:highlight w:val="none"/>
        </w:rPr>
        <w:t>开户银行：</w:t>
      </w:r>
      <w:r>
        <w:rPr>
          <w:rFonts w:hint="eastAsia" w:ascii="宋体" w:hAnsi="宋体" w:cs="宋体"/>
          <w:color w:val="auto"/>
          <w:spacing w:val="0"/>
          <w:position w:val="0"/>
          <w:sz w:val="24"/>
          <w:highlight w:val="none"/>
          <w:u w:val="single"/>
        </w:rPr>
        <w:t xml:space="preserve">                         </w:t>
      </w:r>
      <w:r>
        <w:rPr>
          <w:rFonts w:hint="eastAsia" w:ascii="宋体" w:hAnsi="宋体" w:cs="宋体"/>
          <w:color w:val="auto"/>
          <w:spacing w:val="0"/>
          <w:position w:val="0"/>
          <w:sz w:val="24"/>
          <w:highlight w:val="none"/>
        </w:rPr>
        <w:t xml:space="preserve">  帐号：</w:t>
      </w:r>
      <w:r>
        <w:rPr>
          <w:rFonts w:hint="eastAsia" w:ascii="宋体" w:hAnsi="宋体" w:cs="宋体"/>
          <w:color w:val="auto"/>
          <w:spacing w:val="0"/>
          <w:position w:val="0"/>
          <w:sz w:val="24"/>
          <w:highlight w:val="none"/>
          <w:u w:val="single"/>
        </w:rPr>
        <w:t xml:space="preserve">                             </w:t>
      </w:r>
    </w:p>
    <w:p w14:paraId="15D6FB6F">
      <w:pPr>
        <w:pStyle w:val="12"/>
        <w:tabs>
          <w:tab w:val="left" w:pos="939"/>
        </w:tabs>
        <w:spacing w:line="360" w:lineRule="auto"/>
        <w:ind w:left="141" w:leftChars="67" w:firstLine="360" w:firstLineChars="150"/>
        <w:rPr>
          <w:rFonts w:hint="eastAsia" w:ascii="宋体" w:hAnsi="宋体" w:cs="宋体"/>
          <w:color w:val="auto"/>
          <w:spacing w:val="0"/>
          <w:position w:val="0"/>
          <w:sz w:val="24"/>
          <w:highlight w:val="none"/>
          <w:u w:val="none"/>
        </w:rPr>
      </w:pPr>
      <w:r>
        <w:rPr>
          <w:rFonts w:hint="eastAsia" w:ascii="宋体" w:hAnsi="宋体" w:cs="宋体"/>
          <w:color w:val="auto"/>
          <w:spacing w:val="0"/>
          <w:position w:val="0"/>
          <w:sz w:val="24"/>
          <w:highlight w:val="none"/>
          <w:u w:val="none"/>
          <w:lang w:eastAsia="zh-CN"/>
        </w:rPr>
        <w:t>手机号码：</w:t>
      </w:r>
      <w:r>
        <w:rPr>
          <w:rFonts w:hint="eastAsia" w:ascii="宋体" w:hAnsi="宋体" w:cs="宋体"/>
          <w:color w:val="auto"/>
          <w:spacing w:val="0"/>
          <w:position w:val="0"/>
          <w:sz w:val="24"/>
          <w:highlight w:val="none"/>
          <w:u w:val="single"/>
          <w:lang w:val="en-US" w:eastAsia="zh-CN"/>
        </w:rPr>
        <w:t xml:space="preserve">                         </w:t>
      </w:r>
      <w:r>
        <w:rPr>
          <w:rFonts w:hint="eastAsia" w:ascii="宋体" w:hAnsi="宋体" w:cs="宋体"/>
          <w:color w:val="auto"/>
          <w:spacing w:val="0"/>
          <w:position w:val="0"/>
          <w:sz w:val="24"/>
          <w:highlight w:val="none"/>
          <w:u w:val="none"/>
        </w:rPr>
        <w:t xml:space="preserve">  </w:t>
      </w:r>
    </w:p>
    <w:p w14:paraId="6B7F1541">
      <w:pPr>
        <w:pStyle w:val="12"/>
        <w:tabs>
          <w:tab w:val="left" w:pos="939"/>
        </w:tabs>
        <w:spacing w:line="360" w:lineRule="auto"/>
        <w:ind w:left="0" w:leftChars="0" w:firstLine="480" w:firstLineChars="200"/>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8.以上事项如有虚假或者隐瞒，我方愿意承担一切后果，并不再寻求任何旨在减轻或者免除法律责任的辩解。</w:t>
      </w:r>
    </w:p>
    <w:p w14:paraId="089C2EDA">
      <w:pPr>
        <w:pStyle w:val="12"/>
        <w:tabs>
          <w:tab w:val="left" w:pos="939"/>
        </w:tabs>
        <w:spacing w:line="360" w:lineRule="auto"/>
        <w:ind w:left="141" w:leftChars="67" w:firstLine="360" w:firstLineChars="150"/>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特此承诺。</w:t>
      </w:r>
    </w:p>
    <w:p w14:paraId="1BDCDF78">
      <w:pPr>
        <w:spacing w:line="360" w:lineRule="auto"/>
        <w:ind w:firstLine="482" w:firstLineChars="200"/>
        <w:contextualSpacing/>
        <w:jc w:val="left"/>
        <w:rPr>
          <w:rFonts w:hint="eastAsia" w:ascii="宋体" w:hAnsi="宋体"/>
          <w:b/>
          <w:color w:val="auto"/>
          <w:spacing w:val="0"/>
          <w:position w:val="0"/>
          <w:sz w:val="24"/>
          <w:highlight w:val="none"/>
        </w:rPr>
      </w:pPr>
      <w:r>
        <w:rPr>
          <w:rFonts w:hint="eastAsia" w:ascii="宋体" w:hAnsi="宋体" w:cs="宋体"/>
          <w:b/>
          <w:color w:val="auto"/>
          <w:spacing w:val="0"/>
          <w:position w:val="0"/>
          <w:sz w:val="24"/>
          <w:highlight w:val="none"/>
        </w:rPr>
        <w:t>注：</w:t>
      </w:r>
      <w:r>
        <w:rPr>
          <w:rFonts w:hint="eastAsia" w:ascii="宋体" w:hAnsi="宋体"/>
          <w:b/>
          <w:color w:val="auto"/>
          <w:spacing w:val="0"/>
          <w:position w:val="0"/>
          <w:sz w:val="24"/>
          <w:highlight w:val="none"/>
        </w:rPr>
        <w:t>如为联合体竞标，盖章处须加盖联合体牵头人电子签章并由联合体牵头人法定代表人分别签字或者盖章或者电子签名，否则响应文件按无效处理。</w:t>
      </w:r>
    </w:p>
    <w:p w14:paraId="5C592231">
      <w:pPr>
        <w:spacing w:line="360" w:lineRule="auto"/>
        <w:contextualSpacing/>
        <w:jc w:val="left"/>
        <w:rPr>
          <w:rFonts w:hint="eastAsia" w:ascii="宋体" w:hAnsi="宋体" w:cs="宋体"/>
          <w:color w:val="auto"/>
          <w:spacing w:val="0"/>
          <w:position w:val="0"/>
          <w:szCs w:val="21"/>
          <w:highlight w:val="none"/>
        </w:rPr>
      </w:pPr>
    </w:p>
    <w:p w14:paraId="0F9845E4">
      <w:pPr>
        <w:spacing w:line="360" w:lineRule="auto"/>
        <w:ind w:firstLine="1800" w:firstLineChars="750"/>
        <w:contextualSpacing/>
        <w:rPr>
          <w:rFonts w:hint="eastAsia"/>
          <w:color w:val="auto"/>
          <w:spacing w:val="0"/>
          <w:position w:val="0"/>
          <w:sz w:val="24"/>
          <w:szCs w:val="24"/>
          <w:highlight w:val="none"/>
        </w:rPr>
      </w:pPr>
      <w:r>
        <w:rPr>
          <w:rFonts w:hint="eastAsia" w:ascii="宋体" w:hAnsi="宋体" w:eastAsia="宋体" w:cs="Times New Roman"/>
          <w:color w:val="auto"/>
          <w:spacing w:val="0"/>
          <w:position w:val="0"/>
          <w:sz w:val="24"/>
          <w:szCs w:val="24"/>
          <w:highlight w:val="none"/>
        </w:rPr>
        <w:t>法定代表人（签字或者盖章</w:t>
      </w:r>
      <w:r>
        <w:rPr>
          <w:rFonts w:hint="eastAsia" w:ascii="宋体" w:hAnsi="宋体"/>
          <w:color w:val="auto"/>
          <w:spacing w:val="0"/>
          <w:position w:val="0"/>
          <w:sz w:val="24"/>
          <w:szCs w:val="24"/>
          <w:highlight w:val="none"/>
        </w:rPr>
        <w:t>或者电子签名</w:t>
      </w:r>
      <w:r>
        <w:rPr>
          <w:rFonts w:hint="eastAsia"/>
          <w:color w:val="auto"/>
          <w:spacing w:val="0"/>
          <w:position w:val="0"/>
          <w:sz w:val="24"/>
          <w:szCs w:val="24"/>
          <w:highlight w:val="none"/>
        </w:rPr>
        <w:t>）：</w:t>
      </w:r>
      <w:r>
        <w:rPr>
          <w:rFonts w:hint="eastAsia"/>
          <w:color w:val="auto"/>
          <w:spacing w:val="0"/>
          <w:position w:val="0"/>
          <w:sz w:val="24"/>
          <w:szCs w:val="24"/>
          <w:highlight w:val="none"/>
          <w:u w:val="single"/>
        </w:rPr>
        <w:t xml:space="preserve">       </w:t>
      </w:r>
      <w:r>
        <w:rPr>
          <w:rFonts w:hint="eastAsia"/>
          <w:color w:val="auto"/>
          <w:spacing w:val="0"/>
          <w:position w:val="0"/>
          <w:sz w:val="24"/>
          <w:szCs w:val="24"/>
          <w:highlight w:val="none"/>
          <w:u w:val="single"/>
          <w:lang w:val="en-US" w:eastAsia="zh-CN"/>
        </w:rPr>
        <w:t xml:space="preserve">      </w:t>
      </w:r>
      <w:r>
        <w:rPr>
          <w:rFonts w:hint="eastAsia"/>
          <w:color w:val="auto"/>
          <w:spacing w:val="0"/>
          <w:position w:val="0"/>
          <w:sz w:val="24"/>
          <w:szCs w:val="24"/>
          <w:highlight w:val="none"/>
          <w:u w:val="single"/>
        </w:rPr>
        <w:t xml:space="preserve">        </w:t>
      </w:r>
      <w:r>
        <w:rPr>
          <w:rFonts w:hint="eastAsia"/>
          <w:color w:val="auto"/>
          <w:spacing w:val="0"/>
          <w:position w:val="0"/>
          <w:sz w:val="24"/>
          <w:szCs w:val="24"/>
          <w:highlight w:val="none"/>
        </w:rPr>
        <w:t xml:space="preserve">                                     </w:t>
      </w:r>
    </w:p>
    <w:p w14:paraId="73B3BD45">
      <w:pPr>
        <w:spacing w:line="360" w:lineRule="auto"/>
        <w:ind w:firstLine="4320" w:firstLineChars="1800"/>
        <w:contextualSpacing/>
        <w:rPr>
          <w:rFonts w:hint="eastAsia" w:ascii="宋体" w:hAnsi="宋体" w:cs="宋体"/>
          <w:color w:val="auto"/>
          <w:spacing w:val="0"/>
          <w:position w:val="0"/>
          <w:sz w:val="24"/>
          <w:szCs w:val="24"/>
          <w:highlight w:val="none"/>
          <w:u w:val="single"/>
        </w:rPr>
      </w:pPr>
      <w:r>
        <w:rPr>
          <w:rFonts w:hint="eastAsia" w:ascii="宋体" w:hAnsi="宋体" w:eastAsia="宋体" w:cs="Times New Roman"/>
          <w:color w:val="auto"/>
          <w:spacing w:val="0"/>
          <w:position w:val="0"/>
          <w:sz w:val="24"/>
          <w:szCs w:val="24"/>
          <w:highlight w:val="none"/>
        </w:rPr>
        <w:t>供应商（电子签章）</w:t>
      </w:r>
      <w:r>
        <w:rPr>
          <w:rFonts w:hint="eastAsia"/>
          <w:color w:val="auto"/>
          <w:spacing w:val="0"/>
          <w:position w:val="0"/>
          <w:sz w:val="24"/>
          <w:szCs w:val="24"/>
          <w:highlight w:val="none"/>
        </w:rPr>
        <w:t>：</w:t>
      </w:r>
      <w:r>
        <w:rPr>
          <w:rFonts w:hint="eastAsia"/>
          <w:color w:val="auto"/>
          <w:spacing w:val="0"/>
          <w:position w:val="0"/>
          <w:sz w:val="24"/>
          <w:szCs w:val="24"/>
          <w:highlight w:val="none"/>
          <w:u w:val="single"/>
        </w:rPr>
        <w:t xml:space="preserve">                    </w:t>
      </w:r>
      <w:r>
        <w:rPr>
          <w:rFonts w:hint="eastAsia"/>
          <w:color w:val="auto"/>
          <w:spacing w:val="0"/>
          <w:position w:val="0"/>
          <w:sz w:val="24"/>
          <w:szCs w:val="24"/>
          <w:highlight w:val="none"/>
        </w:rPr>
        <w:t xml:space="preserve">       </w:t>
      </w:r>
      <w:r>
        <w:rPr>
          <w:rFonts w:hint="eastAsia" w:ascii="宋体" w:hAnsi="宋体" w:cs="宋体"/>
          <w:color w:val="auto"/>
          <w:spacing w:val="0"/>
          <w:position w:val="0"/>
          <w:sz w:val="24"/>
          <w:szCs w:val="24"/>
          <w:highlight w:val="none"/>
        </w:rPr>
        <w:t xml:space="preserve">    </w:t>
      </w:r>
    </w:p>
    <w:p w14:paraId="533594A3">
      <w:pPr>
        <w:pStyle w:val="12"/>
        <w:tabs>
          <w:tab w:val="left" w:pos="939"/>
        </w:tabs>
        <w:spacing w:line="360" w:lineRule="auto"/>
        <w:ind w:left="0" w:leftChars="0" w:firstLine="480" w:firstLineChars="200"/>
        <w:rPr>
          <w:rFonts w:hint="eastAsia"/>
          <w:color w:val="auto"/>
          <w:spacing w:val="0"/>
          <w:position w:val="0"/>
          <w:sz w:val="24"/>
          <w:szCs w:val="24"/>
          <w:highlight w:val="none"/>
        </w:rPr>
      </w:pPr>
      <w:r>
        <w:rPr>
          <w:rFonts w:hint="eastAsia" w:ascii="宋体" w:hAnsi="宋体" w:cs="宋体"/>
          <w:color w:val="auto"/>
          <w:spacing w:val="0"/>
          <w:position w:val="0"/>
          <w:sz w:val="24"/>
          <w:szCs w:val="24"/>
          <w:highlight w:val="none"/>
        </w:rPr>
        <w:t xml:space="preserve">                                                        </w:t>
      </w:r>
      <w:r>
        <w:rPr>
          <w:rFonts w:hint="eastAsia"/>
          <w:color w:val="auto"/>
          <w:spacing w:val="0"/>
          <w:position w:val="0"/>
          <w:sz w:val="24"/>
          <w:szCs w:val="24"/>
          <w:highlight w:val="none"/>
        </w:rPr>
        <w:t xml:space="preserve"> 年    月    日</w:t>
      </w:r>
    </w:p>
    <w:p w14:paraId="49EA2AA6">
      <w:pPr>
        <w:spacing w:line="320" w:lineRule="exact"/>
        <w:jc w:val="left"/>
        <w:rPr>
          <w:rFonts w:hint="eastAsia" w:ascii="宋体" w:hAnsi="宋体"/>
          <w:color w:val="auto"/>
          <w:spacing w:val="0"/>
          <w:position w:val="0"/>
          <w:szCs w:val="21"/>
          <w:highlight w:val="none"/>
        </w:rPr>
      </w:pPr>
    </w:p>
    <w:p w14:paraId="509CA9E1">
      <w:pPr>
        <w:spacing w:line="320" w:lineRule="exact"/>
        <w:jc w:val="center"/>
        <w:rPr>
          <w:rFonts w:hint="eastAsia" w:ascii="宋体" w:hAnsi="宋体"/>
          <w:b/>
          <w:color w:val="auto"/>
          <w:spacing w:val="0"/>
          <w:position w:val="0"/>
          <w:sz w:val="32"/>
          <w:szCs w:val="32"/>
          <w:highlight w:val="none"/>
        </w:rPr>
      </w:pPr>
    </w:p>
    <w:p w14:paraId="096748A7">
      <w:pPr>
        <w:spacing w:line="320" w:lineRule="exact"/>
        <w:jc w:val="center"/>
        <w:rPr>
          <w:rFonts w:hint="eastAsia" w:ascii="宋体" w:hAnsi="宋体"/>
          <w:b/>
          <w:color w:val="auto"/>
          <w:spacing w:val="0"/>
          <w:position w:val="0"/>
          <w:sz w:val="32"/>
          <w:szCs w:val="32"/>
          <w:highlight w:val="none"/>
        </w:rPr>
      </w:pPr>
    </w:p>
    <w:p w14:paraId="70345927">
      <w:pPr>
        <w:spacing w:line="320" w:lineRule="exact"/>
        <w:jc w:val="center"/>
        <w:rPr>
          <w:rFonts w:hint="eastAsia" w:ascii="宋体" w:hAnsi="宋体"/>
          <w:b/>
          <w:color w:val="auto"/>
          <w:spacing w:val="0"/>
          <w:position w:val="0"/>
          <w:sz w:val="32"/>
          <w:szCs w:val="32"/>
          <w:highlight w:val="none"/>
        </w:rPr>
      </w:pPr>
    </w:p>
    <w:p w14:paraId="1F43F84D">
      <w:pPr>
        <w:spacing w:line="320" w:lineRule="exact"/>
        <w:jc w:val="center"/>
        <w:rPr>
          <w:rFonts w:hint="eastAsia" w:ascii="宋体" w:hAnsi="宋体"/>
          <w:b/>
          <w:color w:val="auto"/>
          <w:spacing w:val="0"/>
          <w:position w:val="0"/>
          <w:sz w:val="32"/>
          <w:szCs w:val="32"/>
          <w:highlight w:val="none"/>
        </w:rPr>
      </w:pPr>
    </w:p>
    <w:p w14:paraId="5FC644F7">
      <w:pPr>
        <w:spacing w:line="320" w:lineRule="exact"/>
        <w:jc w:val="center"/>
        <w:rPr>
          <w:rFonts w:hint="eastAsia" w:ascii="宋体" w:hAnsi="宋体"/>
          <w:b/>
          <w:color w:val="auto"/>
          <w:spacing w:val="0"/>
          <w:position w:val="0"/>
          <w:sz w:val="32"/>
          <w:szCs w:val="32"/>
          <w:highlight w:val="none"/>
        </w:rPr>
      </w:pPr>
    </w:p>
    <w:p w14:paraId="232F13B1">
      <w:pPr>
        <w:spacing w:line="320" w:lineRule="exact"/>
        <w:jc w:val="center"/>
        <w:rPr>
          <w:rFonts w:hint="eastAsia" w:ascii="宋体" w:hAnsi="宋体"/>
          <w:b/>
          <w:color w:val="auto"/>
          <w:spacing w:val="0"/>
          <w:position w:val="0"/>
          <w:sz w:val="32"/>
          <w:szCs w:val="32"/>
          <w:highlight w:val="none"/>
        </w:rPr>
      </w:pPr>
    </w:p>
    <w:p w14:paraId="4775ACEF">
      <w:pPr>
        <w:spacing w:line="320" w:lineRule="exact"/>
        <w:jc w:val="center"/>
        <w:rPr>
          <w:rFonts w:hint="eastAsia" w:ascii="宋体" w:hAnsi="宋体"/>
          <w:b/>
          <w:color w:val="auto"/>
          <w:spacing w:val="0"/>
          <w:position w:val="0"/>
          <w:sz w:val="32"/>
          <w:szCs w:val="32"/>
          <w:highlight w:val="none"/>
        </w:rPr>
      </w:pPr>
    </w:p>
    <w:p w14:paraId="40936E65">
      <w:pPr>
        <w:spacing w:line="320" w:lineRule="exact"/>
        <w:jc w:val="center"/>
        <w:rPr>
          <w:rFonts w:hint="eastAsia" w:ascii="宋体" w:hAnsi="宋体"/>
          <w:b/>
          <w:color w:val="auto"/>
          <w:spacing w:val="0"/>
          <w:position w:val="0"/>
          <w:sz w:val="32"/>
          <w:szCs w:val="32"/>
          <w:highlight w:val="none"/>
        </w:rPr>
      </w:pPr>
    </w:p>
    <w:p w14:paraId="65A47A0D">
      <w:pPr>
        <w:spacing w:line="320" w:lineRule="exact"/>
        <w:jc w:val="center"/>
        <w:rPr>
          <w:rFonts w:hint="eastAsia" w:ascii="宋体" w:hAnsi="宋体"/>
          <w:b/>
          <w:color w:val="auto"/>
          <w:spacing w:val="0"/>
          <w:position w:val="0"/>
          <w:sz w:val="32"/>
          <w:szCs w:val="32"/>
          <w:highlight w:val="none"/>
        </w:rPr>
      </w:pPr>
    </w:p>
    <w:p w14:paraId="5811E340">
      <w:pPr>
        <w:spacing w:line="320" w:lineRule="exact"/>
        <w:jc w:val="center"/>
        <w:rPr>
          <w:rFonts w:hint="eastAsia" w:ascii="宋体" w:hAnsi="宋体"/>
          <w:b/>
          <w:color w:val="auto"/>
          <w:spacing w:val="0"/>
          <w:position w:val="0"/>
          <w:sz w:val="32"/>
          <w:szCs w:val="32"/>
          <w:highlight w:val="none"/>
        </w:rPr>
      </w:pPr>
    </w:p>
    <w:p w14:paraId="1C187CE6">
      <w:pPr>
        <w:spacing w:line="320" w:lineRule="exact"/>
        <w:jc w:val="center"/>
        <w:rPr>
          <w:rFonts w:hint="eastAsia" w:ascii="宋体" w:hAnsi="宋体"/>
          <w:b/>
          <w:color w:val="auto"/>
          <w:spacing w:val="0"/>
          <w:position w:val="0"/>
          <w:sz w:val="32"/>
          <w:szCs w:val="32"/>
          <w:highlight w:val="none"/>
        </w:rPr>
      </w:pPr>
    </w:p>
    <w:p w14:paraId="07166E0E">
      <w:pPr>
        <w:spacing w:line="320" w:lineRule="exact"/>
        <w:jc w:val="center"/>
        <w:rPr>
          <w:rFonts w:hint="eastAsia" w:ascii="宋体" w:hAnsi="宋体"/>
          <w:b/>
          <w:color w:val="auto"/>
          <w:spacing w:val="0"/>
          <w:position w:val="0"/>
          <w:sz w:val="32"/>
          <w:szCs w:val="32"/>
          <w:highlight w:val="none"/>
        </w:rPr>
      </w:pPr>
    </w:p>
    <w:p w14:paraId="1E377BE8">
      <w:pPr>
        <w:spacing w:line="320" w:lineRule="exact"/>
        <w:jc w:val="center"/>
        <w:rPr>
          <w:rFonts w:hint="eastAsia" w:ascii="宋体" w:hAnsi="宋体"/>
          <w:b/>
          <w:color w:val="auto"/>
          <w:spacing w:val="0"/>
          <w:position w:val="0"/>
          <w:sz w:val="32"/>
          <w:szCs w:val="32"/>
          <w:highlight w:val="none"/>
        </w:rPr>
      </w:pPr>
    </w:p>
    <w:p w14:paraId="00CB6F30">
      <w:pPr>
        <w:spacing w:line="320" w:lineRule="exact"/>
        <w:jc w:val="center"/>
        <w:rPr>
          <w:rFonts w:hint="eastAsia" w:ascii="宋体" w:hAnsi="宋体"/>
          <w:b/>
          <w:color w:val="auto"/>
          <w:spacing w:val="0"/>
          <w:position w:val="0"/>
          <w:sz w:val="32"/>
          <w:szCs w:val="32"/>
          <w:highlight w:val="none"/>
        </w:rPr>
      </w:pPr>
    </w:p>
    <w:p w14:paraId="5F67C4BE">
      <w:pPr>
        <w:spacing w:line="320" w:lineRule="exact"/>
        <w:jc w:val="center"/>
        <w:rPr>
          <w:rFonts w:hint="eastAsia" w:ascii="宋体" w:hAnsi="宋体"/>
          <w:b/>
          <w:color w:val="auto"/>
          <w:spacing w:val="0"/>
          <w:position w:val="0"/>
          <w:sz w:val="32"/>
          <w:szCs w:val="32"/>
          <w:highlight w:val="none"/>
        </w:rPr>
      </w:pPr>
    </w:p>
    <w:p w14:paraId="088B3672">
      <w:pPr>
        <w:spacing w:line="320" w:lineRule="exact"/>
        <w:jc w:val="center"/>
        <w:rPr>
          <w:rFonts w:hint="eastAsia" w:ascii="宋体" w:hAnsi="宋体"/>
          <w:b/>
          <w:color w:val="auto"/>
          <w:spacing w:val="0"/>
          <w:position w:val="0"/>
          <w:sz w:val="32"/>
          <w:szCs w:val="32"/>
          <w:highlight w:val="none"/>
        </w:rPr>
      </w:pPr>
    </w:p>
    <w:p w14:paraId="75D2F723">
      <w:pPr>
        <w:spacing w:line="320" w:lineRule="exact"/>
        <w:jc w:val="center"/>
        <w:rPr>
          <w:rFonts w:hint="eastAsia" w:ascii="宋体" w:hAnsi="宋体"/>
          <w:b/>
          <w:color w:val="auto"/>
          <w:spacing w:val="0"/>
          <w:position w:val="0"/>
          <w:sz w:val="32"/>
          <w:szCs w:val="32"/>
          <w:highlight w:val="none"/>
        </w:rPr>
      </w:pPr>
    </w:p>
    <w:p w14:paraId="74AAE3CF">
      <w:pPr>
        <w:spacing w:line="320" w:lineRule="exact"/>
        <w:jc w:val="center"/>
        <w:rPr>
          <w:rFonts w:hint="eastAsia" w:ascii="宋体" w:hAnsi="宋体"/>
          <w:b/>
          <w:color w:val="auto"/>
          <w:spacing w:val="0"/>
          <w:position w:val="0"/>
          <w:sz w:val="32"/>
          <w:szCs w:val="32"/>
          <w:highlight w:val="none"/>
        </w:rPr>
      </w:pPr>
    </w:p>
    <w:p w14:paraId="513B0424">
      <w:pPr>
        <w:spacing w:line="320" w:lineRule="exact"/>
        <w:jc w:val="center"/>
        <w:rPr>
          <w:rFonts w:hint="eastAsia" w:ascii="宋体" w:hAnsi="宋体"/>
          <w:b/>
          <w:color w:val="auto"/>
          <w:spacing w:val="0"/>
          <w:position w:val="0"/>
          <w:sz w:val="32"/>
          <w:szCs w:val="32"/>
          <w:highlight w:val="none"/>
        </w:rPr>
      </w:pPr>
    </w:p>
    <w:p w14:paraId="37AE3098">
      <w:pPr>
        <w:spacing w:line="320" w:lineRule="exact"/>
        <w:jc w:val="center"/>
        <w:rPr>
          <w:rFonts w:hint="eastAsia" w:ascii="宋体" w:hAnsi="宋体"/>
          <w:b/>
          <w:color w:val="auto"/>
          <w:spacing w:val="0"/>
          <w:position w:val="0"/>
          <w:sz w:val="32"/>
          <w:szCs w:val="32"/>
          <w:highlight w:val="none"/>
        </w:rPr>
      </w:pPr>
    </w:p>
    <w:p w14:paraId="2E5EAE59">
      <w:pPr>
        <w:spacing w:line="320" w:lineRule="exact"/>
        <w:jc w:val="center"/>
        <w:rPr>
          <w:rFonts w:hint="eastAsia" w:ascii="宋体" w:hAnsi="宋体"/>
          <w:b/>
          <w:color w:val="auto"/>
          <w:spacing w:val="0"/>
          <w:position w:val="0"/>
          <w:sz w:val="32"/>
          <w:szCs w:val="32"/>
          <w:highlight w:val="none"/>
        </w:rPr>
      </w:pPr>
    </w:p>
    <w:p w14:paraId="7DF6E2BE">
      <w:pPr>
        <w:spacing w:line="320" w:lineRule="exact"/>
        <w:jc w:val="center"/>
        <w:rPr>
          <w:rFonts w:hint="eastAsia" w:ascii="宋体" w:hAnsi="宋体"/>
          <w:b/>
          <w:color w:val="auto"/>
          <w:spacing w:val="0"/>
          <w:position w:val="0"/>
          <w:sz w:val="32"/>
          <w:szCs w:val="32"/>
          <w:highlight w:val="none"/>
        </w:rPr>
      </w:pPr>
    </w:p>
    <w:p w14:paraId="28EE83D2">
      <w:pPr>
        <w:spacing w:line="320" w:lineRule="exact"/>
        <w:jc w:val="center"/>
        <w:rPr>
          <w:rFonts w:hint="eastAsia" w:ascii="宋体" w:hAnsi="宋体"/>
          <w:b/>
          <w:color w:val="auto"/>
          <w:spacing w:val="0"/>
          <w:position w:val="0"/>
          <w:sz w:val="32"/>
          <w:szCs w:val="32"/>
          <w:highlight w:val="none"/>
        </w:rPr>
      </w:pPr>
    </w:p>
    <w:p w14:paraId="14D04CC0">
      <w:pPr>
        <w:spacing w:line="320" w:lineRule="exact"/>
        <w:jc w:val="center"/>
        <w:rPr>
          <w:rFonts w:hint="eastAsia" w:ascii="宋体" w:hAnsi="宋体"/>
          <w:b/>
          <w:color w:val="auto"/>
          <w:spacing w:val="0"/>
          <w:position w:val="0"/>
          <w:sz w:val="32"/>
          <w:szCs w:val="32"/>
          <w:highlight w:val="none"/>
        </w:rPr>
      </w:pPr>
    </w:p>
    <w:p w14:paraId="5A7573A8">
      <w:pPr>
        <w:spacing w:line="320" w:lineRule="exact"/>
        <w:jc w:val="center"/>
        <w:rPr>
          <w:rFonts w:hint="eastAsia" w:ascii="宋体" w:hAnsi="宋体"/>
          <w:b/>
          <w:color w:val="auto"/>
          <w:spacing w:val="0"/>
          <w:position w:val="0"/>
          <w:sz w:val="32"/>
          <w:szCs w:val="32"/>
          <w:highlight w:val="none"/>
        </w:rPr>
      </w:pPr>
    </w:p>
    <w:p w14:paraId="3BE0AB27">
      <w:pPr>
        <w:spacing w:line="320" w:lineRule="exact"/>
        <w:jc w:val="center"/>
        <w:rPr>
          <w:rFonts w:hint="eastAsia" w:ascii="宋体" w:hAnsi="宋体" w:eastAsia="宋体"/>
          <w:b/>
          <w:color w:val="auto"/>
          <w:spacing w:val="0"/>
          <w:position w:val="0"/>
          <w:sz w:val="32"/>
          <w:szCs w:val="32"/>
          <w:highlight w:val="none"/>
          <w:lang w:eastAsia="zh-CN"/>
        </w:rPr>
      </w:pPr>
      <w:r>
        <w:rPr>
          <w:rFonts w:hint="eastAsia" w:ascii="宋体" w:hAnsi="宋体"/>
          <w:b/>
          <w:color w:val="auto"/>
          <w:spacing w:val="0"/>
          <w:position w:val="0"/>
          <w:sz w:val="32"/>
          <w:szCs w:val="32"/>
          <w:highlight w:val="none"/>
        </w:rPr>
        <w:t>供应商直接控股、管理关系信息表</w:t>
      </w:r>
      <w:r>
        <w:rPr>
          <w:rFonts w:hint="eastAsia" w:ascii="宋体" w:hAnsi="宋体"/>
          <w:b/>
          <w:color w:val="auto"/>
          <w:spacing w:val="0"/>
          <w:position w:val="0"/>
          <w:sz w:val="32"/>
          <w:szCs w:val="32"/>
          <w:highlight w:val="none"/>
          <w:lang w:eastAsia="zh-CN"/>
        </w:rPr>
        <w:t>（格式）</w:t>
      </w:r>
    </w:p>
    <w:p w14:paraId="60651CAB">
      <w:pPr>
        <w:spacing w:line="360" w:lineRule="auto"/>
        <w:contextualSpacing/>
        <w:jc w:val="center"/>
        <w:rPr>
          <w:rFonts w:hint="eastAsia" w:ascii="宋体" w:hAnsi="宋体"/>
          <w:b/>
          <w:color w:val="auto"/>
          <w:spacing w:val="0"/>
          <w:position w:val="0"/>
          <w:sz w:val="32"/>
          <w:szCs w:val="32"/>
          <w:highlight w:val="none"/>
        </w:rPr>
      </w:pPr>
    </w:p>
    <w:p w14:paraId="779F702C">
      <w:pPr>
        <w:spacing w:line="360" w:lineRule="auto"/>
        <w:contextualSpacing/>
        <w:jc w:val="center"/>
        <w:rPr>
          <w:rFonts w:hint="eastAsia" w:ascii="宋体" w:hAnsi="宋体"/>
          <w:b/>
          <w:color w:val="auto"/>
          <w:spacing w:val="0"/>
          <w:position w:val="0"/>
          <w:sz w:val="32"/>
          <w:szCs w:val="32"/>
          <w:highlight w:val="none"/>
        </w:rPr>
      </w:pPr>
      <w:r>
        <w:rPr>
          <w:rFonts w:hint="eastAsia" w:ascii="宋体" w:hAnsi="宋体"/>
          <w:b/>
          <w:color w:val="auto"/>
          <w:spacing w:val="0"/>
          <w:position w:val="0"/>
          <w:sz w:val="32"/>
          <w:szCs w:val="32"/>
          <w:highlight w:val="none"/>
        </w:rPr>
        <w:t>供应商直接控股股东信息表</w:t>
      </w:r>
      <w:r>
        <w:rPr>
          <w:rFonts w:hint="eastAsia" w:ascii="宋体" w:hAnsi="宋体"/>
          <w:b/>
          <w:color w:val="auto"/>
          <w:spacing w:val="0"/>
          <w:position w:val="0"/>
          <w:sz w:val="32"/>
          <w:szCs w:val="32"/>
          <w:highlight w:val="none"/>
          <w:lang w:eastAsia="zh-CN"/>
        </w:rPr>
        <w:t>（格式）</w:t>
      </w:r>
    </w:p>
    <w:p w14:paraId="151E956B">
      <w:pPr>
        <w:spacing w:line="360" w:lineRule="auto"/>
        <w:contextualSpacing/>
        <w:jc w:val="center"/>
        <w:rPr>
          <w:rFonts w:hint="eastAsia" w:ascii="宋体" w:hAnsi="宋体"/>
          <w:b/>
          <w:color w:val="auto"/>
          <w:spacing w:val="0"/>
          <w:position w:val="0"/>
          <w:sz w:val="24"/>
          <w:highlight w:val="none"/>
        </w:rPr>
      </w:pPr>
    </w:p>
    <w:tbl>
      <w:tblPr>
        <w:tblStyle w:val="30"/>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39D9A144">
        <w:tblPrEx>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DF7542">
            <w:pPr>
              <w:widowControl/>
              <w:spacing w:line="360" w:lineRule="auto"/>
              <w:contextualSpacing/>
              <w:jc w:val="center"/>
              <w:rPr>
                <w:rFonts w:hint="eastAsia" w:ascii="宋体" w:hAnsi="宋体" w:cs="宋体"/>
                <w:b/>
                <w:bCs/>
                <w:color w:val="auto"/>
                <w:spacing w:val="0"/>
                <w:kern w:val="0"/>
                <w:position w:val="0"/>
                <w:sz w:val="24"/>
                <w:highlight w:val="none"/>
              </w:rPr>
            </w:pPr>
            <w:r>
              <w:rPr>
                <w:rFonts w:hint="eastAsia" w:ascii="宋体" w:hAnsi="宋体" w:cs="宋体"/>
                <w:b/>
                <w:bCs/>
                <w:color w:val="auto"/>
                <w:spacing w:val="0"/>
                <w:kern w:val="0"/>
                <w:positio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FE6AA2D">
            <w:pPr>
              <w:widowControl/>
              <w:spacing w:line="360" w:lineRule="auto"/>
              <w:contextualSpacing/>
              <w:jc w:val="center"/>
              <w:rPr>
                <w:rFonts w:hint="eastAsia" w:ascii="宋体" w:hAnsi="宋体" w:cs="宋体"/>
                <w:b/>
                <w:bCs/>
                <w:color w:val="auto"/>
                <w:spacing w:val="0"/>
                <w:kern w:val="0"/>
                <w:position w:val="0"/>
                <w:sz w:val="24"/>
                <w:highlight w:val="none"/>
              </w:rPr>
            </w:pPr>
            <w:r>
              <w:rPr>
                <w:rFonts w:hint="eastAsia" w:ascii="宋体" w:hAnsi="宋体" w:cs="宋体"/>
                <w:b/>
                <w:bCs/>
                <w:color w:val="auto"/>
                <w:spacing w:val="0"/>
                <w:kern w:val="0"/>
                <w:positio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127824A">
            <w:pPr>
              <w:widowControl/>
              <w:spacing w:line="360" w:lineRule="auto"/>
              <w:contextualSpacing/>
              <w:jc w:val="center"/>
              <w:rPr>
                <w:rFonts w:hint="eastAsia" w:ascii="宋体" w:hAnsi="宋体" w:cs="宋体"/>
                <w:b/>
                <w:bCs/>
                <w:color w:val="auto"/>
                <w:spacing w:val="0"/>
                <w:kern w:val="0"/>
                <w:position w:val="0"/>
                <w:sz w:val="24"/>
                <w:highlight w:val="none"/>
              </w:rPr>
            </w:pPr>
            <w:r>
              <w:rPr>
                <w:rFonts w:hint="eastAsia" w:ascii="宋体" w:hAnsi="宋体" w:cs="宋体"/>
                <w:b/>
                <w:bCs/>
                <w:color w:val="auto"/>
                <w:spacing w:val="0"/>
                <w:kern w:val="0"/>
                <w:positio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574FF4B">
            <w:pPr>
              <w:widowControl/>
              <w:spacing w:line="360" w:lineRule="auto"/>
              <w:contextualSpacing/>
              <w:jc w:val="center"/>
              <w:rPr>
                <w:rFonts w:hint="eastAsia" w:ascii="宋体" w:hAnsi="宋体" w:cs="宋体"/>
                <w:b/>
                <w:bCs/>
                <w:color w:val="auto"/>
                <w:spacing w:val="0"/>
                <w:kern w:val="0"/>
                <w:position w:val="0"/>
                <w:sz w:val="24"/>
                <w:highlight w:val="none"/>
              </w:rPr>
            </w:pPr>
            <w:r>
              <w:rPr>
                <w:rFonts w:hint="eastAsia" w:ascii="宋体" w:hAnsi="宋体" w:cs="宋体"/>
                <w:b/>
                <w:bCs/>
                <w:color w:val="auto"/>
                <w:spacing w:val="0"/>
                <w:kern w:val="0"/>
                <w:positio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32DD6E9">
            <w:pPr>
              <w:widowControl/>
              <w:spacing w:line="360" w:lineRule="auto"/>
              <w:contextualSpacing/>
              <w:jc w:val="center"/>
              <w:rPr>
                <w:rFonts w:hint="eastAsia" w:ascii="宋体" w:hAnsi="宋体" w:cs="宋体"/>
                <w:b/>
                <w:bCs/>
                <w:color w:val="auto"/>
                <w:spacing w:val="0"/>
                <w:kern w:val="0"/>
                <w:position w:val="0"/>
                <w:sz w:val="24"/>
                <w:highlight w:val="none"/>
              </w:rPr>
            </w:pPr>
            <w:r>
              <w:rPr>
                <w:rFonts w:hint="eastAsia" w:ascii="宋体" w:hAnsi="宋体" w:cs="宋体"/>
                <w:b/>
                <w:bCs/>
                <w:color w:val="auto"/>
                <w:spacing w:val="0"/>
                <w:kern w:val="0"/>
                <w:position w:val="0"/>
                <w:sz w:val="24"/>
                <w:highlight w:val="none"/>
              </w:rPr>
              <w:t>备注</w:t>
            </w:r>
          </w:p>
        </w:tc>
      </w:tr>
      <w:tr w14:paraId="726630FA">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7E2CB68">
            <w:pPr>
              <w:widowControl/>
              <w:spacing w:line="360" w:lineRule="auto"/>
              <w:contextualSpacing/>
              <w:jc w:val="center"/>
              <w:rPr>
                <w:rFonts w:hint="eastAsia" w:ascii="宋体" w:hAnsi="宋体" w:cs="宋体"/>
                <w:color w:val="auto"/>
                <w:spacing w:val="0"/>
                <w:kern w:val="0"/>
                <w:position w:val="0"/>
                <w:sz w:val="24"/>
                <w:highlight w:val="none"/>
              </w:rPr>
            </w:pPr>
            <w:r>
              <w:rPr>
                <w:rFonts w:hint="eastAsia" w:ascii="宋体" w:hAnsi="宋体" w:cs="宋体"/>
                <w:color w:val="auto"/>
                <w:spacing w:val="0"/>
                <w:kern w:val="0"/>
                <w:positio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26A67EB">
            <w:pPr>
              <w:widowControl/>
              <w:spacing w:line="360" w:lineRule="auto"/>
              <w:contextualSpacing/>
              <w:jc w:val="center"/>
              <w:rPr>
                <w:rFonts w:hint="eastAsia" w:ascii="宋体" w:hAnsi="宋体" w:cs="宋体"/>
                <w:color w:val="auto"/>
                <w:spacing w:val="0"/>
                <w:kern w:val="0"/>
                <w:positio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834D7E4">
            <w:pPr>
              <w:widowControl/>
              <w:spacing w:line="360" w:lineRule="auto"/>
              <w:contextualSpacing/>
              <w:jc w:val="center"/>
              <w:rPr>
                <w:rFonts w:hint="eastAsia" w:ascii="宋体" w:hAnsi="宋体" w:cs="宋体"/>
                <w:color w:val="auto"/>
                <w:spacing w:val="0"/>
                <w:kern w:val="0"/>
                <w:positio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EDDF32">
            <w:pPr>
              <w:widowControl/>
              <w:spacing w:line="360" w:lineRule="auto"/>
              <w:contextualSpacing/>
              <w:jc w:val="center"/>
              <w:rPr>
                <w:rFonts w:hint="eastAsia" w:ascii="宋体" w:hAnsi="宋体" w:cs="宋体"/>
                <w:color w:val="auto"/>
                <w:spacing w:val="0"/>
                <w:kern w:val="0"/>
                <w:positio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4AE4024">
            <w:pPr>
              <w:widowControl/>
              <w:spacing w:line="360" w:lineRule="auto"/>
              <w:contextualSpacing/>
              <w:jc w:val="center"/>
              <w:rPr>
                <w:rFonts w:hint="eastAsia" w:ascii="宋体" w:hAnsi="宋体" w:cs="宋体"/>
                <w:color w:val="auto"/>
                <w:spacing w:val="0"/>
                <w:kern w:val="0"/>
                <w:position w:val="0"/>
                <w:sz w:val="24"/>
                <w:highlight w:val="none"/>
              </w:rPr>
            </w:pPr>
          </w:p>
        </w:tc>
      </w:tr>
      <w:tr w14:paraId="0228648C">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42B1251">
            <w:pPr>
              <w:widowControl/>
              <w:spacing w:line="360" w:lineRule="auto"/>
              <w:contextualSpacing/>
              <w:jc w:val="center"/>
              <w:rPr>
                <w:rFonts w:hint="eastAsia" w:ascii="宋体" w:hAnsi="宋体" w:cs="宋体"/>
                <w:color w:val="auto"/>
                <w:spacing w:val="0"/>
                <w:kern w:val="0"/>
                <w:position w:val="0"/>
                <w:sz w:val="24"/>
                <w:highlight w:val="none"/>
              </w:rPr>
            </w:pPr>
            <w:r>
              <w:rPr>
                <w:rFonts w:hint="eastAsia" w:ascii="宋体" w:hAnsi="宋体" w:cs="宋体"/>
                <w:color w:val="auto"/>
                <w:spacing w:val="0"/>
                <w:kern w:val="0"/>
                <w:positio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C3BC2F5">
            <w:pPr>
              <w:widowControl/>
              <w:spacing w:line="360" w:lineRule="auto"/>
              <w:contextualSpacing/>
              <w:jc w:val="center"/>
              <w:rPr>
                <w:rFonts w:hint="eastAsia" w:ascii="宋体" w:hAnsi="宋体" w:cs="宋体"/>
                <w:color w:val="auto"/>
                <w:spacing w:val="0"/>
                <w:kern w:val="0"/>
                <w:positio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F38B89B">
            <w:pPr>
              <w:widowControl/>
              <w:spacing w:line="360" w:lineRule="auto"/>
              <w:contextualSpacing/>
              <w:jc w:val="center"/>
              <w:rPr>
                <w:rFonts w:hint="eastAsia" w:ascii="宋体" w:hAnsi="宋体" w:cs="宋体"/>
                <w:color w:val="auto"/>
                <w:spacing w:val="0"/>
                <w:kern w:val="0"/>
                <w:positio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6A16A86">
            <w:pPr>
              <w:widowControl/>
              <w:spacing w:line="360" w:lineRule="auto"/>
              <w:contextualSpacing/>
              <w:jc w:val="center"/>
              <w:rPr>
                <w:rFonts w:hint="eastAsia" w:ascii="宋体" w:hAnsi="宋体" w:cs="宋体"/>
                <w:color w:val="auto"/>
                <w:spacing w:val="0"/>
                <w:kern w:val="0"/>
                <w:positio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072E311">
            <w:pPr>
              <w:widowControl/>
              <w:spacing w:line="360" w:lineRule="auto"/>
              <w:contextualSpacing/>
              <w:jc w:val="center"/>
              <w:rPr>
                <w:rFonts w:hint="eastAsia" w:ascii="宋体" w:hAnsi="宋体" w:cs="宋体"/>
                <w:color w:val="auto"/>
                <w:spacing w:val="0"/>
                <w:kern w:val="0"/>
                <w:position w:val="0"/>
                <w:sz w:val="24"/>
                <w:highlight w:val="none"/>
              </w:rPr>
            </w:pPr>
          </w:p>
        </w:tc>
      </w:tr>
      <w:tr w14:paraId="22AAFC81">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8BA0F6F">
            <w:pPr>
              <w:widowControl/>
              <w:spacing w:line="360" w:lineRule="auto"/>
              <w:contextualSpacing/>
              <w:jc w:val="center"/>
              <w:rPr>
                <w:rFonts w:hint="eastAsia" w:ascii="宋体" w:hAnsi="宋体" w:cs="宋体"/>
                <w:color w:val="auto"/>
                <w:spacing w:val="0"/>
                <w:kern w:val="0"/>
                <w:position w:val="0"/>
                <w:sz w:val="24"/>
                <w:highlight w:val="none"/>
              </w:rPr>
            </w:pPr>
            <w:r>
              <w:rPr>
                <w:rFonts w:hint="eastAsia" w:ascii="宋体" w:hAnsi="宋体" w:cs="宋体"/>
                <w:color w:val="auto"/>
                <w:spacing w:val="0"/>
                <w:kern w:val="0"/>
                <w:positio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9C67403">
            <w:pPr>
              <w:widowControl/>
              <w:spacing w:line="360" w:lineRule="auto"/>
              <w:contextualSpacing/>
              <w:jc w:val="center"/>
              <w:rPr>
                <w:rFonts w:hint="eastAsia" w:ascii="宋体" w:hAnsi="宋体" w:cs="宋体"/>
                <w:color w:val="auto"/>
                <w:spacing w:val="0"/>
                <w:kern w:val="0"/>
                <w:positio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318EE2D">
            <w:pPr>
              <w:widowControl/>
              <w:spacing w:line="360" w:lineRule="auto"/>
              <w:contextualSpacing/>
              <w:jc w:val="center"/>
              <w:rPr>
                <w:rFonts w:hint="eastAsia" w:ascii="宋体" w:hAnsi="宋体" w:cs="宋体"/>
                <w:color w:val="auto"/>
                <w:spacing w:val="0"/>
                <w:kern w:val="0"/>
                <w:positio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824CEBE">
            <w:pPr>
              <w:widowControl/>
              <w:spacing w:line="360" w:lineRule="auto"/>
              <w:contextualSpacing/>
              <w:jc w:val="center"/>
              <w:rPr>
                <w:rFonts w:hint="eastAsia" w:ascii="宋体" w:hAnsi="宋体" w:cs="宋体"/>
                <w:color w:val="auto"/>
                <w:spacing w:val="0"/>
                <w:kern w:val="0"/>
                <w:positio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85D7766">
            <w:pPr>
              <w:widowControl/>
              <w:spacing w:line="360" w:lineRule="auto"/>
              <w:contextualSpacing/>
              <w:jc w:val="center"/>
              <w:rPr>
                <w:rFonts w:hint="eastAsia" w:ascii="宋体" w:hAnsi="宋体" w:cs="宋体"/>
                <w:color w:val="auto"/>
                <w:spacing w:val="0"/>
                <w:kern w:val="0"/>
                <w:position w:val="0"/>
                <w:sz w:val="24"/>
                <w:highlight w:val="none"/>
              </w:rPr>
            </w:pPr>
          </w:p>
        </w:tc>
      </w:tr>
      <w:tr w14:paraId="4E8FC355">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2694BC6">
            <w:pPr>
              <w:widowControl/>
              <w:spacing w:line="360" w:lineRule="auto"/>
              <w:contextualSpacing/>
              <w:jc w:val="center"/>
              <w:rPr>
                <w:rFonts w:hint="eastAsia" w:ascii="宋体" w:hAnsi="宋体" w:cs="宋体"/>
                <w:color w:val="auto"/>
                <w:spacing w:val="0"/>
                <w:kern w:val="0"/>
                <w:position w:val="0"/>
                <w:sz w:val="24"/>
                <w:highlight w:val="none"/>
              </w:rPr>
            </w:pPr>
            <w:r>
              <w:rPr>
                <w:rFonts w:hint="eastAsia" w:ascii="宋体" w:hAnsi="宋体" w:cs="宋体"/>
                <w:color w:val="auto"/>
                <w:spacing w:val="0"/>
                <w:kern w:val="0"/>
                <w:positio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16DC1B9">
            <w:pPr>
              <w:widowControl/>
              <w:spacing w:line="360" w:lineRule="auto"/>
              <w:contextualSpacing/>
              <w:jc w:val="center"/>
              <w:rPr>
                <w:rFonts w:hint="eastAsia" w:ascii="宋体" w:hAnsi="宋体" w:cs="宋体"/>
                <w:color w:val="auto"/>
                <w:spacing w:val="0"/>
                <w:kern w:val="0"/>
                <w:positio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80E5523">
            <w:pPr>
              <w:widowControl/>
              <w:spacing w:line="360" w:lineRule="auto"/>
              <w:contextualSpacing/>
              <w:jc w:val="center"/>
              <w:rPr>
                <w:rFonts w:hint="eastAsia" w:ascii="宋体" w:hAnsi="宋体" w:cs="宋体"/>
                <w:color w:val="auto"/>
                <w:spacing w:val="0"/>
                <w:kern w:val="0"/>
                <w:positio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5DB0835">
            <w:pPr>
              <w:widowControl/>
              <w:spacing w:line="360" w:lineRule="auto"/>
              <w:contextualSpacing/>
              <w:jc w:val="center"/>
              <w:rPr>
                <w:rFonts w:hint="eastAsia" w:ascii="宋体" w:hAnsi="宋体" w:cs="宋体"/>
                <w:color w:val="auto"/>
                <w:spacing w:val="0"/>
                <w:kern w:val="0"/>
                <w:positio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E2F6331">
            <w:pPr>
              <w:widowControl/>
              <w:spacing w:line="360" w:lineRule="auto"/>
              <w:contextualSpacing/>
              <w:jc w:val="center"/>
              <w:rPr>
                <w:rFonts w:hint="eastAsia" w:ascii="宋体" w:hAnsi="宋体" w:cs="宋体"/>
                <w:color w:val="auto"/>
                <w:spacing w:val="0"/>
                <w:kern w:val="0"/>
                <w:position w:val="0"/>
                <w:sz w:val="24"/>
                <w:highlight w:val="none"/>
              </w:rPr>
            </w:pPr>
          </w:p>
        </w:tc>
      </w:tr>
    </w:tbl>
    <w:p w14:paraId="4740E7F6">
      <w:pPr>
        <w:spacing w:line="360" w:lineRule="auto"/>
        <w:contextualSpacing/>
        <w:jc w:val="left"/>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注：</w:t>
      </w:r>
    </w:p>
    <w:p w14:paraId="3EF59109">
      <w:pPr>
        <w:spacing w:line="360" w:lineRule="auto"/>
        <w:ind w:firstLine="480" w:firstLineChars="200"/>
        <w:contextualSpacing/>
        <w:jc w:val="left"/>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39148FC">
      <w:pPr>
        <w:spacing w:line="360" w:lineRule="auto"/>
        <w:ind w:firstLine="480" w:firstLineChars="200"/>
        <w:contextualSpacing/>
        <w:jc w:val="left"/>
        <w:rPr>
          <w:rFonts w:hint="eastAsia" w:ascii="宋体" w:hAnsi="宋体" w:cs="宋体"/>
          <w:color w:val="auto"/>
          <w:spacing w:val="0"/>
          <w:position w:val="0"/>
          <w:sz w:val="24"/>
          <w:highlight w:val="none"/>
        </w:rPr>
      </w:pPr>
      <w:r>
        <w:rPr>
          <w:rFonts w:hint="eastAsia" w:ascii="宋体" w:hAnsi="宋体" w:cs="宋体"/>
          <w:color w:val="auto"/>
          <w:spacing w:val="0"/>
          <w:position w:val="0"/>
          <w:sz w:val="24"/>
          <w:highlight w:val="none"/>
        </w:rPr>
        <w:t>2.本表所指的控股关系仅限于直接控股关系，不包括间接的控股关系。公司实际控制人与公司之间的关系不属于本表所指的直接控股关系。</w:t>
      </w:r>
    </w:p>
    <w:p w14:paraId="7A535877">
      <w:pPr>
        <w:spacing w:line="360" w:lineRule="auto"/>
        <w:ind w:firstLine="480" w:firstLineChars="200"/>
        <w:contextualSpacing/>
        <w:jc w:val="left"/>
        <w:rPr>
          <w:rFonts w:ascii="宋体" w:hAnsi="宋体" w:cs="宋体"/>
          <w:color w:val="auto"/>
          <w:spacing w:val="0"/>
          <w:position w:val="0"/>
          <w:sz w:val="24"/>
          <w:highlight w:val="none"/>
        </w:rPr>
      </w:pPr>
      <w:r>
        <w:rPr>
          <w:rFonts w:hint="eastAsia" w:ascii="宋体" w:hAnsi="宋体" w:cs="宋体"/>
          <w:color w:val="auto"/>
          <w:spacing w:val="0"/>
          <w:position w:val="0"/>
          <w:sz w:val="24"/>
          <w:highlight w:val="none"/>
        </w:rPr>
        <w:t>3.供应商不存在直接控股股东的，</w:t>
      </w:r>
      <w:r>
        <w:rPr>
          <w:rFonts w:hint="eastAsia" w:ascii="宋体" w:hAnsi="宋体"/>
          <w:color w:val="auto"/>
          <w:spacing w:val="0"/>
          <w:position w:val="0"/>
          <w:sz w:val="24"/>
          <w:highlight w:val="none"/>
        </w:rPr>
        <w:t>则在“直接控股股东名称”填“无”</w:t>
      </w:r>
      <w:r>
        <w:rPr>
          <w:rFonts w:hint="eastAsia" w:ascii="宋体" w:hAnsi="宋体" w:cs="宋体"/>
          <w:color w:val="auto"/>
          <w:spacing w:val="0"/>
          <w:position w:val="0"/>
          <w:sz w:val="24"/>
          <w:highlight w:val="none"/>
        </w:rPr>
        <w:t>。</w:t>
      </w:r>
    </w:p>
    <w:p w14:paraId="2E117195">
      <w:pPr>
        <w:spacing w:line="360" w:lineRule="auto"/>
        <w:ind w:firstLine="420" w:firstLineChars="200"/>
        <w:contextualSpacing/>
        <w:jc w:val="left"/>
        <w:rPr>
          <w:rFonts w:ascii="宋体" w:hAnsi="宋体" w:cs="宋体"/>
          <w:color w:val="auto"/>
          <w:spacing w:val="0"/>
          <w:position w:val="0"/>
          <w:szCs w:val="21"/>
          <w:highlight w:val="none"/>
        </w:rPr>
      </w:pPr>
    </w:p>
    <w:p w14:paraId="3927C59B">
      <w:pPr>
        <w:spacing w:line="360" w:lineRule="auto"/>
        <w:ind w:firstLine="560" w:firstLineChars="200"/>
        <w:contextualSpacing/>
        <w:jc w:val="left"/>
        <w:rPr>
          <w:rFonts w:hint="eastAsia" w:ascii="宋体" w:hAnsi="宋体" w:cs="宋体"/>
          <w:color w:val="auto"/>
          <w:spacing w:val="0"/>
          <w:position w:val="0"/>
          <w:sz w:val="28"/>
          <w:szCs w:val="28"/>
          <w:highlight w:val="none"/>
        </w:rPr>
      </w:pPr>
    </w:p>
    <w:p w14:paraId="3634EB29">
      <w:pPr>
        <w:spacing w:line="360" w:lineRule="auto"/>
        <w:ind w:right="480"/>
        <w:contextualSpacing/>
        <w:jc w:val="center"/>
        <w:rPr>
          <w:rFonts w:hint="eastAsia" w:ascii="宋体" w:hAnsi="宋体" w:cs="宋体"/>
          <w:color w:val="auto"/>
          <w:spacing w:val="0"/>
          <w:position w:val="0"/>
          <w:sz w:val="24"/>
          <w:szCs w:val="24"/>
          <w:highlight w:val="none"/>
          <w:u w:val="single"/>
        </w:rPr>
      </w:pPr>
      <w:r>
        <w:rPr>
          <w:rFonts w:hint="eastAsia" w:ascii="宋体" w:hAnsi="宋体" w:cs="宋体"/>
          <w:color w:val="auto"/>
          <w:spacing w:val="0"/>
          <w:position w:val="0"/>
          <w:sz w:val="24"/>
          <w:highlight w:val="none"/>
        </w:rPr>
        <w:t xml:space="preserve"> </w:t>
      </w:r>
      <w:r>
        <w:rPr>
          <w:rFonts w:ascii="宋体" w:hAnsi="宋体" w:cs="宋体"/>
          <w:color w:val="auto"/>
          <w:spacing w:val="0"/>
          <w:position w:val="0"/>
          <w:sz w:val="24"/>
          <w:highlight w:val="none"/>
        </w:rPr>
        <w:t xml:space="preserve">     </w:t>
      </w:r>
      <w:r>
        <w:rPr>
          <w:rFonts w:ascii="宋体" w:hAnsi="宋体" w:cs="宋体"/>
          <w:color w:val="auto"/>
          <w:spacing w:val="0"/>
          <w:position w:val="0"/>
          <w:sz w:val="24"/>
          <w:szCs w:val="24"/>
          <w:highlight w:val="none"/>
        </w:rPr>
        <w:t xml:space="preserve">  </w:t>
      </w:r>
      <w:r>
        <w:rPr>
          <w:rFonts w:hint="eastAsia" w:ascii="宋体" w:hAnsi="宋体" w:cs="宋体"/>
          <w:color w:val="auto"/>
          <w:spacing w:val="0"/>
          <w:position w:val="0"/>
          <w:sz w:val="24"/>
          <w:szCs w:val="24"/>
          <w:highlight w:val="none"/>
        </w:rPr>
        <w:t>法定代表人或者委托代理人</w:t>
      </w:r>
      <w:r>
        <w:rPr>
          <w:rFonts w:hint="eastAsia" w:ascii="宋体" w:hAnsi="宋体"/>
          <w:color w:val="auto"/>
          <w:spacing w:val="0"/>
          <w:position w:val="0"/>
          <w:sz w:val="24"/>
          <w:szCs w:val="24"/>
          <w:highlight w:val="none"/>
        </w:rPr>
        <w:t>（签字或者电子签名）</w:t>
      </w:r>
      <w:r>
        <w:rPr>
          <w:rFonts w:hint="eastAsia" w:ascii="宋体" w:hAnsi="宋体" w:cs="宋体"/>
          <w:color w:val="auto"/>
          <w:spacing w:val="0"/>
          <w:position w:val="0"/>
          <w:sz w:val="24"/>
          <w:szCs w:val="24"/>
          <w:highlight w:val="none"/>
        </w:rPr>
        <w:t>：</w:t>
      </w:r>
      <w:r>
        <w:rPr>
          <w:rFonts w:hint="eastAsia" w:ascii="宋体" w:hAnsi="宋体" w:cs="宋体"/>
          <w:color w:val="auto"/>
          <w:spacing w:val="0"/>
          <w:position w:val="0"/>
          <w:sz w:val="24"/>
          <w:szCs w:val="24"/>
          <w:highlight w:val="none"/>
          <w:u w:val="single"/>
        </w:rPr>
        <w:t xml:space="preserve"> </w:t>
      </w:r>
      <w:r>
        <w:rPr>
          <w:rFonts w:ascii="宋体" w:hAnsi="宋体" w:cs="宋体"/>
          <w:color w:val="auto"/>
          <w:spacing w:val="0"/>
          <w:position w:val="0"/>
          <w:sz w:val="24"/>
          <w:szCs w:val="24"/>
          <w:highlight w:val="none"/>
          <w:u w:val="single"/>
        </w:rPr>
        <w:t xml:space="preserve">                   </w:t>
      </w:r>
    </w:p>
    <w:p w14:paraId="12E05EBA">
      <w:pPr>
        <w:spacing w:line="360" w:lineRule="auto"/>
        <w:ind w:right="480" w:firstLine="3000" w:firstLineChars="1250"/>
        <w:contextualSpacing/>
        <w:rPr>
          <w:rFonts w:hint="eastAsia" w:ascii="宋体" w:hAnsi="宋体" w:cs="宋体"/>
          <w:color w:val="auto"/>
          <w:spacing w:val="0"/>
          <w:position w:val="0"/>
          <w:sz w:val="24"/>
          <w:szCs w:val="24"/>
          <w:highlight w:val="none"/>
          <w:u w:val="single"/>
        </w:rPr>
      </w:pPr>
      <w:r>
        <w:rPr>
          <w:rFonts w:hint="eastAsia" w:ascii="宋体" w:hAnsi="宋体" w:cs="宋体"/>
          <w:color w:val="auto"/>
          <w:spacing w:val="0"/>
          <w:position w:val="0"/>
          <w:sz w:val="24"/>
          <w:szCs w:val="24"/>
          <w:highlight w:val="none"/>
        </w:rPr>
        <w:t>供应商</w:t>
      </w:r>
      <w:r>
        <w:rPr>
          <w:rFonts w:hint="eastAsia" w:ascii="宋体" w:hAnsi="宋体"/>
          <w:color w:val="auto"/>
          <w:spacing w:val="0"/>
          <w:position w:val="0"/>
          <w:sz w:val="24"/>
          <w:szCs w:val="24"/>
          <w:highlight w:val="none"/>
        </w:rPr>
        <w:t>（电子签章）</w:t>
      </w:r>
      <w:r>
        <w:rPr>
          <w:rFonts w:hint="eastAsia" w:ascii="宋体" w:hAnsi="宋体" w:cs="宋体"/>
          <w:color w:val="auto"/>
          <w:spacing w:val="0"/>
          <w:position w:val="0"/>
          <w:sz w:val="24"/>
          <w:szCs w:val="24"/>
          <w:highlight w:val="none"/>
        </w:rPr>
        <w:t xml:space="preserve">： </w:t>
      </w:r>
      <w:r>
        <w:rPr>
          <w:rFonts w:hint="eastAsia" w:ascii="宋体" w:hAnsi="宋体" w:cs="宋体"/>
          <w:color w:val="auto"/>
          <w:spacing w:val="0"/>
          <w:position w:val="0"/>
          <w:sz w:val="24"/>
          <w:szCs w:val="24"/>
          <w:highlight w:val="none"/>
          <w:u w:val="single"/>
        </w:rPr>
        <w:t xml:space="preserve">                              </w:t>
      </w:r>
    </w:p>
    <w:p w14:paraId="140A3397">
      <w:pPr>
        <w:spacing w:line="360" w:lineRule="auto"/>
        <w:ind w:firstLine="480" w:firstLineChars="200"/>
        <w:contextualSpacing/>
        <w:jc w:val="center"/>
        <w:rPr>
          <w:rFonts w:hint="eastAsia" w:ascii="宋体" w:hAnsi="宋体" w:cs="宋体"/>
          <w:color w:val="auto"/>
          <w:spacing w:val="0"/>
          <w:position w:val="0"/>
          <w:sz w:val="24"/>
          <w:szCs w:val="24"/>
          <w:highlight w:val="none"/>
        </w:rPr>
      </w:pPr>
      <w:r>
        <w:rPr>
          <w:rFonts w:hint="eastAsia" w:ascii="宋体" w:hAnsi="宋体" w:cs="宋体"/>
          <w:color w:val="auto"/>
          <w:spacing w:val="0"/>
          <w:position w:val="0"/>
          <w:sz w:val="24"/>
          <w:szCs w:val="24"/>
          <w:highlight w:val="none"/>
          <w:lang w:val="en-US" w:eastAsia="zh-CN"/>
        </w:rPr>
        <w:t xml:space="preserve">                        </w:t>
      </w:r>
      <w:r>
        <w:rPr>
          <w:rFonts w:hint="eastAsia" w:ascii="宋体" w:hAnsi="宋体" w:cs="宋体"/>
          <w:color w:val="auto"/>
          <w:spacing w:val="0"/>
          <w:position w:val="0"/>
          <w:sz w:val="24"/>
          <w:szCs w:val="24"/>
          <w:highlight w:val="none"/>
        </w:rPr>
        <w:t>年    月    日</w:t>
      </w:r>
    </w:p>
    <w:p w14:paraId="5F0A5C7D">
      <w:pPr>
        <w:snapToGrid w:val="0"/>
        <w:jc w:val="center"/>
        <w:rPr>
          <w:rFonts w:hint="eastAsia" w:ascii="宋体" w:hAnsi="宋体"/>
          <w:b/>
          <w:color w:val="auto"/>
          <w:spacing w:val="0"/>
          <w:position w:val="0"/>
          <w:sz w:val="28"/>
          <w:szCs w:val="28"/>
          <w:highlight w:val="none"/>
        </w:rPr>
      </w:pPr>
      <w:r>
        <w:rPr>
          <w:rFonts w:ascii="宋体" w:hAnsi="宋体"/>
          <w:b/>
          <w:color w:val="auto"/>
          <w:spacing w:val="0"/>
          <w:position w:val="0"/>
          <w:sz w:val="28"/>
          <w:szCs w:val="28"/>
          <w:highlight w:val="none"/>
        </w:rPr>
        <w:br w:type="page"/>
      </w:r>
    </w:p>
    <w:p w14:paraId="7D246258">
      <w:pPr>
        <w:spacing w:line="320" w:lineRule="exact"/>
        <w:jc w:val="center"/>
        <w:rPr>
          <w:rFonts w:hint="eastAsia" w:ascii="宋体" w:hAnsi="宋体"/>
          <w:b/>
          <w:color w:val="auto"/>
          <w:spacing w:val="0"/>
          <w:position w:val="0"/>
          <w:sz w:val="32"/>
          <w:szCs w:val="32"/>
          <w:highlight w:val="none"/>
        </w:rPr>
      </w:pPr>
      <w:r>
        <w:rPr>
          <w:rFonts w:hint="eastAsia" w:ascii="宋体" w:hAnsi="宋体"/>
          <w:b/>
          <w:color w:val="auto"/>
          <w:spacing w:val="0"/>
          <w:position w:val="0"/>
          <w:sz w:val="32"/>
          <w:szCs w:val="32"/>
          <w:highlight w:val="none"/>
        </w:rPr>
        <w:t>供应商直接管理关系信息表</w:t>
      </w:r>
      <w:r>
        <w:rPr>
          <w:rFonts w:hint="eastAsia" w:ascii="宋体" w:hAnsi="宋体"/>
          <w:b/>
          <w:color w:val="auto"/>
          <w:spacing w:val="0"/>
          <w:position w:val="0"/>
          <w:sz w:val="32"/>
          <w:szCs w:val="32"/>
          <w:highlight w:val="none"/>
          <w:lang w:eastAsia="zh-CN"/>
        </w:rPr>
        <w:t>（格式）</w:t>
      </w:r>
    </w:p>
    <w:p w14:paraId="63E3A74D">
      <w:pPr>
        <w:snapToGrid w:val="0"/>
        <w:spacing w:line="360" w:lineRule="auto"/>
        <w:jc w:val="center"/>
        <w:rPr>
          <w:rFonts w:hint="eastAsia" w:ascii="宋体" w:hAnsi="宋体"/>
          <w:b/>
          <w:color w:val="auto"/>
          <w:spacing w:val="0"/>
          <w:position w:val="0"/>
          <w:sz w:val="24"/>
          <w:highlight w:val="none"/>
        </w:rPr>
      </w:pPr>
    </w:p>
    <w:tbl>
      <w:tblPr>
        <w:tblStyle w:val="30"/>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4D4B128D">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622F930">
            <w:pPr>
              <w:widowControl/>
              <w:spacing w:line="360" w:lineRule="auto"/>
              <w:contextualSpacing/>
              <w:jc w:val="center"/>
              <w:rPr>
                <w:rFonts w:ascii="宋体" w:hAnsi="宋体" w:cs="宋体"/>
                <w:b/>
                <w:bCs/>
                <w:color w:val="auto"/>
                <w:spacing w:val="0"/>
                <w:kern w:val="0"/>
                <w:position w:val="0"/>
                <w:sz w:val="24"/>
                <w:highlight w:val="none"/>
              </w:rPr>
            </w:pPr>
            <w:r>
              <w:rPr>
                <w:rFonts w:hint="eastAsia" w:ascii="宋体" w:hAnsi="宋体" w:cs="宋体"/>
                <w:b/>
                <w:bCs/>
                <w:color w:val="auto"/>
                <w:spacing w:val="0"/>
                <w:kern w:val="0"/>
                <w:positio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F7EDFE">
            <w:pPr>
              <w:widowControl/>
              <w:spacing w:line="360" w:lineRule="auto"/>
              <w:contextualSpacing/>
              <w:jc w:val="center"/>
              <w:rPr>
                <w:rFonts w:ascii="宋体" w:hAnsi="宋体" w:cs="宋体"/>
                <w:b/>
                <w:bCs/>
                <w:color w:val="auto"/>
                <w:spacing w:val="0"/>
                <w:kern w:val="0"/>
                <w:position w:val="0"/>
                <w:sz w:val="24"/>
                <w:highlight w:val="none"/>
              </w:rPr>
            </w:pPr>
            <w:r>
              <w:rPr>
                <w:rFonts w:hint="eastAsia" w:ascii="宋体" w:hAnsi="宋体" w:cs="宋体"/>
                <w:b/>
                <w:bCs/>
                <w:color w:val="auto"/>
                <w:spacing w:val="0"/>
                <w:kern w:val="0"/>
                <w:positio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26697E">
            <w:pPr>
              <w:widowControl/>
              <w:spacing w:line="360" w:lineRule="auto"/>
              <w:contextualSpacing/>
              <w:jc w:val="center"/>
              <w:rPr>
                <w:rFonts w:ascii="宋体" w:hAnsi="宋体" w:cs="宋体"/>
                <w:b/>
                <w:bCs/>
                <w:color w:val="auto"/>
                <w:spacing w:val="0"/>
                <w:kern w:val="0"/>
                <w:position w:val="0"/>
                <w:sz w:val="24"/>
                <w:highlight w:val="none"/>
              </w:rPr>
            </w:pPr>
            <w:r>
              <w:rPr>
                <w:rFonts w:hint="eastAsia" w:ascii="宋体" w:hAnsi="宋体" w:cs="宋体"/>
                <w:b/>
                <w:bCs/>
                <w:color w:val="auto"/>
                <w:spacing w:val="0"/>
                <w:kern w:val="0"/>
                <w:positio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960E0D4">
            <w:pPr>
              <w:widowControl/>
              <w:spacing w:line="360" w:lineRule="auto"/>
              <w:contextualSpacing/>
              <w:jc w:val="center"/>
              <w:rPr>
                <w:rFonts w:ascii="宋体" w:hAnsi="宋体" w:cs="宋体"/>
                <w:b/>
                <w:bCs/>
                <w:color w:val="auto"/>
                <w:spacing w:val="0"/>
                <w:kern w:val="0"/>
                <w:position w:val="0"/>
                <w:sz w:val="24"/>
                <w:highlight w:val="none"/>
              </w:rPr>
            </w:pPr>
            <w:r>
              <w:rPr>
                <w:rFonts w:hint="eastAsia" w:ascii="宋体" w:hAnsi="宋体" w:cs="宋体"/>
                <w:b/>
                <w:bCs/>
                <w:color w:val="auto"/>
                <w:spacing w:val="0"/>
                <w:kern w:val="0"/>
                <w:position w:val="0"/>
                <w:sz w:val="24"/>
                <w:highlight w:val="none"/>
              </w:rPr>
              <w:t>相互关系</w:t>
            </w:r>
          </w:p>
        </w:tc>
      </w:tr>
      <w:tr w14:paraId="518FCBA3">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1A414BB">
            <w:pPr>
              <w:widowControl/>
              <w:spacing w:line="360" w:lineRule="auto"/>
              <w:contextualSpacing/>
              <w:jc w:val="center"/>
              <w:rPr>
                <w:rFonts w:ascii="宋体" w:hAnsi="宋体" w:cs="宋体"/>
                <w:color w:val="auto"/>
                <w:spacing w:val="0"/>
                <w:kern w:val="0"/>
                <w:position w:val="0"/>
                <w:sz w:val="24"/>
                <w:highlight w:val="none"/>
              </w:rPr>
            </w:pPr>
            <w:r>
              <w:rPr>
                <w:rFonts w:hint="eastAsia" w:ascii="宋体" w:hAnsi="宋体" w:cs="宋体"/>
                <w:color w:val="auto"/>
                <w:spacing w:val="0"/>
                <w:kern w:val="0"/>
                <w:positio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306AF18">
            <w:pPr>
              <w:widowControl/>
              <w:spacing w:line="360" w:lineRule="auto"/>
              <w:contextualSpacing/>
              <w:jc w:val="center"/>
              <w:rPr>
                <w:rFonts w:ascii="宋体" w:hAnsi="宋体" w:cs="宋体"/>
                <w:color w:val="auto"/>
                <w:spacing w:val="0"/>
                <w:kern w:val="0"/>
                <w:positio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BDE3A40">
            <w:pPr>
              <w:widowControl/>
              <w:spacing w:line="360" w:lineRule="auto"/>
              <w:contextualSpacing/>
              <w:jc w:val="center"/>
              <w:rPr>
                <w:rFonts w:ascii="宋体" w:hAnsi="宋体" w:cs="宋体"/>
                <w:color w:val="auto"/>
                <w:spacing w:val="0"/>
                <w:kern w:val="0"/>
                <w:positio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E733A2E">
            <w:pPr>
              <w:widowControl/>
              <w:spacing w:line="360" w:lineRule="auto"/>
              <w:contextualSpacing/>
              <w:jc w:val="center"/>
              <w:rPr>
                <w:rFonts w:ascii="宋体" w:hAnsi="宋体" w:cs="宋体"/>
                <w:color w:val="auto"/>
                <w:spacing w:val="0"/>
                <w:kern w:val="0"/>
                <w:position w:val="0"/>
                <w:sz w:val="24"/>
                <w:highlight w:val="none"/>
              </w:rPr>
            </w:pPr>
          </w:p>
        </w:tc>
      </w:tr>
      <w:tr w14:paraId="4305BFD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4B888BA">
            <w:pPr>
              <w:widowControl/>
              <w:spacing w:line="360" w:lineRule="auto"/>
              <w:contextualSpacing/>
              <w:jc w:val="center"/>
              <w:rPr>
                <w:rFonts w:ascii="宋体" w:hAnsi="宋体" w:cs="宋体"/>
                <w:color w:val="auto"/>
                <w:spacing w:val="0"/>
                <w:kern w:val="0"/>
                <w:position w:val="0"/>
                <w:sz w:val="24"/>
                <w:highlight w:val="none"/>
              </w:rPr>
            </w:pPr>
            <w:r>
              <w:rPr>
                <w:rFonts w:hint="eastAsia" w:ascii="宋体" w:hAnsi="宋体" w:cs="宋体"/>
                <w:color w:val="auto"/>
                <w:spacing w:val="0"/>
                <w:kern w:val="0"/>
                <w:positio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CCED4FB">
            <w:pPr>
              <w:widowControl/>
              <w:spacing w:line="360" w:lineRule="auto"/>
              <w:contextualSpacing/>
              <w:jc w:val="center"/>
              <w:rPr>
                <w:rFonts w:ascii="宋体" w:hAnsi="宋体" w:cs="宋体"/>
                <w:color w:val="auto"/>
                <w:spacing w:val="0"/>
                <w:kern w:val="0"/>
                <w:positio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07A96F1">
            <w:pPr>
              <w:widowControl/>
              <w:spacing w:line="360" w:lineRule="auto"/>
              <w:contextualSpacing/>
              <w:jc w:val="center"/>
              <w:rPr>
                <w:rFonts w:ascii="宋体" w:hAnsi="宋体" w:cs="宋体"/>
                <w:color w:val="auto"/>
                <w:spacing w:val="0"/>
                <w:kern w:val="0"/>
                <w:positio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0134365">
            <w:pPr>
              <w:widowControl/>
              <w:spacing w:line="360" w:lineRule="auto"/>
              <w:contextualSpacing/>
              <w:jc w:val="center"/>
              <w:rPr>
                <w:rFonts w:ascii="宋体" w:hAnsi="宋体" w:cs="宋体"/>
                <w:color w:val="auto"/>
                <w:spacing w:val="0"/>
                <w:kern w:val="0"/>
                <w:position w:val="0"/>
                <w:sz w:val="24"/>
                <w:highlight w:val="none"/>
              </w:rPr>
            </w:pPr>
          </w:p>
        </w:tc>
      </w:tr>
      <w:tr w14:paraId="12262B74">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0D083B">
            <w:pPr>
              <w:widowControl/>
              <w:spacing w:line="360" w:lineRule="auto"/>
              <w:contextualSpacing/>
              <w:jc w:val="center"/>
              <w:rPr>
                <w:rFonts w:ascii="宋体" w:hAnsi="宋体" w:cs="宋体"/>
                <w:color w:val="auto"/>
                <w:spacing w:val="0"/>
                <w:kern w:val="0"/>
                <w:position w:val="0"/>
                <w:sz w:val="24"/>
                <w:highlight w:val="none"/>
              </w:rPr>
            </w:pPr>
            <w:r>
              <w:rPr>
                <w:rFonts w:hint="eastAsia" w:ascii="宋体" w:hAnsi="宋体" w:cs="宋体"/>
                <w:color w:val="auto"/>
                <w:spacing w:val="0"/>
                <w:kern w:val="0"/>
                <w:positio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0551398">
            <w:pPr>
              <w:widowControl/>
              <w:spacing w:line="360" w:lineRule="auto"/>
              <w:contextualSpacing/>
              <w:jc w:val="center"/>
              <w:rPr>
                <w:rFonts w:ascii="宋体" w:hAnsi="宋体" w:cs="宋体"/>
                <w:color w:val="auto"/>
                <w:spacing w:val="0"/>
                <w:kern w:val="0"/>
                <w:positio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2714708">
            <w:pPr>
              <w:widowControl/>
              <w:spacing w:line="360" w:lineRule="auto"/>
              <w:contextualSpacing/>
              <w:jc w:val="center"/>
              <w:rPr>
                <w:rFonts w:ascii="宋体" w:hAnsi="宋体" w:cs="宋体"/>
                <w:color w:val="auto"/>
                <w:spacing w:val="0"/>
                <w:kern w:val="0"/>
                <w:positio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A054A3E">
            <w:pPr>
              <w:widowControl/>
              <w:spacing w:line="360" w:lineRule="auto"/>
              <w:contextualSpacing/>
              <w:jc w:val="center"/>
              <w:rPr>
                <w:rFonts w:ascii="宋体" w:hAnsi="宋体" w:cs="宋体"/>
                <w:color w:val="auto"/>
                <w:spacing w:val="0"/>
                <w:kern w:val="0"/>
                <w:position w:val="0"/>
                <w:sz w:val="24"/>
                <w:highlight w:val="none"/>
              </w:rPr>
            </w:pPr>
          </w:p>
        </w:tc>
      </w:tr>
      <w:tr w14:paraId="7D670F40">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A4FF86D">
            <w:pPr>
              <w:widowControl/>
              <w:spacing w:line="360" w:lineRule="auto"/>
              <w:contextualSpacing/>
              <w:jc w:val="center"/>
              <w:rPr>
                <w:rFonts w:ascii="宋体" w:hAnsi="宋体" w:cs="宋体"/>
                <w:color w:val="auto"/>
                <w:spacing w:val="0"/>
                <w:kern w:val="0"/>
                <w:position w:val="0"/>
                <w:sz w:val="24"/>
                <w:highlight w:val="none"/>
              </w:rPr>
            </w:pPr>
            <w:r>
              <w:rPr>
                <w:rFonts w:hint="eastAsia" w:ascii="宋体" w:hAnsi="宋体" w:cs="宋体"/>
                <w:color w:val="auto"/>
                <w:spacing w:val="0"/>
                <w:kern w:val="0"/>
                <w:positio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B22BB60">
            <w:pPr>
              <w:widowControl/>
              <w:spacing w:line="360" w:lineRule="auto"/>
              <w:contextualSpacing/>
              <w:jc w:val="center"/>
              <w:rPr>
                <w:rFonts w:ascii="宋体" w:hAnsi="宋体" w:cs="宋体"/>
                <w:color w:val="auto"/>
                <w:spacing w:val="0"/>
                <w:kern w:val="0"/>
                <w:positio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5DA6F86">
            <w:pPr>
              <w:widowControl/>
              <w:spacing w:line="360" w:lineRule="auto"/>
              <w:contextualSpacing/>
              <w:jc w:val="center"/>
              <w:rPr>
                <w:rFonts w:ascii="宋体" w:hAnsi="宋体" w:cs="宋体"/>
                <w:color w:val="auto"/>
                <w:spacing w:val="0"/>
                <w:kern w:val="0"/>
                <w:positio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8C98E9A">
            <w:pPr>
              <w:widowControl/>
              <w:spacing w:line="360" w:lineRule="auto"/>
              <w:contextualSpacing/>
              <w:jc w:val="center"/>
              <w:rPr>
                <w:rFonts w:ascii="宋体" w:hAnsi="宋体" w:cs="宋体"/>
                <w:color w:val="auto"/>
                <w:spacing w:val="0"/>
                <w:kern w:val="0"/>
                <w:position w:val="0"/>
                <w:sz w:val="24"/>
                <w:highlight w:val="none"/>
              </w:rPr>
            </w:pPr>
          </w:p>
        </w:tc>
      </w:tr>
    </w:tbl>
    <w:p w14:paraId="2636A3F0">
      <w:pPr>
        <w:spacing w:line="360" w:lineRule="auto"/>
        <w:contextualSpacing/>
        <w:jc w:val="left"/>
        <w:rPr>
          <w:rFonts w:hint="eastAsia" w:ascii="宋体" w:hAnsi="宋体"/>
          <w:color w:val="auto"/>
          <w:spacing w:val="0"/>
          <w:position w:val="0"/>
          <w:sz w:val="24"/>
          <w:highlight w:val="none"/>
        </w:rPr>
      </w:pPr>
      <w:r>
        <w:rPr>
          <w:rFonts w:hint="eastAsia" w:ascii="宋体" w:hAnsi="宋体"/>
          <w:color w:val="auto"/>
          <w:spacing w:val="0"/>
          <w:position w:val="0"/>
          <w:sz w:val="24"/>
          <w:highlight w:val="none"/>
        </w:rPr>
        <w:t>注：</w:t>
      </w:r>
    </w:p>
    <w:p w14:paraId="53E3A0C2">
      <w:pPr>
        <w:spacing w:line="360" w:lineRule="auto"/>
        <w:ind w:firstLine="480" w:firstLineChars="200"/>
        <w:contextualSpacing/>
        <w:jc w:val="left"/>
        <w:rPr>
          <w:rFonts w:hint="eastAsia" w:ascii="宋体" w:hAnsi="宋体"/>
          <w:color w:val="auto"/>
          <w:spacing w:val="0"/>
          <w:position w:val="0"/>
          <w:sz w:val="24"/>
          <w:highlight w:val="none"/>
        </w:rPr>
      </w:pPr>
      <w:r>
        <w:rPr>
          <w:rFonts w:hint="eastAsia" w:ascii="宋体" w:hAnsi="宋体"/>
          <w:color w:val="auto"/>
          <w:spacing w:val="0"/>
          <w:position w:val="0"/>
          <w:sz w:val="24"/>
          <w:highlight w:val="none"/>
        </w:rPr>
        <w:t>1.管理关系：是指不具有出资持股关系的其他单位之间存在的管理与被管理关系，如一些上下级关系的事业单位和团体组织。</w:t>
      </w:r>
    </w:p>
    <w:p w14:paraId="3519E298">
      <w:pPr>
        <w:spacing w:line="360" w:lineRule="auto"/>
        <w:ind w:firstLine="480" w:firstLineChars="200"/>
        <w:contextualSpacing/>
        <w:jc w:val="left"/>
        <w:rPr>
          <w:rFonts w:hint="eastAsia" w:ascii="宋体" w:hAnsi="宋体"/>
          <w:color w:val="auto"/>
          <w:spacing w:val="0"/>
          <w:position w:val="0"/>
          <w:sz w:val="24"/>
          <w:highlight w:val="none"/>
        </w:rPr>
      </w:pPr>
      <w:r>
        <w:rPr>
          <w:rFonts w:hint="eastAsia" w:ascii="宋体" w:hAnsi="宋体"/>
          <w:color w:val="auto"/>
          <w:spacing w:val="0"/>
          <w:position w:val="0"/>
          <w:sz w:val="24"/>
          <w:highlight w:val="none"/>
        </w:rPr>
        <w:t>2.本表所指的管理关系仅限于直接管理关系，不包括间接的管理关系。</w:t>
      </w:r>
    </w:p>
    <w:p w14:paraId="4259DF7B">
      <w:pPr>
        <w:spacing w:line="360" w:lineRule="auto"/>
        <w:ind w:firstLine="480" w:firstLineChars="200"/>
        <w:contextualSpacing/>
        <w:jc w:val="left"/>
        <w:rPr>
          <w:rFonts w:hint="eastAsia" w:ascii="宋体" w:hAnsi="宋体"/>
          <w:color w:val="auto"/>
          <w:spacing w:val="0"/>
          <w:position w:val="0"/>
          <w:sz w:val="24"/>
          <w:highlight w:val="none"/>
        </w:rPr>
      </w:pPr>
      <w:r>
        <w:rPr>
          <w:rFonts w:hint="eastAsia" w:ascii="宋体" w:hAnsi="宋体"/>
          <w:color w:val="auto"/>
          <w:spacing w:val="0"/>
          <w:position w:val="0"/>
          <w:sz w:val="24"/>
          <w:highlight w:val="none"/>
        </w:rPr>
        <w:t>3.供应商不存在直接管理关系的，则在“直接管理关系单位名称”填“无”。</w:t>
      </w:r>
    </w:p>
    <w:p w14:paraId="5AF32528">
      <w:pPr>
        <w:spacing w:line="360" w:lineRule="auto"/>
        <w:contextualSpacing/>
        <w:jc w:val="left"/>
        <w:rPr>
          <w:rFonts w:hint="eastAsia" w:ascii="宋体" w:hAnsi="宋体"/>
          <w:color w:val="auto"/>
          <w:spacing w:val="0"/>
          <w:position w:val="0"/>
          <w:sz w:val="28"/>
          <w:szCs w:val="28"/>
          <w:highlight w:val="none"/>
        </w:rPr>
      </w:pPr>
    </w:p>
    <w:p w14:paraId="1A73FBF0">
      <w:pPr>
        <w:spacing w:line="360" w:lineRule="auto"/>
        <w:contextualSpacing/>
        <w:jc w:val="left"/>
        <w:rPr>
          <w:rFonts w:hint="eastAsia" w:ascii="宋体" w:hAnsi="宋体"/>
          <w:color w:val="auto"/>
          <w:spacing w:val="0"/>
          <w:position w:val="0"/>
          <w:sz w:val="28"/>
          <w:szCs w:val="28"/>
          <w:highlight w:val="none"/>
        </w:rPr>
      </w:pPr>
    </w:p>
    <w:p w14:paraId="68D3C518">
      <w:pPr>
        <w:spacing w:line="360" w:lineRule="auto"/>
        <w:contextualSpacing/>
        <w:jc w:val="left"/>
        <w:rPr>
          <w:rFonts w:hint="eastAsia"/>
          <w:color w:val="auto"/>
          <w:spacing w:val="0"/>
          <w:position w:val="0"/>
          <w:sz w:val="28"/>
          <w:szCs w:val="28"/>
          <w:highlight w:val="none"/>
        </w:rPr>
      </w:pPr>
    </w:p>
    <w:p w14:paraId="5D2B3540">
      <w:pPr>
        <w:spacing w:line="360" w:lineRule="auto"/>
        <w:contextualSpacing/>
        <w:jc w:val="left"/>
        <w:rPr>
          <w:rFonts w:hint="eastAsia" w:ascii="宋体" w:hAnsi="宋体"/>
          <w:color w:val="auto"/>
          <w:spacing w:val="0"/>
          <w:position w:val="0"/>
          <w:sz w:val="28"/>
          <w:szCs w:val="28"/>
          <w:highlight w:val="none"/>
        </w:rPr>
      </w:pPr>
    </w:p>
    <w:p w14:paraId="5AE1C7BE">
      <w:pPr>
        <w:spacing w:line="360" w:lineRule="auto"/>
        <w:ind w:right="480"/>
        <w:contextualSpacing/>
        <w:jc w:val="center"/>
        <w:rPr>
          <w:rFonts w:hint="eastAsia" w:ascii="宋体" w:hAnsi="宋体"/>
          <w:color w:val="auto"/>
          <w:spacing w:val="0"/>
          <w:position w:val="0"/>
          <w:sz w:val="24"/>
          <w:szCs w:val="24"/>
          <w:highlight w:val="none"/>
          <w:u w:val="single"/>
        </w:rPr>
      </w:pPr>
      <w:r>
        <w:rPr>
          <w:rFonts w:hint="eastAsia" w:ascii="宋体" w:hAnsi="宋体"/>
          <w:color w:val="auto"/>
          <w:spacing w:val="0"/>
          <w:position w:val="0"/>
          <w:sz w:val="24"/>
          <w:highlight w:val="none"/>
        </w:rPr>
        <w:t xml:space="preserve"> </w:t>
      </w:r>
      <w:r>
        <w:rPr>
          <w:rFonts w:ascii="宋体" w:hAnsi="宋体"/>
          <w:color w:val="auto"/>
          <w:spacing w:val="0"/>
          <w:position w:val="0"/>
          <w:sz w:val="24"/>
          <w:highlight w:val="none"/>
        </w:rPr>
        <w:t xml:space="preserve">            </w:t>
      </w:r>
      <w:r>
        <w:rPr>
          <w:rFonts w:ascii="宋体" w:hAnsi="宋体"/>
          <w:color w:val="auto"/>
          <w:spacing w:val="0"/>
          <w:position w:val="0"/>
          <w:sz w:val="24"/>
          <w:szCs w:val="24"/>
          <w:highlight w:val="none"/>
        </w:rPr>
        <w:t xml:space="preserve"> </w:t>
      </w:r>
      <w:r>
        <w:rPr>
          <w:rFonts w:hint="eastAsia" w:ascii="宋体" w:hAnsi="宋体"/>
          <w:color w:val="auto"/>
          <w:spacing w:val="0"/>
          <w:position w:val="0"/>
          <w:sz w:val="24"/>
          <w:szCs w:val="24"/>
          <w:highlight w:val="none"/>
        </w:rPr>
        <w:t>法定代表人或者委托代理人（签字或者电子签名）：</w:t>
      </w:r>
      <w:r>
        <w:rPr>
          <w:rFonts w:hint="eastAsia" w:ascii="宋体" w:hAnsi="宋体"/>
          <w:color w:val="auto"/>
          <w:spacing w:val="0"/>
          <w:position w:val="0"/>
          <w:sz w:val="24"/>
          <w:szCs w:val="24"/>
          <w:highlight w:val="none"/>
          <w:u w:val="single"/>
        </w:rPr>
        <w:t xml:space="preserve"> </w:t>
      </w:r>
      <w:r>
        <w:rPr>
          <w:rFonts w:ascii="宋体" w:hAnsi="宋体"/>
          <w:color w:val="auto"/>
          <w:spacing w:val="0"/>
          <w:position w:val="0"/>
          <w:sz w:val="24"/>
          <w:szCs w:val="24"/>
          <w:highlight w:val="none"/>
          <w:u w:val="single"/>
        </w:rPr>
        <w:t xml:space="preserve">                  </w:t>
      </w:r>
    </w:p>
    <w:p w14:paraId="46F83318">
      <w:pPr>
        <w:spacing w:line="360" w:lineRule="auto"/>
        <w:ind w:right="480" w:firstLine="3360" w:firstLineChars="1400"/>
        <w:contextualSpacing/>
        <w:rPr>
          <w:rFonts w:hint="eastAsia" w:ascii="宋体" w:hAnsi="宋体"/>
          <w:color w:val="auto"/>
          <w:spacing w:val="0"/>
          <w:position w:val="0"/>
          <w:sz w:val="24"/>
          <w:szCs w:val="24"/>
          <w:highlight w:val="none"/>
        </w:rPr>
      </w:pPr>
      <w:r>
        <w:rPr>
          <w:rFonts w:hint="eastAsia" w:ascii="宋体" w:hAnsi="宋体"/>
          <w:color w:val="auto"/>
          <w:spacing w:val="0"/>
          <w:position w:val="0"/>
          <w:sz w:val="24"/>
          <w:szCs w:val="24"/>
          <w:highlight w:val="none"/>
        </w:rPr>
        <w:t>供应商（电子签章）：</w:t>
      </w:r>
      <w:r>
        <w:rPr>
          <w:rFonts w:hint="eastAsia" w:ascii="宋体" w:hAnsi="宋体"/>
          <w:color w:val="auto"/>
          <w:spacing w:val="0"/>
          <w:position w:val="0"/>
          <w:sz w:val="24"/>
          <w:szCs w:val="24"/>
          <w:highlight w:val="none"/>
          <w:u w:val="single"/>
        </w:rPr>
        <w:t xml:space="preserve">                </w:t>
      </w:r>
    </w:p>
    <w:p w14:paraId="5743B21C">
      <w:pPr>
        <w:spacing w:line="360" w:lineRule="auto"/>
        <w:ind w:firstLine="480" w:firstLineChars="200"/>
        <w:contextualSpacing/>
        <w:jc w:val="left"/>
        <w:rPr>
          <w:rFonts w:ascii="宋体" w:hAnsi="宋体"/>
          <w:color w:val="auto"/>
          <w:spacing w:val="0"/>
          <w:position w:val="0"/>
          <w:sz w:val="24"/>
          <w:szCs w:val="24"/>
          <w:highlight w:val="none"/>
        </w:rPr>
      </w:pPr>
      <w:r>
        <w:rPr>
          <w:rFonts w:hint="eastAsia" w:ascii="宋体" w:hAnsi="宋体"/>
          <w:color w:val="auto"/>
          <w:spacing w:val="0"/>
          <w:position w:val="0"/>
          <w:sz w:val="24"/>
          <w:szCs w:val="24"/>
          <w:highlight w:val="none"/>
        </w:rPr>
        <w:t xml:space="preserve">                                        年    月    日</w:t>
      </w:r>
    </w:p>
    <w:p w14:paraId="3F7C029B">
      <w:pPr>
        <w:pStyle w:val="12"/>
        <w:tabs>
          <w:tab w:val="left" w:pos="939"/>
        </w:tabs>
        <w:spacing w:line="360" w:lineRule="auto"/>
        <w:ind w:left="0" w:leftChars="0" w:firstLine="560" w:firstLineChars="200"/>
        <w:rPr>
          <w:rFonts w:ascii="宋体" w:hAnsi="宋体"/>
          <w:color w:val="auto"/>
          <w:spacing w:val="0"/>
          <w:position w:val="0"/>
          <w:sz w:val="28"/>
          <w:szCs w:val="28"/>
          <w:highlight w:val="none"/>
        </w:rPr>
      </w:pPr>
    </w:p>
    <w:p w14:paraId="4D80D57B">
      <w:pPr>
        <w:pStyle w:val="12"/>
        <w:tabs>
          <w:tab w:val="left" w:pos="939"/>
        </w:tabs>
        <w:spacing w:line="360" w:lineRule="auto"/>
        <w:rPr>
          <w:rFonts w:ascii="宋体" w:hAnsi="宋体"/>
          <w:color w:val="auto"/>
          <w:spacing w:val="0"/>
          <w:position w:val="0"/>
          <w:sz w:val="28"/>
          <w:szCs w:val="28"/>
          <w:highlight w:val="none"/>
        </w:rPr>
      </w:pPr>
    </w:p>
    <w:p w14:paraId="560208FA">
      <w:pPr>
        <w:pStyle w:val="12"/>
        <w:tabs>
          <w:tab w:val="left" w:pos="939"/>
        </w:tabs>
        <w:spacing w:line="360" w:lineRule="auto"/>
        <w:rPr>
          <w:rFonts w:ascii="宋体" w:hAnsi="宋体"/>
          <w:color w:val="auto"/>
          <w:spacing w:val="0"/>
          <w:position w:val="0"/>
          <w:sz w:val="28"/>
          <w:szCs w:val="28"/>
          <w:highlight w:val="none"/>
        </w:rPr>
      </w:pPr>
    </w:p>
    <w:p w14:paraId="422EF017">
      <w:pPr>
        <w:pStyle w:val="12"/>
        <w:tabs>
          <w:tab w:val="left" w:pos="939"/>
        </w:tabs>
        <w:spacing w:line="360" w:lineRule="auto"/>
        <w:rPr>
          <w:rFonts w:ascii="宋体" w:hAnsi="宋体"/>
          <w:color w:val="auto"/>
          <w:spacing w:val="0"/>
          <w:position w:val="0"/>
          <w:sz w:val="28"/>
          <w:szCs w:val="28"/>
          <w:highlight w:val="none"/>
        </w:rPr>
      </w:pPr>
    </w:p>
    <w:p w14:paraId="2DB4DD30">
      <w:pPr>
        <w:pStyle w:val="12"/>
        <w:tabs>
          <w:tab w:val="left" w:pos="939"/>
        </w:tabs>
        <w:spacing w:line="360" w:lineRule="auto"/>
        <w:rPr>
          <w:rFonts w:ascii="宋体" w:hAnsi="宋体"/>
          <w:color w:val="auto"/>
          <w:spacing w:val="0"/>
          <w:position w:val="0"/>
          <w:sz w:val="28"/>
          <w:szCs w:val="28"/>
          <w:highlight w:val="none"/>
        </w:rPr>
      </w:pPr>
    </w:p>
    <w:p w14:paraId="63FE773D">
      <w:pPr>
        <w:pStyle w:val="12"/>
        <w:tabs>
          <w:tab w:val="left" w:pos="939"/>
        </w:tabs>
        <w:spacing w:line="360" w:lineRule="auto"/>
        <w:rPr>
          <w:rFonts w:ascii="宋体" w:hAnsi="宋体"/>
          <w:color w:val="auto"/>
          <w:spacing w:val="0"/>
          <w:position w:val="0"/>
          <w:sz w:val="28"/>
          <w:szCs w:val="28"/>
          <w:highlight w:val="none"/>
        </w:rPr>
      </w:pPr>
    </w:p>
    <w:p w14:paraId="0DFEC8D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Times New Roman"/>
          <w:b/>
          <w:color w:val="auto"/>
          <w:spacing w:val="0"/>
          <w:position w:val="0"/>
          <w:sz w:val="32"/>
          <w:szCs w:val="32"/>
          <w:highlight w:val="none"/>
        </w:rPr>
      </w:pPr>
      <w:bookmarkStart w:id="74" w:name="_Toc71365926"/>
      <w:r>
        <w:rPr>
          <w:rFonts w:hint="eastAsia" w:ascii="宋体" w:hAnsi="宋体" w:eastAsia="宋体" w:cs="Times New Roman"/>
          <w:b/>
          <w:color w:val="auto"/>
          <w:spacing w:val="0"/>
          <w:position w:val="0"/>
          <w:sz w:val="32"/>
          <w:szCs w:val="32"/>
          <w:highlight w:val="none"/>
        </w:rPr>
        <w:t>中小企业声明函（工程）</w:t>
      </w:r>
      <w:bookmarkEnd w:id="74"/>
    </w:p>
    <w:p w14:paraId="3B17FFF3">
      <w:pPr>
        <w:pStyle w:val="10"/>
        <w:spacing w:line="500" w:lineRule="exact"/>
        <w:ind w:right="142" w:firstLine="705" w:firstLineChars="294"/>
        <w:rPr>
          <w:rFonts w:ascii="宋体" w:hAnsi="宋体"/>
          <w:color w:val="auto"/>
          <w:spacing w:val="0"/>
          <w:position w:val="0"/>
          <w:sz w:val="24"/>
          <w:highlight w:val="none"/>
        </w:rPr>
      </w:pPr>
    </w:p>
    <w:p w14:paraId="17A372BF">
      <w:pPr>
        <w:pStyle w:val="10"/>
        <w:spacing w:line="500" w:lineRule="exact"/>
        <w:ind w:right="142" w:firstLine="705" w:firstLineChars="294"/>
        <w:rPr>
          <w:rFonts w:ascii="宋体" w:hAnsi="宋体"/>
          <w:color w:val="auto"/>
          <w:spacing w:val="0"/>
          <w:position w:val="0"/>
          <w:sz w:val="24"/>
          <w:highlight w:val="none"/>
        </w:rPr>
      </w:pPr>
      <w:r>
        <w:rPr>
          <w:rFonts w:ascii="宋体" w:hAnsi="宋体"/>
          <w:color w:val="auto"/>
          <w:spacing w:val="0"/>
          <w:position w:val="0"/>
          <w:sz w:val="24"/>
          <w:highlight w:val="none"/>
        </w:rPr>
        <w:t>本公司（联合体）郑重声明，根据《政府采购促进中小企业发展管理办法》（财库﹝2020﹞46号）的规定，本公司（联合体）参加</w:t>
      </w:r>
      <w:r>
        <w:rPr>
          <w:rFonts w:ascii="宋体" w:hAnsi="宋体"/>
          <w:color w:val="auto"/>
          <w:spacing w:val="0"/>
          <w:position w:val="0"/>
          <w:sz w:val="24"/>
          <w:highlight w:val="none"/>
          <w:u w:val="single"/>
        </w:rPr>
        <w:t>（单位名称）</w:t>
      </w:r>
      <w:r>
        <w:rPr>
          <w:rFonts w:ascii="宋体" w:hAnsi="宋体"/>
          <w:color w:val="auto"/>
          <w:spacing w:val="0"/>
          <w:position w:val="0"/>
          <w:sz w:val="24"/>
          <w:highlight w:val="none"/>
        </w:rPr>
        <w:t>的</w:t>
      </w:r>
      <w:r>
        <w:rPr>
          <w:rFonts w:ascii="宋体" w:hAnsi="宋体"/>
          <w:color w:val="auto"/>
          <w:spacing w:val="0"/>
          <w:position w:val="0"/>
          <w:sz w:val="24"/>
          <w:highlight w:val="none"/>
          <w:u w:val="single"/>
        </w:rPr>
        <w:t>（项目名称）</w:t>
      </w:r>
      <w:r>
        <w:rPr>
          <w:rFonts w:ascii="宋体" w:hAnsi="宋体"/>
          <w:color w:val="auto"/>
          <w:spacing w:val="0"/>
          <w:position w:val="0"/>
          <w:sz w:val="24"/>
          <w:highlight w:val="none"/>
        </w:rPr>
        <w:t>采购活动，</w:t>
      </w:r>
      <w:r>
        <w:rPr>
          <w:rFonts w:hint="eastAsia" w:ascii="宋体" w:hAnsi="宋体"/>
          <w:color w:val="auto"/>
          <w:spacing w:val="0"/>
          <w:position w:val="0"/>
          <w:sz w:val="24"/>
          <w:highlight w:val="none"/>
        </w:rPr>
        <w:t>工程的施工单位全部为符合政策要求的中小企业。相关企业（含联合体中的中小企业、签订分包意向协议的中小企业）的具体情况如下：</w:t>
      </w:r>
    </w:p>
    <w:p w14:paraId="1C07D3D2">
      <w:pPr>
        <w:tabs>
          <w:tab w:val="left" w:pos="1384"/>
          <w:tab w:val="left" w:pos="4562"/>
          <w:tab w:val="left" w:pos="6803"/>
        </w:tabs>
        <w:spacing w:before="13" w:line="500" w:lineRule="exact"/>
        <w:ind w:right="142" w:firstLine="480" w:firstLineChars="200"/>
        <w:rPr>
          <w:rFonts w:ascii="宋体" w:hAnsi="宋体"/>
          <w:color w:val="auto"/>
          <w:spacing w:val="0"/>
          <w:position w:val="0"/>
          <w:sz w:val="24"/>
          <w:highlight w:val="none"/>
        </w:rPr>
      </w:pPr>
      <w:r>
        <w:rPr>
          <w:rFonts w:ascii="宋体" w:hAnsi="宋体"/>
          <w:color w:val="auto"/>
          <w:spacing w:val="0"/>
          <w:position w:val="0"/>
          <w:sz w:val="24"/>
          <w:highlight w:val="none"/>
        </w:rPr>
        <w:t>1.</w:t>
      </w:r>
      <w:r>
        <w:rPr>
          <w:rFonts w:ascii="宋体" w:hAnsi="宋体"/>
          <w:color w:val="auto"/>
          <w:spacing w:val="0"/>
          <w:position w:val="0"/>
          <w:sz w:val="24"/>
          <w:highlight w:val="none"/>
          <w:u w:val="single"/>
        </w:rPr>
        <w:t>（标的名称）</w:t>
      </w:r>
      <w:r>
        <w:rPr>
          <w:rFonts w:ascii="宋体" w:hAnsi="宋体"/>
          <w:color w:val="auto"/>
          <w:spacing w:val="0"/>
          <w:position w:val="0"/>
          <w:sz w:val="24"/>
          <w:highlight w:val="none"/>
        </w:rPr>
        <w:t>，属于</w:t>
      </w:r>
      <w:r>
        <w:rPr>
          <w:rFonts w:ascii="宋体" w:hAnsi="宋体"/>
          <w:color w:val="auto"/>
          <w:spacing w:val="0"/>
          <w:position w:val="0"/>
          <w:sz w:val="24"/>
          <w:highlight w:val="none"/>
          <w:u w:val="single"/>
        </w:rPr>
        <w:t>（采购文件中明确的所属</w:t>
      </w:r>
      <w:r>
        <w:rPr>
          <w:rFonts w:hint="eastAsia" w:ascii="宋体" w:hAnsi="宋体"/>
          <w:color w:val="auto"/>
          <w:spacing w:val="0"/>
          <w:position w:val="0"/>
          <w:sz w:val="24"/>
          <w:highlight w:val="none"/>
          <w:u w:val="single"/>
        </w:rPr>
        <w:t>行</w:t>
      </w:r>
      <w:r>
        <w:rPr>
          <w:rFonts w:ascii="宋体" w:hAnsi="宋体"/>
          <w:color w:val="auto"/>
          <w:spacing w:val="0"/>
          <w:position w:val="0"/>
          <w:sz w:val="24"/>
          <w:highlight w:val="none"/>
          <w:u w:val="single"/>
        </w:rPr>
        <w:t>业）</w:t>
      </w:r>
      <w:r>
        <w:rPr>
          <w:rFonts w:ascii="宋体" w:hAnsi="宋体"/>
          <w:color w:val="auto"/>
          <w:spacing w:val="0"/>
          <w:position w:val="0"/>
          <w:sz w:val="24"/>
          <w:highlight w:val="none"/>
        </w:rPr>
        <w:t>；</w:t>
      </w:r>
      <w:r>
        <w:rPr>
          <w:rFonts w:hint="eastAsia" w:ascii="宋体" w:hAnsi="宋体"/>
          <w:color w:val="auto"/>
          <w:spacing w:val="0"/>
          <w:position w:val="0"/>
          <w:sz w:val="24"/>
          <w:highlight w:val="none"/>
        </w:rPr>
        <w:t>承建企业为</w:t>
      </w:r>
      <w:r>
        <w:rPr>
          <w:rFonts w:hint="eastAsia" w:ascii="宋体" w:hAnsi="宋体"/>
          <w:color w:val="auto"/>
          <w:spacing w:val="0"/>
          <w:position w:val="0"/>
          <w:sz w:val="24"/>
          <w:highlight w:val="none"/>
          <w:u w:val="single"/>
        </w:rPr>
        <w:t>（企业名称）</w:t>
      </w:r>
      <w:r>
        <w:rPr>
          <w:rFonts w:hint="eastAsia" w:ascii="宋体" w:hAnsi="宋体"/>
          <w:color w:val="auto"/>
          <w:spacing w:val="0"/>
          <w:position w:val="0"/>
          <w:sz w:val="24"/>
          <w:highlight w:val="none"/>
        </w:rPr>
        <w:t>，从业人员</w:t>
      </w:r>
      <w:r>
        <w:rPr>
          <w:rFonts w:hint="eastAsia" w:ascii="宋体" w:hAnsi="宋体"/>
          <w:color w:val="auto"/>
          <w:spacing w:val="0"/>
          <w:position w:val="0"/>
          <w:sz w:val="24"/>
          <w:highlight w:val="none"/>
          <w:u w:val="single"/>
        </w:rPr>
        <w:t xml:space="preserve"> </w:t>
      </w:r>
      <w:r>
        <w:rPr>
          <w:rFonts w:ascii="宋体" w:hAnsi="宋体"/>
          <w:color w:val="auto"/>
          <w:spacing w:val="0"/>
          <w:position w:val="0"/>
          <w:sz w:val="24"/>
          <w:highlight w:val="none"/>
          <w:u w:val="single"/>
        </w:rPr>
        <w:t xml:space="preserve">     </w:t>
      </w:r>
      <w:r>
        <w:rPr>
          <w:rFonts w:hint="eastAsia" w:ascii="宋体" w:hAnsi="宋体"/>
          <w:color w:val="auto"/>
          <w:spacing w:val="0"/>
          <w:position w:val="0"/>
          <w:sz w:val="24"/>
          <w:highlight w:val="none"/>
        </w:rPr>
        <w:t>人，营业收入为</w:t>
      </w:r>
      <w:r>
        <w:rPr>
          <w:rFonts w:hint="eastAsia" w:ascii="宋体" w:hAnsi="宋体"/>
          <w:color w:val="auto"/>
          <w:spacing w:val="0"/>
          <w:position w:val="0"/>
          <w:sz w:val="24"/>
          <w:highlight w:val="none"/>
          <w:u w:val="single"/>
        </w:rPr>
        <w:t xml:space="preserve"> </w:t>
      </w:r>
      <w:r>
        <w:rPr>
          <w:rFonts w:ascii="宋体" w:hAnsi="宋体"/>
          <w:color w:val="auto"/>
          <w:spacing w:val="0"/>
          <w:position w:val="0"/>
          <w:sz w:val="24"/>
          <w:highlight w:val="none"/>
          <w:u w:val="single"/>
        </w:rPr>
        <w:t xml:space="preserve">     </w:t>
      </w:r>
      <w:r>
        <w:rPr>
          <w:rFonts w:hint="eastAsia" w:ascii="宋体" w:hAnsi="宋体"/>
          <w:color w:val="auto"/>
          <w:spacing w:val="0"/>
          <w:position w:val="0"/>
          <w:sz w:val="24"/>
          <w:highlight w:val="none"/>
        </w:rPr>
        <w:t>万元，资产总额为</w:t>
      </w:r>
      <w:r>
        <w:rPr>
          <w:rFonts w:hint="eastAsia" w:ascii="宋体" w:hAnsi="宋体"/>
          <w:color w:val="auto"/>
          <w:spacing w:val="0"/>
          <w:position w:val="0"/>
          <w:sz w:val="24"/>
          <w:highlight w:val="none"/>
          <w:u w:val="single"/>
        </w:rPr>
        <w:t xml:space="preserve"> </w:t>
      </w:r>
      <w:r>
        <w:rPr>
          <w:rFonts w:ascii="宋体" w:hAnsi="宋体"/>
          <w:color w:val="auto"/>
          <w:spacing w:val="0"/>
          <w:position w:val="0"/>
          <w:sz w:val="24"/>
          <w:highlight w:val="none"/>
          <w:u w:val="single"/>
        </w:rPr>
        <w:t xml:space="preserve">     </w:t>
      </w:r>
      <w:r>
        <w:rPr>
          <w:rFonts w:hint="eastAsia" w:ascii="宋体" w:hAnsi="宋体"/>
          <w:color w:val="auto"/>
          <w:spacing w:val="0"/>
          <w:position w:val="0"/>
          <w:sz w:val="24"/>
          <w:highlight w:val="none"/>
        </w:rPr>
        <w:t>万元</w:t>
      </w:r>
      <w:r>
        <w:rPr>
          <w:rFonts w:ascii="宋体" w:hAnsi="宋体"/>
          <w:color w:val="auto"/>
          <w:spacing w:val="0"/>
          <w:position w:val="0"/>
          <w:sz w:val="24"/>
          <w:highlight w:val="none"/>
        </w:rPr>
        <w:t>，属于</w:t>
      </w:r>
      <w:r>
        <w:rPr>
          <w:rFonts w:ascii="宋体" w:hAnsi="宋体"/>
          <w:color w:val="auto"/>
          <w:spacing w:val="0"/>
          <w:position w:val="0"/>
          <w:sz w:val="24"/>
          <w:highlight w:val="none"/>
          <w:u w:val="single"/>
        </w:rPr>
        <w:t>（中型企业、</w:t>
      </w:r>
      <w:r>
        <w:rPr>
          <w:rFonts w:hint="eastAsia" w:ascii="宋体" w:hAnsi="宋体"/>
          <w:color w:val="auto"/>
          <w:spacing w:val="0"/>
          <w:position w:val="0"/>
          <w:sz w:val="24"/>
          <w:highlight w:val="none"/>
          <w:u w:val="single"/>
        </w:rPr>
        <w:t>小型企业、微型企业）</w:t>
      </w:r>
      <w:r>
        <w:rPr>
          <w:rFonts w:hint="eastAsia" w:ascii="宋体" w:hAnsi="宋体"/>
          <w:color w:val="auto"/>
          <w:spacing w:val="0"/>
          <w:position w:val="0"/>
          <w:sz w:val="24"/>
          <w:highlight w:val="none"/>
        </w:rPr>
        <w:t>；</w:t>
      </w:r>
    </w:p>
    <w:p w14:paraId="4CC3FA20">
      <w:pPr>
        <w:tabs>
          <w:tab w:val="left" w:pos="1065"/>
          <w:tab w:val="left" w:pos="4262"/>
          <w:tab w:val="left" w:pos="6477"/>
        </w:tabs>
        <w:spacing w:before="20" w:line="500" w:lineRule="exact"/>
        <w:ind w:right="84" w:firstLine="480" w:firstLineChars="200"/>
        <w:rPr>
          <w:rFonts w:ascii="宋体" w:hAnsi="宋体"/>
          <w:color w:val="auto"/>
          <w:spacing w:val="0"/>
          <w:position w:val="0"/>
          <w:sz w:val="24"/>
          <w:highlight w:val="none"/>
          <w:u w:val="single"/>
        </w:rPr>
      </w:pPr>
      <w:r>
        <w:rPr>
          <w:rFonts w:ascii="宋体" w:hAnsi="宋体"/>
          <w:color w:val="auto"/>
          <w:spacing w:val="0"/>
          <w:position w:val="0"/>
          <w:sz w:val="24"/>
          <w:highlight w:val="none"/>
        </w:rPr>
        <w:t>2.</w:t>
      </w:r>
      <w:r>
        <w:rPr>
          <w:rFonts w:ascii="宋体" w:hAnsi="宋体"/>
          <w:color w:val="auto"/>
          <w:spacing w:val="0"/>
          <w:position w:val="0"/>
          <w:sz w:val="24"/>
          <w:highlight w:val="none"/>
          <w:u w:val="single"/>
        </w:rPr>
        <w:t>（标的名称）</w:t>
      </w:r>
      <w:r>
        <w:rPr>
          <w:rFonts w:ascii="宋体" w:hAnsi="宋体"/>
          <w:color w:val="auto"/>
          <w:spacing w:val="0"/>
          <w:position w:val="0"/>
          <w:sz w:val="24"/>
          <w:highlight w:val="none"/>
        </w:rPr>
        <w:t>，属于</w:t>
      </w:r>
      <w:r>
        <w:rPr>
          <w:rFonts w:ascii="宋体" w:hAnsi="宋体"/>
          <w:color w:val="auto"/>
          <w:spacing w:val="0"/>
          <w:position w:val="0"/>
          <w:sz w:val="24"/>
          <w:highlight w:val="none"/>
          <w:u w:val="single"/>
        </w:rPr>
        <w:t>（采购文件中明确的所属</w:t>
      </w:r>
      <w:r>
        <w:rPr>
          <w:rFonts w:hint="eastAsia" w:ascii="宋体" w:hAnsi="宋体"/>
          <w:color w:val="auto"/>
          <w:spacing w:val="0"/>
          <w:position w:val="0"/>
          <w:sz w:val="24"/>
          <w:highlight w:val="none"/>
          <w:u w:val="single"/>
        </w:rPr>
        <w:t>行业</w:t>
      </w:r>
      <w:r>
        <w:rPr>
          <w:rFonts w:ascii="宋体" w:hAnsi="宋体"/>
          <w:color w:val="auto"/>
          <w:spacing w:val="0"/>
          <w:position w:val="0"/>
          <w:sz w:val="24"/>
          <w:highlight w:val="none"/>
          <w:u w:val="single"/>
        </w:rPr>
        <w:t>）</w:t>
      </w:r>
      <w:r>
        <w:rPr>
          <w:rFonts w:ascii="宋体" w:hAnsi="宋体"/>
          <w:color w:val="auto"/>
          <w:spacing w:val="0"/>
          <w:position w:val="0"/>
          <w:sz w:val="24"/>
          <w:highlight w:val="none"/>
        </w:rPr>
        <w:t>；</w:t>
      </w:r>
      <w:r>
        <w:rPr>
          <w:rFonts w:hint="eastAsia" w:ascii="宋体" w:hAnsi="宋体"/>
          <w:color w:val="auto"/>
          <w:spacing w:val="0"/>
          <w:position w:val="0"/>
          <w:sz w:val="24"/>
          <w:highlight w:val="none"/>
        </w:rPr>
        <w:t>承建企业为</w:t>
      </w:r>
      <w:r>
        <w:rPr>
          <w:rFonts w:hint="eastAsia" w:ascii="宋体" w:hAnsi="宋体"/>
          <w:color w:val="auto"/>
          <w:spacing w:val="0"/>
          <w:position w:val="0"/>
          <w:sz w:val="24"/>
          <w:highlight w:val="none"/>
          <w:u w:val="single"/>
        </w:rPr>
        <w:t>（企业名称）</w:t>
      </w:r>
      <w:r>
        <w:rPr>
          <w:rFonts w:hint="eastAsia" w:ascii="宋体" w:hAnsi="宋体"/>
          <w:color w:val="auto"/>
          <w:spacing w:val="0"/>
          <w:position w:val="0"/>
          <w:sz w:val="24"/>
          <w:highlight w:val="none"/>
        </w:rPr>
        <w:t>，从业人员</w:t>
      </w:r>
      <w:r>
        <w:rPr>
          <w:rFonts w:hint="eastAsia" w:ascii="宋体" w:hAnsi="宋体"/>
          <w:color w:val="auto"/>
          <w:spacing w:val="0"/>
          <w:position w:val="0"/>
          <w:sz w:val="24"/>
          <w:highlight w:val="none"/>
          <w:u w:val="single"/>
        </w:rPr>
        <w:t xml:space="preserve"> </w:t>
      </w:r>
      <w:r>
        <w:rPr>
          <w:rFonts w:ascii="宋体" w:hAnsi="宋体"/>
          <w:color w:val="auto"/>
          <w:spacing w:val="0"/>
          <w:position w:val="0"/>
          <w:sz w:val="24"/>
          <w:highlight w:val="none"/>
          <w:u w:val="single"/>
        </w:rPr>
        <w:t xml:space="preserve">     </w:t>
      </w:r>
      <w:r>
        <w:rPr>
          <w:rFonts w:hint="eastAsia" w:ascii="宋体" w:hAnsi="宋体"/>
          <w:color w:val="auto"/>
          <w:spacing w:val="0"/>
          <w:position w:val="0"/>
          <w:sz w:val="24"/>
          <w:highlight w:val="none"/>
        </w:rPr>
        <w:t>人，营业收入为</w:t>
      </w:r>
      <w:r>
        <w:rPr>
          <w:rFonts w:hint="eastAsia" w:ascii="宋体" w:hAnsi="宋体"/>
          <w:color w:val="auto"/>
          <w:spacing w:val="0"/>
          <w:position w:val="0"/>
          <w:sz w:val="24"/>
          <w:highlight w:val="none"/>
          <w:u w:val="single"/>
        </w:rPr>
        <w:t xml:space="preserve"> </w:t>
      </w:r>
      <w:r>
        <w:rPr>
          <w:rFonts w:ascii="宋体" w:hAnsi="宋体"/>
          <w:color w:val="auto"/>
          <w:spacing w:val="0"/>
          <w:position w:val="0"/>
          <w:sz w:val="24"/>
          <w:highlight w:val="none"/>
          <w:u w:val="single"/>
        </w:rPr>
        <w:t xml:space="preserve">     </w:t>
      </w:r>
      <w:r>
        <w:rPr>
          <w:rFonts w:hint="eastAsia" w:ascii="宋体" w:hAnsi="宋体"/>
          <w:color w:val="auto"/>
          <w:spacing w:val="0"/>
          <w:position w:val="0"/>
          <w:sz w:val="24"/>
          <w:highlight w:val="none"/>
        </w:rPr>
        <w:t>万元，资产总额为</w:t>
      </w:r>
      <w:r>
        <w:rPr>
          <w:rFonts w:hint="eastAsia" w:ascii="宋体" w:hAnsi="宋体"/>
          <w:color w:val="auto"/>
          <w:spacing w:val="0"/>
          <w:position w:val="0"/>
          <w:sz w:val="24"/>
          <w:highlight w:val="none"/>
          <w:u w:val="single"/>
        </w:rPr>
        <w:t xml:space="preserve"> </w:t>
      </w:r>
      <w:r>
        <w:rPr>
          <w:rFonts w:ascii="宋体" w:hAnsi="宋体"/>
          <w:color w:val="auto"/>
          <w:spacing w:val="0"/>
          <w:position w:val="0"/>
          <w:sz w:val="24"/>
          <w:highlight w:val="none"/>
          <w:u w:val="single"/>
        </w:rPr>
        <w:t xml:space="preserve">     </w:t>
      </w:r>
      <w:r>
        <w:rPr>
          <w:rFonts w:hint="eastAsia" w:ascii="宋体" w:hAnsi="宋体"/>
          <w:color w:val="auto"/>
          <w:spacing w:val="0"/>
          <w:position w:val="0"/>
          <w:sz w:val="24"/>
          <w:highlight w:val="none"/>
        </w:rPr>
        <w:t>万元</w:t>
      </w:r>
      <w:r>
        <w:rPr>
          <w:rFonts w:ascii="宋体" w:hAnsi="宋体"/>
          <w:color w:val="auto"/>
          <w:spacing w:val="0"/>
          <w:position w:val="0"/>
          <w:sz w:val="24"/>
          <w:highlight w:val="none"/>
        </w:rPr>
        <w:t>，属于</w:t>
      </w:r>
      <w:r>
        <w:rPr>
          <w:rFonts w:ascii="宋体" w:hAnsi="宋体"/>
          <w:color w:val="auto"/>
          <w:spacing w:val="0"/>
          <w:position w:val="0"/>
          <w:sz w:val="24"/>
          <w:highlight w:val="none"/>
          <w:u w:val="single"/>
        </w:rPr>
        <w:t>（中型企业、</w:t>
      </w:r>
      <w:r>
        <w:rPr>
          <w:rFonts w:hint="eastAsia" w:ascii="宋体" w:hAnsi="宋体"/>
          <w:color w:val="auto"/>
          <w:spacing w:val="0"/>
          <w:position w:val="0"/>
          <w:sz w:val="24"/>
          <w:highlight w:val="none"/>
          <w:u w:val="single"/>
        </w:rPr>
        <w:t>小型企业、微型企业）</w:t>
      </w:r>
      <w:r>
        <w:rPr>
          <w:rFonts w:hint="eastAsia" w:ascii="宋体" w:hAnsi="宋体"/>
          <w:color w:val="auto"/>
          <w:spacing w:val="0"/>
          <w:position w:val="0"/>
          <w:sz w:val="24"/>
          <w:highlight w:val="none"/>
        </w:rPr>
        <w:t>；</w:t>
      </w:r>
    </w:p>
    <w:p w14:paraId="74E2B370">
      <w:pPr>
        <w:pStyle w:val="10"/>
        <w:spacing w:before="34" w:line="500" w:lineRule="exact"/>
        <w:ind w:right="142" w:firstLine="705" w:firstLineChars="294"/>
        <w:rPr>
          <w:rFonts w:ascii="宋体" w:hAnsi="宋体"/>
          <w:color w:val="auto"/>
          <w:spacing w:val="0"/>
          <w:position w:val="0"/>
          <w:sz w:val="24"/>
          <w:highlight w:val="none"/>
        </w:rPr>
      </w:pPr>
      <w:r>
        <w:rPr>
          <w:rFonts w:ascii="宋体" w:hAnsi="宋体"/>
          <w:color w:val="auto"/>
          <w:spacing w:val="0"/>
          <w:position w:val="0"/>
          <w:sz w:val="24"/>
          <w:highlight w:val="none"/>
        </w:rPr>
        <w:t xml:space="preserve">…… </w:t>
      </w:r>
    </w:p>
    <w:p w14:paraId="41B640FB">
      <w:pPr>
        <w:pStyle w:val="10"/>
        <w:spacing w:before="34" w:line="500" w:lineRule="exact"/>
        <w:ind w:right="142" w:firstLine="723" w:firstLineChars="200"/>
        <w:rPr>
          <w:rFonts w:ascii="宋体" w:hAnsi="宋体"/>
          <w:b/>
          <w:bCs/>
          <w:color w:val="auto"/>
          <w:spacing w:val="0"/>
          <w:position w:val="0"/>
          <w:sz w:val="36"/>
          <w:szCs w:val="24"/>
          <w:highlight w:val="none"/>
        </w:rPr>
      </w:pPr>
      <w:r>
        <w:rPr>
          <w:rFonts w:ascii="宋体" w:hAnsi="宋体"/>
          <w:b/>
          <w:bCs/>
          <w:color w:val="auto"/>
          <w:spacing w:val="0"/>
          <w:position w:val="0"/>
          <w:sz w:val="36"/>
          <w:szCs w:val="24"/>
          <w:highlight w:val="none"/>
        </w:rPr>
        <w:t>以上企业，不属于大企业的分支机构，不存在控股股东为大企业的情形，也不存在与大企业的负责人为同一人的情形。</w:t>
      </w:r>
    </w:p>
    <w:p w14:paraId="7ED952CF">
      <w:pPr>
        <w:pStyle w:val="10"/>
        <w:spacing w:before="25" w:line="500" w:lineRule="exact"/>
        <w:ind w:right="142" w:firstLine="480" w:firstLineChars="200"/>
        <w:rPr>
          <w:rFonts w:ascii="宋体" w:hAnsi="宋体"/>
          <w:color w:val="auto"/>
          <w:spacing w:val="0"/>
          <w:position w:val="0"/>
          <w:sz w:val="24"/>
          <w:highlight w:val="none"/>
        </w:rPr>
      </w:pPr>
      <w:r>
        <w:rPr>
          <w:rFonts w:ascii="宋体" w:hAnsi="宋体"/>
          <w:color w:val="auto"/>
          <w:spacing w:val="0"/>
          <w:position w:val="0"/>
          <w:sz w:val="24"/>
          <w:highlight w:val="none"/>
        </w:rPr>
        <w:t>本企业对上述声明内容的真实性负责。如有虚假，将依法承担相应责任。</w:t>
      </w:r>
    </w:p>
    <w:p w14:paraId="333A5A2C">
      <w:pPr>
        <w:pStyle w:val="10"/>
        <w:spacing w:before="56" w:line="500" w:lineRule="exact"/>
        <w:ind w:right="1808" w:firstLine="705" w:firstLineChars="294"/>
        <w:rPr>
          <w:rFonts w:hint="eastAsia" w:ascii="宋体" w:hAnsi="宋体"/>
          <w:color w:val="auto"/>
          <w:spacing w:val="0"/>
          <w:position w:val="0"/>
          <w:sz w:val="24"/>
          <w:highlight w:val="none"/>
        </w:rPr>
      </w:pPr>
    </w:p>
    <w:p w14:paraId="0BA958A4">
      <w:pPr>
        <w:pStyle w:val="10"/>
        <w:spacing w:before="56" w:line="500" w:lineRule="exact"/>
        <w:ind w:right="650" w:firstLine="5625" w:firstLineChars="2344"/>
        <w:rPr>
          <w:rFonts w:ascii="宋体" w:hAnsi="宋体"/>
          <w:color w:val="auto"/>
          <w:spacing w:val="0"/>
          <w:position w:val="0"/>
          <w:sz w:val="24"/>
          <w:highlight w:val="none"/>
        </w:rPr>
      </w:pPr>
      <w:r>
        <w:rPr>
          <w:rFonts w:ascii="宋体" w:hAnsi="宋体"/>
          <w:color w:val="auto"/>
          <w:spacing w:val="0"/>
          <w:position w:val="0"/>
          <w:sz w:val="24"/>
          <w:highlight w:val="none"/>
        </w:rPr>
        <w:t>企业名称（</w:t>
      </w:r>
      <w:r>
        <w:rPr>
          <w:rFonts w:hint="eastAsia" w:ascii="宋体" w:hAnsi="宋体"/>
          <w:color w:val="auto"/>
          <w:spacing w:val="0"/>
          <w:position w:val="0"/>
          <w:sz w:val="24"/>
          <w:szCs w:val="24"/>
          <w:highlight w:val="none"/>
        </w:rPr>
        <w:t>电子签章</w:t>
      </w:r>
      <w:r>
        <w:rPr>
          <w:rFonts w:ascii="宋体" w:hAnsi="宋体"/>
          <w:color w:val="auto"/>
          <w:spacing w:val="0"/>
          <w:position w:val="0"/>
          <w:sz w:val="24"/>
          <w:highlight w:val="none"/>
        </w:rPr>
        <w:t xml:space="preserve">）： </w:t>
      </w:r>
    </w:p>
    <w:p w14:paraId="1D0FD209">
      <w:pPr>
        <w:pStyle w:val="10"/>
        <w:spacing w:before="56" w:line="500" w:lineRule="exact"/>
        <w:ind w:right="1808" w:firstLine="5625" w:firstLineChars="2344"/>
        <w:rPr>
          <w:rFonts w:ascii="宋体" w:hAnsi="宋体"/>
          <w:color w:val="auto"/>
          <w:spacing w:val="0"/>
          <w:position w:val="0"/>
          <w:sz w:val="24"/>
          <w:highlight w:val="none"/>
        </w:rPr>
      </w:pPr>
      <w:r>
        <w:rPr>
          <w:rFonts w:ascii="宋体" w:hAnsi="宋体"/>
          <w:color w:val="auto"/>
          <w:spacing w:val="0"/>
          <w:position w:val="0"/>
          <w:sz w:val="24"/>
          <w:highlight w:val="none"/>
        </w:rPr>
        <w:t>日 期：</w:t>
      </w:r>
    </w:p>
    <w:p w14:paraId="04CD52BB">
      <w:pPr>
        <w:pStyle w:val="10"/>
        <w:spacing w:before="56" w:line="500" w:lineRule="exact"/>
        <w:ind w:right="1808" w:firstLine="5625" w:firstLineChars="2344"/>
        <w:rPr>
          <w:rFonts w:ascii="宋体" w:hAnsi="宋体"/>
          <w:color w:val="auto"/>
          <w:spacing w:val="0"/>
          <w:position w:val="0"/>
          <w:sz w:val="24"/>
          <w:highlight w:val="none"/>
        </w:rPr>
      </w:pPr>
    </w:p>
    <w:p w14:paraId="5594A3DB">
      <w:pPr>
        <w:spacing w:line="520" w:lineRule="exact"/>
        <w:ind w:firstLine="480" w:firstLineChars="200"/>
        <w:jc w:val="left"/>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73E9D046">
      <w:pPr>
        <w:spacing w:line="520" w:lineRule="exact"/>
        <w:jc w:val="center"/>
        <w:rPr>
          <w:rFonts w:hint="eastAsia" w:ascii="仿宋_GB2312" w:hAnsi="仿宋_GB2312" w:eastAsia="仿宋_GB2312" w:cs="仿宋_GB2312"/>
          <w:color w:val="auto"/>
          <w:spacing w:val="0"/>
          <w:position w:val="0"/>
          <w:sz w:val="32"/>
          <w:szCs w:val="32"/>
          <w:highlight w:val="none"/>
        </w:rPr>
      </w:pPr>
      <w:r>
        <w:rPr>
          <w:rFonts w:ascii="宋体" w:hAnsi="宋体"/>
          <w:color w:val="auto"/>
          <w:spacing w:val="0"/>
          <w:position w:val="0"/>
          <w:sz w:val="24"/>
          <w:highlight w:val="none"/>
        </w:rPr>
        <w:br w:type="page"/>
      </w:r>
      <w:r>
        <w:rPr>
          <w:rFonts w:hint="eastAsia" w:ascii="方正小标宋简体" w:hAnsi="方正小标宋简体" w:eastAsia="方正小标宋简体" w:cs="方正小标宋简体"/>
          <w:color w:val="auto"/>
          <w:spacing w:val="0"/>
          <w:position w:val="0"/>
          <w:sz w:val="40"/>
          <w:szCs w:val="40"/>
          <w:highlight w:val="none"/>
        </w:rPr>
        <w:t>残疾人福利性单位声明函</w:t>
      </w:r>
    </w:p>
    <w:p w14:paraId="3C3F30A6">
      <w:pPr>
        <w:spacing w:line="360" w:lineRule="auto"/>
        <w:contextualSpacing/>
        <w:rPr>
          <w:rFonts w:hint="eastAsia" w:ascii="仿宋_GB2312" w:hAnsi="仿宋_GB2312" w:eastAsia="仿宋_GB2312" w:cs="仿宋_GB2312"/>
          <w:color w:val="auto"/>
          <w:spacing w:val="0"/>
          <w:position w:val="0"/>
          <w:sz w:val="32"/>
          <w:szCs w:val="32"/>
          <w:highlight w:val="none"/>
        </w:rPr>
      </w:pPr>
    </w:p>
    <w:p w14:paraId="2D96730B">
      <w:pPr>
        <w:spacing w:line="360" w:lineRule="auto"/>
        <w:ind w:firstLine="480" w:firstLineChars="2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仿宋_GB2312"/>
          <w:color w:val="auto"/>
          <w:spacing w:val="0"/>
          <w:position w:val="0"/>
          <w:sz w:val="24"/>
          <w:highlight w:val="none"/>
          <w:u w:val="single"/>
        </w:rPr>
        <w:t xml:space="preserve">       </w:t>
      </w:r>
      <w:r>
        <w:rPr>
          <w:rFonts w:hint="eastAsia" w:ascii="宋体" w:hAnsi="宋体" w:cs="仿宋_GB2312"/>
          <w:color w:val="auto"/>
          <w:spacing w:val="0"/>
          <w:position w:val="0"/>
          <w:sz w:val="24"/>
          <w:highlight w:val="none"/>
        </w:rPr>
        <w:t>单位的</w:t>
      </w:r>
      <w:r>
        <w:rPr>
          <w:rFonts w:hint="eastAsia" w:ascii="宋体" w:hAnsi="宋体" w:cs="仿宋_GB2312"/>
          <w:color w:val="auto"/>
          <w:spacing w:val="0"/>
          <w:position w:val="0"/>
          <w:sz w:val="24"/>
          <w:highlight w:val="none"/>
          <w:u w:val="single"/>
        </w:rPr>
        <w:t xml:space="preserve">        </w:t>
      </w:r>
      <w:r>
        <w:rPr>
          <w:rFonts w:hint="eastAsia" w:ascii="宋体" w:hAnsi="宋体" w:cs="仿宋_GB2312"/>
          <w:color w:val="auto"/>
          <w:spacing w:val="0"/>
          <w:position w:val="0"/>
          <w:sz w:val="24"/>
          <w:highlight w:val="none"/>
        </w:rPr>
        <w:t>项目采购活动提供本单位制造的货物（由本单位承担工程/提供服务），或者提供其他残疾人福利性单位制造的货物（不包括使用非残疾人福利性单位注册商标的货物）。</w:t>
      </w:r>
    </w:p>
    <w:p w14:paraId="0053198F">
      <w:pPr>
        <w:spacing w:line="360" w:lineRule="auto"/>
        <w:ind w:firstLine="480" w:firstLineChars="2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本单位对上述声明的真实性负责。如有虚假，将依法承担相应责任。</w:t>
      </w:r>
    </w:p>
    <w:p w14:paraId="26BDC79D">
      <w:pPr>
        <w:spacing w:line="360" w:lineRule="auto"/>
        <w:contextualSpacing/>
        <w:rPr>
          <w:rFonts w:hint="eastAsia" w:ascii="宋体" w:hAnsi="宋体" w:cs="仿宋_GB2312"/>
          <w:color w:val="auto"/>
          <w:spacing w:val="0"/>
          <w:position w:val="0"/>
          <w:sz w:val="24"/>
          <w:highlight w:val="none"/>
        </w:rPr>
      </w:pPr>
    </w:p>
    <w:p w14:paraId="4755F1A0">
      <w:pPr>
        <w:spacing w:line="360" w:lineRule="auto"/>
        <w:contextualSpacing/>
        <w:rPr>
          <w:rFonts w:hint="eastAsia" w:ascii="宋体" w:hAnsi="宋体" w:cs="仿宋_GB2312"/>
          <w:color w:val="auto"/>
          <w:spacing w:val="0"/>
          <w:position w:val="0"/>
          <w:sz w:val="24"/>
          <w:highlight w:val="none"/>
        </w:rPr>
      </w:pPr>
    </w:p>
    <w:p w14:paraId="394F42E5">
      <w:pPr>
        <w:spacing w:line="360" w:lineRule="auto"/>
        <w:contextualSpacing/>
        <w:rPr>
          <w:rFonts w:hint="eastAsia" w:ascii="宋体" w:hAnsi="宋体" w:cs="仿宋_GB2312"/>
          <w:color w:val="auto"/>
          <w:spacing w:val="0"/>
          <w:position w:val="0"/>
          <w:sz w:val="24"/>
          <w:highlight w:val="none"/>
        </w:rPr>
      </w:pPr>
    </w:p>
    <w:p w14:paraId="6776DD35">
      <w:pPr>
        <w:spacing w:line="360" w:lineRule="auto"/>
        <w:ind w:firstLine="4560" w:firstLineChars="19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单位名称（</w:t>
      </w:r>
      <w:r>
        <w:rPr>
          <w:rFonts w:hint="eastAsia" w:ascii="宋体" w:hAnsi="宋体"/>
          <w:color w:val="auto"/>
          <w:spacing w:val="0"/>
          <w:position w:val="0"/>
          <w:sz w:val="24"/>
          <w:szCs w:val="24"/>
          <w:highlight w:val="none"/>
        </w:rPr>
        <w:t>电子签章</w:t>
      </w:r>
      <w:r>
        <w:rPr>
          <w:rFonts w:hint="eastAsia" w:ascii="宋体" w:hAnsi="宋体" w:cs="仿宋_GB2312"/>
          <w:color w:val="auto"/>
          <w:spacing w:val="0"/>
          <w:position w:val="0"/>
          <w:sz w:val="24"/>
          <w:highlight w:val="none"/>
        </w:rPr>
        <w:t>）：</w:t>
      </w:r>
    </w:p>
    <w:p w14:paraId="7331F1BA">
      <w:pPr>
        <w:spacing w:line="360" w:lineRule="auto"/>
        <w:ind w:firstLine="5040" w:firstLineChars="21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日  期：</w:t>
      </w:r>
    </w:p>
    <w:p w14:paraId="02E5241C">
      <w:pPr>
        <w:spacing w:line="360" w:lineRule="auto"/>
        <w:contextualSpacing/>
        <w:rPr>
          <w:rFonts w:hint="eastAsia" w:ascii="宋体" w:hAnsi="宋体" w:cs="仿宋_GB2312"/>
          <w:color w:val="auto"/>
          <w:spacing w:val="0"/>
          <w:position w:val="0"/>
          <w:sz w:val="24"/>
          <w:highlight w:val="none"/>
        </w:rPr>
      </w:pPr>
    </w:p>
    <w:p w14:paraId="28D4FCA2">
      <w:pPr>
        <w:spacing w:line="360" w:lineRule="auto"/>
        <w:contextualSpacing/>
        <w:rPr>
          <w:rFonts w:hint="eastAsia" w:ascii="宋体" w:hAnsi="宋体" w:cs="仿宋_GB2312"/>
          <w:color w:val="auto"/>
          <w:spacing w:val="0"/>
          <w:position w:val="0"/>
          <w:sz w:val="24"/>
          <w:highlight w:val="none"/>
        </w:rPr>
      </w:pPr>
    </w:p>
    <w:p w14:paraId="4C21F208">
      <w:pPr>
        <w:spacing w:line="360" w:lineRule="auto"/>
        <w:contextualSpacing/>
        <w:rPr>
          <w:rFonts w:hint="eastAsia" w:ascii="宋体" w:hAnsi="宋体" w:cs="仿宋_GB2312"/>
          <w:color w:val="auto"/>
          <w:spacing w:val="0"/>
          <w:position w:val="0"/>
          <w:sz w:val="24"/>
          <w:highlight w:val="none"/>
        </w:rPr>
      </w:pPr>
    </w:p>
    <w:p w14:paraId="45F901AE">
      <w:pPr>
        <w:pStyle w:val="12"/>
        <w:tabs>
          <w:tab w:val="left" w:pos="939"/>
        </w:tabs>
        <w:spacing w:line="360" w:lineRule="auto"/>
        <w:ind w:left="0" w:leftChars="0" w:firstLine="720" w:firstLineChars="300"/>
        <w:rPr>
          <w:rFonts w:hint="eastAsia"/>
          <w:color w:val="auto"/>
          <w:spacing w:val="0"/>
          <w:position w:val="0"/>
          <w:sz w:val="24"/>
          <w:szCs w:val="24"/>
          <w:highlight w:val="none"/>
        </w:rPr>
      </w:pPr>
      <w:r>
        <w:rPr>
          <w:rFonts w:hint="eastAsia" w:ascii="宋体" w:hAnsi="宋体" w:cs="仿宋_GB2312"/>
          <w:color w:val="auto"/>
          <w:spacing w:val="0"/>
          <w:position w:val="0"/>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r>
        <w:rPr>
          <w:rFonts w:ascii="宋体" w:hAnsi="宋体"/>
          <w:color w:val="auto"/>
          <w:spacing w:val="0"/>
          <w:position w:val="0"/>
          <w:sz w:val="28"/>
          <w:szCs w:val="28"/>
          <w:highlight w:val="none"/>
        </w:rPr>
        <w:br w:type="page"/>
      </w:r>
    </w:p>
    <w:p w14:paraId="1AF10B00">
      <w:pPr>
        <w:spacing w:line="360" w:lineRule="auto"/>
        <w:ind w:right="420"/>
        <w:contextualSpacing/>
        <w:jc w:val="left"/>
        <w:rPr>
          <w:rFonts w:ascii="宋体" w:hAnsi="宋体"/>
          <w:b/>
          <w:color w:val="auto"/>
          <w:spacing w:val="0"/>
          <w:position w:val="0"/>
          <w:sz w:val="32"/>
          <w:szCs w:val="32"/>
          <w:highlight w:val="none"/>
        </w:rPr>
      </w:pPr>
      <w:r>
        <w:rPr>
          <w:rFonts w:hint="eastAsia" w:ascii="宋体" w:hAnsi="宋体"/>
          <w:b/>
          <w:bCs/>
          <w:color w:val="auto"/>
          <w:spacing w:val="0"/>
          <w:position w:val="0"/>
          <w:sz w:val="32"/>
          <w:szCs w:val="32"/>
          <w:highlight w:val="none"/>
        </w:rPr>
        <w:t>二、</w:t>
      </w:r>
      <w:r>
        <w:rPr>
          <w:rFonts w:hint="eastAsia" w:ascii="宋体" w:hAnsi="宋体"/>
          <w:b/>
          <w:color w:val="auto"/>
          <w:spacing w:val="0"/>
          <w:position w:val="0"/>
          <w:sz w:val="32"/>
          <w:szCs w:val="32"/>
          <w:highlight w:val="none"/>
        </w:rPr>
        <w:t xml:space="preserve">报价文件格式 </w:t>
      </w:r>
    </w:p>
    <w:p w14:paraId="592A7E8E">
      <w:pPr>
        <w:snapToGrid w:val="0"/>
        <w:spacing w:before="156" w:beforeLines="50" w:after="50" w:line="360" w:lineRule="auto"/>
        <w:jc w:val="left"/>
        <w:rPr>
          <w:rFonts w:hint="eastAsia" w:ascii="宋体" w:hAnsi="宋体"/>
          <w:b/>
          <w:color w:val="auto"/>
          <w:spacing w:val="0"/>
          <w:position w:val="0"/>
          <w:sz w:val="32"/>
          <w:szCs w:val="32"/>
          <w:highlight w:val="none"/>
        </w:rPr>
      </w:pPr>
      <w:r>
        <w:rPr>
          <w:rFonts w:hint="eastAsia" w:ascii="宋体" w:hAnsi="宋体"/>
          <w:b/>
          <w:color w:val="auto"/>
          <w:spacing w:val="0"/>
          <w:position w:val="0"/>
          <w:sz w:val="32"/>
          <w:szCs w:val="32"/>
          <w:highlight w:val="none"/>
        </w:rPr>
        <w:t>1.报价文件封面格式</w:t>
      </w:r>
    </w:p>
    <w:p w14:paraId="5B0BA796">
      <w:pPr>
        <w:snapToGrid w:val="0"/>
        <w:spacing w:before="156" w:beforeLines="50" w:after="50"/>
        <w:rPr>
          <w:rFonts w:hint="eastAsia" w:ascii="宋体" w:hAnsi="宋体"/>
          <w:bCs/>
          <w:color w:val="auto"/>
          <w:spacing w:val="0"/>
          <w:position w:val="0"/>
          <w:sz w:val="32"/>
          <w:szCs w:val="20"/>
          <w:highlight w:val="none"/>
        </w:rPr>
      </w:pPr>
      <w:r>
        <w:rPr>
          <w:rFonts w:hint="eastAsia" w:ascii="宋体" w:hAnsi="宋体"/>
          <w:color w:val="auto"/>
          <w:spacing w:val="0"/>
          <w:position w:val="0"/>
          <w:sz w:val="24"/>
          <w:highlight w:val="none"/>
        </w:rPr>
        <w:t xml:space="preserve">                                                    </w:t>
      </w:r>
    </w:p>
    <w:p w14:paraId="0BAB5834">
      <w:pPr>
        <w:snapToGrid w:val="0"/>
        <w:spacing w:before="156" w:beforeLines="50" w:after="50"/>
        <w:jc w:val="center"/>
        <w:rPr>
          <w:rFonts w:hint="eastAsia" w:ascii="宋体" w:hAnsi="宋体"/>
          <w:color w:val="auto"/>
          <w:spacing w:val="0"/>
          <w:position w:val="0"/>
          <w:sz w:val="24"/>
          <w:szCs w:val="20"/>
          <w:highlight w:val="none"/>
        </w:rPr>
      </w:pPr>
      <w:r>
        <w:rPr>
          <w:rFonts w:hint="eastAsia" w:ascii="宋体" w:hAnsi="宋体"/>
          <w:color w:val="auto"/>
          <w:spacing w:val="0"/>
          <w:position w:val="0"/>
          <w:sz w:val="44"/>
          <w:szCs w:val="44"/>
          <w:highlight w:val="none"/>
        </w:rPr>
        <w:t xml:space="preserve">电 子 </w:t>
      </w:r>
      <w:r>
        <w:rPr>
          <w:rFonts w:hint="eastAsia" w:ascii="宋体" w:hAnsi="宋体"/>
          <w:color w:val="auto"/>
          <w:spacing w:val="0"/>
          <w:position w:val="0"/>
          <w:sz w:val="44"/>
          <w:szCs w:val="44"/>
          <w:highlight w:val="none"/>
          <w:lang w:eastAsia="zh-CN"/>
        </w:rPr>
        <w:t>响</w:t>
      </w:r>
      <w:r>
        <w:rPr>
          <w:rFonts w:hint="eastAsia" w:ascii="宋体" w:hAnsi="宋体"/>
          <w:color w:val="auto"/>
          <w:spacing w:val="0"/>
          <w:position w:val="0"/>
          <w:sz w:val="44"/>
          <w:szCs w:val="44"/>
          <w:highlight w:val="none"/>
          <w:lang w:val="en-US" w:eastAsia="zh-CN"/>
        </w:rPr>
        <w:t xml:space="preserve"> </w:t>
      </w:r>
      <w:r>
        <w:rPr>
          <w:rFonts w:hint="eastAsia" w:ascii="宋体" w:hAnsi="宋体"/>
          <w:color w:val="auto"/>
          <w:spacing w:val="0"/>
          <w:position w:val="0"/>
          <w:sz w:val="44"/>
          <w:szCs w:val="44"/>
          <w:highlight w:val="none"/>
          <w:lang w:eastAsia="zh-CN"/>
        </w:rPr>
        <w:t>应</w:t>
      </w:r>
      <w:r>
        <w:rPr>
          <w:rFonts w:hint="eastAsia" w:ascii="宋体" w:hAnsi="宋体"/>
          <w:color w:val="auto"/>
          <w:spacing w:val="0"/>
          <w:position w:val="0"/>
          <w:sz w:val="44"/>
          <w:szCs w:val="44"/>
          <w:highlight w:val="none"/>
        </w:rPr>
        <w:t xml:space="preserve"> 文 件</w:t>
      </w:r>
    </w:p>
    <w:p w14:paraId="48D71979">
      <w:pPr>
        <w:snapToGrid w:val="0"/>
        <w:spacing w:before="156" w:beforeLines="50" w:after="50"/>
        <w:rPr>
          <w:rFonts w:hint="eastAsia" w:ascii="宋体" w:hAnsi="宋体"/>
          <w:color w:val="auto"/>
          <w:spacing w:val="0"/>
          <w:position w:val="0"/>
          <w:sz w:val="24"/>
          <w:szCs w:val="20"/>
          <w:highlight w:val="none"/>
        </w:rPr>
      </w:pPr>
    </w:p>
    <w:p w14:paraId="71913CD5">
      <w:pPr>
        <w:snapToGrid w:val="0"/>
        <w:spacing w:before="156" w:beforeLines="50" w:after="50"/>
        <w:rPr>
          <w:rFonts w:hint="eastAsia" w:ascii="宋体" w:hAnsi="宋体"/>
          <w:color w:val="auto"/>
          <w:spacing w:val="0"/>
          <w:position w:val="0"/>
          <w:sz w:val="24"/>
          <w:szCs w:val="20"/>
          <w:highlight w:val="none"/>
        </w:rPr>
      </w:pPr>
    </w:p>
    <w:p w14:paraId="21DEFAD9">
      <w:pPr>
        <w:snapToGrid w:val="0"/>
        <w:spacing w:before="156" w:beforeLines="50" w:after="50"/>
        <w:jc w:val="center"/>
        <w:rPr>
          <w:rFonts w:hint="eastAsia" w:ascii="方正小标宋简体" w:hAnsi="方正小标宋简体" w:eastAsia="方正小标宋简体" w:cs="方正小标宋简体"/>
          <w:bCs/>
          <w:color w:val="auto"/>
          <w:spacing w:val="0"/>
          <w:position w:val="0"/>
          <w:sz w:val="44"/>
          <w:szCs w:val="44"/>
          <w:highlight w:val="none"/>
        </w:rPr>
      </w:pPr>
      <w:r>
        <w:rPr>
          <w:rFonts w:hint="eastAsia" w:ascii="方正小标宋简体" w:hAnsi="方正小标宋简体" w:eastAsia="方正小标宋简体" w:cs="方正小标宋简体"/>
          <w:bCs/>
          <w:color w:val="auto"/>
          <w:spacing w:val="0"/>
          <w:position w:val="0"/>
          <w:sz w:val="44"/>
          <w:szCs w:val="44"/>
          <w:highlight w:val="none"/>
        </w:rPr>
        <w:t>报  价  文  件</w:t>
      </w:r>
    </w:p>
    <w:p w14:paraId="2DD27E22">
      <w:pPr>
        <w:snapToGrid w:val="0"/>
        <w:spacing w:before="156" w:beforeLines="50" w:after="50"/>
        <w:rPr>
          <w:rFonts w:hint="eastAsia" w:ascii="宋体" w:hAnsi="宋体"/>
          <w:bCs/>
          <w:color w:val="auto"/>
          <w:spacing w:val="0"/>
          <w:position w:val="0"/>
          <w:sz w:val="24"/>
          <w:szCs w:val="20"/>
          <w:highlight w:val="none"/>
        </w:rPr>
      </w:pPr>
    </w:p>
    <w:p w14:paraId="68FE0833">
      <w:pPr>
        <w:snapToGrid w:val="0"/>
        <w:spacing w:before="156" w:beforeLines="50" w:after="50"/>
        <w:rPr>
          <w:rFonts w:hint="eastAsia" w:ascii="宋体" w:hAnsi="宋体"/>
          <w:bCs/>
          <w:color w:val="auto"/>
          <w:spacing w:val="0"/>
          <w:position w:val="0"/>
          <w:sz w:val="24"/>
          <w:szCs w:val="20"/>
          <w:highlight w:val="none"/>
        </w:rPr>
      </w:pPr>
    </w:p>
    <w:p w14:paraId="7E208030">
      <w:pPr>
        <w:snapToGrid w:val="0"/>
        <w:spacing w:before="156" w:beforeLines="50" w:after="50"/>
        <w:rPr>
          <w:rFonts w:hint="eastAsia" w:ascii="宋体" w:hAnsi="宋体"/>
          <w:bCs/>
          <w:color w:val="auto"/>
          <w:spacing w:val="0"/>
          <w:position w:val="0"/>
          <w:sz w:val="24"/>
          <w:szCs w:val="20"/>
          <w:highlight w:val="none"/>
        </w:rPr>
      </w:pPr>
    </w:p>
    <w:p w14:paraId="582EA25F">
      <w:pPr>
        <w:snapToGrid w:val="0"/>
        <w:spacing w:before="156" w:beforeLines="50" w:after="50"/>
        <w:rPr>
          <w:rFonts w:hint="eastAsia" w:ascii="宋体" w:hAnsi="宋体"/>
          <w:bCs/>
          <w:color w:val="auto"/>
          <w:spacing w:val="0"/>
          <w:position w:val="0"/>
          <w:sz w:val="24"/>
          <w:szCs w:val="20"/>
          <w:highlight w:val="none"/>
        </w:rPr>
      </w:pPr>
    </w:p>
    <w:p w14:paraId="482248ED">
      <w:pPr>
        <w:snapToGrid w:val="0"/>
        <w:spacing w:before="156" w:beforeLines="50" w:after="50"/>
        <w:rPr>
          <w:rFonts w:hint="eastAsia" w:ascii="宋体" w:hAnsi="宋体"/>
          <w:bCs/>
          <w:color w:val="auto"/>
          <w:spacing w:val="0"/>
          <w:position w:val="0"/>
          <w:sz w:val="24"/>
          <w:szCs w:val="20"/>
          <w:highlight w:val="none"/>
        </w:rPr>
      </w:pPr>
    </w:p>
    <w:p w14:paraId="41CCCE5A">
      <w:pPr>
        <w:snapToGrid w:val="0"/>
        <w:spacing w:before="156" w:beforeLines="50" w:after="50"/>
        <w:ind w:firstLine="640" w:firstLineChars="200"/>
        <w:rPr>
          <w:rFonts w:hint="eastAsia" w:ascii="宋体" w:hAnsi="宋体" w:cs="仿宋_GB2312"/>
          <w:bCs/>
          <w:color w:val="auto"/>
          <w:spacing w:val="0"/>
          <w:position w:val="0"/>
          <w:sz w:val="32"/>
          <w:szCs w:val="32"/>
          <w:highlight w:val="none"/>
        </w:rPr>
      </w:pPr>
      <w:r>
        <w:rPr>
          <w:rFonts w:hint="eastAsia" w:ascii="宋体" w:hAnsi="宋体" w:cs="仿宋_GB2312"/>
          <w:bCs/>
          <w:color w:val="auto"/>
          <w:spacing w:val="0"/>
          <w:position w:val="0"/>
          <w:sz w:val="32"/>
          <w:szCs w:val="32"/>
          <w:highlight w:val="none"/>
        </w:rPr>
        <w:t>项目名称：</w:t>
      </w:r>
    </w:p>
    <w:p w14:paraId="58FFD6BE">
      <w:pPr>
        <w:snapToGrid w:val="0"/>
        <w:spacing w:before="156" w:beforeLines="50" w:after="50"/>
        <w:ind w:firstLine="720" w:firstLineChars="225"/>
        <w:rPr>
          <w:rFonts w:hint="eastAsia" w:ascii="宋体" w:hAnsi="宋体" w:cs="仿宋_GB2312"/>
          <w:bCs/>
          <w:color w:val="auto"/>
          <w:spacing w:val="0"/>
          <w:position w:val="0"/>
          <w:sz w:val="32"/>
          <w:szCs w:val="32"/>
          <w:highlight w:val="none"/>
        </w:rPr>
      </w:pPr>
    </w:p>
    <w:p w14:paraId="2F4F95E0">
      <w:pPr>
        <w:snapToGrid w:val="0"/>
        <w:spacing w:before="156" w:beforeLines="50" w:after="50"/>
        <w:ind w:firstLine="640" w:firstLineChars="200"/>
        <w:rPr>
          <w:rFonts w:hint="eastAsia" w:ascii="宋体" w:hAnsi="宋体" w:cs="仿宋_GB2312"/>
          <w:bCs/>
          <w:color w:val="auto"/>
          <w:spacing w:val="0"/>
          <w:position w:val="0"/>
          <w:sz w:val="32"/>
          <w:szCs w:val="32"/>
          <w:highlight w:val="none"/>
        </w:rPr>
      </w:pPr>
      <w:r>
        <w:rPr>
          <w:rFonts w:hint="eastAsia" w:ascii="宋体" w:hAnsi="宋体" w:cs="仿宋_GB2312"/>
          <w:bCs/>
          <w:color w:val="auto"/>
          <w:spacing w:val="0"/>
          <w:position w:val="0"/>
          <w:sz w:val="32"/>
          <w:szCs w:val="32"/>
          <w:highlight w:val="none"/>
        </w:rPr>
        <w:t>项目编号：</w:t>
      </w:r>
    </w:p>
    <w:p w14:paraId="637B76BF">
      <w:pPr>
        <w:snapToGrid w:val="0"/>
        <w:spacing w:before="156" w:beforeLines="50" w:after="50"/>
        <w:ind w:firstLine="720" w:firstLineChars="225"/>
        <w:rPr>
          <w:rFonts w:hint="eastAsia" w:ascii="宋体" w:hAnsi="宋体" w:cs="仿宋_GB2312"/>
          <w:bCs/>
          <w:color w:val="auto"/>
          <w:spacing w:val="0"/>
          <w:position w:val="0"/>
          <w:sz w:val="32"/>
          <w:szCs w:val="32"/>
          <w:highlight w:val="none"/>
        </w:rPr>
      </w:pPr>
      <w:r>
        <w:rPr>
          <w:rFonts w:hint="eastAsia" w:ascii="宋体" w:hAnsi="宋体" w:cs="仿宋_GB2312"/>
          <w:bCs/>
          <w:color w:val="auto"/>
          <w:spacing w:val="0"/>
          <w:position w:val="0"/>
          <w:sz w:val="32"/>
          <w:szCs w:val="32"/>
          <w:highlight w:val="none"/>
        </w:rPr>
        <w:t xml:space="preserve"> </w:t>
      </w:r>
    </w:p>
    <w:p w14:paraId="3B2DA3E0">
      <w:pPr>
        <w:pStyle w:val="8"/>
        <w:snapToGrid w:val="0"/>
        <w:spacing w:before="50" w:after="50"/>
        <w:rPr>
          <w:rFonts w:hint="eastAsia" w:ascii="宋体" w:hAnsi="宋体" w:cs="仿宋_GB2312"/>
          <w:bCs/>
          <w:color w:val="auto"/>
          <w:spacing w:val="0"/>
          <w:position w:val="0"/>
          <w:sz w:val="32"/>
          <w:szCs w:val="32"/>
          <w:highlight w:val="none"/>
        </w:rPr>
      </w:pPr>
      <w:r>
        <w:rPr>
          <w:rFonts w:hint="eastAsia" w:ascii="宋体" w:hAnsi="宋体" w:cs="仿宋_GB2312"/>
          <w:bCs/>
          <w:color w:val="auto"/>
          <w:spacing w:val="0"/>
          <w:position w:val="0"/>
          <w:sz w:val="32"/>
          <w:szCs w:val="32"/>
          <w:highlight w:val="none"/>
        </w:rPr>
        <w:t>供应商名称：</w:t>
      </w:r>
    </w:p>
    <w:p w14:paraId="74F393D2">
      <w:pPr>
        <w:pStyle w:val="8"/>
        <w:snapToGrid w:val="0"/>
        <w:spacing w:before="50" w:after="50"/>
        <w:rPr>
          <w:rFonts w:hint="eastAsia" w:ascii="宋体" w:hAnsi="宋体" w:cs="仿宋_GB2312"/>
          <w:bCs/>
          <w:color w:val="auto"/>
          <w:spacing w:val="0"/>
          <w:position w:val="0"/>
          <w:sz w:val="32"/>
          <w:szCs w:val="32"/>
          <w:highlight w:val="none"/>
        </w:rPr>
      </w:pPr>
    </w:p>
    <w:p w14:paraId="649CCB81">
      <w:pPr>
        <w:pStyle w:val="8"/>
        <w:snapToGrid w:val="0"/>
        <w:spacing w:before="50" w:after="50"/>
        <w:rPr>
          <w:rFonts w:hint="eastAsia" w:ascii="宋体" w:hAnsi="宋体" w:eastAsia="宋体" w:cs="仿宋_GB2312"/>
          <w:bCs/>
          <w:color w:val="auto"/>
          <w:spacing w:val="0"/>
          <w:position w:val="0"/>
          <w:sz w:val="32"/>
          <w:szCs w:val="32"/>
          <w:highlight w:val="none"/>
          <w:lang w:eastAsia="zh-CN"/>
        </w:rPr>
      </w:pPr>
      <w:r>
        <w:rPr>
          <w:rFonts w:hint="eastAsia" w:ascii="宋体" w:hAnsi="宋体" w:cs="仿宋_GB2312"/>
          <w:bCs/>
          <w:color w:val="auto"/>
          <w:spacing w:val="0"/>
          <w:position w:val="0"/>
          <w:sz w:val="32"/>
          <w:szCs w:val="32"/>
          <w:highlight w:val="none"/>
          <w:lang w:eastAsia="zh-CN"/>
        </w:rPr>
        <w:t>供应商地址：</w:t>
      </w:r>
    </w:p>
    <w:p w14:paraId="49B006C7">
      <w:pPr>
        <w:pStyle w:val="8"/>
        <w:snapToGrid w:val="0"/>
        <w:spacing w:before="50" w:after="50"/>
        <w:ind w:firstLine="640" w:firstLineChars="200"/>
        <w:rPr>
          <w:rFonts w:hint="eastAsia" w:ascii="宋体" w:hAnsi="宋体" w:cs="仿宋_GB2312"/>
          <w:bCs/>
          <w:color w:val="auto"/>
          <w:spacing w:val="0"/>
          <w:position w:val="0"/>
          <w:sz w:val="32"/>
          <w:szCs w:val="32"/>
          <w:highlight w:val="none"/>
        </w:rPr>
      </w:pPr>
    </w:p>
    <w:p w14:paraId="06B7CEB7">
      <w:pPr>
        <w:pStyle w:val="8"/>
        <w:snapToGrid w:val="0"/>
        <w:spacing w:before="50" w:after="50"/>
        <w:ind w:firstLine="720" w:firstLineChars="225"/>
        <w:rPr>
          <w:rFonts w:hint="eastAsia" w:ascii="宋体" w:hAnsi="宋体" w:cs="仿宋_GB2312"/>
          <w:bCs/>
          <w:color w:val="auto"/>
          <w:spacing w:val="0"/>
          <w:position w:val="0"/>
          <w:sz w:val="32"/>
          <w:szCs w:val="32"/>
          <w:highlight w:val="none"/>
        </w:rPr>
      </w:pPr>
    </w:p>
    <w:p w14:paraId="1A1506AE">
      <w:pPr>
        <w:pStyle w:val="8"/>
        <w:snapToGrid w:val="0"/>
        <w:spacing w:before="50" w:after="50"/>
        <w:ind w:firstLine="0"/>
        <w:rPr>
          <w:rFonts w:hint="eastAsia" w:ascii="宋体" w:hAnsi="宋体" w:cs="仿宋_GB2312"/>
          <w:bCs/>
          <w:color w:val="auto"/>
          <w:spacing w:val="0"/>
          <w:position w:val="0"/>
          <w:sz w:val="32"/>
          <w:szCs w:val="32"/>
          <w:highlight w:val="none"/>
        </w:rPr>
      </w:pPr>
    </w:p>
    <w:p w14:paraId="01D5E6ED">
      <w:pPr>
        <w:pStyle w:val="8"/>
        <w:snapToGrid w:val="0"/>
        <w:spacing w:before="50" w:after="50"/>
        <w:ind w:firstLine="1280" w:firstLineChars="400"/>
        <w:rPr>
          <w:rFonts w:hint="eastAsia" w:ascii="宋体" w:hAnsi="宋体" w:cs="仿宋_GB2312"/>
          <w:bCs/>
          <w:color w:val="auto"/>
          <w:spacing w:val="0"/>
          <w:position w:val="0"/>
          <w:sz w:val="32"/>
          <w:szCs w:val="32"/>
          <w:highlight w:val="none"/>
        </w:rPr>
      </w:pPr>
    </w:p>
    <w:p w14:paraId="2F23A0FC">
      <w:pPr>
        <w:snapToGrid w:val="0"/>
        <w:spacing w:before="156" w:beforeLines="50" w:after="50"/>
        <w:jc w:val="center"/>
        <w:rPr>
          <w:rFonts w:hint="eastAsia" w:ascii="宋体" w:hAnsi="宋体" w:cs="仿宋_GB2312"/>
          <w:color w:val="auto"/>
          <w:spacing w:val="0"/>
          <w:position w:val="0"/>
          <w:sz w:val="32"/>
          <w:szCs w:val="32"/>
          <w:highlight w:val="none"/>
        </w:rPr>
      </w:pPr>
      <w:r>
        <w:rPr>
          <w:rFonts w:hint="eastAsia" w:ascii="宋体" w:hAnsi="宋体" w:cs="仿宋_GB2312"/>
          <w:color w:val="auto"/>
          <w:spacing w:val="0"/>
          <w:position w:val="0"/>
          <w:sz w:val="32"/>
          <w:szCs w:val="32"/>
          <w:highlight w:val="none"/>
        </w:rPr>
        <w:t>年    月    日</w:t>
      </w:r>
    </w:p>
    <w:p w14:paraId="6A352268">
      <w:pPr>
        <w:snapToGrid w:val="0"/>
        <w:spacing w:before="156" w:beforeLines="50" w:after="50" w:line="360" w:lineRule="auto"/>
        <w:ind w:left="142"/>
        <w:jc w:val="left"/>
        <w:rPr>
          <w:rFonts w:hint="eastAsia" w:ascii="宋体" w:hAnsi="宋体"/>
          <w:b/>
          <w:bCs/>
          <w:color w:val="auto"/>
          <w:spacing w:val="0"/>
          <w:position w:val="0"/>
          <w:sz w:val="24"/>
          <w:highlight w:val="none"/>
        </w:rPr>
      </w:pPr>
      <w:r>
        <w:rPr>
          <w:rFonts w:hint="eastAsia" w:ascii="宋体" w:hAnsi="宋体"/>
          <w:color w:val="auto"/>
          <w:spacing w:val="0"/>
          <w:position w:val="0"/>
          <w:szCs w:val="21"/>
          <w:highlight w:val="none"/>
        </w:rPr>
        <w:br w:type="page"/>
      </w:r>
      <w:r>
        <w:rPr>
          <w:rFonts w:hint="eastAsia" w:ascii="宋体" w:hAnsi="宋体"/>
          <w:b/>
          <w:bCs/>
          <w:color w:val="auto"/>
          <w:spacing w:val="0"/>
          <w:position w:val="0"/>
          <w:sz w:val="32"/>
          <w:szCs w:val="32"/>
          <w:highlight w:val="none"/>
        </w:rPr>
        <w:t>2.报价文件目录</w:t>
      </w:r>
    </w:p>
    <w:p w14:paraId="7C565E17">
      <w:pPr>
        <w:autoSpaceDE w:val="0"/>
        <w:autoSpaceDN w:val="0"/>
        <w:adjustRightInd w:val="0"/>
        <w:spacing w:line="360" w:lineRule="auto"/>
        <w:ind w:firstLine="640" w:firstLineChars="200"/>
        <w:rPr>
          <w:rFonts w:ascii="宋体" w:hAnsi="宋体"/>
          <w:b/>
          <w:bCs/>
          <w:color w:val="auto"/>
          <w:spacing w:val="0"/>
          <w:position w:val="0"/>
          <w:sz w:val="32"/>
          <w:szCs w:val="32"/>
          <w:highlight w:val="none"/>
        </w:rPr>
      </w:pPr>
      <w:r>
        <w:rPr>
          <w:rFonts w:hint="eastAsia" w:ascii="宋体" w:hAnsi="宋体"/>
          <w:color w:val="auto"/>
          <w:spacing w:val="0"/>
          <w:position w:val="0"/>
          <w:sz w:val="32"/>
          <w:szCs w:val="32"/>
          <w:highlight w:val="none"/>
        </w:rPr>
        <w:t>根据磋商文件规定及供应商提供的材料自行编写目录（部分格式后附）。</w:t>
      </w:r>
      <w:r>
        <w:rPr>
          <w:rFonts w:ascii="宋体" w:hAnsi="宋体"/>
          <w:b/>
          <w:bCs/>
          <w:color w:val="auto"/>
          <w:spacing w:val="0"/>
          <w:position w:val="0"/>
          <w:sz w:val="32"/>
          <w:szCs w:val="32"/>
          <w:highlight w:val="none"/>
        </w:rPr>
        <w:br w:type="page"/>
      </w:r>
    </w:p>
    <w:p w14:paraId="4E7D0E8B">
      <w:pPr>
        <w:pStyle w:val="39"/>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Theme="majorEastAsia" w:hAnsiTheme="majorEastAsia" w:eastAsiaTheme="majorEastAsia" w:cstheme="majorEastAsia"/>
          <w:b/>
          <w:bCs/>
          <w:color w:val="auto"/>
          <w:spacing w:val="0"/>
          <w:position w:val="0"/>
          <w:sz w:val="32"/>
          <w:szCs w:val="32"/>
          <w:highlight w:val="none"/>
          <w:lang w:eastAsia="zh-CN"/>
        </w:rPr>
      </w:pPr>
      <w:r>
        <w:rPr>
          <w:rFonts w:hint="eastAsia" w:asciiTheme="majorEastAsia" w:hAnsiTheme="majorEastAsia" w:eastAsiaTheme="majorEastAsia" w:cstheme="majorEastAsia"/>
          <w:b/>
          <w:bCs/>
          <w:color w:val="auto"/>
          <w:spacing w:val="0"/>
          <w:position w:val="0"/>
          <w:sz w:val="32"/>
          <w:szCs w:val="32"/>
          <w:highlight w:val="none"/>
        </w:rPr>
        <w:t>磋商函</w:t>
      </w:r>
      <w:r>
        <w:rPr>
          <w:rFonts w:hint="eastAsia" w:asciiTheme="majorEastAsia" w:hAnsiTheme="majorEastAsia" w:eastAsiaTheme="majorEastAsia" w:cstheme="majorEastAsia"/>
          <w:b/>
          <w:bCs/>
          <w:color w:val="auto"/>
          <w:spacing w:val="0"/>
          <w:position w:val="0"/>
          <w:sz w:val="32"/>
          <w:szCs w:val="32"/>
          <w:highlight w:val="none"/>
          <w:lang w:eastAsia="zh-CN"/>
        </w:rPr>
        <w:t>（格式）</w:t>
      </w:r>
    </w:p>
    <w:p w14:paraId="4FA6AB13">
      <w:pPr>
        <w:pStyle w:val="39"/>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p>
    <w:p w14:paraId="07FFBCBD">
      <w:pPr>
        <w:spacing w:line="360" w:lineRule="auto"/>
        <w:contextualSpacing/>
        <w:rPr>
          <w:rFonts w:hint="eastAsia" w:ascii="宋体" w:hAnsi="宋体" w:cs="宋体"/>
          <w:color w:val="auto"/>
          <w:spacing w:val="0"/>
          <w:position w:val="0"/>
          <w:sz w:val="22"/>
          <w:szCs w:val="22"/>
          <w:highlight w:val="none"/>
        </w:rPr>
      </w:pPr>
      <w:r>
        <w:rPr>
          <w:rFonts w:hint="eastAsia" w:ascii="宋体" w:hAnsi="宋体" w:cs="宋体"/>
          <w:color w:val="auto"/>
          <w:spacing w:val="0"/>
          <w:position w:val="0"/>
          <w:sz w:val="22"/>
          <w:szCs w:val="22"/>
          <w:highlight w:val="none"/>
        </w:rPr>
        <w:t>致：</w:t>
      </w:r>
      <w:r>
        <w:rPr>
          <w:rFonts w:hint="eastAsia" w:ascii="宋体" w:hAnsi="宋体" w:cs="宋体"/>
          <w:color w:val="auto"/>
          <w:spacing w:val="0"/>
          <w:position w:val="0"/>
          <w:sz w:val="22"/>
          <w:szCs w:val="22"/>
          <w:highlight w:val="none"/>
          <w:u w:val="single"/>
        </w:rPr>
        <w:t>（采购人名称）</w:t>
      </w:r>
    </w:p>
    <w:p w14:paraId="78B66869">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rPr>
        <w:t>1、根据你方项目编号为</w:t>
      </w:r>
      <w:r>
        <w:rPr>
          <w:rFonts w:hint="eastAsia" w:asciiTheme="majorEastAsia" w:hAnsiTheme="majorEastAsia" w:eastAsiaTheme="majorEastAsia" w:cstheme="majorEastAsia"/>
          <w:b w:val="0"/>
          <w:bCs w:val="0"/>
          <w:color w:val="auto"/>
          <w:spacing w:val="0"/>
          <w:position w:val="0"/>
          <w:sz w:val="21"/>
          <w:szCs w:val="24"/>
          <w:highlight w:val="none"/>
          <w:u w:val="single"/>
        </w:rPr>
        <w:t xml:space="preserve">    </w:t>
      </w:r>
      <w:r>
        <w:rPr>
          <w:rFonts w:hint="eastAsia" w:asciiTheme="majorEastAsia" w:hAnsiTheme="majorEastAsia" w:eastAsiaTheme="majorEastAsia" w:cstheme="majorEastAsia"/>
          <w:b w:val="0"/>
          <w:bCs w:val="0"/>
          <w:color w:val="auto"/>
          <w:spacing w:val="0"/>
          <w:position w:val="0"/>
          <w:sz w:val="21"/>
          <w:szCs w:val="24"/>
          <w:highlight w:val="none"/>
          <w:u w:val="single"/>
          <w:lang w:eastAsia="zh-CN"/>
        </w:rPr>
        <w:t>（</w:t>
      </w:r>
      <w:r>
        <w:rPr>
          <w:rFonts w:hint="eastAsia" w:asciiTheme="majorEastAsia" w:hAnsiTheme="majorEastAsia" w:eastAsiaTheme="majorEastAsia" w:cstheme="majorEastAsia"/>
          <w:b w:val="0"/>
          <w:bCs w:val="0"/>
          <w:color w:val="auto"/>
          <w:spacing w:val="0"/>
          <w:position w:val="0"/>
          <w:sz w:val="21"/>
          <w:szCs w:val="24"/>
          <w:highlight w:val="none"/>
          <w:u w:val="single"/>
        </w:rPr>
        <w:t>项目编号</w:t>
      </w:r>
      <w:r>
        <w:rPr>
          <w:rFonts w:hint="eastAsia" w:asciiTheme="majorEastAsia" w:hAnsiTheme="majorEastAsia" w:eastAsiaTheme="majorEastAsia" w:cstheme="majorEastAsia"/>
          <w:b w:val="0"/>
          <w:bCs w:val="0"/>
          <w:color w:val="auto"/>
          <w:spacing w:val="0"/>
          <w:position w:val="0"/>
          <w:sz w:val="21"/>
          <w:szCs w:val="24"/>
          <w:highlight w:val="none"/>
          <w:u w:val="single"/>
          <w:lang w:eastAsia="zh-CN"/>
        </w:rPr>
        <w:t>）</w:t>
      </w:r>
      <w:r>
        <w:rPr>
          <w:rFonts w:hint="eastAsia" w:asciiTheme="majorEastAsia" w:hAnsiTheme="majorEastAsia" w:eastAsiaTheme="majorEastAsia" w:cstheme="majorEastAsia"/>
          <w:b w:val="0"/>
          <w:bCs w:val="0"/>
          <w:color w:val="auto"/>
          <w:spacing w:val="0"/>
          <w:position w:val="0"/>
          <w:sz w:val="21"/>
          <w:szCs w:val="24"/>
          <w:highlight w:val="none"/>
          <w:u w:val="single"/>
        </w:rPr>
        <w:t xml:space="preserve">   </w:t>
      </w:r>
      <w:r>
        <w:rPr>
          <w:rFonts w:hint="eastAsia" w:asciiTheme="majorEastAsia" w:hAnsiTheme="majorEastAsia" w:eastAsiaTheme="majorEastAsia" w:cstheme="majorEastAsia"/>
          <w:b w:val="0"/>
          <w:bCs w:val="0"/>
          <w:color w:val="auto"/>
          <w:spacing w:val="0"/>
          <w:position w:val="0"/>
          <w:sz w:val="21"/>
          <w:szCs w:val="24"/>
          <w:highlight w:val="none"/>
        </w:rPr>
        <w:t>的</w:t>
      </w:r>
      <w:r>
        <w:rPr>
          <w:rFonts w:hint="eastAsia" w:asciiTheme="majorEastAsia" w:hAnsiTheme="majorEastAsia" w:eastAsiaTheme="majorEastAsia" w:cstheme="majorEastAsia"/>
          <w:b w:val="0"/>
          <w:bCs w:val="0"/>
          <w:color w:val="auto"/>
          <w:spacing w:val="0"/>
          <w:position w:val="0"/>
          <w:sz w:val="21"/>
          <w:szCs w:val="24"/>
          <w:highlight w:val="none"/>
          <w:u w:val="single"/>
        </w:rPr>
        <w:t xml:space="preserve">   </w:t>
      </w:r>
      <w:r>
        <w:rPr>
          <w:rFonts w:hint="eastAsia" w:asciiTheme="majorEastAsia" w:hAnsiTheme="majorEastAsia" w:eastAsiaTheme="majorEastAsia" w:cstheme="majorEastAsia"/>
          <w:b w:val="0"/>
          <w:bCs w:val="0"/>
          <w:color w:val="auto"/>
          <w:spacing w:val="0"/>
          <w:position w:val="0"/>
          <w:sz w:val="21"/>
          <w:szCs w:val="24"/>
          <w:highlight w:val="none"/>
          <w:u w:val="single"/>
          <w:lang w:eastAsia="zh-CN"/>
        </w:rPr>
        <w:t>（</w:t>
      </w:r>
      <w:r>
        <w:rPr>
          <w:rFonts w:hint="eastAsia" w:asciiTheme="majorEastAsia" w:hAnsiTheme="majorEastAsia" w:eastAsiaTheme="majorEastAsia" w:cstheme="majorEastAsia"/>
          <w:b w:val="0"/>
          <w:bCs w:val="0"/>
          <w:color w:val="auto"/>
          <w:spacing w:val="0"/>
          <w:position w:val="0"/>
          <w:sz w:val="21"/>
          <w:szCs w:val="24"/>
          <w:highlight w:val="none"/>
          <w:u w:val="single"/>
        </w:rPr>
        <w:t>项目名称</w:t>
      </w:r>
      <w:r>
        <w:rPr>
          <w:rFonts w:hint="eastAsia" w:asciiTheme="majorEastAsia" w:hAnsiTheme="majorEastAsia" w:eastAsiaTheme="majorEastAsia" w:cstheme="majorEastAsia"/>
          <w:b w:val="0"/>
          <w:bCs w:val="0"/>
          <w:color w:val="auto"/>
          <w:spacing w:val="0"/>
          <w:position w:val="0"/>
          <w:sz w:val="21"/>
          <w:szCs w:val="24"/>
          <w:highlight w:val="none"/>
          <w:u w:val="single"/>
          <w:lang w:eastAsia="zh-CN"/>
        </w:rPr>
        <w:t>）</w:t>
      </w:r>
      <w:r>
        <w:rPr>
          <w:rFonts w:hint="eastAsia" w:asciiTheme="majorEastAsia" w:hAnsiTheme="majorEastAsia" w:eastAsiaTheme="majorEastAsia" w:cstheme="majorEastAsia"/>
          <w:b w:val="0"/>
          <w:bCs w:val="0"/>
          <w:color w:val="auto"/>
          <w:spacing w:val="0"/>
          <w:position w:val="0"/>
          <w:sz w:val="21"/>
          <w:szCs w:val="24"/>
          <w:highlight w:val="none"/>
          <w:u w:val="single"/>
        </w:rPr>
        <w:t xml:space="preserve">   </w:t>
      </w:r>
      <w:r>
        <w:rPr>
          <w:rFonts w:hint="eastAsia" w:asciiTheme="majorEastAsia" w:hAnsiTheme="majorEastAsia" w:eastAsiaTheme="majorEastAsia" w:cstheme="majorEastAsia"/>
          <w:b w:val="0"/>
          <w:bCs w:val="0"/>
          <w:color w:val="auto"/>
          <w:spacing w:val="0"/>
          <w:position w:val="0"/>
          <w:sz w:val="21"/>
          <w:szCs w:val="24"/>
          <w:highlight w:val="none"/>
        </w:rPr>
        <w:t>工程竞争性磋商文件，遵照《中华人民共和国</w:t>
      </w:r>
      <w:r>
        <w:rPr>
          <w:rFonts w:hint="eastAsia" w:asciiTheme="majorEastAsia" w:hAnsiTheme="majorEastAsia" w:eastAsiaTheme="majorEastAsia" w:cstheme="majorEastAsia"/>
          <w:b w:val="0"/>
          <w:bCs w:val="0"/>
          <w:color w:val="auto"/>
          <w:spacing w:val="0"/>
          <w:position w:val="0"/>
          <w:sz w:val="21"/>
          <w:szCs w:val="24"/>
          <w:highlight w:val="none"/>
          <w:lang w:eastAsia="zh-CN"/>
        </w:rPr>
        <w:t>政府</w:t>
      </w:r>
      <w:r>
        <w:rPr>
          <w:rFonts w:hint="eastAsia" w:asciiTheme="majorEastAsia" w:hAnsiTheme="majorEastAsia" w:eastAsiaTheme="majorEastAsia" w:cstheme="majorEastAsia"/>
          <w:b w:val="0"/>
          <w:bCs w:val="0"/>
          <w:color w:val="auto"/>
          <w:spacing w:val="0"/>
          <w:position w:val="0"/>
          <w:sz w:val="21"/>
          <w:szCs w:val="24"/>
          <w:highlight w:val="none"/>
        </w:rPr>
        <w:t>采购法》、《中华人民共和国</w:t>
      </w:r>
      <w:r>
        <w:rPr>
          <w:rFonts w:hint="eastAsia" w:asciiTheme="majorEastAsia" w:hAnsiTheme="majorEastAsia" w:eastAsiaTheme="majorEastAsia" w:cstheme="majorEastAsia"/>
          <w:b w:val="0"/>
          <w:bCs w:val="0"/>
          <w:color w:val="auto"/>
          <w:spacing w:val="0"/>
          <w:position w:val="0"/>
          <w:sz w:val="21"/>
          <w:szCs w:val="24"/>
          <w:highlight w:val="none"/>
          <w:lang w:eastAsia="zh-CN"/>
        </w:rPr>
        <w:t>政府</w:t>
      </w:r>
      <w:r>
        <w:rPr>
          <w:rFonts w:hint="eastAsia" w:asciiTheme="majorEastAsia" w:hAnsiTheme="majorEastAsia" w:eastAsiaTheme="majorEastAsia" w:cstheme="majorEastAsia"/>
          <w:b w:val="0"/>
          <w:bCs w:val="0"/>
          <w:color w:val="auto"/>
          <w:spacing w:val="0"/>
          <w:position w:val="0"/>
          <w:sz w:val="21"/>
          <w:szCs w:val="24"/>
          <w:highlight w:val="none"/>
        </w:rPr>
        <w:t>采购法实施条例》、《</w:t>
      </w:r>
      <w:r>
        <w:rPr>
          <w:rFonts w:hint="eastAsia" w:asciiTheme="majorEastAsia" w:hAnsiTheme="majorEastAsia" w:eastAsiaTheme="majorEastAsia" w:cstheme="majorEastAsia"/>
          <w:b w:val="0"/>
          <w:bCs w:val="0"/>
          <w:color w:val="auto"/>
          <w:spacing w:val="0"/>
          <w:position w:val="0"/>
          <w:sz w:val="21"/>
          <w:szCs w:val="24"/>
          <w:highlight w:val="none"/>
          <w:lang w:eastAsia="zh-CN"/>
        </w:rPr>
        <w:t>政府</w:t>
      </w:r>
      <w:r>
        <w:rPr>
          <w:rFonts w:hint="eastAsia" w:asciiTheme="majorEastAsia" w:hAnsiTheme="majorEastAsia" w:eastAsiaTheme="majorEastAsia" w:cstheme="majorEastAsia"/>
          <w:b w:val="0"/>
          <w:bCs w:val="0"/>
          <w:color w:val="auto"/>
          <w:spacing w:val="0"/>
          <w:position w:val="0"/>
          <w:sz w:val="21"/>
          <w:szCs w:val="24"/>
          <w:highlight w:val="none"/>
        </w:rPr>
        <w:t>采购竞争性磋商采购方式管理暂行办法》等有关规定，经研究上述竞争性磋商文件的磋商须知、合同条款、图纸</w:t>
      </w:r>
      <w:r>
        <w:rPr>
          <w:rFonts w:hint="eastAsia" w:asciiTheme="majorEastAsia" w:hAnsiTheme="majorEastAsia" w:eastAsiaTheme="majorEastAsia" w:cstheme="majorEastAsia"/>
          <w:b w:val="0"/>
          <w:bCs w:val="0"/>
          <w:color w:val="auto"/>
          <w:spacing w:val="0"/>
          <w:position w:val="0"/>
          <w:sz w:val="21"/>
          <w:szCs w:val="24"/>
          <w:highlight w:val="none"/>
          <w:lang w:val="en-US" w:eastAsia="zh-CN"/>
        </w:rPr>
        <w:t>和</w:t>
      </w:r>
      <w:r>
        <w:rPr>
          <w:rFonts w:hint="eastAsia" w:asciiTheme="majorEastAsia" w:hAnsiTheme="majorEastAsia" w:eastAsiaTheme="majorEastAsia" w:cstheme="majorEastAsia"/>
          <w:b w:val="0"/>
          <w:bCs w:val="0"/>
          <w:color w:val="auto"/>
          <w:spacing w:val="0"/>
          <w:position w:val="0"/>
          <w:sz w:val="21"/>
          <w:szCs w:val="24"/>
          <w:highlight w:val="none"/>
          <w:lang w:eastAsia="zh-CN"/>
        </w:rPr>
        <w:t>工程量清单</w:t>
      </w:r>
      <w:r>
        <w:rPr>
          <w:rFonts w:hint="eastAsia" w:asciiTheme="majorEastAsia" w:hAnsiTheme="majorEastAsia" w:eastAsiaTheme="majorEastAsia" w:cstheme="majorEastAsia"/>
          <w:b w:val="0"/>
          <w:bCs w:val="0"/>
          <w:color w:val="auto"/>
          <w:spacing w:val="0"/>
          <w:position w:val="0"/>
          <w:sz w:val="21"/>
          <w:szCs w:val="24"/>
          <w:highlight w:val="none"/>
        </w:rPr>
        <w:t>及其他有关文件后，我方愿以人民币</w:t>
      </w:r>
      <w:r>
        <w:rPr>
          <w:rFonts w:hint="eastAsia" w:asciiTheme="majorEastAsia" w:hAnsiTheme="majorEastAsia" w:eastAsiaTheme="majorEastAsia" w:cstheme="majorEastAsia"/>
          <w:b w:val="0"/>
          <w:bCs w:val="0"/>
          <w:color w:val="auto"/>
          <w:spacing w:val="0"/>
          <w:position w:val="0"/>
          <w:sz w:val="21"/>
          <w:szCs w:val="24"/>
          <w:highlight w:val="none"/>
          <w:lang w:eastAsia="zh-CN"/>
        </w:rPr>
        <w:t>（</w:t>
      </w:r>
      <w:r>
        <w:rPr>
          <w:rFonts w:hint="eastAsia" w:asciiTheme="majorEastAsia" w:hAnsiTheme="majorEastAsia" w:eastAsiaTheme="majorEastAsia" w:cstheme="majorEastAsia"/>
          <w:b w:val="0"/>
          <w:bCs w:val="0"/>
          <w:color w:val="auto"/>
          <w:spacing w:val="0"/>
          <w:position w:val="0"/>
          <w:sz w:val="21"/>
          <w:szCs w:val="24"/>
          <w:highlight w:val="none"/>
        </w:rPr>
        <w:t>大 写</w:t>
      </w:r>
      <w:r>
        <w:rPr>
          <w:rFonts w:hint="eastAsia" w:asciiTheme="majorEastAsia" w:hAnsiTheme="majorEastAsia" w:eastAsiaTheme="majorEastAsia" w:cstheme="majorEastAsia"/>
          <w:b w:val="0"/>
          <w:bCs w:val="0"/>
          <w:color w:val="auto"/>
          <w:spacing w:val="0"/>
          <w:position w:val="0"/>
          <w:sz w:val="21"/>
          <w:szCs w:val="24"/>
          <w:highlight w:val="none"/>
          <w:lang w:eastAsia="zh-CN"/>
        </w:rPr>
        <w:t>：</w:t>
      </w:r>
      <w:r>
        <w:rPr>
          <w:rFonts w:hint="eastAsia" w:asciiTheme="majorEastAsia" w:hAnsiTheme="majorEastAsia" w:eastAsiaTheme="majorEastAsia" w:cstheme="majorEastAsia"/>
          <w:b w:val="0"/>
          <w:bCs w:val="0"/>
          <w:color w:val="auto"/>
          <w:spacing w:val="0"/>
          <w:position w:val="0"/>
          <w:sz w:val="21"/>
          <w:szCs w:val="24"/>
          <w:highlight w:val="none"/>
          <w:u w:val="single"/>
          <w:lang w:val="en-US" w:eastAsia="zh-CN"/>
        </w:rPr>
        <w:t xml:space="preserve">               </w:t>
      </w:r>
      <w:r>
        <w:rPr>
          <w:rFonts w:hint="eastAsia" w:asciiTheme="majorEastAsia" w:hAnsiTheme="majorEastAsia" w:eastAsiaTheme="majorEastAsia" w:cstheme="majorEastAsia"/>
          <w:b w:val="0"/>
          <w:bCs w:val="0"/>
          <w:color w:val="auto"/>
          <w:spacing w:val="0"/>
          <w:position w:val="0"/>
          <w:sz w:val="21"/>
          <w:szCs w:val="24"/>
          <w:highlight w:val="none"/>
          <w:lang w:eastAsia="zh-CN"/>
        </w:rPr>
        <w:t>）</w:t>
      </w:r>
      <w:r>
        <w:rPr>
          <w:rFonts w:hint="eastAsia" w:asciiTheme="majorEastAsia" w:hAnsiTheme="majorEastAsia" w:eastAsiaTheme="majorEastAsia" w:cstheme="majorEastAsia"/>
          <w:b w:val="0"/>
          <w:bCs w:val="0"/>
          <w:color w:val="auto"/>
          <w:spacing w:val="0"/>
          <w:position w:val="0"/>
          <w:sz w:val="21"/>
          <w:szCs w:val="24"/>
          <w:highlight w:val="none"/>
          <w:u w:val="single"/>
          <w:lang w:eastAsia="zh-CN"/>
        </w:rPr>
        <w:t>（</w:t>
      </w:r>
      <w:r>
        <w:rPr>
          <w:rFonts w:hint="default" w:ascii="Arial" w:hAnsi="Arial" w:cs="Arial" w:eastAsiaTheme="majorEastAsia"/>
          <w:b w:val="0"/>
          <w:bCs w:val="0"/>
          <w:color w:val="auto"/>
          <w:spacing w:val="0"/>
          <w:position w:val="0"/>
          <w:sz w:val="21"/>
          <w:szCs w:val="24"/>
          <w:highlight w:val="none"/>
          <w:u w:val="single"/>
        </w:rPr>
        <w:t>¥</w:t>
      </w:r>
      <w:r>
        <w:rPr>
          <w:rFonts w:hint="eastAsia" w:asciiTheme="majorEastAsia" w:hAnsiTheme="majorEastAsia" w:eastAsiaTheme="majorEastAsia" w:cstheme="majorEastAsia"/>
          <w:b w:val="0"/>
          <w:bCs w:val="0"/>
          <w:color w:val="auto"/>
          <w:spacing w:val="0"/>
          <w:position w:val="0"/>
          <w:sz w:val="21"/>
          <w:szCs w:val="24"/>
          <w:highlight w:val="none"/>
          <w:u w:val="single"/>
        </w:rPr>
        <w:t xml:space="preserve"> </w:t>
      </w:r>
      <w:r>
        <w:rPr>
          <w:rFonts w:hint="eastAsia" w:asciiTheme="majorEastAsia" w:hAnsiTheme="majorEastAsia" w:eastAsiaTheme="majorEastAsia" w:cstheme="majorEastAsia"/>
          <w:b w:val="0"/>
          <w:bCs w:val="0"/>
          <w:color w:val="auto"/>
          <w:spacing w:val="0"/>
          <w:position w:val="0"/>
          <w:sz w:val="21"/>
          <w:szCs w:val="24"/>
          <w:highlight w:val="none"/>
          <w:u w:val="single"/>
          <w:lang w:val="en-US" w:eastAsia="zh-CN"/>
        </w:rPr>
        <w:t xml:space="preserve">     </w:t>
      </w:r>
      <w:r>
        <w:rPr>
          <w:rFonts w:hint="eastAsia" w:asciiTheme="majorEastAsia" w:hAnsiTheme="majorEastAsia" w:eastAsiaTheme="majorEastAsia" w:cstheme="majorEastAsia"/>
          <w:b w:val="0"/>
          <w:bCs w:val="0"/>
          <w:color w:val="auto"/>
          <w:spacing w:val="0"/>
          <w:position w:val="0"/>
          <w:sz w:val="21"/>
          <w:szCs w:val="24"/>
          <w:highlight w:val="none"/>
          <w:u w:val="single"/>
        </w:rPr>
        <w:t xml:space="preserve">   元</w:t>
      </w:r>
      <w:r>
        <w:rPr>
          <w:rFonts w:hint="eastAsia" w:asciiTheme="majorEastAsia" w:hAnsiTheme="majorEastAsia" w:eastAsiaTheme="majorEastAsia" w:cstheme="majorEastAsia"/>
          <w:b w:val="0"/>
          <w:bCs w:val="0"/>
          <w:color w:val="auto"/>
          <w:spacing w:val="0"/>
          <w:position w:val="0"/>
          <w:sz w:val="21"/>
          <w:szCs w:val="24"/>
          <w:highlight w:val="none"/>
          <w:u w:val="single"/>
          <w:lang w:eastAsia="zh-CN"/>
        </w:rPr>
        <w:t>）</w:t>
      </w:r>
      <w:r>
        <w:rPr>
          <w:rFonts w:hint="eastAsia" w:asciiTheme="majorEastAsia" w:hAnsiTheme="majorEastAsia" w:eastAsiaTheme="majorEastAsia" w:cstheme="majorEastAsia"/>
          <w:b w:val="0"/>
          <w:bCs w:val="0"/>
          <w:color w:val="auto"/>
          <w:spacing w:val="0"/>
          <w:position w:val="0"/>
          <w:sz w:val="21"/>
          <w:szCs w:val="24"/>
          <w:highlight w:val="none"/>
        </w:rPr>
        <w:t>的磋商报价并按上述图纸、合同条款和</w:t>
      </w:r>
      <w:r>
        <w:rPr>
          <w:rFonts w:hint="eastAsia" w:asciiTheme="majorEastAsia" w:hAnsiTheme="majorEastAsia" w:eastAsiaTheme="majorEastAsia" w:cstheme="majorEastAsia"/>
          <w:b w:val="0"/>
          <w:bCs w:val="0"/>
          <w:color w:val="auto"/>
          <w:spacing w:val="0"/>
          <w:position w:val="0"/>
          <w:sz w:val="21"/>
          <w:szCs w:val="24"/>
          <w:highlight w:val="none"/>
          <w:lang w:eastAsia="zh-CN"/>
        </w:rPr>
        <w:t>工程量清单（</w:t>
      </w:r>
      <w:r>
        <w:rPr>
          <w:rFonts w:hint="eastAsia" w:asciiTheme="majorEastAsia" w:hAnsiTheme="majorEastAsia" w:eastAsiaTheme="majorEastAsia" w:cstheme="majorEastAsia"/>
          <w:b w:val="0"/>
          <w:bCs w:val="0"/>
          <w:color w:val="auto"/>
          <w:spacing w:val="0"/>
          <w:position w:val="0"/>
          <w:sz w:val="21"/>
          <w:szCs w:val="24"/>
          <w:highlight w:val="none"/>
        </w:rPr>
        <w:t>如有时</w:t>
      </w:r>
      <w:r>
        <w:rPr>
          <w:rFonts w:hint="eastAsia" w:asciiTheme="majorEastAsia" w:hAnsiTheme="majorEastAsia" w:eastAsiaTheme="majorEastAsia" w:cstheme="majorEastAsia"/>
          <w:b w:val="0"/>
          <w:bCs w:val="0"/>
          <w:color w:val="auto"/>
          <w:spacing w:val="0"/>
          <w:position w:val="0"/>
          <w:sz w:val="21"/>
          <w:szCs w:val="24"/>
          <w:highlight w:val="none"/>
          <w:lang w:eastAsia="zh-CN"/>
        </w:rPr>
        <w:t>）</w:t>
      </w:r>
      <w:r>
        <w:rPr>
          <w:rFonts w:hint="eastAsia" w:asciiTheme="majorEastAsia" w:hAnsiTheme="majorEastAsia" w:eastAsiaTheme="majorEastAsia" w:cstheme="majorEastAsia"/>
          <w:b w:val="0"/>
          <w:bCs w:val="0"/>
          <w:color w:val="auto"/>
          <w:spacing w:val="0"/>
          <w:position w:val="0"/>
          <w:sz w:val="21"/>
          <w:szCs w:val="24"/>
          <w:highlight w:val="none"/>
        </w:rPr>
        <w:t>的条件要求承包上述工程的施工、竣工，并承担任何质量缺陷保修责任。我方保证工程质量达到</w:t>
      </w:r>
      <w:r>
        <w:rPr>
          <w:rFonts w:hint="eastAsia" w:asciiTheme="majorEastAsia" w:hAnsiTheme="majorEastAsia" w:eastAsiaTheme="majorEastAsia" w:cstheme="majorEastAsia"/>
          <w:b w:val="0"/>
          <w:bCs w:val="0"/>
          <w:color w:val="auto"/>
          <w:spacing w:val="0"/>
          <w:position w:val="0"/>
          <w:sz w:val="21"/>
          <w:szCs w:val="24"/>
          <w:highlight w:val="none"/>
          <w:u w:val="single"/>
        </w:rPr>
        <w:t xml:space="preserve">   </w:t>
      </w:r>
      <w:r>
        <w:rPr>
          <w:rFonts w:hint="eastAsia" w:asciiTheme="majorEastAsia" w:hAnsiTheme="majorEastAsia" w:eastAsiaTheme="majorEastAsia" w:cstheme="majorEastAsia"/>
          <w:b w:val="0"/>
          <w:bCs w:val="0"/>
          <w:color w:val="auto"/>
          <w:spacing w:val="0"/>
          <w:position w:val="0"/>
          <w:sz w:val="21"/>
          <w:szCs w:val="24"/>
          <w:highlight w:val="none"/>
          <w:u w:val="single"/>
          <w:lang w:val="en-US" w:eastAsia="zh-CN"/>
        </w:rPr>
        <w:t xml:space="preserve">      </w:t>
      </w:r>
      <w:r>
        <w:rPr>
          <w:rFonts w:hint="eastAsia" w:asciiTheme="majorEastAsia" w:hAnsiTheme="majorEastAsia" w:eastAsiaTheme="majorEastAsia" w:cstheme="majorEastAsia"/>
          <w:b w:val="0"/>
          <w:bCs w:val="0"/>
          <w:color w:val="auto"/>
          <w:spacing w:val="0"/>
          <w:position w:val="0"/>
          <w:sz w:val="21"/>
          <w:szCs w:val="24"/>
          <w:highlight w:val="none"/>
          <w:u w:val="single"/>
        </w:rPr>
        <w:t xml:space="preserve">  </w:t>
      </w:r>
      <w:r>
        <w:rPr>
          <w:rFonts w:hint="eastAsia" w:asciiTheme="majorEastAsia" w:hAnsiTheme="majorEastAsia" w:eastAsiaTheme="majorEastAsia" w:cstheme="majorEastAsia"/>
          <w:b w:val="0"/>
          <w:bCs w:val="0"/>
          <w:color w:val="auto"/>
          <w:spacing w:val="0"/>
          <w:position w:val="0"/>
          <w:sz w:val="21"/>
          <w:szCs w:val="24"/>
          <w:highlight w:val="none"/>
        </w:rPr>
        <w:t>等级。</w:t>
      </w:r>
    </w:p>
    <w:p w14:paraId="0540AC8D">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rPr>
        <w:t>2、我方已详细审核全部竞争性磋商文件，包括修改文件</w:t>
      </w:r>
      <w:r>
        <w:rPr>
          <w:rFonts w:hint="eastAsia" w:asciiTheme="majorEastAsia" w:hAnsiTheme="majorEastAsia" w:eastAsiaTheme="majorEastAsia" w:cstheme="majorEastAsia"/>
          <w:b w:val="0"/>
          <w:bCs w:val="0"/>
          <w:color w:val="auto"/>
          <w:spacing w:val="0"/>
          <w:position w:val="0"/>
          <w:sz w:val="21"/>
          <w:szCs w:val="24"/>
          <w:highlight w:val="none"/>
          <w:lang w:eastAsia="zh-CN"/>
        </w:rPr>
        <w:t>（</w:t>
      </w:r>
      <w:r>
        <w:rPr>
          <w:rFonts w:hint="eastAsia" w:asciiTheme="majorEastAsia" w:hAnsiTheme="majorEastAsia" w:eastAsiaTheme="majorEastAsia" w:cstheme="majorEastAsia"/>
          <w:b w:val="0"/>
          <w:bCs w:val="0"/>
          <w:color w:val="auto"/>
          <w:spacing w:val="0"/>
          <w:position w:val="0"/>
          <w:sz w:val="21"/>
          <w:szCs w:val="24"/>
          <w:highlight w:val="none"/>
        </w:rPr>
        <w:t>如有时</w:t>
      </w:r>
      <w:r>
        <w:rPr>
          <w:rFonts w:hint="eastAsia" w:asciiTheme="majorEastAsia" w:hAnsiTheme="majorEastAsia" w:eastAsiaTheme="majorEastAsia" w:cstheme="majorEastAsia"/>
          <w:b w:val="0"/>
          <w:bCs w:val="0"/>
          <w:color w:val="auto"/>
          <w:spacing w:val="0"/>
          <w:position w:val="0"/>
          <w:sz w:val="21"/>
          <w:szCs w:val="24"/>
          <w:highlight w:val="none"/>
          <w:lang w:eastAsia="zh-CN"/>
        </w:rPr>
        <w:t>）</w:t>
      </w:r>
      <w:r>
        <w:rPr>
          <w:rFonts w:hint="eastAsia" w:asciiTheme="majorEastAsia" w:hAnsiTheme="majorEastAsia" w:eastAsiaTheme="majorEastAsia" w:cstheme="majorEastAsia"/>
          <w:b w:val="0"/>
          <w:bCs w:val="0"/>
          <w:color w:val="auto"/>
          <w:spacing w:val="0"/>
          <w:position w:val="0"/>
          <w:sz w:val="21"/>
          <w:szCs w:val="24"/>
          <w:highlight w:val="none"/>
        </w:rPr>
        <w:t>及有关附件。</w:t>
      </w:r>
    </w:p>
    <w:p w14:paraId="4CCBD48E">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rPr>
        <w:t>3、我方承认磋商函附录是我方磋商函的组成部分。</w:t>
      </w:r>
    </w:p>
    <w:p w14:paraId="71F5E3DA">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rPr>
        <w:t>4、我方承诺已经具备《</w:t>
      </w:r>
      <w:r>
        <w:rPr>
          <w:rFonts w:hint="eastAsia" w:asciiTheme="majorEastAsia" w:hAnsiTheme="majorEastAsia" w:eastAsiaTheme="majorEastAsia" w:cstheme="majorEastAsia"/>
          <w:b w:val="0"/>
          <w:bCs w:val="0"/>
          <w:color w:val="auto"/>
          <w:spacing w:val="0"/>
          <w:position w:val="0"/>
          <w:sz w:val="21"/>
          <w:szCs w:val="24"/>
          <w:highlight w:val="none"/>
          <w:lang w:eastAsia="zh-CN"/>
        </w:rPr>
        <w:t>中华人民共和国政府采购法</w:t>
      </w:r>
      <w:r>
        <w:rPr>
          <w:rFonts w:hint="eastAsia" w:asciiTheme="majorEastAsia" w:hAnsiTheme="majorEastAsia" w:eastAsiaTheme="majorEastAsia" w:cstheme="majorEastAsia"/>
          <w:b w:val="0"/>
          <w:bCs w:val="0"/>
          <w:color w:val="auto"/>
          <w:spacing w:val="0"/>
          <w:position w:val="0"/>
          <w:sz w:val="21"/>
          <w:szCs w:val="24"/>
          <w:highlight w:val="none"/>
        </w:rPr>
        <w:t>》中规定的参加招标投标采购活动的供应商应当具备的条件：</w:t>
      </w:r>
    </w:p>
    <w:p w14:paraId="4AEC53EE">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lang w:eastAsia="zh-CN"/>
        </w:rPr>
        <w:t>（</w:t>
      </w:r>
      <w:r>
        <w:rPr>
          <w:rFonts w:hint="eastAsia" w:asciiTheme="majorEastAsia" w:hAnsiTheme="majorEastAsia" w:eastAsiaTheme="majorEastAsia" w:cstheme="majorEastAsia"/>
          <w:b w:val="0"/>
          <w:bCs w:val="0"/>
          <w:color w:val="auto"/>
          <w:spacing w:val="0"/>
          <w:position w:val="0"/>
          <w:sz w:val="21"/>
          <w:szCs w:val="24"/>
          <w:highlight w:val="none"/>
        </w:rPr>
        <w:t>1</w:t>
      </w:r>
      <w:r>
        <w:rPr>
          <w:rFonts w:hint="eastAsia" w:asciiTheme="majorEastAsia" w:hAnsiTheme="majorEastAsia" w:eastAsiaTheme="majorEastAsia" w:cstheme="majorEastAsia"/>
          <w:b w:val="0"/>
          <w:bCs w:val="0"/>
          <w:color w:val="auto"/>
          <w:spacing w:val="0"/>
          <w:position w:val="0"/>
          <w:sz w:val="21"/>
          <w:szCs w:val="24"/>
          <w:highlight w:val="none"/>
          <w:lang w:eastAsia="zh-CN"/>
        </w:rPr>
        <w:t>）</w:t>
      </w:r>
      <w:r>
        <w:rPr>
          <w:rFonts w:hint="eastAsia" w:asciiTheme="majorEastAsia" w:hAnsiTheme="majorEastAsia" w:eastAsiaTheme="majorEastAsia" w:cstheme="majorEastAsia"/>
          <w:b w:val="0"/>
          <w:bCs w:val="0"/>
          <w:color w:val="auto"/>
          <w:spacing w:val="0"/>
          <w:position w:val="0"/>
          <w:sz w:val="21"/>
          <w:szCs w:val="24"/>
          <w:highlight w:val="none"/>
        </w:rPr>
        <w:t>具有独立承担民事责任的能力；</w:t>
      </w:r>
    </w:p>
    <w:p w14:paraId="1B46CA47">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lang w:eastAsia="zh-CN"/>
        </w:rPr>
        <w:t>（</w:t>
      </w:r>
      <w:r>
        <w:rPr>
          <w:rFonts w:hint="eastAsia" w:asciiTheme="majorEastAsia" w:hAnsiTheme="majorEastAsia" w:eastAsiaTheme="majorEastAsia" w:cstheme="majorEastAsia"/>
          <w:b w:val="0"/>
          <w:bCs w:val="0"/>
          <w:color w:val="auto"/>
          <w:spacing w:val="0"/>
          <w:position w:val="0"/>
          <w:sz w:val="21"/>
          <w:szCs w:val="24"/>
          <w:highlight w:val="none"/>
        </w:rPr>
        <w:t>2</w:t>
      </w:r>
      <w:r>
        <w:rPr>
          <w:rFonts w:hint="eastAsia" w:asciiTheme="majorEastAsia" w:hAnsiTheme="majorEastAsia" w:eastAsiaTheme="majorEastAsia" w:cstheme="majorEastAsia"/>
          <w:b w:val="0"/>
          <w:bCs w:val="0"/>
          <w:color w:val="auto"/>
          <w:spacing w:val="0"/>
          <w:position w:val="0"/>
          <w:sz w:val="21"/>
          <w:szCs w:val="24"/>
          <w:highlight w:val="none"/>
          <w:lang w:eastAsia="zh-CN"/>
        </w:rPr>
        <w:t>）</w:t>
      </w:r>
      <w:r>
        <w:rPr>
          <w:rFonts w:hint="eastAsia" w:asciiTheme="majorEastAsia" w:hAnsiTheme="majorEastAsia" w:eastAsiaTheme="majorEastAsia" w:cstheme="majorEastAsia"/>
          <w:b w:val="0"/>
          <w:bCs w:val="0"/>
          <w:color w:val="auto"/>
          <w:spacing w:val="0"/>
          <w:position w:val="0"/>
          <w:sz w:val="21"/>
          <w:szCs w:val="24"/>
          <w:highlight w:val="none"/>
        </w:rPr>
        <w:t>具有良好的商业信誉和健全的财务会计制度；</w:t>
      </w:r>
    </w:p>
    <w:p w14:paraId="2EF11833">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lang w:eastAsia="zh-CN"/>
        </w:rPr>
        <w:t>（</w:t>
      </w:r>
      <w:r>
        <w:rPr>
          <w:rFonts w:hint="eastAsia" w:asciiTheme="majorEastAsia" w:hAnsiTheme="majorEastAsia" w:eastAsiaTheme="majorEastAsia" w:cstheme="majorEastAsia"/>
          <w:b w:val="0"/>
          <w:bCs w:val="0"/>
          <w:color w:val="auto"/>
          <w:spacing w:val="0"/>
          <w:position w:val="0"/>
          <w:sz w:val="21"/>
          <w:szCs w:val="24"/>
          <w:highlight w:val="none"/>
        </w:rPr>
        <w:t>3</w:t>
      </w:r>
      <w:r>
        <w:rPr>
          <w:rFonts w:hint="eastAsia" w:asciiTheme="majorEastAsia" w:hAnsiTheme="majorEastAsia" w:eastAsiaTheme="majorEastAsia" w:cstheme="majorEastAsia"/>
          <w:b w:val="0"/>
          <w:bCs w:val="0"/>
          <w:color w:val="auto"/>
          <w:spacing w:val="0"/>
          <w:position w:val="0"/>
          <w:sz w:val="21"/>
          <w:szCs w:val="24"/>
          <w:highlight w:val="none"/>
          <w:lang w:eastAsia="zh-CN"/>
        </w:rPr>
        <w:t>）</w:t>
      </w:r>
      <w:r>
        <w:rPr>
          <w:rFonts w:hint="eastAsia" w:asciiTheme="majorEastAsia" w:hAnsiTheme="majorEastAsia" w:eastAsiaTheme="majorEastAsia" w:cstheme="majorEastAsia"/>
          <w:b w:val="0"/>
          <w:bCs w:val="0"/>
          <w:color w:val="auto"/>
          <w:spacing w:val="0"/>
          <w:position w:val="0"/>
          <w:sz w:val="21"/>
          <w:szCs w:val="24"/>
          <w:highlight w:val="none"/>
        </w:rPr>
        <w:t>具有履行合同所必需的设备和专业技术能力；</w:t>
      </w:r>
    </w:p>
    <w:p w14:paraId="35414712">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lang w:eastAsia="zh-CN"/>
        </w:rPr>
        <w:t>（</w:t>
      </w:r>
      <w:r>
        <w:rPr>
          <w:rFonts w:hint="eastAsia" w:asciiTheme="majorEastAsia" w:hAnsiTheme="majorEastAsia" w:eastAsiaTheme="majorEastAsia" w:cstheme="majorEastAsia"/>
          <w:b w:val="0"/>
          <w:bCs w:val="0"/>
          <w:color w:val="auto"/>
          <w:spacing w:val="0"/>
          <w:position w:val="0"/>
          <w:sz w:val="21"/>
          <w:szCs w:val="24"/>
          <w:highlight w:val="none"/>
        </w:rPr>
        <w:t>4</w:t>
      </w:r>
      <w:r>
        <w:rPr>
          <w:rFonts w:hint="eastAsia" w:asciiTheme="majorEastAsia" w:hAnsiTheme="majorEastAsia" w:eastAsiaTheme="majorEastAsia" w:cstheme="majorEastAsia"/>
          <w:b w:val="0"/>
          <w:bCs w:val="0"/>
          <w:color w:val="auto"/>
          <w:spacing w:val="0"/>
          <w:position w:val="0"/>
          <w:sz w:val="21"/>
          <w:szCs w:val="24"/>
          <w:highlight w:val="none"/>
          <w:lang w:eastAsia="zh-CN"/>
        </w:rPr>
        <w:t>）</w:t>
      </w:r>
      <w:r>
        <w:rPr>
          <w:rFonts w:hint="eastAsia" w:asciiTheme="majorEastAsia" w:hAnsiTheme="majorEastAsia" w:eastAsiaTheme="majorEastAsia" w:cstheme="majorEastAsia"/>
          <w:b w:val="0"/>
          <w:bCs w:val="0"/>
          <w:color w:val="auto"/>
          <w:spacing w:val="0"/>
          <w:position w:val="0"/>
          <w:sz w:val="21"/>
          <w:szCs w:val="24"/>
          <w:highlight w:val="none"/>
        </w:rPr>
        <w:t>有依法缴纳税收和社会保障资金的良好记录；</w:t>
      </w:r>
    </w:p>
    <w:p w14:paraId="7E17FB4F">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lang w:eastAsia="zh-CN"/>
        </w:rPr>
        <w:t>（</w:t>
      </w:r>
      <w:r>
        <w:rPr>
          <w:rFonts w:hint="eastAsia" w:asciiTheme="majorEastAsia" w:hAnsiTheme="majorEastAsia" w:eastAsiaTheme="majorEastAsia" w:cstheme="majorEastAsia"/>
          <w:b w:val="0"/>
          <w:bCs w:val="0"/>
          <w:color w:val="auto"/>
          <w:spacing w:val="0"/>
          <w:position w:val="0"/>
          <w:sz w:val="21"/>
          <w:szCs w:val="24"/>
          <w:highlight w:val="none"/>
        </w:rPr>
        <w:t>5</w:t>
      </w:r>
      <w:r>
        <w:rPr>
          <w:rFonts w:hint="eastAsia" w:asciiTheme="majorEastAsia" w:hAnsiTheme="majorEastAsia" w:eastAsiaTheme="majorEastAsia" w:cstheme="majorEastAsia"/>
          <w:b w:val="0"/>
          <w:bCs w:val="0"/>
          <w:color w:val="auto"/>
          <w:spacing w:val="0"/>
          <w:position w:val="0"/>
          <w:sz w:val="21"/>
          <w:szCs w:val="24"/>
          <w:highlight w:val="none"/>
          <w:lang w:eastAsia="zh-CN"/>
        </w:rPr>
        <w:t>）</w:t>
      </w:r>
      <w:r>
        <w:rPr>
          <w:rFonts w:hint="eastAsia" w:asciiTheme="majorEastAsia" w:hAnsiTheme="majorEastAsia" w:eastAsiaTheme="majorEastAsia" w:cstheme="majorEastAsia"/>
          <w:b w:val="0"/>
          <w:bCs w:val="0"/>
          <w:color w:val="auto"/>
          <w:spacing w:val="0"/>
          <w:position w:val="0"/>
          <w:sz w:val="21"/>
          <w:szCs w:val="24"/>
          <w:highlight w:val="none"/>
        </w:rPr>
        <w:t>参加招标投标采购活动前三年内，在经营活动中没有重大违法记录；</w:t>
      </w:r>
    </w:p>
    <w:p w14:paraId="6E062A61">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lang w:eastAsia="zh-CN"/>
        </w:rPr>
        <w:t>（</w:t>
      </w:r>
      <w:r>
        <w:rPr>
          <w:rFonts w:hint="eastAsia" w:asciiTheme="majorEastAsia" w:hAnsiTheme="majorEastAsia" w:eastAsiaTheme="majorEastAsia" w:cstheme="majorEastAsia"/>
          <w:b w:val="0"/>
          <w:bCs w:val="0"/>
          <w:color w:val="auto"/>
          <w:spacing w:val="0"/>
          <w:position w:val="0"/>
          <w:sz w:val="21"/>
          <w:szCs w:val="24"/>
          <w:highlight w:val="none"/>
        </w:rPr>
        <w:t>6</w:t>
      </w:r>
      <w:r>
        <w:rPr>
          <w:rFonts w:hint="eastAsia" w:asciiTheme="majorEastAsia" w:hAnsiTheme="majorEastAsia" w:eastAsiaTheme="majorEastAsia" w:cstheme="majorEastAsia"/>
          <w:b w:val="0"/>
          <w:bCs w:val="0"/>
          <w:color w:val="auto"/>
          <w:spacing w:val="0"/>
          <w:position w:val="0"/>
          <w:sz w:val="21"/>
          <w:szCs w:val="24"/>
          <w:highlight w:val="none"/>
          <w:lang w:eastAsia="zh-CN"/>
        </w:rPr>
        <w:t>）</w:t>
      </w:r>
      <w:r>
        <w:rPr>
          <w:rFonts w:hint="eastAsia" w:asciiTheme="majorEastAsia" w:hAnsiTheme="majorEastAsia" w:eastAsiaTheme="majorEastAsia" w:cstheme="majorEastAsia"/>
          <w:b w:val="0"/>
          <w:bCs w:val="0"/>
          <w:color w:val="auto"/>
          <w:spacing w:val="0"/>
          <w:position w:val="0"/>
          <w:sz w:val="21"/>
          <w:szCs w:val="24"/>
          <w:highlight w:val="none"/>
        </w:rPr>
        <w:t>法律、行政法规规定的其他条件。</w:t>
      </w:r>
    </w:p>
    <w:p w14:paraId="7182124E">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rPr>
        <w:t>5、一旦我方成交，我方保证按合同书中规定的工期</w:t>
      </w:r>
      <w:r>
        <w:rPr>
          <w:rFonts w:hint="eastAsia" w:asciiTheme="majorEastAsia" w:hAnsiTheme="majorEastAsia" w:eastAsiaTheme="majorEastAsia" w:cstheme="majorEastAsia"/>
          <w:b w:val="0"/>
          <w:bCs w:val="0"/>
          <w:color w:val="auto"/>
          <w:spacing w:val="0"/>
          <w:position w:val="0"/>
          <w:sz w:val="21"/>
          <w:szCs w:val="24"/>
          <w:highlight w:val="none"/>
          <w:u w:val="single"/>
        </w:rPr>
        <w:t xml:space="preserve">  </w:t>
      </w:r>
      <w:r>
        <w:rPr>
          <w:rFonts w:hint="eastAsia" w:asciiTheme="majorEastAsia" w:hAnsiTheme="majorEastAsia" w:eastAsiaTheme="majorEastAsia" w:cstheme="majorEastAsia"/>
          <w:b w:val="0"/>
          <w:bCs w:val="0"/>
          <w:color w:val="auto"/>
          <w:spacing w:val="0"/>
          <w:position w:val="0"/>
          <w:sz w:val="21"/>
          <w:szCs w:val="24"/>
          <w:highlight w:val="none"/>
          <w:u w:val="single"/>
          <w:lang w:val="en-US" w:eastAsia="zh-CN"/>
        </w:rPr>
        <w:t xml:space="preserve">     </w:t>
      </w:r>
      <w:r>
        <w:rPr>
          <w:rFonts w:hint="eastAsia" w:asciiTheme="majorEastAsia" w:hAnsiTheme="majorEastAsia" w:eastAsiaTheme="majorEastAsia" w:cstheme="majorEastAsia"/>
          <w:b w:val="0"/>
          <w:bCs w:val="0"/>
          <w:color w:val="auto"/>
          <w:spacing w:val="0"/>
          <w:position w:val="0"/>
          <w:sz w:val="21"/>
          <w:szCs w:val="24"/>
          <w:highlight w:val="none"/>
          <w:u w:val="single"/>
        </w:rPr>
        <w:t xml:space="preserve">  </w:t>
      </w:r>
      <w:r>
        <w:rPr>
          <w:rFonts w:hint="eastAsia" w:asciiTheme="majorEastAsia" w:hAnsiTheme="majorEastAsia" w:eastAsiaTheme="majorEastAsia" w:cstheme="majorEastAsia"/>
          <w:b w:val="0"/>
          <w:bCs w:val="0"/>
          <w:color w:val="auto"/>
          <w:spacing w:val="0"/>
          <w:position w:val="0"/>
          <w:sz w:val="21"/>
          <w:szCs w:val="24"/>
          <w:highlight w:val="none"/>
          <w:u w:val="none"/>
        </w:rPr>
        <w:t>日</w:t>
      </w:r>
      <w:r>
        <w:rPr>
          <w:rFonts w:hint="eastAsia" w:asciiTheme="majorEastAsia" w:hAnsiTheme="majorEastAsia" w:eastAsiaTheme="majorEastAsia" w:cstheme="majorEastAsia"/>
          <w:b w:val="0"/>
          <w:bCs w:val="0"/>
          <w:color w:val="auto"/>
          <w:spacing w:val="0"/>
          <w:position w:val="0"/>
          <w:sz w:val="21"/>
          <w:szCs w:val="24"/>
          <w:highlight w:val="none"/>
        </w:rPr>
        <w:t>历天内完成并移交全部工程。</w:t>
      </w:r>
    </w:p>
    <w:p w14:paraId="26E0BC03">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rPr>
        <w:t>6、如果我方成交，我方将按照文件规定提交履约保证金作为履约担保。</w:t>
      </w:r>
    </w:p>
    <w:p w14:paraId="32ACE5FC">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rPr>
        <w:t>7、我方同意所提交的响应文件在竞争性磋商文件的“磋商须知”中第 11 条规定的响应文件有效期内有效，在此期间内如果成交，我方将受此约束。</w:t>
      </w:r>
    </w:p>
    <w:p w14:paraId="613F7FCF">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rPr>
        <w:t>8、除非另外达成协议并生效，你方的成交通知书和本响应文件将成为约束双方的合同文件的组成部分。</w:t>
      </w:r>
    </w:p>
    <w:p w14:paraId="73795284">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p>
    <w:p w14:paraId="025C58A2">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rPr>
        <w:t>供 应 商（电子签章）：</w:t>
      </w:r>
      <w:r>
        <w:rPr>
          <w:rFonts w:hint="eastAsia" w:asciiTheme="majorEastAsia" w:hAnsiTheme="majorEastAsia" w:eastAsiaTheme="majorEastAsia" w:cstheme="majorEastAsia"/>
          <w:b w:val="0"/>
          <w:bCs w:val="0"/>
          <w:color w:val="auto"/>
          <w:spacing w:val="0"/>
          <w:position w:val="0"/>
          <w:sz w:val="21"/>
          <w:szCs w:val="24"/>
          <w:highlight w:val="none"/>
          <w:u w:val="single"/>
        </w:rPr>
        <w:t xml:space="preserve">      </w:t>
      </w:r>
      <w:r>
        <w:rPr>
          <w:rFonts w:hint="eastAsia" w:asciiTheme="majorEastAsia" w:hAnsiTheme="majorEastAsia" w:eastAsiaTheme="majorEastAsia" w:cstheme="majorEastAsia"/>
          <w:b w:val="0"/>
          <w:bCs w:val="0"/>
          <w:color w:val="auto"/>
          <w:spacing w:val="0"/>
          <w:position w:val="0"/>
          <w:sz w:val="21"/>
          <w:szCs w:val="24"/>
          <w:highlight w:val="none"/>
          <w:u w:val="single"/>
          <w:lang w:val="en-US" w:eastAsia="zh-CN"/>
        </w:rPr>
        <w:t xml:space="preserve">    </w:t>
      </w:r>
      <w:r>
        <w:rPr>
          <w:rFonts w:hint="eastAsia" w:asciiTheme="majorEastAsia" w:hAnsiTheme="majorEastAsia" w:eastAsiaTheme="majorEastAsia" w:cstheme="majorEastAsia"/>
          <w:b w:val="0"/>
          <w:bCs w:val="0"/>
          <w:color w:val="auto"/>
          <w:spacing w:val="0"/>
          <w:position w:val="0"/>
          <w:sz w:val="21"/>
          <w:szCs w:val="24"/>
          <w:highlight w:val="none"/>
          <w:u w:val="single"/>
        </w:rPr>
        <w:t xml:space="preserve">       </w:t>
      </w:r>
    </w:p>
    <w:p w14:paraId="7CFE3E34">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rPr>
        <w:t>法定代表人或其委托代理人</w:t>
      </w:r>
      <w:r>
        <w:rPr>
          <w:rFonts w:hint="eastAsia" w:ascii="宋体" w:hAnsi="宋体"/>
          <w:color w:val="auto"/>
          <w:spacing w:val="0"/>
          <w:position w:val="0"/>
          <w:sz w:val="24"/>
          <w:szCs w:val="24"/>
          <w:highlight w:val="none"/>
        </w:rPr>
        <w:t>（签字或者电子签名）</w:t>
      </w:r>
      <w:r>
        <w:rPr>
          <w:rFonts w:hint="eastAsia" w:asciiTheme="majorEastAsia" w:hAnsiTheme="majorEastAsia" w:eastAsiaTheme="majorEastAsia" w:cstheme="majorEastAsia"/>
          <w:b w:val="0"/>
          <w:bCs w:val="0"/>
          <w:color w:val="auto"/>
          <w:spacing w:val="0"/>
          <w:position w:val="0"/>
          <w:sz w:val="21"/>
          <w:szCs w:val="24"/>
          <w:highlight w:val="none"/>
        </w:rPr>
        <w:t xml:space="preserve">：    </w:t>
      </w:r>
    </w:p>
    <w:p w14:paraId="2FA591D4">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rPr>
        <w:t xml:space="preserve">单位地址：     </w:t>
      </w:r>
    </w:p>
    <w:p w14:paraId="17A8A02C">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rPr>
        <w:t xml:space="preserve">邮政编码：   </w:t>
      </w:r>
      <w:r>
        <w:rPr>
          <w:rFonts w:hint="eastAsia" w:asciiTheme="majorEastAsia" w:hAnsiTheme="majorEastAsia" w:eastAsiaTheme="majorEastAsia" w:cstheme="majorEastAsia"/>
          <w:b w:val="0"/>
          <w:bCs w:val="0"/>
          <w:color w:val="auto"/>
          <w:spacing w:val="0"/>
          <w:position w:val="0"/>
          <w:sz w:val="21"/>
          <w:szCs w:val="24"/>
          <w:highlight w:val="none"/>
          <w:lang w:val="en-US" w:eastAsia="zh-CN"/>
        </w:rPr>
        <w:t xml:space="preserve">      </w:t>
      </w:r>
      <w:r>
        <w:rPr>
          <w:rFonts w:hint="eastAsia" w:asciiTheme="majorEastAsia" w:hAnsiTheme="majorEastAsia" w:eastAsiaTheme="majorEastAsia" w:cstheme="majorEastAsia"/>
          <w:b w:val="0"/>
          <w:bCs w:val="0"/>
          <w:color w:val="auto"/>
          <w:spacing w:val="0"/>
          <w:position w:val="0"/>
          <w:sz w:val="21"/>
          <w:szCs w:val="24"/>
          <w:highlight w:val="none"/>
        </w:rPr>
        <w:t xml:space="preserve">  电话：   </w:t>
      </w:r>
      <w:r>
        <w:rPr>
          <w:rFonts w:hint="eastAsia" w:asciiTheme="majorEastAsia" w:hAnsiTheme="majorEastAsia" w:eastAsiaTheme="majorEastAsia" w:cstheme="majorEastAsia"/>
          <w:b w:val="0"/>
          <w:bCs w:val="0"/>
          <w:color w:val="auto"/>
          <w:spacing w:val="0"/>
          <w:position w:val="0"/>
          <w:sz w:val="21"/>
          <w:szCs w:val="24"/>
          <w:highlight w:val="none"/>
          <w:lang w:val="en-US" w:eastAsia="zh-CN"/>
        </w:rPr>
        <w:t xml:space="preserve">      </w:t>
      </w:r>
      <w:r>
        <w:rPr>
          <w:rFonts w:hint="eastAsia" w:asciiTheme="majorEastAsia" w:hAnsiTheme="majorEastAsia" w:eastAsiaTheme="majorEastAsia" w:cstheme="majorEastAsia"/>
          <w:b w:val="0"/>
          <w:bCs w:val="0"/>
          <w:color w:val="auto"/>
          <w:spacing w:val="0"/>
          <w:position w:val="0"/>
          <w:sz w:val="21"/>
          <w:szCs w:val="24"/>
          <w:highlight w:val="none"/>
        </w:rPr>
        <w:t xml:space="preserve">   传真：</w:t>
      </w:r>
    </w:p>
    <w:p w14:paraId="47AD956E">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rPr>
        <w:t>开户银行名称：</w:t>
      </w:r>
    </w:p>
    <w:p w14:paraId="530C64DB">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rPr>
        <w:t>开户银行账号：</w:t>
      </w:r>
    </w:p>
    <w:p w14:paraId="0F6E0CB8">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rPr>
        <w:t>开户银行地址：</w:t>
      </w:r>
    </w:p>
    <w:p w14:paraId="4081E3C4">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r>
        <w:rPr>
          <w:rFonts w:hint="eastAsia" w:asciiTheme="majorEastAsia" w:hAnsiTheme="majorEastAsia" w:eastAsiaTheme="majorEastAsia" w:cstheme="majorEastAsia"/>
          <w:b w:val="0"/>
          <w:bCs w:val="0"/>
          <w:color w:val="auto"/>
          <w:spacing w:val="0"/>
          <w:position w:val="0"/>
          <w:sz w:val="21"/>
          <w:szCs w:val="24"/>
          <w:highlight w:val="none"/>
        </w:rPr>
        <w:t xml:space="preserve">日期：   </w:t>
      </w:r>
      <w:r>
        <w:rPr>
          <w:rFonts w:hint="eastAsia" w:asciiTheme="majorEastAsia" w:hAnsiTheme="majorEastAsia" w:eastAsiaTheme="majorEastAsia" w:cstheme="majorEastAsia"/>
          <w:b w:val="0"/>
          <w:bCs w:val="0"/>
          <w:color w:val="auto"/>
          <w:spacing w:val="0"/>
          <w:position w:val="0"/>
          <w:sz w:val="21"/>
          <w:szCs w:val="24"/>
          <w:highlight w:val="none"/>
          <w:lang w:val="en-US" w:eastAsia="zh-CN"/>
        </w:rPr>
        <w:t xml:space="preserve"> </w:t>
      </w:r>
      <w:r>
        <w:rPr>
          <w:rFonts w:hint="eastAsia" w:asciiTheme="majorEastAsia" w:hAnsiTheme="majorEastAsia" w:eastAsiaTheme="majorEastAsia" w:cstheme="majorEastAsia"/>
          <w:b w:val="0"/>
          <w:bCs w:val="0"/>
          <w:color w:val="auto"/>
          <w:spacing w:val="0"/>
          <w:position w:val="0"/>
          <w:sz w:val="21"/>
          <w:szCs w:val="24"/>
          <w:highlight w:val="none"/>
        </w:rPr>
        <w:t xml:space="preserve">  年 </w:t>
      </w:r>
      <w:r>
        <w:rPr>
          <w:rFonts w:hint="eastAsia" w:asciiTheme="majorEastAsia" w:hAnsiTheme="majorEastAsia" w:eastAsiaTheme="majorEastAsia" w:cstheme="majorEastAsia"/>
          <w:b w:val="0"/>
          <w:bCs w:val="0"/>
          <w:color w:val="auto"/>
          <w:spacing w:val="0"/>
          <w:position w:val="0"/>
          <w:sz w:val="21"/>
          <w:szCs w:val="24"/>
          <w:highlight w:val="none"/>
          <w:lang w:val="en-US" w:eastAsia="zh-CN"/>
        </w:rPr>
        <w:t xml:space="preserve">   </w:t>
      </w:r>
      <w:r>
        <w:rPr>
          <w:rFonts w:hint="eastAsia" w:asciiTheme="majorEastAsia" w:hAnsiTheme="majorEastAsia" w:eastAsiaTheme="majorEastAsia" w:cstheme="majorEastAsia"/>
          <w:b w:val="0"/>
          <w:bCs w:val="0"/>
          <w:color w:val="auto"/>
          <w:spacing w:val="0"/>
          <w:position w:val="0"/>
          <w:sz w:val="21"/>
          <w:szCs w:val="24"/>
          <w:highlight w:val="none"/>
        </w:rPr>
        <w:t xml:space="preserve">月 </w:t>
      </w:r>
      <w:r>
        <w:rPr>
          <w:rFonts w:hint="eastAsia" w:asciiTheme="majorEastAsia" w:hAnsiTheme="majorEastAsia" w:eastAsiaTheme="majorEastAsia" w:cstheme="majorEastAsia"/>
          <w:b w:val="0"/>
          <w:bCs w:val="0"/>
          <w:color w:val="auto"/>
          <w:spacing w:val="0"/>
          <w:position w:val="0"/>
          <w:sz w:val="21"/>
          <w:szCs w:val="24"/>
          <w:highlight w:val="none"/>
          <w:lang w:val="en-US" w:eastAsia="zh-CN"/>
        </w:rPr>
        <w:t xml:space="preserve"> </w:t>
      </w:r>
      <w:r>
        <w:rPr>
          <w:rFonts w:hint="eastAsia" w:asciiTheme="majorEastAsia" w:hAnsiTheme="majorEastAsia" w:eastAsiaTheme="majorEastAsia" w:cstheme="majorEastAsia"/>
          <w:b w:val="0"/>
          <w:bCs w:val="0"/>
          <w:color w:val="auto"/>
          <w:spacing w:val="0"/>
          <w:position w:val="0"/>
          <w:sz w:val="21"/>
          <w:szCs w:val="24"/>
          <w:highlight w:val="none"/>
        </w:rPr>
        <w:t xml:space="preserve"> 日</w:t>
      </w:r>
    </w:p>
    <w:p w14:paraId="7C15A28D">
      <w:pPr>
        <w:pStyle w:val="3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pacing w:val="0"/>
          <w:position w:val="0"/>
          <w:sz w:val="21"/>
          <w:szCs w:val="24"/>
          <w:highlight w:val="none"/>
        </w:rPr>
      </w:pPr>
    </w:p>
    <w:p w14:paraId="040486A2">
      <w:pPr>
        <w:pStyle w:val="39"/>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Theme="majorEastAsia" w:hAnsiTheme="majorEastAsia" w:eastAsiaTheme="majorEastAsia" w:cstheme="majorEastAsia"/>
          <w:b/>
          <w:bCs/>
          <w:color w:val="auto"/>
          <w:spacing w:val="0"/>
          <w:position w:val="0"/>
          <w:sz w:val="28"/>
          <w:szCs w:val="28"/>
          <w:highlight w:val="none"/>
          <w:lang w:eastAsia="zh-CN"/>
        </w:rPr>
      </w:pPr>
      <w:r>
        <w:rPr>
          <w:rFonts w:hint="eastAsia" w:asciiTheme="majorEastAsia" w:hAnsiTheme="majorEastAsia" w:eastAsiaTheme="majorEastAsia" w:cstheme="majorEastAsia"/>
          <w:b/>
          <w:bCs/>
          <w:color w:val="auto"/>
          <w:spacing w:val="0"/>
          <w:position w:val="0"/>
          <w:sz w:val="28"/>
          <w:szCs w:val="28"/>
          <w:highlight w:val="none"/>
        </w:rPr>
        <w:t>磋商函附录</w:t>
      </w:r>
      <w:r>
        <w:rPr>
          <w:rFonts w:hint="eastAsia" w:asciiTheme="majorEastAsia" w:hAnsiTheme="majorEastAsia" w:eastAsiaTheme="majorEastAsia" w:cstheme="majorEastAsia"/>
          <w:b/>
          <w:bCs/>
          <w:color w:val="auto"/>
          <w:spacing w:val="0"/>
          <w:position w:val="0"/>
          <w:sz w:val="28"/>
          <w:szCs w:val="28"/>
          <w:highlight w:val="none"/>
          <w:lang w:eastAsia="zh-CN"/>
        </w:rPr>
        <w:t>（格式）</w:t>
      </w:r>
    </w:p>
    <w:p w14:paraId="77E8DC85">
      <w:pPr>
        <w:pStyle w:val="39"/>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Theme="majorEastAsia" w:hAnsiTheme="majorEastAsia" w:eastAsiaTheme="majorEastAsia" w:cstheme="majorEastAsia"/>
          <w:b/>
          <w:bCs/>
          <w:color w:val="auto"/>
          <w:spacing w:val="0"/>
          <w:position w:val="0"/>
          <w:sz w:val="28"/>
          <w:szCs w:val="28"/>
          <w:highlight w:val="none"/>
          <w:lang w:eastAsia="zh-CN"/>
        </w:rPr>
      </w:pPr>
    </w:p>
    <w:tbl>
      <w:tblPr>
        <w:tblStyle w:val="51"/>
        <w:tblW w:w="89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6"/>
        <w:gridCol w:w="3424"/>
        <w:gridCol w:w="2818"/>
        <w:gridCol w:w="1696"/>
      </w:tblGrid>
      <w:tr w14:paraId="06F6C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996" w:type="dxa"/>
            <w:vAlign w:val="top"/>
          </w:tcPr>
          <w:p w14:paraId="76BD4265">
            <w:pPr>
              <w:spacing w:before="181" w:line="230" w:lineRule="auto"/>
              <w:ind w:left="292"/>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序号</w:t>
            </w:r>
          </w:p>
        </w:tc>
        <w:tc>
          <w:tcPr>
            <w:tcW w:w="3424" w:type="dxa"/>
            <w:vAlign w:val="top"/>
          </w:tcPr>
          <w:p w14:paraId="04EC9700">
            <w:pPr>
              <w:spacing w:before="181" w:line="228" w:lineRule="auto"/>
              <w:ind w:left="1298"/>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条款内容</w:t>
            </w:r>
          </w:p>
        </w:tc>
        <w:tc>
          <w:tcPr>
            <w:tcW w:w="2818" w:type="dxa"/>
            <w:vAlign w:val="top"/>
          </w:tcPr>
          <w:p w14:paraId="7B30390B">
            <w:pPr>
              <w:spacing w:before="181" w:line="228" w:lineRule="auto"/>
              <w:ind w:left="1000"/>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约定内容</w:t>
            </w:r>
          </w:p>
        </w:tc>
        <w:tc>
          <w:tcPr>
            <w:tcW w:w="1696" w:type="dxa"/>
            <w:vAlign w:val="top"/>
          </w:tcPr>
          <w:p w14:paraId="7A638F4C">
            <w:pPr>
              <w:spacing w:before="181" w:line="230" w:lineRule="auto"/>
              <w:ind w:left="646"/>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备注</w:t>
            </w:r>
          </w:p>
        </w:tc>
      </w:tr>
      <w:tr w14:paraId="55AA8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996" w:type="dxa"/>
            <w:vAlign w:val="top"/>
          </w:tcPr>
          <w:p w14:paraId="434DCC99">
            <w:pPr>
              <w:spacing w:before="211" w:line="193" w:lineRule="auto"/>
              <w:ind w:left="467"/>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w:t>
            </w:r>
          </w:p>
        </w:tc>
        <w:tc>
          <w:tcPr>
            <w:tcW w:w="3424" w:type="dxa"/>
            <w:vAlign w:val="top"/>
          </w:tcPr>
          <w:p w14:paraId="6EE7BD07">
            <w:pPr>
              <w:spacing w:before="180" w:line="229" w:lineRule="auto"/>
              <w:ind w:left="1300"/>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项目经理</w:t>
            </w:r>
          </w:p>
        </w:tc>
        <w:tc>
          <w:tcPr>
            <w:tcW w:w="2818" w:type="dxa"/>
            <w:vAlign w:val="top"/>
          </w:tcPr>
          <w:p w14:paraId="5C4CDCD0">
            <w:pPr>
              <w:spacing w:before="180" w:line="228" w:lineRule="auto"/>
              <w:ind w:left="0" w:leftChars="0" w:firstLine="0" w:firstLineChars="0"/>
              <w:jc w:val="both"/>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姓名：</w:t>
            </w:r>
          </w:p>
        </w:tc>
        <w:tc>
          <w:tcPr>
            <w:tcW w:w="1696" w:type="dxa"/>
            <w:vAlign w:val="top"/>
          </w:tcPr>
          <w:p w14:paraId="3F893156">
            <w:pPr>
              <w:rPr>
                <w:rFonts w:hint="eastAsia" w:ascii="宋体" w:hAnsi="宋体" w:eastAsia="宋体" w:cs="宋体"/>
                <w:color w:val="auto"/>
                <w:spacing w:val="0"/>
                <w:position w:val="0"/>
                <w:sz w:val="21"/>
                <w:szCs w:val="21"/>
                <w:highlight w:val="none"/>
              </w:rPr>
            </w:pPr>
          </w:p>
        </w:tc>
      </w:tr>
      <w:tr w14:paraId="040CF5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996" w:type="dxa"/>
            <w:vAlign w:val="top"/>
          </w:tcPr>
          <w:p w14:paraId="70DE936F">
            <w:pPr>
              <w:spacing w:before="211" w:line="192" w:lineRule="auto"/>
              <w:ind w:left="454"/>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w:t>
            </w:r>
          </w:p>
        </w:tc>
        <w:tc>
          <w:tcPr>
            <w:tcW w:w="3424" w:type="dxa"/>
            <w:vAlign w:val="top"/>
          </w:tcPr>
          <w:p w14:paraId="0199B1AA">
            <w:pPr>
              <w:spacing w:before="179" w:line="228" w:lineRule="auto"/>
              <w:ind w:left="993"/>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lang w:eastAsia="zh-CN"/>
              </w:rPr>
              <w:t>竞标</w:t>
            </w:r>
            <w:r>
              <w:rPr>
                <w:rFonts w:hint="eastAsia" w:ascii="宋体" w:hAnsi="宋体" w:eastAsia="宋体" w:cs="宋体"/>
                <w:color w:val="auto"/>
                <w:spacing w:val="0"/>
                <w:position w:val="0"/>
                <w:sz w:val="21"/>
                <w:szCs w:val="21"/>
                <w:highlight w:val="none"/>
              </w:rPr>
              <w:t>有效期</w:t>
            </w:r>
          </w:p>
        </w:tc>
        <w:tc>
          <w:tcPr>
            <w:tcW w:w="2818" w:type="dxa"/>
            <w:vAlign w:val="top"/>
          </w:tcPr>
          <w:p w14:paraId="1AAB33E3">
            <w:pPr>
              <w:rPr>
                <w:rFonts w:hint="eastAsia" w:ascii="宋体" w:hAnsi="宋体" w:eastAsia="宋体" w:cs="宋体"/>
                <w:color w:val="auto"/>
                <w:spacing w:val="0"/>
                <w:position w:val="0"/>
                <w:sz w:val="21"/>
                <w:szCs w:val="21"/>
                <w:highlight w:val="none"/>
              </w:rPr>
            </w:pPr>
          </w:p>
        </w:tc>
        <w:tc>
          <w:tcPr>
            <w:tcW w:w="1696" w:type="dxa"/>
            <w:vAlign w:val="top"/>
          </w:tcPr>
          <w:p w14:paraId="702D76A7">
            <w:pPr>
              <w:rPr>
                <w:rFonts w:hint="eastAsia" w:ascii="宋体" w:hAnsi="宋体" w:eastAsia="宋体" w:cs="宋体"/>
                <w:color w:val="auto"/>
                <w:spacing w:val="0"/>
                <w:position w:val="0"/>
                <w:sz w:val="21"/>
                <w:szCs w:val="21"/>
                <w:highlight w:val="none"/>
              </w:rPr>
            </w:pPr>
          </w:p>
        </w:tc>
      </w:tr>
      <w:tr w14:paraId="35E208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96" w:type="dxa"/>
            <w:vAlign w:val="top"/>
          </w:tcPr>
          <w:p w14:paraId="56038CF6">
            <w:pPr>
              <w:spacing w:before="212" w:line="190" w:lineRule="auto"/>
              <w:ind w:left="456"/>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w:t>
            </w:r>
          </w:p>
        </w:tc>
        <w:tc>
          <w:tcPr>
            <w:tcW w:w="3424" w:type="dxa"/>
            <w:vAlign w:val="top"/>
          </w:tcPr>
          <w:p w14:paraId="23D1C7A3">
            <w:pPr>
              <w:spacing w:before="179" w:line="229" w:lineRule="auto"/>
              <w:ind w:left="1510"/>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工期</w:t>
            </w:r>
          </w:p>
        </w:tc>
        <w:tc>
          <w:tcPr>
            <w:tcW w:w="2818" w:type="dxa"/>
            <w:vAlign w:val="top"/>
          </w:tcPr>
          <w:p w14:paraId="61E8D6FD">
            <w:pPr>
              <w:tabs>
                <w:tab w:val="left" w:pos="1506"/>
              </w:tabs>
              <w:spacing w:before="179" w:line="229" w:lineRule="auto"/>
              <w:ind w:left="832"/>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u w:val="single" w:color="auto"/>
              </w:rPr>
              <w:tab/>
            </w:r>
            <w:r>
              <w:rPr>
                <w:rFonts w:hint="eastAsia" w:ascii="宋体" w:hAnsi="宋体" w:eastAsia="宋体" w:cs="宋体"/>
                <w:color w:val="auto"/>
                <w:spacing w:val="0"/>
                <w:position w:val="0"/>
                <w:sz w:val="21"/>
                <w:szCs w:val="21"/>
                <w:highlight w:val="none"/>
              </w:rPr>
              <w:t>日历天</w:t>
            </w:r>
          </w:p>
        </w:tc>
        <w:tc>
          <w:tcPr>
            <w:tcW w:w="1696" w:type="dxa"/>
            <w:vAlign w:val="top"/>
          </w:tcPr>
          <w:p w14:paraId="6CFD5ED1">
            <w:pPr>
              <w:rPr>
                <w:rFonts w:hint="eastAsia" w:ascii="宋体" w:hAnsi="宋体" w:eastAsia="宋体" w:cs="宋体"/>
                <w:color w:val="auto"/>
                <w:spacing w:val="0"/>
                <w:position w:val="0"/>
                <w:sz w:val="21"/>
                <w:szCs w:val="21"/>
                <w:highlight w:val="none"/>
              </w:rPr>
            </w:pPr>
          </w:p>
        </w:tc>
      </w:tr>
      <w:tr w14:paraId="3CD7A1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96" w:type="dxa"/>
            <w:vAlign w:val="top"/>
          </w:tcPr>
          <w:p w14:paraId="36091F85">
            <w:pPr>
              <w:spacing w:before="215" w:line="189" w:lineRule="auto"/>
              <w:ind w:left="456"/>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w:t>
            </w:r>
          </w:p>
        </w:tc>
        <w:tc>
          <w:tcPr>
            <w:tcW w:w="3424" w:type="dxa"/>
            <w:vAlign w:val="top"/>
          </w:tcPr>
          <w:p w14:paraId="042594B0">
            <w:pPr>
              <w:spacing w:before="181" w:line="229" w:lineRule="auto"/>
              <w:ind w:left="1297"/>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质量标准</w:t>
            </w:r>
          </w:p>
        </w:tc>
        <w:tc>
          <w:tcPr>
            <w:tcW w:w="2818" w:type="dxa"/>
            <w:vAlign w:val="top"/>
          </w:tcPr>
          <w:p w14:paraId="38EE9BEF">
            <w:pPr>
              <w:rPr>
                <w:rFonts w:hint="eastAsia" w:ascii="宋体" w:hAnsi="宋体" w:eastAsia="宋体" w:cs="宋体"/>
                <w:color w:val="auto"/>
                <w:spacing w:val="0"/>
                <w:position w:val="0"/>
                <w:sz w:val="21"/>
                <w:szCs w:val="21"/>
                <w:highlight w:val="none"/>
              </w:rPr>
            </w:pPr>
          </w:p>
        </w:tc>
        <w:tc>
          <w:tcPr>
            <w:tcW w:w="1696" w:type="dxa"/>
            <w:vAlign w:val="top"/>
          </w:tcPr>
          <w:p w14:paraId="3BADAD05">
            <w:pPr>
              <w:rPr>
                <w:rFonts w:hint="eastAsia" w:ascii="宋体" w:hAnsi="宋体" w:eastAsia="宋体" w:cs="宋体"/>
                <w:color w:val="auto"/>
                <w:spacing w:val="0"/>
                <w:position w:val="0"/>
                <w:sz w:val="21"/>
                <w:szCs w:val="21"/>
                <w:highlight w:val="none"/>
              </w:rPr>
            </w:pPr>
          </w:p>
        </w:tc>
      </w:tr>
      <w:tr w14:paraId="21962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96" w:type="dxa"/>
            <w:vAlign w:val="top"/>
          </w:tcPr>
          <w:p w14:paraId="5445BF7E">
            <w:pPr>
              <w:spacing w:before="215" w:line="189" w:lineRule="auto"/>
              <w:ind w:left="456"/>
              <w:rPr>
                <w:rFonts w:hint="eastAsia" w:ascii="宋体" w:hAnsi="宋体" w:eastAsia="宋体" w:cs="宋体"/>
                <w:color w:val="auto"/>
                <w:spacing w:val="0"/>
                <w:position w:val="0"/>
                <w:sz w:val="21"/>
                <w:szCs w:val="21"/>
                <w:highlight w:val="none"/>
                <w:lang w:val="en-US" w:eastAsia="zh-CN"/>
              </w:rPr>
            </w:pPr>
            <w:r>
              <w:rPr>
                <w:rFonts w:hint="eastAsia" w:ascii="宋体" w:hAnsi="宋体" w:eastAsia="宋体" w:cs="宋体"/>
                <w:color w:val="auto"/>
                <w:spacing w:val="0"/>
                <w:position w:val="0"/>
                <w:sz w:val="21"/>
                <w:szCs w:val="21"/>
                <w:highlight w:val="none"/>
                <w:lang w:val="en-US" w:eastAsia="zh-CN"/>
              </w:rPr>
              <w:t>6</w:t>
            </w:r>
          </w:p>
        </w:tc>
        <w:tc>
          <w:tcPr>
            <w:tcW w:w="3424" w:type="dxa"/>
            <w:vAlign w:val="top"/>
          </w:tcPr>
          <w:p w14:paraId="549ACEE6">
            <w:pPr>
              <w:spacing w:before="181" w:line="229" w:lineRule="auto"/>
              <w:ind w:left="1297"/>
              <w:rPr>
                <w:rFonts w:hint="eastAsia" w:ascii="宋体" w:hAnsi="宋体" w:eastAsia="宋体" w:cs="宋体"/>
                <w:color w:val="auto"/>
                <w:spacing w:val="0"/>
                <w:position w:val="0"/>
                <w:sz w:val="21"/>
                <w:szCs w:val="21"/>
                <w:highlight w:val="none"/>
                <w:lang w:eastAsia="zh-CN"/>
              </w:rPr>
            </w:pPr>
            <w:r>
              <w:rPr>
                <w:rFonts w:hint="eastAsia" w:ascii="宋体" w:hAnsi="宋体" w:eastAsia="宋体" w:cs="宋体"/>
                <w:color w:val="auto"/>
                <w:spacing w:val="0"/>
                <w:position w:val="0"/>
                <w:sz w:val="21"/>
                <w:szCs w:val="21"/>
                <w:highlight w:val="none"/>
                <w:lang w:eastAsia="zh-CN"/>
              </w:rPr>
              <w:t>付款</w:t>
            </w:r>
            <w:r>
              <w:rPr>
                <w:rFonts w:hint="eastAsia" w:ascii="宋体" w:hAnsi="宋体" w:cs="宋体"/>
                <w:color w:val="auto"/>
                <w:spacing w:val="0"/>
                <w:position w:val="0"/>
                <w:sz w:val="21"/>
                <w:szCs w:val="21"/>
                <w:highlight w:val="none"/>
                <w:lang w:val="en-US" w:eastAsia="zh-CN"/>
              </w:rPr>
              <w:t>方式</w:t>
            </w:r>
          </w:p>
        </w:tc>
        <w:tc>
          <w:tcPr>
            <w:tcW w:w="2818" w:type="dxa"/>
            <w:vAlign w:val="top"/>
          </w:tcPr>
          <w:p w14:paraId="7053E802">
            <w:pPr>
              <w:rPr>
                <w:rFonts w:hint="eastAsia" w:ascii="宋体" w:hAnsi="宋体" w:eastAsia="宋体" w:cs="宋体"/>
                <w:color w:val="auto"/>
                <w:spacing w:val="0"/>
                <w:position w:val="0"/>
                <w:sz w:val="21"/>
                <w:szCs w:val="21"/>
                <w:highlight w:val="none"/>
              </w:rPr>
            </w:pPr>
          </w:p>
        </w:tc>
        <w:tc>
          <w:tcPr>
            <w:tcW w:w="1696" w:type="dxa"/>
            <w:vAlign w:val="top"/>
          </w:tcPr>
          <w:p w14:paraId="34B7D95A">
            <w:pPr>
              <w:rPr>
                <w:rFonts w:hint="eastAsia" w:ascii="宋体" w:hAnsi="宋体" w:eastAsia="宋体" w:cs="宋体"/>
                <w:color w:val="auto"/>
                <w:spacing w:val="0"/>
                <w:position w:val="0"/>
                <w:sz w:val="21"/>
                <w:szCs w:val="21"/>
                <w:highlight w:val="none"/>
              </w:rPr>
            </w:pPr>
          </w:p>
        </w:tc>
      </w:tr>
      <w:tr w14:paraId="66436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96" w:type="dxa"/>
            <w:vAlign w:val="top"/>
          </w:tcPr>
          <w:p w14:paraId="2FA74E0E">
            <w:pPr>
              <w:spacing w:before="181" w:line="325" w:lineRule="exact"/>
              <w:ind w:left="306"/>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w:t>
            </w:r>
          </w:p>
        </w:tc>
        <w:tc>
          <w:tcPr>
            <w:tcW w:w="3424" w:type="dxa"/>
            <w:vAlign w:val="top"/>
          </w:tcPr>
          <w:p w14:paraId="347CAFD7">
            <w:pPr>
              <w:spacing w:before="181" w:line="325" w:lineRule="exact"/>
              <w:ind w:left="1521"/>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w:t>
            </w:r>
          </w:p>
        </w:tc>
        <w:tc>
          <w:tcPr>
            <w:tcW w:w="2818" w:type="dxa"/>
            <w:vAlign w:val="top"/>
          </w:tcPr>
          <w:p w14:paraId="364E3190">
            <w:pPr>
              <w:rPr>
                <w:rFonts w:hint="eastAsia" w:ascii="宋体" w:hAnsi="宋体" w:eastAsia="宋体" w:cs="宋体"/>
                <w:color w:val="auto"/>
                <w:spacing w:val="0"/>
                <w:position w:val="0"/>
                <w:sz w:val="21"/>
                <w:szCs w:val="21"/>
                <w:highlight w:val="none"/>
              </w:rPr>
            </w:pPr>
          </w:p>
        </w:tc>
        <w:tc>
          <w:tcPr>
            <w:tcW w:w="1696" w:type="dxa"/>
            <w:vAlign w:val="top"/>
          </w:tcPr>
          <w:p w14:paraId="7CE0AAAC">
            <w:pPr>
              <w:rPr>
                <w:rFonts w:hint="eastAsia" w:ascii="宋体" w:hAnsi="宋体" w:eastAsia="宋体" w:cs="宋体"/>
                <w:color w:val="auto"/>
                <w:spacing w:val="0"/>
                <w:position w:val="0"/>
                <w:sz w:val="21"/>
                <w:szCs w:val="21"/>
                <w:highlight w:val="none"/>
              </w:rPr>
            </w:pPr>
          </w:p>
        </w:tc>
      </w:tr>
      <w:tr w14:paraId="0C71A3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trPr>
        <w:tc>
          <w:tcPr>
            <w:tcW w:w="8934" w:type="dxa"/>
            <w:gridSpan w:val="4"/>
            <w:vAlign w:val="top"/>
          </w:tcPr>
          <w:p w14:paraId="351DEEA1">
            <w:pPr>
              <w:keepNext w:val="0"/>
              <w:keepLines w:val="0"/>
              <w:pageBreakBefore w:val="0"/>
              <w:widowControl w:val="0"/>
              <w:kinsoku/>
              <w:wordWrap/>
              <w:overflowPunct/>
              <w:topLinePunct w:val="0"/>
              <w:autoSpaceDE/>
              <w:autoSpaceDN/>
              <w:bidi w:val="0"/>
              <w:adjustRightInd/>
              <w:snapToGrid/>
              <w:spacing w:line="400" w:lineRule="exact"/>
              <w:ind w:left="119" w:right="102" w:firstLine="6"/>
              <w:textAlignment w:val="auto"/>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备注：供应商在响应竞争性磋商文件中规定的实质性要求和条件的基础上，可做出其他有利于采购单位的承诺。此类承诺可在本表中予以补充填写。</w:t>
            </w:r>
          </w:p>
        </w:tc>
      </w:tr>
    </w:tbl>
    <w:p w14:paraId="38FB8390">
      <w:pPr>
        <w:pStyle w:val="39"/>
        <w:keepNext w:val="0"/>
        <w:keepLines w:val="0"/>
        <w:pageBreakBefore w:val="0"/>
        <w:widowControl w:val="0"/>
        <w:kinsoku/>
        <w:wordWrap/>
        <w:overflowPunct/>
        <w:topLinePunct w:val="0"/>
        <w:autoSpaceDE w:val="0"/>
        <w:autoSpaceDN w:val="0"/>
        <w:bidi w:val="0"/>
        <w:adjustRightInd w:val="0"/>
        <w:snapToGrid/>
        <w:spacing w:line="360" w:lineRule="exact"/>
        <w:ind w:firstLine="482" w:firstLineChars="200"/>
        <w:jc w:val="both"/>
        <w:textAlignment w:val="auto"/>
        <w:rPr>
          <w:rFonts w:hint="eastAsia" w:asciiTheme="majorEastAsia" w:hAnsiTheme="majorEastAsia" w:eastAsiaTheme="majorEastAsia" w:cstheme="majorEastAsia"/>
          <w:b/>
          <w:bCs/>
          <w:color w:val="auto"/>
          <w:spacing w:val="0"/>
          <w:position w:val="0"/>
          <w:sz w:val="24"/>
          <w:szCs w:val="32"/>
          <w:highlight w:val="none"/>
        </w:rPr>
      </w:pPr>
    </w:p>
    <w:p w14:paraId="3A1DE026">
      <w:pPr>
        <w:spacing w:line="360" w:lineRule="auto"/>
        <w:ind w:right="480"/>
        <w:contextualSpacing/>
        <w:jc w:val="center"/>
        <w:rPr>
          <w:rFonts w:hint="eastAsia" w:ascii="宋体" w:hAnsi="宋体"/>
          <w:color w:val="auto"/>
          <w:spacing w:val="0"/>
          <w:position w:val="0"/>
          <w:sz w:val="24"/>
          <w:szCs w:val="24"/>
          <w:highlight w:val="none"/>
          <w:u w:val="single"/>
        </w:rPr>
      </w:pPr>
      <w:r>
        <w:rPr>
          <w:rFonts w:hint="eastAsia" w:ascii="宋体" w:hAnsi="宋体"/>
          <w:color w:val="auto"/>
          <w:spacing w:val="0"/>
          <w:position w:val="0"/>
          <w:sz w:val="24"/>
          <w:highlight w:val="none"/>
        </w:rPr>
        <w:t xml:space="preserve"> </w:t>
      </w:r>
      <w:r>
        <w:rPr>
          <w:rFonts w:ascii="宋体" w:hAnsi="宋体"/>
          <w:color w:val="auto"/>
          <w:spacing w:val="0"/>
          <w:position w:val="0"/>
          <w:sz w:val="24"/>
          <w:highlight w:val="none"/>
        </w:rPr>
        <w:t xml:space="preserve">            </w:t>
      </w:r>
      <w:r>
        <w:rPr>
          <w:rFonts w:ascii="宋体" w:hAnsi="宋体"/>
          <w:color w:val="auto"/>
          <w:spacing w:val="0"/>
          <w:position w:val="0"/>
          <w:sz w:val="24"/>
          <w:szCs w:val="24"/>
          <w:highlight w:val="none"/>
        </w:rPr>
        <w:t xml:space="preserve"> </w:t>
      </w:r>
      <w:r>
        <w:rPr>
          <w:rFonts w:hint="eastAsia" w:ascii="宋体" w:hAnsi="宋体"/>
          <w:color w:val="auto"/>
          <w:spacing w:val="0"/>
          <w:position w:val="0"/>
          <w:sz w:val="24"/>
          <w:szCs w:val="24"/>
          <w:highlight w:val="none"/>
        </w:rPr>
        <w:t>法定代表人或者委托代理人（签字或者电子签名）：</w:t>
      </w:r>
      <w:r>
        <w:rPr>
          <w:rFonts w:hint="eastAsia" w:ascii="宋体" w:hAnsi="宋体"/>
          <w:color w:val="auto"/>
          <w:spacing w:val="0"/>
          <w:position w:val="0"/>
          <w:sz w:val="24"/>
          <w:szCs w:val="24"/>
          <w:highlight w:val="none"/>
          <w:u w:val="single"/>
        </w:rPr>
        <w:t xml:space="preserve"> </w:t>
      </w:r>
      <w:r>
        <w:rPr>
          <w:rFonts w:ascii="宋体" w:hAnsi="宋体"/>
          <w:color w:val="auto"/>
          <w:spacing w:val="0"/>
          <w:position w:val="0"/>
          <w:sz w:val="24"/>
          <w:szCs w:val="24"/>
          <w:highlight w:val="none"/>
          <w:u w:val="single"/>
        </w:rPr>
        <w:t xml:space="preserve">                  </w:t>
      </w:r>
    </w:p>
    <w:p w14:paraId="3D6E1226">
      <w:pPr>
        <w:spacing w:line="360" w:lineRule="auto"/>
        <w:ind w:right="480" w:firstLine="3360" w:firstLineChars="1400"/>
        <w:contextualSpacing/>
        <w:rPr>
          <w:rFonts w:hint="eastAsia" w:ascii="宋体" w:hAnsi="宋体"/>
          <w:color w:val="auto"/>
          <w:spacing w:val="0"/>
          <w:position w:val="0"/>
          <w:sz w:val="24"/>
          <w:szCs w:val="24"/>
          <w:highlight w:val="none"/>
        </w:rPr>
      </w:pPr>
      <w:r>
        <w:rPr>
          <w:rFonts w:hint="eastAsia" w:ascii="宋体" w:hAnsi="宋体"/>
          <w:color w:val="auto"/>
          <w:spacing w:val="0"/>
          <w:position w:val="0"/>
          <w:sz w:val="24"/>
          <w:szCs w:val="24"/>
          <w:highlight w:val="none"/>
        </w:rPr>
        <w:t>供应商（电子签章）：</w:t>
      </w:r>
      <w:r>
        <w:rPr>
          <w:rFonts w:hint="eastAsia" w:ascii="宋体" w:hAnsi="宋体"/>
          <w:color w:val="auto"/>
          <w:spacing w:val="0"/>
          <w:position w:val="0"/>
          <w:sz w:val="24"/>
          <w:szCs w:val="24"/>
          <w:highlight w:val="none"/>
          <w:u w:val="single"/>
        </w:rPr>
        <w:t xml:space="preserve">                </w:t>
      </w:r>
    </w:p>
    <w:p w14:paraId="43772B90">
      <w:pPr>
        <w:spacing w:line="360" w:lineRule="auto"/>
        <w:ind w:firstLine="480" w:firstLineChars="200"/>
        <w:contextualSpacing/>
        <w:jc w:val="left"/>
        <w:rPr>
          <w:rFonts w:ascii="宋体" w:hAnsi="宋体"/>
          <w:color w:val="auto"/>
          <w:spacing w:val="0"/>
          <w:position w:val="0"/>
          <w:sz w:val="24"/>
          <w:szCs w:val="24"/>
          <w:highlight w:val="none"/>
        </w:rPr>
      </w:pPr>
      <w:r>
        <w:rPr>
          <w:rFonts w:hint="eastAsia" w:ascii="宋体" w:hAnsi="宋体"/>
          <w:color w:val="auto"/>
          <w:spacing w:val="0"/>
          <w:position w:val="0"/>
          <w:sz w:val="24"/>
          <w:szCs w:val="24"/>
          <w:highlight w:val="none"/>
        </w:rPr>
        <w:t xml:space="preserve">                                        年    月    日</w:t>
      </w:r>
    </w:p>
    <w:p w14:paraId="51363EF6">
      <w:pPr>
        <w:pStyle w:val="3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pacing w:val="0"/>
          <w:position w:val="0"/>
          <w:sz w:val="32"/>
          <w:szCs w:val="40"/>
          <w:highlight w:val="none"/>
        </w:rPr>
      </w:pPr>
    </w:p>
    <w:p w14:paraId="798080CF">
      <w:pPr>
        <w:pStyle w:val="3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pacing w:val="0"/>
          <w:position w:val="0"/>
          <w:sz w:val="32"/>
          <w:szCs w:val="40"/>
          <w:highlight w:val="none"/>
        </w:rPr>
      </w:pPr>
    </w:p>
    <w:p w14:paraId="7E30BA33">
      <w:pPr>
        <w:pStyle w:val="3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pacing w:val="0"/>
          <w:position w:val="0"/>
          <w:sz w:val="32"/>
          <w:szCs w:val="40"/>
          <w:highlight w:val="none"/>
        </w:rPr>
      </w:pPr>
    </w:p>
    <w:p w14:paraId="664420FD">
      <w:pPr>
        <w:pStyle w:val="3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pacing w:val="0"/>
          <w:position w:val="0"/>
          <w:sz w:val="32"/>
          <w:szCs w:val="40"/>
          <w:highlight w:val="none"/>
        </w:rPr>
      </w:pPr>
    </w:p>
    <w:p w14:paraId="29AE004B">
      <w:pPr>
        <w:pStyle w:val="3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pacing w:val="0"/>
          <w:position w:val="0"/>
          <w:sz w:val="32"/>
          <w:szCs w:val="40"/>
          <w:highlight w:val="none"/>
        </w:rPr>
      </w:pPr>
    </w:p>
    <w:p w14:paraId="3F5EA653">
      <w:pPr>
        <w:pStyle w:val="3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pacing w:val="0"/>
          <w:position w:val="0"/>
          <w:sz w:val="32"/>
          <w:szCs w:val="40"/>
          <w:highlight w:val="none"/>
        </w:rPr>
      </w:pPr>
    </w:p>
    <w:p w14:paraId="27316307">
      <w:pPr>
        <w:pStyle w:val="3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pacing w:val="0"/>
          <w:position w:val="0"/>
          <w:sz w:val="32"/>
          <w:szCs w:val="40"/>
          <w:highlight w:val="none"/>
        </w:rPr>
      </w:pPr>
    </w:p>
    <w:p w14:paraId="228DB46C">
      <w:pPr>
        <w:pStyle w:val="3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pacing w:val="0"/>
          <w:position w:val="0"/>
          <w:sz w:val="32"/>
          <w:szCs w:val="40"/>
          <w:highlight w:val="none"/>
        </w:rPr>
      </w:pPr>
    </w:p>
    <w:p w14:paraId="669F4632">
      <w:pPr>
        <w:pStyle w:val="3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pacing w:val="0"/>
          <w:position w:val="0"/>
          <w:sz w:val="32"/>
          <w:szCs w:val="40"/>
          <w:highlight w:val="none"/>
        </w:rPr>
      </w:pPr>
    </w:p>
    <w:p w14:paraId="5E0DF698">
      <w:pPr>
        <w:pStyle w:val="3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pacing w:val="0"/>
          <w:position w:val="0"/>
          <w:sz w:val="32"/>
          <w:szCs w:val="40"/>
          <w:highlight w:val="none"/>
        </w:rPr>
      </w:pPr>
    </w:p>
    <w:p w14:paraId="346504FA">
      <w:pPr>
        <w:pStyle w:val="3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宋体" w:hAnsi="宋体" w:eastAsia="宋体" w:cs="方正小标宋简体"/>
          <w:b/>
          <w:bCs/>
          <w:color w:val="auto"/>
          <w:spacing w:val="0"/>
          <w:kern w:val="2"/>
          <w:position w:val="0"/>
          <w:sz w:val="32"/>
          <w:szCs w:val="32"/>
          <w:highlight w:val="none"/>
          <w:lang w:val="en-US" w:eastAsia="zh-CN" w:bidi="ar-SA"/>
        </w:rPr>
      </w:pPr>
    </w:p>
    <w:p w14:paraId="35F450BF">
      <w:pPr>
        <w:spacing w:line="360" w:lineRule="auto"/>
        <w:jc w:val="center"/>
        <w:rPr>
          <w:rFonts w:hint="eastAsia" w:ascii="宋体" w:hAnsi="宋体" w:eastAsia="宋体" w:cs="方正小标宋简体"/>
          <w:b/>
          <w:bCs/>
          <w:color w:val="auto"/>
          <w:spacing w:val="0"/>
          <w:kern w:val="2"/>
          <w:position w:val="0"/>
          <w:sz w:val="32"/>
          <w:szCs w:val="32"/>
          <w:highlight w:val="none"/>
          <w:lang w:val="en-US" w:eastAsia="zh-CN" w:bidi="ar-SA"/>
        </w:rPr>
      </w:pPr>
      <w:r>
        <w:rPr>
          <w:rFonts w:hint="eastAsia" w:ascii="宋体" w:hAnsi="宋体" w:eastAsia="宋体" w:cs="方正小标宋简体"/>
          <w:b/>
          <w:bCs/>
          <w:color w:val="auto"/>
          <w:spacing w:val="0"/>
          <w:kern w:val="2"/>
          <w:position w:val="0"/>
          <w:sz w:val="32"/>
          <w:szCs w:val="32"/>
          <w:highlight w:val="none"/>
          <w:lang w:val="en-US" w:eastAsia="zh-CN" w:bidi="ar-SA"/>
        </w:rPr>
        <w:t>竞标报价表（格式）</w:t>
      </w:r>
    </w:p>
    <w:p w14:paraId="74EB8D41">
      <w:pPr>
        <w:spacing w:line="440" w:lineRule="exact"/>
        <w:jc w:val="center"/>
        <w:rPr>
          <w:rFonts w:hint="eastAsia" w:ascii="方正小标宋简体" w:hAnsi="方正小标宋简体" w:eastAsia="方正小标宋简体" w:cs="方正小标宋简体"/>
          <w:bCs/>
          <w:color w:val="auto"/>
          <w:spacing w:val="0"/>
          <w:position w:val="0"/>
          <w:sz w:val="32"/>
          <w:szCs w:val="32"/>
          <w:highlight w:val="none"/>
        </w:rPr>
      </w:pPr>
    </w:p>
    <w:p w14:paraId="20C325E2">
      <w:pPr>
        <w:spacing w:line="360" w:lineRule="auto"/>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 xml:space="preserve">                                                </w:t>
      </w:r>
      <w:r>
        <w:rPr>
          <w:rFonts w:hint="eastAsia" w:ascii="宋体" w:hAnsi="宋体" w:cs="仿宋_GB2312"/>
          <w:color w:val="auto"/>
          <w:spacing w:val="0"/>
          <w:position w:val="0"/>
          <w:sz w:val="24"/>
          <w:highlight w:val="none"/>
          <w:lang w:val="en-US" w:eastAsia="zh-CN"/>
        </w:rPr>
        <w:t xml:space="preserve">                </w:t>
      </w:r>
      <w:r>
        <w:rPr>
          <w:rFonts w:hint="eastAsia" w:ascii="宋体" w:hAnsi="宋体" w:cs="仿宋_GB2312"/>
          <w:color w:val="auto"/>
          <w:spacing w:val="0"/>
          <w:position w:val="0"/>
          <w:sz w:val="24"/>
          <w:highlight w:val="none"/>
        </w:rPr>
        <w:t>单位：元</w:t>
      </w:r>
    </w:p>
    <w:tbl>
      <w:tblPr>
        <w:tblStyle w:val="30"/>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712"/>
        <w:gridCol w:w="1505"/>
        <w:gridCol w:w="3107"/>
        <w:gridCol w:w="1184"/>
      </w:tblGrid>
      <w:tr w14:paraId="15B4F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0"/>
            <w:vAlign w:val="center"/>
          </w:tcPr>
          <w:p w14:paraId="02A5E78E">
            <w:pPr>
              <w:spacing w:line="360" w:lineRule="auto"/>
              <w:contextualSpacing/>
              <w:jc w:val="center"/>
              <w:rPr>
                <w:rFonts w:ascii="宋体" w:hAnsi="宋体" w:cs="仿宋_GB2312"/>
                <w:color w:val="auto"/>
                <w:spacing w:val="0"/>
                <w:position w:val="0"/>
                <w:sz w:val="24"/>
                <w:highlight w:val="none"/>
              </w:rPr>
            </w:pPr>
            <w:r>
              <w:rPr>
                <w:rFonts w:ascii="宋体" w:hAnsi="宋体" w:cs="仿宋_GB2312"/>
                <w:color w:val="auto"/>
                <w:spacing w:val="0"/>
                <w:position w:val="0"/>
                <w:sz w:val="24"/>
                <w:highlight w:val="none"/>
              </w:rPr>
              <w:t>序号</w:t>
            </w:r>
          </w:p>
        </w:tc>
        <w:tc>
          <w:tcPr>
            <w:tcW w:w="2712" w:type="dxa"/>
            <w:tcBorders>
              <w:top w:val="single" w:color="auto" w:sz="4" w:space="0"/>
              <w:left w:val="single" w:color="auto" w:sz="4" w:space="0"/>
              <w:bottom w:val="single" w:color="auto" w:sz="4" w:space="0"/>
              <w:right w:val="single" w:color="auto" w:sz="4" w:space="0"/>
            </w:tcBorders>
            <w:noWrap w:val="0"/>
            <w:vAlign w:val="center"/>
          </w:tcPr>
          <w:p w14:paraId="31576212">
            <w:pPr>
              <w:spacing w:line="360" w:lineRule="auto"/>
              <w:contextualSpacing/>
              <w:jc w:val="center"/>
              <w:rPr>
                <w:rFonts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lang w:eastAsia="zh-CN"/>
              </w:rPr>
              <w:t>标的</w:t>
            </w:r>
            <w:r>
              <w:rPr>
                <w:rFonts w:ascii="宋体" w:hAnsi="宋体" w:cs="仿宋_GB2312"/>
                <w:color w:val="auto"/>
                <w:spacing w:val="0"/>
                <w:position w:val="0"/>
                <w:sz w:val="24"/>
                <w:highlight w:val="none"/>
              </w:rPr>
              <w:t>名称</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A21617C">
            <w:pPr>
              <w:spacing w:line="360" w:lineRule="auto"/>
              <w:contextualSpacing/>
              <w:jc w:val="center"/>
              <w:rPr>
                <w:rFonts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数量及单位</w:t>
            </w:r>
          </w:p>
        </w:tc>
        <w:tc>
          <w:tcPr>
            <w:tcW w:w="3107" w:type="dxa"/>
            <w:tcBorders>
              <w:top w:val="single" w:color="auto" w:sz="4" w:space="0"/>
              <w:left w:val="single" w:color="auto" w:sz="4" w:space="0"/>
              <w:bottom w:val="single" w:color="auto" w:sz="4" w:space="0"/>
              <w:right w:val="single" w:color="auto" w:sz="4" w:space="0"/>
            </w:tcBorders>
            <w:noWrap w:val="0"/>
            <w:vAlign w:val="center"/>
          </w:tcPr>
          <w:p w14:paraId="40836BC5">
            <w:pPr>
              <w:spacing w:line="360" w:lineRule="auto"/>
              <w:contextualSpacing/>
              <w:jc w:val="center"/>
              <w:rPr>
                <w:rFonts w:hint="eastAsia" w:ascii="宋体" w:hAnsi="宋体" w:eastAsia="宋体" w:cs="仿宋_GB2312"/>
                <w:color w:val="auto"/>
                <w:spacing w:val="0"/>
                <w:position w:val="0"/>
                <w:sz w:val="24"/>
                <w:highlight w:val="none"/>
                <w:lang w:eastAsia="zh-CN"/>
              </w:rPr>
            </w:pPr>
            <w:r>
              <w:rPr>
                <w:rFonts w:hint="eastAsia" w:ascii="宋体" w:hAnsi="宋体" w:cs="仿宋_GB2312"/>
                <w:color w:val="auto"/>
                <w:spacing w:val="0"/>
                <w:position w:val="0"/>
                <w:sz w:val="24"/>
                <w:highlight w:val="none"/>
                <w:lang w:eastAsia="zh-CN"/>
              </w:rPr>
              <w:t>竞标报价（元）</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3D3BC1A9">
            <w:pPr>
              <w:spacing w:line="360" w:lineRule="auto"/>
              <w:contextualSpacing/>
              <w:jc w:val="center"/>
              <w:rPr>
                <w:rFonts w:ascii="宋体" w:hAnsi="宋体" w:cs="仿宋_GB2312"/>
                <w:color w:val="auto"/>
                <w:spacing w:val="0"/>
                <w:position w:val="0"/>
                <w:sz w:val="24"/>
                <w:highlight w:val="none"/>
              </w:rPr>
            </w:pPr>
            <w:r>
              <w:rPr>
                <w:rFonts w:ascii="宋体" w:hAnsi="宋体" w:cs="仿宋_GB2312"/>
                <w:color w:val="auto"/>
                <w:spacing w:val="0"/>
                <w:position w:val="0"/>
                <w:sz w:val="24"/>
                <w:highlight w:val="none"/>
              </w:rPr>
              <w:t>备注</w:t>
            </w:r>
          </w:p>
        </w:tc>
      </w:tr>
      <w:tr w14:paraId="08EA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0"/>
            <w:vAlign w:val="center"/>
          </w:tcPr>
          <w:p w14:paraId="59F43913">
            <w:pPr>
              <w:spacing w:line="360" w:lineRule="auto"/>
              <w:contextualSpacing/>
              <w:jc w:val="center"/>
              <w:rPr>
                <w:rFonts w:ascii="宋体" w:hAnsi="宋体" w:cs="仿宋_GB2312"/>
                <w:color w:val="auto"/>
                <w:spacing w:val="0"/>
                <w:position w:val="0"/>
                <w:sz w:val="24"/>
                <w:highlight w:val="none"/>
              </w:rPr>
            </w:pPr>
            <w:r>
              <w:rPr>
                <w:rFonts w:ascii="宋体" w:hAnsi="宋体" w:cs="仿宋_GB2312"/>
                <w:color w:val="auto"/>
                <w:spacing w:val="0"/>
                <w:position w:val="0"/>
                <w:sz w:val="24"/>
                <w:highlight w:val="none"/>
              </w:rPr>
              <w:t>1</w:t>
            </w:r>
          </w:p>
        </w:tc>
        <w:tc>
          <w:tcPr>
            <w:tcW w:w="2712" w:type="dxa"/>
            <w:tcBorders>
              <w:top w:val="single" w:color="auto" w:sz="4" w:space="0"/>
              <w:left w:val="single" w:color="auto" w:sz="4" w:space="0"/>
              <w:bottom w:val="single" w:color="auto" w:sz="4" w:space="0"/>
              <w:right w:val="single" w:color="auto" w:sz="4" w:space="0"/>
            </w:tcBorders>
            <w:noWrap w:val="0"/>
            <w:vAlign w:val="center"/>
          </w:tcPr>
          <w:p w14:paraId="7454B6CA">
            <w:pPr>
              <w:spacing w:line="360" w:lineRule="auto"/>
              <w:contextualSpacing/>
              <w:jc w:val="center"/>
              <w:rPr>
                <w:rFonts w:ascii="宋体" w:hAnsi="宋体" w:cs="仿宋_GB2312"/>
                <w:color w:val="auto"/>
                <w:spacing w:val="0"/>
                <w:position w:val="0"/>
                <w:sz w:val="24"/>
                <w:highlight w:val="none"/>
              </w:rPr>
            </w:pP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9CEED65">
            <w:pPr>
              <w:spacing w:line="360" w:lineRule="auto"/>
              <w:contextualSpacing/>
              <w:jc w:val="center"/>
              <w:rPr>
                <w:rFonts w:ascii="宋体" w:hAnsi="宋体" w:cs="仿宋_GB2312"/>
                <w:color w:val="auto"/>
                <w:spacing w:val="0"/>
                <w:position w:val="0"/>
                <w:sz w:val="24"/>
                <w:highlight w:val="none"/>
              </w:rPr>
            </w:pPr>
          </w:p>
        </w:tc>
        <w:tc>
          <w:tcPr>
            <w:tcW w:w="3107" w:type="dxa"/>
            <w:tcBorders>
              <w:top w:val="single" w:color="auto" w:sz="4" w:space="0"/>
              <w:left w:val="single" w:color="auto" w:sz="4" w:space="0"/>
              <w:bottom w:val="single" w:color="auto" w:sz="4" w:space="0"/>
              <w:right w:val="single" w:color="auto" w:sz="4" w:space="0"/>
            </w:tcBorders>
            <w:noWrap w:val="0"/>
            <w:vAlign w:val="top"/>
          </w:tcPr>
          <w:p w14:paraId="29F60D30">
            <w:pPr>
              <w:spacing w:line="360" w:lineRule="auto"/>
              <w:contextualSpacing/>
              <w:rPr>
                <w:rFonts w:ascii="宋体" w:hAnsi="宋体" w:cs="仿宋_GB2312"/>
                <w:color w:val="auto"/>
                <w:spacing w:val="0"/>
                <w:position w:val="0"/>
                <w:sz w:val="24"/>
                <w:highlight w:val="none"/>
              </w:rPr>
            </w:pPr>
          </w:p>
        </w:tc>
        <w:tc>
          <w:tcPr>
            <w:tcW w:w="1184" w:type="dxa"/>
            <w:tcBorders>
              <w:top w:val="single" w:color="auto" w:sz="4" w:space="0"/>
              <w:left w:val="single" w:color="auto" w:sz="4" w:space="0"/>
              <w:bottom w:val="single" w:color="auto" w:sz="4" w:space="0"/>
              <w:right w:val="single" w:color="auto" w:sz="4" w:space="0"/>
            </w:tcBorders>
            <w:noWrap w:val="0"/>
            <w:vAlign w:val="center"/>
          </w:tcPr>
          <w:p w14:paraId="1DCB02E6">
            <w:pPr>
              <w:spacing w:line="360" w:lineRule="auto"/>
              <w:contextualSpacing/>
              <w:rPr>
                <w:rFonts w:ascii="宋体" w:hAnsi="宋体" w:cs="仿宋_GB2312"/>
                <w:color w:val="auto"/>
                <w:spacing w:val="0"/>
                <w:position w:val="0"/>
                <w:sz w:val="24"/>
                <w:highlight w:val="none"/>
              </w:rPr>
            </w:pPr>
          </w:p>
        </w:tc>
      </w:tr>
      <w:tr w14:paraId="51847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0"/>
            <w:vAlign w:val="center"/>
          </w:tcPr>
          <w:p w14:paraId="48CF8B98">
            <w:pPr>
              <w:spacing w:line="360" w:lineRule="auto"/>
              <w:contextualSpacing/>
              <w:jc w:val="center"/>
              <w:rPr>
                <w:rFonts w:hint="eastAsia" w:ascii="宋体" w:hAnsi="宋体" w:eastAsia="宋体" w:cs="仿宋_GB2312"/>
                <w:color w:val="auto"/>
                <w:spacing w:val="0"/>
                <w:position w:val="0"/>
                <w:sz w:val="24"/>
                <w:highlight w:val="none"/>
                <w:lang w:eastAsia="zh-CN"/>
              </w:rPr>
            </w:pPr>
            <w:r>
              <w:rPr>
                <w:rFonts w:hint="eastAsia" w:ascii="宋体" w:hAnsi="宋体" w:cs="仿宋_GB2312"/>
                <w:color w:val="auto"/>
                <w:spacing w:val="0"/>
                <w:position w:val="0"/>
                <w:sz w:val="24"/>
                <w:highlight w:val="none"/>
                <w:lang w:eastAsia="zh-CN"/>
              </w:rPr>
              <w:t>…</w:t>
            </w:r>
          </w:p>
        </w:tc>
        <w:tc>
          <w:tcPr>
            <w:tcW w:w="2712" w:type="dxa"/>
            <w:tcBorders>
              <w:top w:val="single" w:color="auto" w:sz="4" w:space="0"/>
              <w:left w:val="single" w:color="auto" w:sz="4" w:space="0"/>
              <w:bottom w:val="single" w:color="auto" w:sz="4" w:space="0"/>
              <w:right w:val="single" w:color="auto" w:sz="4" w:space="0"/>
            </w:tcBorders>
            <w:noWrap w:val="0"/>
            <w:vAlign w:val="center"/>
          </w:tcPr>
          <w:p w14:paraId="48A66DE9">
            <w:pPr>
              <w:spacing w:line="360" w:lineRule="auto"/>
              <w:contextualSpacing/>
              <w:jc w:val="center"/>
              <w:rPr>
                <w:rFonts w:ascii="宋体" w:hAnsi="宋体" w:cs="仿宋_GB2312"/>
                <w:color w:val="auto"/>
                <w:spacing w:val="0"/>
                <w:position w:val="0"/>
                <w:sz w:val="24"/>
                <w:highlight w:val="none"/>
              </w:rPr>
            </w:pP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91627A0">
            <w:pPr>
              <w:spacing w:line="360" w:lineRule="auto"/>
              <w:contextualSpacing/>
              <w:jc w:val="center"/>
              <w:rPr>
                <w:rFonts w:hint="eastAsia" w:ascii="宋体" w:hAnsi="宋体" w:cs="仿宋_GB2312"/>
                <w:color w:val="auto"/>
                <w:spacing w:val="0"/>
                <w:position w:val="0"/>
                <w:sz w:val="24"/>
                <w:highlight w:val="none"/>
              </w:rPr>
            </w:pPr>
          </w:p>
        </w:tc>
        <w:tc>
          <w:tcPr>
            <w:tcW w:w="3107" w:type="dxa"/>
            <w:tcBorders>
              <w:top w:val="single" w:color="auto" w:sz="4" w:space="0"/>
              <w:left w:val="single" w:color="auto" w:sz="4" w:space="0"/>
              <w:bottom w:val="single" w:color="auto" w:sz="4" w:space="0"/>
              <w:right w:val="single" w:color="auto" w:sz="4" w:space="0"/>
            </w:tcBorders>
            <w:noWrap w:val="0"/>
            <w:vAlign w:val="top"/>
          </w:tcPr>
          <w:p w14:paraId="2C0D5073">
            <w:pPr>
              <w:spacing w:line="360" w:lineRule="auto"/>
              <w:contextualSpacing/>
              <w:rPr>
                <w:rFonts w:ascii="宋体" w:hAnsi="宋体" w:cs="仿宋_GB2312"/>
                <w:color w:val="auto"/>
                <w:spacing w:val="0"/>
                <w:position w:val="0"/>
                <w:sz w:val="24"/>
                <w:highlight w:val="none"/>
              </w:rPr>
            </w:pPr>
          </w:p>
        </w:tc>
        <w:tc>
          <w:tcPr>
            <w:tcW w:w="1184" w:type="dxa"/>
            <w:tcBorders>
              <w:top w:val="single" w:color="auto" w:sz="4" w:space="0"/>
              <w:left w:val="single" w:color="auto" w:sz="4" w:space="0"/>
              <w:bottom w:val="single" w:color="auto" w:sz="4" w:space="0"/>
              <w:right w:val="single" w:color="auto" w:sz="4" w:space="0"/>
            </w:tcBorders>
            <w:noWrap w:val="0"/>
            <w:vAlign w:val="center"/>
          </w:tcPr>
          <w:p w14:paraId="468C76F3">
            <w:pPr>
              <w:spacing w:line="360" w:lineRule="auto"/>
              <w:contextualSpacing/>
              <w:rPr>
                <w:rFonts w:ascii="宋体" w:hAnsi="宋体" w:cs="仿宋_GB2312"/>
                <w:color w:val="auto"/>
                <w:spacing w:val="0"/>
                <w:position w:val="0"/>
                <w:sz w:val="24"/>
                <w:highlight w:val="none"/>
              </w:rPr>
            </w:pPr>
          </w:p>
        </w:tc>
      </w:tr>
      <w:tr w14:paraId="7AAAB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9095" w:type="dxa"/>
            <w:gridSpan w:val="5"/>
            <w:tcBorders>
              <w:top w:val="single" w:color="auto" w:sz="4" w:space="0"/>
              <w:left w:val="single" w:color="auto" w:sz="4" w:space="0"/>
              <w:bottom w:val="single" w:color="auto" w:sz="4" w:space="0"/>
              <w:right w:val="single" w:color="auto" w:sz="4" w:space="0"/>
            </w:tcBorders>
            <w:noWrap w:val="0"/>
            <w:vAlign w:val="center"/>
          </w:tcPr>
          <w:p w14:paraId="604F0AB8">
            <w:pPr>
              <w:spacing w:line="360" w:lineRule="auto"/>
              <w:contextualSpacing/>
              <w:rPr>
                <w:rFonts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合计金额（人民币）</w:t>
            </w:r>
            <w:r>
              <w:rPr>
                <w:rFonts w:hint="eastAsia" w:ascii="宋体" w:hAnsi="宋体" w:cs="仿宋_GB2312"/>
                <w:color w:val="auto"/>
                <w:spacing w:val="0"/>
                <w:position w:val="0"/>
                <w:sz w:val="24"/>
                <w:highlight w:val="none"/>
                <w:u w:val="single"/>
              </w:rPr>
              <w:t xml:space="preserve">大写：                      </w:t>
            </w:r>
            <w:r>
              <w:rPr>
                <w:rFonts w:hint="eastAsia" w:ascii="宋体" w:hAnsi="宋体" w:cs="仿宋_GB2312"/>
                <w:color w:val="auto"/>
                <w:spacing w:val="0"/>
                <w:position w:val="0"/>
                <w:sz w:val="24"/>
                <w:highlight w:val="none"/>
                <w:lang w:eastAsia="zh-CN"/>
              </w:rPr>
              <w:t>（</w:t>
            </w:r>
            <w:r>
              <w:rPr>
                <w:rFonts w:hint="default" w:ascii="Arial" w:hAnsi="Arial" w:cs="Arial"/>
                <w:color w:val="auto"/>
                <w:spacing w:val="0"/>
                <w:position w:val="0"/>
                <w:sz w:val="24"/>
                <w:highlight w:val="none"/>
              </w:rPr>
              <w:t>¥</w:t>
            </w:r>
            <w:r>
              <w:rPr>
                <w:rFonts w:hint="eastAsia" w:ascii="宋体" w:hAnsi="宋体" w:cs="仿宋_GB2312"/>
                <w:color w:val="auto"/>
                <w:spacing w:val="0"/>
                <w:position w:val="0"/>
                <w:sz w:val="24"/>
                <w:highlight w:val="none"/>
                <w:u w:val="single"/>
              </w:rPr>
              <w:t xml:space="preserve">                </w:t>
            </w:r>
            <w:r>
              <w:rPr>
                <w:rFonts w:hint="eastAsia" w:ascii="宋体" w:hAnsi="宋体" w:cs="仿宋_GB2312"/>
                <w:color w:val="auto"/>
                <w:spacing w:val="0"/>
                <w:position w:val="0"/>
                <w:sz w:val="24"/>
                <w:highlight w:val="none"/>
              </w:rPr>
              <w:t>）</w:t>
            </w:r>
          </w:p>
        </w:tc>
      </w:tr>
    </w:tbl>
    <w:p w14:paraId="0F68B62D">
      <w:pPr>
        <w:spacing w:line="360" w:lineRule="auto"/>
        <w:contextualSpacing/>
        <w:jc w:val="left"/>
        <w:rPr>
          <w:rFonts w:hint="eastAsia" w:ascii="宋体" w:hAnsi="宋体" w:cs="仿宋_GB2312"/>
          <w:color w:val="auto"/>
          <w:spacing w:val="0"/>
          <w:position w:val="0"/>
          <w:sz w:val="24"/>
          <w:highlight w:val="none"/>
        </w:rPr>
      </w:pPr>
    </w:p>
    <w:p w14:paraId="530205B9">
      <w:pPr>
        <w:spacing w:line="360" w:lineRule="auto"/>
        <w:contextualSpacing/>
        <w:jc w:val="left"/>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注</w:t>
      </w:r>
      <w:r>
        <w:rPr>
          <w:rFonts w:hint="eastAsia" w:ascii="宋体" w:hAnsi="宋体" w:cs="仿宋_GB2312"/>
          <w:color w:val="auto"/>
          <w:spacing w:val="0"/>
          <w:position w:val="0"/>
          <w:sz w:val="24"/>
          <w:highlight w:val="none"/>
          <w:lang w:eastAsia="zh-CN"/>
        </w:rPr>
        <w:t>：</w:t>
      </w:r>
      <w:r>
        <w:rPr>
          <w:rFonts w:hint="eastAsia" w:ascii="宋体" w:hAnsi="宋体" w:cs="仿宋_GB2312"/>
          <w:color w:val="auto"/>
          <w:spacing w:val="0"/>
          <w:position w:val="0"/>
          <w:sz w:val="24"/>
          <w:highlight w:val="none"/>
        </w:rPr>
        <w:t xml:space="preserve"> </w:t>
      </w:r>
    </w:p>
    <w:p w14:paraId="23BE9C8B">
      <w:pPr>
        <w:spacing w:line="360" w:lineRule="auto"/>
        <w:ind w:firstLine="480" w:firstLineChars="200"/>
        <w:contextualSpacing/>
        <w:jc w:val="left"/>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1. 供应商的报价表必须加盖供应商电子签章并由法定代表人或者委托代理人签字或者电子签名，</w:t>
      </w:r>
      <w:r>
        <w:rPr>
          <w:rFonts w:hint="eastAsia" w:ascii="宋体" w:hAnsi="宋体" w:cs="仿宋_GB2312"/>
          <w:b/>
          <w:color w:val="auto"/>
          <w:spacing w:val="0"/>
          <w:position w:val="0"/>
          <w:sz w:val="24"/>
          <w:highlight w:val="none"/>
        </w:rPr>
        <w:t>否则其响应文件按无效处理</w:t>
      </w:r>
      <w:r>
        <w:rPr>
          <w:rFonts w:hint="eastAsia" w:ascii="宋体" w:hAnsi="宋体" w:cs="仿宋_GB2312"/>
          <w:color w:val="auto"/>
          <w:spacing w:val="0"/>
          <w:position w:val="0"/>
          <w:sz w:val="24"/>
          <w:highlight w:val="none"/>
        </w:rPr>
        <w:t>。</w:t>
      </w:r>
    </w:p>
    <w:p w14:paraId="4C304878">
      <w:pPr>
        <w:spacing w:line="360" w:lineRule="auto"/>
        <w:ind w:firstLine="480" w:firstLineChars="200"/>
        <w:contextualSpacing/>
        <w:jc w:val="left"/>
        <w:rPr>
          <w:rFonts w:hint="eastAsia" w:ascii="宋体" w:hAnsi="宋体" w:cs="仿宋_GB2312"/>
          <w:b/>
          <w:color w:val="auto"/>
          <w:spacing w:val="0"/>
          <w:position w:val="0"/>
          <w:sz w:val="24"/>
          <w:highlight w:val="none"/>
        </w:rPr>
      </w:pPr>
      <w:r>
        <w:rPr>
          <w:rFonts w:hint="eastAsia" w:ascii="宋体" w:hAnsi="宋体" w:cs="仿宋_GB2312"/>
          <w:bCs/>
          <w:color w:val="auto"/>
          <w:spacing w:val="0"/>
          <w:position w:val="0"/>
          <w:sz w:val="24"/>
          <w:highlight w:val="none"/>
        </w:rPr>
        <w:t>2.</w:t>
      </w:r>
      <w:r>
        <w:rPr>
          <w:rFonts w:hint="eastAsia" w:ascii="宋体" w:hAnsi="宋体" w:cs="仿宋_GB2312"/>
          <w:color w:val="auto"/>
          <w:spacing w:val="0"/>
          <w:position w:val="0"/>
          <w:sz w:val="24"/>
          <w:highlight w:val="none"/>
        </w:rPr>
        <w:t xml:space="preserve"> 报价一经涂改，应在涂改处加盖供应商公章或者加盖电子签章或者由法定代表人或者授权委托人签字</w:t>
      </w:r>
      <w:r>
        <w:rPr>
          <w:rFonts w:hint="eastAsia" w:ascii="宋体" w:hAnsi="宋体"/>
          <w:color w:val="auto"/>
          <w:spacing w:val="0"/>
          <w:position w:val="0"/>
          <w:sz w:val="24"/>
          <w:highlight w:val="none"/>
        </w:rPr>
        <w:t>（或者电子签名）</w:t>
      </w:r>
      <w:r>
        <w:rPr>
          <w:rFonts w:hint="eastAsia" w:ascii="宋体" w:hAnsi="宋体" w:cs="仿宋_GB2312"/>
          <w:b/>
          <w:color w:val="auto"/>
          <w:spacing w:val="0"/>
          <w:position w:val="0"/>
          <w:sz w:val="24"/>
          <w:highlight w:val="none"/>
        </w:rPr>
        <w:t>，否则其响应文件按无效处理。</w:t>
      </w:r>
    </w:p>
    <w:p w14:paraId="0CF2A74A">
      <w:pPr>
        <w:spacing w:line="360" w:lineRule="auto"/>
        <w:ind w:firstLine="643" w:firstLineChars="200"/>
        <w:contextualSpacing/>
        <w:jc w:val="left"/>
        <w:rPr>
          <w:rFonts w:hint="default" w:ascii="宋体" w:hAnsi="宋体" w:cs="仿宋_GB2312"/>
          <w:b/>
          <w:bCs/>
          <w:color w:val="auto"/>
          <w:spacing w:val="0"/>
          <w:position w:val="0"/>
          <w:sz w:val="32"/>
          <w:szCs w:val="32"/>
          <w:highlight w:val="none"/>
          <w:lang w:val="en-US" w:eastAsia="zh-CN"/>
        </w:rPr>
      </w:pPr>
      <w:r>
        <w:rPr>
          <w:rFonts w:hint="eastAsia" w:ascii="宋体" w:hAnsi="宋体" w:cs="仿宋_GB2312"/>
          <w:b/>
          <w:bCs/>
          <w:color w:val="auto"/>
          <w:spacing w:val="0"/>
          <w:position w:val="0"/>
          <w:sz w:val="32"/>
          <w:szCs w:val="32"/>
          <w:highlight w:val="none"/>
          <w:lang w:val="en-US" w:eastAsia="zh-CN"/>
        </w:rPr>
        <w:t>3.</w:t>
      </w:r>
      <w:r>
        <w:rPr>
          <w:rFonts w:hint="eastAsia" w:ascii="宋体" w:hAnsi="宋体" w:eastAsia="宋体" w:cs="宋体"/>
          <w:b/>
          <w:bCs/>
          <w:color w:val="auto"/>
          <w:spacing w:val="0"/>
          <w:position w:val="0"/>
          <w:sz w:val="32"/>
          <w:szCs w:val="32"/>
          <w:highlight w:val="none"/>
          <w:lang w:val="en-US" w:eastAsia="zh-CN"/>
        </w:rPr>
        <w:t>在</w:t>
      </w:r>
      <w:r>
        <w:rPr>
          <w:rFonts w:hint="eastAsia" w:ascii="宋体" w:hAnsi="宋体" w:cs="宋体"/>
          <w:b/>
          <w:bCs/>
          <w:color w:val="auto"/>
          <w:spacing w:val="0"/>
          <w:position w:val="0"/>
          <w:sz w:val="32"/>
          <w:szCs w:val="32"/>
          <w:highlight w:val="none"/>
          <w:lang w:val="en-US" w:eastAsia="zh-CN"/>
        </w:rPr>
        <w:t>广西政府采购云平台</w:t>
      </w:r>
      <w:r>
        <w:rPr>
          <w:rFonts w:hint="eastAsia" w:ascii="宋体" w:hAnsi="宋体" w:eastAsia="宋体" w:cs="宋体"/>
          <w:b/>
          <w:bCs/>
          <w:color w:val="auto"/>
          <w:spacing w:val="0"/>
          <w:position w:val="0"/>
          <w:sz w:val="32"/>
          <w:szCs w:val="32"/>
          <w:highlight w:val="none"/>
          <w:lang w:val="en-US" w:eastAsia="zh-CN"/>
        </w:rPr>
        <w:t>评审过程中，</w:t>
      </w:r>
      <w:r>
        <w:rPr>
          <w:rFonts w:hint="eastAsia" w:ascii="宋体" w:hAnsi="宋体" w:cs="宋体"/>
          <w:b/>
          <w:bCs/>
          <w:color w:val="auto"/>
          <w:spacing w:val="0"/>
          <w:position w:val="0"/>
          <w:sz w:val="32"/>
          <w:szCs w:val="32"/>
          <w:highlight w:val="none"/>
          <w:lang w:val="en-US" w:eastAsia="zh-CN"/>
        </w:rPr>
        <w:t>供应商提交的</w:t>
      </w:r>
      <w:r>
        <w:rPr>
          <w:rFonts w:hint="eastAsia" w:ascii="宋体" w:hAnsi="宋体" w:cs="仿宋_GB2312"/>
          <w:b/>
          <w:bCs/>
          <w:color w:val="auto"/>
          <w:spacing w:val="0"/>
          <w:position w:val="0"/>
          <w:sz w:val="32"/>
          <w:szCs w:val="32"/>
          <w:highlight w:val="none"/>
        </w:rPr>
        <w:t>最后报价与首次报价相比有调整的</w:t>
      </w:r>
      <w:r>
        <w:rPr>
          <w:rFonts w:hint="eastAsia" w:ascii="宋体" w:hAnsi="宋体" w:cs="仿宋_GB2312"/>
          <w:b/>
          <w:bCs/>
          <w:color w:val="auto"/>
          <w:spacing w:val="0"/>
          <w:position w:val="0"/>
          <w:sz w:val="32"/>
          <w:szCs w:val="32"/>
          <w:highlight w:val="none"/>
          <w:lang w:eastAsia="zh-CN"/>
        </w:rPr>
        <w:t>，必须同时上传相对应的“已标价的工程量清单”作为附件，</w:t>
      </w:r>
      <w:r>
        <w:rPr>
          <w:rFonts w:hint="eastAsia" w:ascii="宋体" w:hAnsi="宋体" w:cs="仿宋_GB2312"/>
          <w:b/>
          <w:bCs/>
          <w:color w:val="auto"/>
          <w:spacing w:val="0"/>
          <w:position w:val="0"/>
          <w:sz w:val="32"/>
          <w:szCs w:val="32"/>
          <w:highlight w:val="none"/>
        </w:rPr>
        <w:t>否则其响应文件按无效处理。</w:t>
      </w:r>
    </w:p>
    <w:p w14:paraId="5F88B3AA">
      <w:pPr>
        <w:spacing w:line="360" w:lineRule="auto"/>
        <w:ind w:right="-817" w:rightChars="-389"/>
        <w:contextualSpacing/>
        <w:rPr>
          <w:rFonts w:hint="eastAsia" w:ascii="宋体" w:hAnsi="宋体" w:cs="仿宋_GB2312"/>
          <w:color w:val="auto"/>
          <w:spacing w:val="0"/>
          <w:position w:val="0"/>
          <w:sz w:val="24"/>
          <w:highlight w:val="none"/>
        </w:rPr>
      </w:pPr>
    </w:p>
    <w:p w14:paraId="656FDEA4">
      <w:pPr>
        <w:spacing w:line="360" w:lineRule="auto"/>
        <w:ind w:right="-817" w:rightChars="-389"/>
        <w:contextualSpacing/>
        <w:rPr>
          <w:rFonts w:hint="eastAsia" w:ascii="宋体" w:hAnsi="宋体" w:cs="仿宋_GB2312"/>
          <w:color w:val="auto"/>
          <w:spacing w:val="0"/>
          <w:position w:val="0"/>
          <w:sz w:val="24"/>
          <w:highlight w:val="none"/>
        </w:rPr>
      </w:pPr>
    </w:p>
    <w:p w14:paraId="03734993">
      <w:pPr>
        <w:spacing w:line="360" w:lineRule="auto"/>
        <w:ind w:right="-817" w:rightChars="-389" w:firstLine="2640" w:firstLineChars="11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 xml:space="preserve">法定代表人或者委托代理人（签字或者电子签名）：                    </w:t>
      </w:r>
    </w:p>
    <w:p w14:paraId="631192F7">
      <w:pPr>
        <w:spacing w:line="360" w:lineRule="auto"/>
        <w:ind w:right="-817" w:rightChars="-389" w:firstLine="2640" w:firstLineChars="11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 xml:space="preserve">供应商（电子签章）：      </w:t>
      </w:r>
    </w:p>
    <w:p w14:paraId="1974F746">
      <w:pPr>
        <w:spacing w:line="360" w:lineRule="auto"/>
        <w:ind w:right="-817" w:rightChars="-389" w:firstLine="4080" w:firstLineChars="17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日期：   年   月   日</w:t>
      </w:r>
    </w:p>
    <w:p w14:paraId="408365F5">
      <w:pPr>
        <w:pStyle w:val="3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pacing w:val="0"/>
          <w:position w:val="0"/>
          <w:sz w:val="32"/>
          <w:szCs w:val="40"/>
          <w:highlight w:val="none"/>
        </w:rPr>
      </w:pPr>
    </w:p>
    <w:p w14:paraId="763A8AC0">
      <w:pPr>
        <w:pStyle w:val="3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pacing w:val="0"/>
          <w:position w:val="0"/>
          <w:sz w:val="32"/>
          <w:szCs w:val="40"/>
          <w:highlight w:val="none"/>
        </w:rPr>
      </w:pPr>
    </w:p>
    <w:p w14:paraId="63177E8F">
      <w:pPr>
        <w:pStyle w:val="3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pacing w:val="0"/>
          <w:position w:val="0"/>
          <w:sz w:val="32"/>
          <w:szCs w:val="40"/>
          <w:highlight w:val="none"/>
        </w:rPr>
      </w:pPr>
    </w:p>
    <w:p w14:paraId="70FFEB76">
      <w:pPr>
        <w:pStyle w:val="39"/>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bCs/>
          <w:color w:val="auto"/>
          <w:spacing w:val="0"/>
          <w:position w:val="0"/>
          <w:sz w:val="32"/>
          <w:szCs w:val="40"/>
          <w:highlight w:val="none"/>
        </w:rPr>
      </w:pPr>
    </w:p>
    <w:p w14:paraId="4F02EF82">
      <w:pPr>
        <w:pStyle w:val="39"/>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bCs/>
          <w:color w:val="auto"/>
          <w:spacing w:val="0"/>
          <w:position w:val="0"/>
          <w:sz w:val="32"/>
          <w:szCs w:val="40"/>
          <w:highlight w:val="none"/>
          <w:lang w:eastAsia="zh-CN"/>
        </w:rPr>
      </w:pPr>
      <w:r>
        <w:rPr>
          <w:rFonts w:hint="eastAsia" w:ascii="宋体" w:hAnsi="宋体" w:eastAsia="宋体" w:cs="宋体"/>
          <w:b/>
          <w:bCs/>
          <w:color w:val="auto"/>
          <w:spacing w:val="0"/>
          <w:position w:val="0"/>
          <w:sz w:val="32"/>
          <w:szCs w:val="40"/>
          <w:highlight w:val="none"/>
        </w:rPr>
        <w:t>已标价</w:t>
      </w:r>
      <w:r>
        <w:rPr>
          <w:rFonts w:hint="eastAsia" w:ascii="宋体" w:hAnsi="宋体" w:eastAsia="宋体" w:cs="宋体"/>
          <w:b/>
          <w:bCs/>
          <w:color w:val="auto"/>
          <w:spacing w:val="0"/>
          <w:position w:val="0"/>
          <w:sz w:val="32"/>
          <w:szCs w:val="40"/>
          <w:highlight w:val="none"/>
          <w:lang w:eastAsia="zh-CN"/>
        </w:rPr>
        <w:t>工程量清单</w:t>
      </w:r>
    </w:p>
    <w:p w14:paraId="31B92A97">
      <w:pPr>
        <w:pStyle w:val="39"/>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both"/>
        <w:textAlignment w:val="auto"/>
        <w:rPr>
          <w:rFonts w:hint="eastAsia" w:ascii="宋体" w:hAnsi="宋体" w:eastAsia="宋体" w:cs="宋体"/>
          <w:b w:val="0"/>
          <w:bCs w:val="0"/>
          <w:color w:val="auto"/>
          <w:spacing w:val="0"/>
          <w:position w:val="0"/>
          <w:sz w:val="21"/>
          <w:szCs w:val="24"/>
          <w:highlight w:val="none"/>
        </w:rPr>
      </w:pPr>
    </w:p>
    <w:p w14:paraId="2EF9F3CB">
      <w:pPr>
        <w:pStyle w:val="3"/>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1、已标价工程量清单按照第三章发放的“工程量清单”相关内容填写。</w:t>
      </w:r>
    </w:p>
    <w:p w14:paraId="288AC0EB">
      <w:pPr>
        <w:pStyle w:val="3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宋体" w:hAnsi="宋体" w:eastAsia="宋体" w:cs="宋体"/>
          <w:b w:val="0"/>
          <w:bCs w:val="0"/>
          <w:color w:val="auto"/>
          <w:spacing w:val="0"/>
          <w:position w:val="0"/>
          <w:sz w:val="21"/>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招标人提供的</w:t>
      </w:r>
      <w:r>
        <w:rPr>
          <w:rFonts w:hint="eastAsia" w:ascii="宋体" w:hAnsi="宋体" w:eastAsia="宋体" w:cs="宋体"/>
          <w:b w:val="0"/>
          <w:bCs w:val="0"/>
          <w:color w:val="auto"/>
          <w:sz w:val="24"/>
          <w:szCs w:val="24"/>
          <w:highlight w:val="none"/>
          <w:lang w:eastAsia="zh-CN"/>
        </w:rPr>
        <w:t>工程量清单</w:t>
      </w:r>
      <w:r>
        <w:rPr>
          <w:rFonts w:hint="eastAsia" w:ascii="宋体" w:hAnsi="宋体" w:eastAsia="宋体" w:cs="宋体"/>
          <w:b w:val="0"/>
          <w:bCs w:val="0"/>
          <w:color w:val="auto"/>
          <w:sz w:val="24"/>
          <w:szCs w:val="24"/>
          <w:highlight w:val="none"/>
        </w:rPr>
        <w:t>（由投标人自行</w:t>
      </w:r>
      <w:r>
        <w:rPr>
          <w:rFonts w:hint="eastAsia" w:ascii="宋体" w:hAnsi="宋体" w:eastAsia="宋体" w:cs="宋体"/>
          <w:b w:val="0"/>
          <w:bCs w:val="0"/>
          <w:color w:val="auto"/>
          <w:sz w:val="24"/>
          <w:szCs w:val="24"/>
          <w:highlight w:val="none"/>
          <w:lang w:eastAsia="zh-CN"/>
        </w:rPr>
        <w:t>在网上</w:t>
      </w:r>
      <w:r>
        <w:rPr>
          <w:rFonts w:hint="eastAsia" w:ascii="宋体" w:hAnsi="宋体" w:eastAsia="宋体" w:cs="宋体"/>
          <w:b w:val="0"/>
          <w:bCs w:val="0"/>
          <w:color w:val="auto"/>
          <w:sz w:val="24"/>
          <w:szCs w:val="24"/>
          <w:highlight w:val="none"/>
        </w:rPr>
        <w:t>下载）</w:t>
      </w:r>
    </w:p>
    <w:p w14:paraId="37474971">
      <w:pPr>
        <w:autoSpaceDE w:val="0"/>
        <w:autoSpaceDN w:val="0"/>
        <w:adjustRightInd w:val="0"/>
        <w:spacing w:line="360" w:lineRule="auto"/>
        <w:rPr>
          <w:rFonts w:ascii="宋体" w:hAnsi="宋体"/>
          <w:b/>
          <w:bCs/>
          <w:color w:val="auto"/>
          <w:spacing w:val="0"/>
          <w:position w:val="0"/>
          <w:sz w:val="32"/>
          <w:szCs w:val="32"/>
          <w:highlight w:val="none"/>
          <w:lang w:val="zh-CN"/>
        </w:rPr>
      </w:pPr>
    </w:p>
    <w:p w14:paraId="6511DCA5">
      <w:pPr>
        <w:autoSpaceDE w:val="0"/>
        <w:autoSpaceDN w:val="0"/>
        <w:adjustRightInd w:val="0"/>
        <w:spacing w:line="360" w:lineRule="auto"/>
        <w:rPr>
          <w:rFonts w:ascii="宋体" w:hAnsi="宋体"/>
          <w:b/>
          <w:bCs/>
          <w:color w:val="auto"/>
          <w:spacing w:val="0"/>
          <w:position w:val="0"/>
          <w:sz w:val="32"/>
          <w:szCs w:val="32"/>
          <w:highlight w:val="none"/>
          <w:lang w:val="zh-CN"/>
        </w:rPr>
      </w:pPr>
    </w:p>
    <w:p w14:paraId="59F5048C">
      <w:pPr>
        <w:autoSpaceDE w:val="0"/>
        <w:autoSpaceDN w:val="0"/>
        <w:adjustRightInd w:val="0"/>
        <w:spacing w:line="360" w:lineRule="auto"/>
        <w:rPr>
          <w:rFonts w:ascii="宋体" w:hAnsi="宋体"/>
          <w:b/>
          <w:bCs/>
          <w:color w:val="auto"/>
          <w:spacing w:val="0"/>
          <w:position w:val="0"/>
          <w:sz w:val="32"/>
          <w:szCs w:val="32"/>
          <w:highlight w:val="none"/>
          <w:lang w:val="zh-CN"/>
        </w:rPr>
      </w:pPr>
    </w:p>
    <w:p w14:paraId="6CADA912">
      <w:pPr>
        <w:autoSpaceDE w:val="0"/>
        <w:autoSpaceDN w:val="0"/>
        <w:adjustRightInd w:val="0"/>
        <w:spacing w:line="360" w:lineRule="auto"/>
        <w:rPr>
          <w:rFonts w:ascii="宋体" w:hAnsi="宋体"/>
          <w:b/>
          <w:bCs/>
          <w:color w:val="auto"/>
          <w:spacing w:val="0"/>
          <w:position w:val="0"/>
          <w:sz w:val="32"/>
          <w:szCs w:val="32"/>
          <w:highlight w:val="none"/>
          <w:lang w:val="zh-CN"/>
        </w:rPr>
      </w:pPr>
    </w:p>
    <w:p w14:paraId="15516619">
      <w:pPr>
        <w:autoSpaceDE w:val="0"/>
        <w:autoSpaceDN w:val="0"/>
        <w:adjustRightInd w:val="0"/>
        <w:spacing w:line="360" w:lineRule="auto"/>
        <w:rPr>
          <w:rFonts w:ascii="宋体" w:hAnsi="宋体"/>
          <w:b/>
          <w:bCs/>
          <w:color w:val="auto"/>
          <w:spacing w:val="0"/>
          <w:position w:val="0"/>
          <w:sz w:val="32"/>
          <w:szCs w:val="32"/>
          <w:highlight w:val="none"/>
          <w:lang w:val="zh-CN"/>
        </w:rPr>
      </w:pPr>
    </w:p>
    <w:p w14:paraId="700E5292">
      <w:pPr>
        <w:autoSpaceDE w:val="0"/>
        <w:autoSpaceDN w:val="0"/>
        <w:adjustRightInd w:val="0"/>
        <w:spacing w:line="360" w:lineRule="auto"/>
        <w:rPr>
          <w:rFonts w:ascii="宋体" w:hAnsi="宋体"/>
          <w:b/>
          <w:bCs/>
          <w:color w:val="auto"/>
          <w:spacing w:val="0"/>
          <w:position w:val="0"/>
          <w:sz w:val="32"/>
          <w:szCs w:val="32"/>
          <w:highlight w:val="none"/>
          <w:lang w:val="zh-CN"/>
        </w:rPr>
      </w:pPr>
    </w:p>
    <w:p w14:paraId="00BA6DE4">
      <w:pPr>
        <w:autoSpaceDE w:val="0"/>
        <w:autoSpaceDN w:val="0"/>
        <w:adjustRightInd w:val="0"/>
        <w:spacing w:line="360" w:lineRule="auto"/>
        <w:rPr>
          <w:rFonts w:ascii="宋体" w:hAnsi="宋体"/>
          <w:b/>
          <w:bCs/>
          <w:color w:val="auto"/>
          <w:spacing w:val="0"/>
          <w:position w:val="0"/>
          <w:sz w:val="32"/>
          <w:szCs w:val="32"/>
          <w:highlight w:val="none"/>
          <w:lang w:val="zh-CN"/>
        </w:rPr>
      </w:pPr>
    </w:p>
    <w:p w14:paraId="059C6ED2">
      <w:pPr>
        <w:autoSpaceDE w:val="0"/>
        <w:autoSpaceDN w:val="0"/>
        <w:adjustRightInd w:val="0"/>
        <w:spacing w:line="360" w:lineRule="auto"/>
        <w:rPr>
          <w:rFonts w:ascii="宋体" w:hAnsi="宋体"/>
          <w:b/>
          <w:bCs/>
          <w:color w:val="auto"/>
          <w:spacing w:val="0"/>
          <w:position w:val="0"/>
          <w:sz w:val="32"/>
          <w:szCs w:val="32"/>
          <w:highlight w:val="none"/>
          <w:lang w:val="zh-CN"/>
        </w:rPr>
      </w:pPr>
    </w:p>
    <w:p w14:paraId="1FB34BEC">
      <w:pPr>
        <w:autoSpaceDE w:val="0"/>
        <w:autoSpaceDN w:val="0"/>
        <w:adjustRightInd w:val="0"/>
        <w:spacing w:line="360" w:lineRule="auto"/>
        <w:rPr>
          <w:rFonts w:ascii="宋体" w:hAnsi="宋体"/>
          <w:b/>
          <w:bCs/>
          <w:color w:val="auto"/>
          <w:spacing w:val="0"/>
          <w:position w:val="0"/>
          <w:sz w:val="32"/>
          <w:szCs w:val="32"/>
          <w:highlight w:val="none"/>
          <w:lang w:val="zh-CN"/>
        </w:rPr>
      </w:pPr>
    </w:p>
    <w:p w14:paraId="475AA976">
      <w:pPr>
        <w:autoSpaceDE w:val="0"/>
        <w:autoSpaceDN w:val="0"/>
        <w:adjustRightInd w:val="0"/>
        <w:spacing w:line="360" w:lineRule="auto"/>
        <w:rPr>
          <w:rFonts w:ascii="宋体" w:hAnsi="宋体"/>
          <w:b/>
          <w:bCs/>
          <w:color w:val="auto"/>
          <w:spacing w:val="0"/>
          <w:position w:val="0"/>
          <w:sz w:val="32"/>
          <w:szCs w:val="32"/>
          <w:highlight w:val="none"/>
          <w:lang w:val="zh-CN"/>
        </w:rPr>
      </w:pPr>
    </w:p>
    <w:p w14:paraId="50302D6F">
      <w:pPr>
        <w:autoSpaceDE w:val="0"/>
        <w:autoSpaceDN w:val="0"/>
        <w:adjustRightInd w:val="0"/>
        <w:spacing w:line="360" w:lineRule="auto"/>
        <w:rPr>
          <w:rFonts w:ascii="宋体" w:hAnsi="宋体"/>
          <w:b/>
          <w:bCs/>
          <w:color w:val="auto"/>
          <w:spacing w:val="0"/>
          <w:position w:val="0"/>
          <w:sz w:val="32"/>
          <w:szCs w:val="32"/>
          <w:highlight w:val="none"/>
          <w:lang w:val="zh-CN"/>
        </w:rPr>
      </w:pPr>
    </w:p>
    <w:p w14:paraId="12565619">
      <w:pPr>
        <w:autoSpaceDE w:val="0"/>
        <w:autoSpaceDN w:val="0"/>
        <w:adjustRightInd w:val="0"/>
        <w:spacing w:line="360" w:lineRule="auto"/>
        <w:rPr>
          <w:rFonts w:ascii="宋体" w:hAnsi="宋体"/>
          <w:b/>
          <w:bCs/>
          <w:color w:val="auto"/>
          <w:spacing w:val="0"/>
          <w:position w:val="0"/>
          <w:sz w:val="32"/>
          <w:szCs w:val="32"/>
          <w:highlight w:val="none"/>
          <w:lang w:val="zh-CN"/>
        </w:rPr>
      </w:pPr>
    </w:p>
    <w:p w14:paraId="149ED0F7">
      <w:pPr>
        <w:autoSpaceDE w:val="0"/>
        <w:autoSpaceDN w:val="0"/>
        <w:adjustRightInd w:val="0"/>
        <w:spacing w:line="360" w:lineRule="auto"/>
        <w:rPr>
          <w:rFonts w:ascii="宋体" w:hAnsi="宋体"/>
          <w:b/>
          <w:bCs/>
          <w:color w:val="auto"/>
          <w:spacing w:val="0"/>
          <w:position w:val="0"/>
          <w:sz w:val="32"/>
          <w:szCs w:val="32"/>
          <w:highlight w:val="none"/>
          <w:lang w:val="zh-CN"/>
        </w:rPr>
      </w:pPr>
    </w:p>
    <w:p w14:paraId="55635E05">
      <w:pPr>
        <w:autoSpaceDE w:val="0"/>
        <w:autoSpaceDN w:val="0"/>
        <w:adjustRightInd w:val="0"/>
        <w:spacing w:line="360" w:lineRule="auto"/>
        <w:rPr>
          <w:rFonts w:ascii="宋体" w:hAnsi="宋体"/>
          <w:b/>
          <w:bCs/>
          <w:color w:val="auto"/>
          <w:spacing w:val="0"/>
          <w:position w:val="0"/>
          <w:sz w:val="32"/>
          <w:szCs w:val="32"/>
          <w:highlight w:val="none"/>
          <w:lang w:val="zh-CN"/>
        </w:rPr>
      </w:pPr>
    </w:p>
    <w:p w14:paraId="2D743938">
      <w:pPr>
        <w:autoSpaceDE w:val="0"/>
        <w:autoSpaceDN w:val="0"/>
        <w:adjustRightInd w:val="0"/>
        <w:spacing w:line="360" w:lineRule="auto"/>
        <w:rPr>
          <w:rFonts w:ascii="宋体" w:hAnsi="宋体"/>
          <w:b/>
          <w:bCs/>
          <w:color w:val="auto"/>
          <w:spacing w:val="0"/>
          <w:position w:val="0"/>
          <w:sz w:val="32"/>
          <w:szCs w:val="32"/>
          <w:highlight w:val="none"/>
          <w:lang w:val="zh-CN"/>
        </w:rPr>
      </w:pPr>
    </w:p>
    <w:p w14:paraId="22DBB4FF">
      <w:pPr>
        <w:autoSpaceDE w:val="0"/>
        <w:autoSpaceDN w:val="0"/>
        <w:adjustRightInd w:val="0"/>
        <w:spacing w:line="360" w:lineRule="auto"/>
        <w:rPr>
          <w:rFonts w:ascii="宋体" w:hAnsi="宋体"/>
          <w:b/>
          <w:bCs/>
          <w:color w:val="auto"/>
          <w:spacing w:val="0"/>
          <w:position w:val="0"/>
          <w:sz w:val="32"/>
          <w:szCs w:val="32"/>
          <w:highlight w:val="none"/>
          <w:lang w:val="zh-CN"/>
        </w:rPr>
      </w:pPr>
    </w:p>
    <w:p w14:paraId="7F238AF8">
      <w:pPr>
        <w:autoSpaceDE w:val="0"/>
        <w:autoSpaceDN w:val="0"/>
        <w:adjustRightInd w:val="0"/>
        <w:spacing w:line="360" w:lineRule="auto"/>
        <w:rPr>
          <w:rFonts w:ascii="宋体" w:hAnsi="宋体"/>
          <w:b/>
          <w:bCs/>
          <w:color w:val="auto"/>
          <w:spacing w:val="0"/>
          <w:position w:val="0"/>
          <w:sz w:val="32"/>
          <w:szCs w:val="32"/>
          <w:highlight w:val="none"/>
          <w:lang w:val="zh-CN"/>
        </w:rPr>
      </w:pPr>
    </w:p>
    <w:p w14:paraId="5825B274">
      <w:pPr>
        <w:autoSpaceDE w:val="0"/>
        <w:autoSpaceDN w:val="0"/>
        <w:adjustRightInd w:val="0"/>
        <w:spacing w:line="360" w:lineRule="auto"/>
        <w:rPr>
          <w:rFonts w:ascii="宋体" w:hAnsi="宋体"/>
          <w:b/>
          <w:bCs/>
          <w:color w:val="auto"/>
          <w:spacing w:val="0"/>
          <w:position w:val="0"/>
          <w:sz w:val="32"/>
          <w:szCs w:val="32"/>
          <w:highlight w:val="none"/>
          <w:lang w:val="zh-CN"/>
        </w:rPr>
      </w:pPr>
    </w:p>
    <w:p w14:paraId="0329B387">
      <w:pPr>
        <w:autoSpaceDE w:val="0"/>
        <w:autoSpaceDN w:val="0"/>
        <w:adjustRightInd w:val="0"/>
        <w:spacing w:line="360" w:lineRule="auto"/>
        <w:rPr>
          <w:rFonts w:ascii="宋体" w:hAnsi="宋体"/>
          <w:b/>
          <w:bCs/>
          <w:color w:val="auto"/>
          <w:spacing w:val="0"/>
          <w:position w:val="0"/>
          <w:sz w:val="32"/>
          <w:szCs w:val="32"/>
          <w:highlight w:val="none"/>
          <w:lang w:val="zh-CN"/>
        </w:rPr>
      </w:pPr>
    </w:p>
    <w:p w14:paraId="53273E85">
      <w:pPr>
        <w:spacing w:line="360" w:lineRule="auto"/>
        <w:contextualSpacing/>
        <w:jc w:val="both"/>
        <w:rPr>
          <w:rFonts w:hint="eastAsia" w:ascii="宋体" w:hAnsi="宋体"/>
          <w:b/>
          <w:color w:val="auto"/>
          <w:spacing w:val="0"/>
          <w:position w:val="0"/>
          <w:sz w:val="32"/>
          <w:szCs w:val="32"/>
          <w:highlight w:val="none"/>
        </w:rPr>
      </w:pPr>
      <w:r>
        <w:rPr>
          <w:rFonts w:hint="eastAsia" w:ascii="宋体" w:hAnsi="宋体"/>
          <w:b/>
          <w:bCs/>
          <w:color w:val="auto"/>
          <w:spacing w:val="0"/>
          <w:position w:val="0"/>
          <w:sz w:val="32"/>
          <w:szCs w:val="32"/>
          <w:highlight w:val="none"/>
        </w:rPr>
        <w:t>三、</w:t>
      </w:r>
      <w:r>
        <w:rPr>
          <w:rFonts w:hint="eastAsia" w:ascii="宋体" w:hAnsi="宋体"/>
          <w:b/>
          <w:color w:val="auto"/>
          <w:spacing w:val="0"/>
          <w:position w:val="0"/>
          <w:sz w:val="32"/>
          <w:szCs w:val="32"/>
          <w:highlight w:val="none"/>
        </w:rPr>
        <w:t>商务技术文件格式</w:t>
      </w:r>
    </w:p>
    <w:p w14:paraId="5D24042B">
      <w:pPr>
        <w:snapToGrid w:val="0"/>
        <w:spacing w:before="156" w:beforeLines="50" w:after="50" w:line="360" w:lineRule="auto"/>
        <w:jc w:val="left"/>
        <w:rPr>
          <w:rFonts w:ascii="宋体" w:hAnsi="宋体"/>
          <w:b/>
          <w:color w:val="auto"/>
          <w:spacing w:val="0"/>
          <w:position w:val="0"/>
          <w:sz w:val="32"/>
          <w:szCs w:val="32"/>
          <w:highlight w:val="none"/>
        </w:rPr>
      </w:pPr>
      <w:r>
        <w:rPr>
          <w:rFonts w:hint="eastAsia" w:ascii="宋体" w:hAnsi="宋体"/>
          <w:b/>
          <w:color w:val="auto"/>
          <w:spacing w:val="0"/>
          <w:position w:val="0"/>
          <w:sz w:val="32"/>
          <w:szCs w:val="32"/>
          <w:highlight w:val="none"/>
        </w:rPr>
        <w:t>1.商务技术文件封面格式</w:t>
      </w:r>
    </w:p>
    <w:p w14:paraId="0D253ADD">
      <w:pPr>
        <w:snapToGrid w:val="0"/>
        <w:spacing w:before="156" w:beforeLines="50" w:after="50"/>
        <w:rPr>
          <w:rFonts w:hint="eastAsia" w:ascii="宋体" w:hAnsi="宋体"/>
          <w:bCs/>
          <w:color w:val="auto"/>
          <w:spacing w:val="0"/>
          <w:position w:val="0"/>
          <w:sz w:val="32"/>
          <w:szCs w:val="20"/>
          <w:highlight w:val="none"/>
        </w:rPr>
      </w:pPr>
      <w:r>
        <w:rPr>
          <w:rFonts w:hint="eastAsia" w:ascii="宋体" w:hAnsi="宋体"/>
          <w:color w:val="auto"/>
          <w:spacing w:val="0"/>
          <w:position w:val="0"/>
          <w:sz w:val="24"/>
          <w:highlight w:val="none"/>
        </w:rPr>
        <w:t xml:space="preserve">                                                    </w:t>
      </w:r>
    </w:p>
    <w:p w14:paraId="12690A9C">
      <w:pPr>
        <w:snapToGrid w:val="0"/>
        <w:spacing w:before="156" w:beforeLines="50" w:after="50"/>
        <w:jc w:val="center"/>
        <w:rPr>
          <w:rFonts w:hint="eastAsia" w:ascii="宋体" w:hAnsi="宋体"/>
          <w:color w:val="auto"/>
          <w:spacing w:val="0"/>
          <w:position w:val="0"/>
          <w:sz w:val="24"/>
          <w:szCs w:val="20"/>
          <w:highlight w:val="none"/>
        </w:rPr>
      </w:pPr>
      <w:r>
        <w:rPr>
          <w:rFonts w:hint="eastAsia" w:ascii="宋体" w:hAnsi="宋体"/>
          <w:color w:val="auto"/>
          <w:spacing w:val="0"/>
          <w:position w:val="0"/>
          <w:sz w:val="44"/>
          <w:szCs w:val="44"/>
          <w:highlight w:val="none"/>
        </w:rPr>
        <w:t xml:space="preserve">电 子 </w:t>
      </w:r>
      <w:r>
        <w:rPr>
          <w:rFonts w:hint="eastAsia" w:ascii="宋体" w:hAnsi="宋体"/>
          <w:color w:val="auto"/>
          <w:spacing w:val="0"/>
          <w:position w:val="0"/>
          <w:sz w:val="44"/>
          <w:szCs w:val="44"/>
          <w:highlight w:val="none"/>
          <w:lang w:eastAsia="zh-CN"/>
        </w:rPr>
        <w:t>响</w:t>
      </w:r>
      <w:r>
        <w:rPr>
          <w:rFonts w:hint="eastAsia" w:ascii="宋体" w:hAnsi="宋体"/>
          <w:color w:val="auto"/>
          <w:spacing w:val="0"/>
          <w:position w:val="0"/>
          <w:sz w:val="44"/>
          <w:szCs w:val="44"/>
          <w:highlight w:val="none"/>
          <w:lang w:val="en-US" w:eastAsia="zh-CN"/>
        </w:rPr>
        <w:t xml:space="preserve"> </w:t>
      </w:r>
      <w:r>
        <w:rPr>
          <w:rFonts w:hint="eastAsia" w:ascii="宋体" w:hAnsi="宋体"/>
          <w:color w:val="auto"/>
          <w:spacing w:val="0"/>
          <w:position w:val="0"/>
          <w:sz w:val="44"/>
          <w:szCs w:val="44"/>
          <w:highlight w:val="none"/>
          <w:lang w:eastAsia="zh-CN"/>
        </w:rPr>
        <w:t>应</w:t>
      </w:r>
      <w:r>
        <w:rPr>
          <w:rFonts w:hint="eastAsia" w:ascii="宋体" w:hAnsi="宋体"/>
          <w:color w:val="auto"/>
          <w:spacing w:val="0"/>
          <w:position w:val="0"/>
          <w:sz w:val="44"/>
          <w:szCs w:val="44"/>
          <w:highlight w:val="none"/>
        </w:rPr>
        <w:t xml:space="preserve"> 文 件</w:t>
      </w:r>
    </w:p>
    <w:p w14:paraId="31D6523A">
      <w:pPr>
        <w:snapToGrid w:val="0"/>
        <w:spacing w:before="156" w:beforeLines="50" w:after="50"/>
        <w:rPr>
          <w:rFonts w:hint="eastAsia" w:ascii="宋体" w:hAnsi="宋体"/>
          <w:color w:val="auto"/>
          <w:spacing w:val="0"/>
          <w:position w:val="0"/>
          <w:sz w:val="24"/>
          <w:szCs w:val="20"/>
          <w:highlight w:val="none"/>
        </w:rPr>
      </w:pPr>
    </w:p>
    <w:p w14:paraId="2AA51D08">
      <w:pPr>
        <w:snapToGrid w:val="0"/>
        <w:spacing w:before="156" w:beforeLines="50" w:after="50"/>
        <w:rPr>
          <w:rFonts w:hint="eastAsia" w:ascii="宋体" w:hAnsi="宋体"/>
          <w:color w:val="auto"/>
          <w:spacing w:val="0"/>
          <w:position w:val="0"/>
          <w:sz w:val="24"/>
          <w:szCs w:val="20"/>
          <w:highlight w:val="none"/>
        </w:rPr>
      </w:pPr>
    </w:p>
    <w:p w14:paraId="64C4DD79">
      <w:pPr>
        <w:snapToGrid w:val="0"/>
        <w:spacing w:before="156" w:beforeLines="50" w:after="50"/>
        <w:jc w:val="center"/>
        <w:rPr>
          <w:rFonts w:hint="eastAsia" w:ascii="方正小标宋简体" w:hAnsi="方正小标宋简体" w:eastAsia="方正小标宋简体" w:cs="方正小标宋简体"/>
          <w:bCs/>
          <w:color w:val="auto"/>
          <w:spacing w:val="0"/>
          <w:position w:val="0"/>
          <w:sz w:val="44"/>
          <w:szCs w:val="44"/>
          <w:highlight w:val="none"/>
        </w:rPr>
      </w:pPr>
      <w:r>
        <w:rPr>
          <w:rFonts w:hint="eastAsia" w:ascii="方正小标宋简体" w:hAnsi="方正小标宋简体" w:eastAsia="方正小标宋简体" w:cs="方正小标宋简体"/>
          <w:bCs/>
          <w:color w:val="auto"/>
          <w:spacing w:val="0"/>
          <w:position w:val="0"/>
          <w:sz w:val="44"/>
          <w:szCs w:val="44"/>
          <w:highlight w:val="none"/>
        </w:rPr>
        <w:t>商  务  技  术  文  件</w:t>
      </w:r>
    </w:p>
    <w:p w14:paraId="7BCFFA80">
      <w:pPr>
        <w:snapToGrid w:val="0"/>
        <w:spacing w:before="156" w:beforeLines="50" w:after="50"/>
        <w:rPr>
          <w:rFonts w:hint="eastAsia" w:ascii="宋体" w:hAnsi="宋体"/>
          <w:bCs/>
          <w:color w:val="auto"/>
          <w:spacing w:val="0"/>
          <w:position w:val="0"/>
          <w:sz w:val="24"/>
          <w:szCs w:val="20"/>
          <w:highlight w:val="none"/>
        </w:rPr>
      </w:pPr>
    </w:p>
    <w:p w14:paraId="17DC23A1">
      <w:pPr>
        <w:snapToGrid w:val="0"/>
        <w:spacing w:before="156" w:beforeLines="50" w:after="50"/>
        <w:rPr>
          <w:rFonts w:hint="eastAsia" w:ascii="宋体" w:hAnsi="宋体"/>
          <w:bCs/>
          <w:color w:val="auto"/>
          <w:spacing w:val="0"/>
          <w:position w:val="0"/>
          <w:sz w:val="24"/>
          <w:szCs w:val="20"/>
          <w:highlight w:val="none"/>
        </w:rPr>
      </w:pPr>
    </w:p>
    <w:p w14:paraId="49DEEB0D">
      <w:pPr>
        <w:snapToGrid w:val="0"/>
        <w:spacing w:before="156" w:beforeLines="50" w:after="50"/>
        <w:rPr>
          <w:rFonts w:hint="eastAsia" w:ascii="宋体" w:hAnsi="宋体"/>
          <w:bCs/>
          <w:color w:val="auto"/>
          <w:spacing w:val="0"/>
          <w:position w:val="0"/>
          <w:sz w:val="24"/>
          <w:szCs w:val="20"/>
          <w:highlight w:val="none"/>
        </w:rPr>
      </w:pPr>
    </w:p>
    <w:p w14:paraId="63D72A8D">
      <w:pPr>
        <w:snapToGrid w:val="0"/>
        <w:spacing w:before="156" w:beforeLines="50" w:after="50"/>
        <w:rPr>
          <w:rFonts w:hint="eastAsia" w:ascii="宋体" w:hAnsi="宋体"/>
          <w:bCs/>
          <w:color w:val="auto"/>
          <w:spacing w:val="0"/>
          <w:position w:val="0"/>
          <w:sz w:val="24"/>
          <w:szCs w:val="20"/>
          <w:highlight w:val="none"/>
        </w:rPr>
      </w:pPr>
    </w:p>
    <w:p w14:paraId="6E6B2B6D">
      <w:pPr>
        <w:snapToGrid w:val="0"/>
        <w:spacing w:before="156" w:beforeLines="50" w:after="50"/>
        <w:ind w:firstLine="640" w:firstLineChars="200"/>
        <w:rPr>
          <w:rFonts w:hint="eastAsia" w:ascii="宋体" w:hAnsi="宋体" w:cs="仿宋_GB2312"/>
          <w:bCs/>
          <w:color w:val="auto"/>
          <w:spacing w:val="0"/>
          <w:position w:val="0"/>
          <w:sz w:val="32"/>
          <w:szCs w:val="32"/>
          <w:highlight w:val="none"/>
        </w:rPr>
      </w:pPr>
      <w:r>
        <w:rPr>
          <w:rFonts w:hint="eastAsia" w:ascii="宋体" w:hAnsi="宋体" w:cs="仿宋_GB2312"/>
          <w:bCs/>
          <w:color w:val="auto"/>
          <w:spacing w:val="0"/>
          <w:position w:val="0"/>
          <w:sz w:val="32"/>
          <w:szCs w:val="32"/>
          <w:highlight w:val="none"/>
        </w:rPr>
        <w:t>项目名称：</w:t>
      </w:r>
    </w:p>
    <w:p w14:paraId="1B381BDC">
      <w:pPr>
        <w:snapToGrid w:val="0"/>
        <w:spacing w:before="156" w:beforeLines="50" w:after="50"/>
        <w:ind w:firstLine="720" w:firstLineChars="225"/>
        <w:rPr>
          <w:rFonts w:hint="eastAsia" w:ascii="宋体" w:hAnsi="宋体" w:cs="仿宋_GB2312"/>
          <w:bCs/>
          <w:color w:val="auto"/>
          <w:spacing w:val="0"/>
          <w:position w:val="0"/>
          <w:sz w:val="32"/>
          <w:szCs w:val="32"/>
          <w:highlight w:val="none"/>
        </w:rPr>
      </w:pPr>
    </w:p>
    <w:p w14:paraId="5A9F5CC5">
      <w:pPr>
        <w:snapToGrid w:val="0"/>
        <w:spacing w:before="156" w:beforeLines="50" w:after="50"/>
        <w:ind w:firstLine="640" w:firstLineChars="200"/>
        <w:rPr>
          <w:rFonts w:hint="eastAsia" w:ascii="宋体" w:hAnsi="宋体" w:cs="仿宋_GB2312"/>
          <w:bCs/>
          <w:color w:val="auto"/>
          <w:spacing w:val="0"/>
          <w:position w:val="0"/>
          <w:sz w:val="32"/>
          <w:szCs w:val="32"/>
          <w:highlight w:val="none"/>
        </w:rPr>
      </w:pPr>
      <w:r>
        <w:rPr>
          <w:rFonts w:hint="eastAsia" w:ascii="宋体" w:hAnsi="宋体" w:cs="仿宋_GB2312"/>
          <w:bCs/>
          <w:color w:val="auto"/>
          <w:spacing w:val="0"/>
          <w:position w:val="0"/>
          <w:sz w:val="32"/>
          <w:szCs w:val="32"/>
          <w:highlight w:val="none"/>
        </w:rPr>
        <w:t>项目编号：</w:t>
      </w:r>
    </w:p>
    <w:p w14:paraId="026D82C5">
      <w:pPr>
        <w:snapToGrid w:val="0"/>
        <w:spacing w:before="156" w:beforeLines="50" w:after="50"/>
        <w:ind w:firstLine="720" w:firstLineChars="225"/>
        <w:rPr>
          <w:rFonts w:hint="eastAsia" w:ascii="宋体" w:hAnsi="宋体" w:cs="仿宋_GB2312"/>
          <w:bCs/>
          <w:color w:val="auto"/>
          <w:spacing w:val="0"/>
          <w:position w:val="0"/>
          <w:sz w:val="32"/>
          <w:szCs w:val="32"/>
          <w:highlight w:val="none"/>
        </w:rPr>
      </w:pPr>
      <w:r>
        <w:rPr>
          <w:rFonts w:hint="eastAsia" w:ascii="宋体" w:hAnsi="宋体" w:cs="仿宋_GB2312"/>
          <w:bCs/>
          <w:color w:val="auto"/>
          <w:spacing w:val="0"/>
          <w:position w:val="0"/>
          <w:sz w:val="32"/>
          <w:szCs w:val="32"/>
          <w:highlight w:val="none"/>
        </w:rPr>
        <w:t xml:space="preserve"> </w:t>
      </w:r>
    </w:p>
    <w:p w14:paraId="27A7A173">
      <w:pPr>
        <w:pStyle w:val="8"/>
        <w:snapToGrid w:val="0"/>
        <w:spacing w:before="50" w:after="50"/>
        <w:rPr>
          <w:rFonts w:hint="eastAsia" w:ascii="宋体" w:hAnsi="宋体" w:cs="仿宋_GB2312"/>
          <w:bCs/>
          <w:color w:val="auto"/>
          <w:spacing w:val="0"/>
          <w:position w:val="0"/>
          <w:sz w:val="32"/>
          <w:szCs w:val="32"/>
          <w:highlight w:val="none"/>
        </w:rPr>
      </w:pPr>
      <w:r>
        <w:rPr>
          <w:rFonts w:hint="eastAsia" w:ascii="宋体" w:hAnsi="宋体" w:cs="仿宋_GB2312"/>
          <w:bCs/>
          <w:color w:val="auto"/>
          <w:spacing w:val="0"/>
          <w:position w:val="0"/>
          <w:sz w:val="32"/>
          <w:szCs w:val="32"/>
          <w:highlight w:val="none"/>
        </w:rPr>
        <w:t>供应商名称：</w:t>
      </w:r>
    </w:p>
    <w:p w14:paraId="1EA428B0">
      <w:pPr>
        <w:pStyle w:val="8"/>
        <w:snapToGrid w:val="0"/>
        <w:spacing w:before="50" w:after="50"/>
        <w:rPr>
          <w:rFonts w:hint="eastAsia" w:ascii="宋体" w:hAnsi="宋体" w:cs="仿宋_GB2312"/>
          <w:bCs/>
          <w:color w:val="auto"/>
          <w:spacing w:val="0"/>
          <w:position w:val="0"/>
          <w:sz w:val="32"/>
          <w:szCs w:val="32"/>
          <w:highlight w:val="none"/>
        </w:rPr>
      </w:pPr>
    </w:p>
    <w:p w14:paraId="297673D9">
      <w:pPr>
        <w:pStyle w:val="8"/>
        <w:snapToGrid w:val="0"/>
        <w:spacing w:before="50" w:after="50"/>
        <w:rPr>
          <w:rFonts w:hint="eastAsia" w:ascii="宋体" w:hAnsi="宋体" w:eastAsia="宋体" w:cs="仿宋_GB2312"/>
          <w:bCs/>
          <w:color w:val="auto"/>
          <w:spacing w:val="0"/>
          <w:position w:val="0"/>
          <w:sz w:val="32"/>
          <w:szCs w:val="32"/>
          <w:highlight w:val="none"/>
          <w:lang w:eastAsia="zh-CN"/>
        </w:rPr>
      </w:pPr>
      <w:r>
        <w:rPr>
          <w:rFonts w:hint="eastAsia" w:ascii="宋体" w:hAnsi="宋体" w:cs="仿宋_GB2312"/>
          <w:bCs/>
          <w:color w:val="auto"/>
          <w:spacing w:val="0"/>
          <w:position w:val="0"/>
          <w:sz w:val="32"/>
          <w:szCs w:val="32"/>
          <w:highlight w:val="none"/>
          <w:lang w:eastAsia="zh-CN"/>
        </w:rPr>
        <w:t>供应商地址：</w:t>
      </w:r>
    </w:p>
    <w:p w14:paraId="0975DFA8">
      <w:pPr>
        <w:pStyle w:val="8"/>
        <w:snapToGrid w:val="0"/>
        <w:spacing w:before="50" w:after="50"/>
        <w:ind w:firstLine="640" w:firstLineChars="200"/>
        <w:rPr>
          <w:rFonts w:hint="eastAsia" w:ascii="宋体" w:hAnsi="宋体" w:cs="仿宋_GB2312"/>
          <w:bCs/>
          <w:color w:val="auto"/>
          <w:spacing w:val="0"/>
          <w:position w:val="0"/>
          <w:sz w:val="32"/>
          <w:szCs w:val="32"/>
          <w:highlight w:val="none"/>
        </w:rPr>
      </w:pPr>
    </w:p>
    <w:p w14:paraId="1E7BFAC3">
      <w:pPr>
        <w:pStyle w:val="8"/>
        <w:snapToGrid w:val="0"/>
        <w:spacing w:before="50" w:after="50"/>
        <w:ind w:firstLine="720" w:firstLineChars="225"/>
        <w:rPr>
          <w:rFonts w:hint="eastAsia" w:ascii="宋体" w:hAnsi="宋体" w:cs="仿宋_GB2312"/>
          <w:bCs/>
          <w:color w:val="auto"/>
          <w:spacing w:val="0"/>
          <w:position w:val="0"/>
          <w:sz w:val="32"/>
          <w:szCs w:val="32"/>
          <w:highlight w:val="none"/>
        </w:rPr>
      </w:pPr>
    </w:p>
    <w:p w14:paraId="6896155E">
      <w:pPr>
        <w:pStyle w:val="8"/>
        <w:snapToGrid w:val="0"/>
        <w:spacing w:before="50" w:after="50"/>
        <w:ind w:firstLine="1280" w:firstLineChars="400"/>
        <w:rPr>
          <w:rFonts w:hint="eastAsia" w:ascii="宋体" w:hAnsi="宋体" w:cs="仿宋_GB2312"/>
          <w:bCs/>
          <w:color w:val="auto"/>
          <w:spacing w:val="0"/>
          <w:position w:val="0"/>
          <w:sz w:val="32"/>
          <w:szCs w:val="32"/>
          <w:highlight w:val="none"/>
        </w:rPr>
      </w:pPr>
    </w:p>
    <w:p w14:paraId="26E8F477">
      <w:pPr>
        <w:snapToGrid w:val="0"/>
        <w:spacing w:before="156" w:beforeLines="50" w:after="50"/>
        <w:jc w:val="center"/>
        <w:rPr>
          <w:rFonts w:hint="eastAsia" w:ascii="宋体" w:hAnsi="宋体" w:cs="仿宋_GB2312"/>
          <w:color w:val="auto"/>
          <w:spacing w:val="0"/>
          <w:position w:val="0"/>
          <w:sz w:val="32"/>
          <w:szCs w:val="32"/>
          <w:highlight w:val="none"/>
        </w:rPr>
      </w:pPr>
      <w:r>
        <w:rPr>
          <w:rFonts w:hint="eastAsia" w:ascii="宋体" w:hAnsi="宋体" w:cs="仿宋_GB2312"/>
          <w:color w:val="auto"/>
          <w:spacing w:val="0"/>
          <w:position w:val="0"/>
          <w:sz w:val="32"/>
          <w:szCs w:val="32"/>
          <w:highlight w:val="none"/>
        </w:rPr>
        <w:t>年    月    日</w:t>
      </w:r>
    </w:p>
    <w:p w14:paraId="32B7327C">
      <w:pPr>
        <w:snapToGrid w:val="0"/>
        <w:spacing w:before="156" w:beforeLines="50" w:after="50" w:line="360" w:lineRule="auto"/>
        <w:ind w:right="480" w:firstLine="240" w:firstLineChars="100"/>
        <w:jc w:val="left"/>
        <w:rPr>
          <w:rFonts w:hint="eastAsia" w:ascii="宋体" w:hAnsi="宋体"/>
          <w:b/>
          <w:bCs/>
          <w:color w:val="auto"/>
          <w:spacing w:val="0"/>
          <w:position w:val="0"/>
          <w:sz w:val="24"/>
          <w:highlight w:val="none"/>
        </w:rPr>
      </w:pPr>
      <w:r>
        <w:rPr>
          <w:rFonts w:ascii="宋体" w:hAnsi="宋体"/>
          <w:color w:val="auto"/>
          <w:spacing w:val="0"/>
          <w:position w:val="0"/>
          <w:sz w:val="24"/>
          <w:highlight w:val="none"/>
        </w:rPr>
        <w:br w:type="page"/>
      </w:r>
      <w:r>
        <w:rPr>
          <w:rFonts w:hint="eastAsia" w:ascii="宋体" w:hAnsi="宋体"/>
          <w:b/>
          <w:bCs/>
          <w:color w:val="auto"/>
          <w:spacing w:val="0"/>
          <w:position w:val="0"/>
          <w:sz w:val="32"/>
          <w:szCs w:val="32"/>
          <w:highlight w:val="none"/>
        </w:rPr>
        <w:t>2.商务技术文件目录</w:t>
      </w:r>
    </w:p>
    <w:p w14:paraId="40FE48A4">
      <w:pPr>
        <w:snapToGrid w:val="0"/>
        <w:spacing w:before="156" w:beforeLines="50" w:after="50" w:line="360" w:lineRule="auto"/>
        <w:ind w:firstLine="640" w:firstLineChars="200"/>
        <w:rPr>
          <w:rFonts w:ascii="宋体" w:hAnsi="宋体"/>
          <w:color w:val="auto"/>
          <w:spacing w:val="0"/>
          <w:position w:val="0"/>
          <w:sz w:val="32"/>
          <w:szCs w:val="32"/>
          <w:highlight w:val="none"/>
        </w:rPr>
      </w:pPr>
      <w:r>
        <w:rPr>
          <w:rFonts w:hint="eastAsia" w:ascii="宋体" w:hAnsi="宋体"/>
          <w:color w:val="auto"/>
          <w:spacing w:val="0"/>
          <w:position w:val="0"/>
          <w:sz w:val="32"/>
          <w:szCs w:val="32"/>
          <w:highlight w:val="none"/>
        </w:rPr>
        <w:t>根据磋商文件规定及供应商提供的材料自行编写目录（部分格式后附）。</w:t>
      </w:r>
    </w:p>
    <w:p w14:paraId="5AD5BA8C">
      <w:pPr>
        <w:spacing w:line="400" w:lineRule="exact"/>
        <w:rPr>
          <w:rFonts w:hint="eastAsia" w:ascii="仿宋_GB2312" w:hAnsi="仿宋_GB2312" w:eastAsia="仿宋_GB2312" w:cs="仿宋_GB2312"/>
          <w:color w:val="auto"/>
          <w:spacing w:val="0"/>
          <w:position w:val="0"/>
          <w:sz w:val="32"/>
          <w:szCs w:val="32"/>
          <w:highlight w:val="none"/>
        </w:rPr>
      </w:pPr>
    </w:p>
    <w:p w14:paraId="6308C27E">
      <w:pPr>
        <w:spacing w:line="520" w:lineRule="exact"/>
        <w:jc w:val="center"/>
        <w:rPr>
          <w:rFonts w:hint="eastAsia" w:ascii="仿宋_GB2312" w:hAnsi="仿宋_GB2312" w:eastAsia="方正小标宋简体" w:cs="仿宋_GB2312"/>
          <w:color w:val="auto"/>
          <w:spacing w:val="0"/>
          <w:position w:val="0"/>
          <w:sz w:val="24"/>
          <w:szCs w:val="24"/>
          <w:highlight w:val="none"/>
          <w:lang w:eastAsia="zh-CN"/>
        </w:rPr>
      </w:pPr>
      <w:r>
        <w:rPr>
          <w:rFonts w:hint="eastAsia" w:ascii="方正小标宋简体" w:hAnsi="方正小标宋简体" w:eastAsia="方正小标宋简体" w:cs="方正小标宋简体"/>
          <w:color w:val="auto"/>
          <w:spacing w:val="0"/>
          <w:position w:val="0"/>
          <w:sz w:val="44"/>
          <w:szCs w:val="44"/>
          <w:highlight w:val="none"/>
        </w:rPr>
        <w:br w:type="page"/>
      </w:r>
      <w:r>
        <w:rPr>
          <w:rFonts w:hint="eastAsia" w:ascii="方正小标宋简体" w:hAnsi="方正小标宋简体" w:eastAsia="方正小标宋简体" w:cs="方正小标宋简体"/>
          <w:color w:val="auto"/>
          <w:spacing w:val="0"/>
          <w:position w:val="0"/>
          <w:sz w:val="36"/>
          <w:szCs w:val="36"/>
          <w:highlight w:val="none"/>
        </w:rPr>
        <w:t>无串通竞标行为的承诺函</w:t>
      </w:r>
      <w:r>
        <w:rPr>
          <w:rFonts w:hint="eastAsia" w:ascii="方正小标宋简体" w:hAnsi="方正小标宋简体" w:eastAsia="方正小标宋简体" w:cs="方正小标宋简体"/>
          <w:color w:val="auto"/>
          <w:spacing w:val="0"/>
          <w:position w:val="0"/>
          <w:sz w:val="36"/>
          <w:szCs w:val="36"/>
          <w:highlight w:val="none"/>
          <w:lang w:eastAsia="zh-CN"/>
        </w:rPr>
        <w:t>（格式）</w:t>
      </w:r>
    </w:p>
    <w:p w14:paraId="6C6ADD6A">
      <w:pPr>
        <w:spacing w:line="360" w:lineRule="auto"/>
        <w:ind w:firstLine="640" w:firstLineChars="200"/>
        <w:contextualSpacing/>
        <w:rPr>
          <w:rFonts w:hint="eastAsia" w:ascii="仿宋_GB2312" w:hAnsi="仿宋_GB2312" w:eastAsia="仿宋_GB2312" w:cs="仿宋_GB2312"/>
          <w:color w:val="auto"/>
          <w:spacing w:val="0"/>
          <w:position w:val="0"/>
          <w:sz w:val="32"/>
          <w:szCs w:val="32"/>
          <w:highlight w:val="none"/>
        </w:rPr>
      </w:pPr>
    </w:p>
    <w:p w14:paraId="045C1F4F">
      <w:pPr>
        <w:spacing w:line="360" w:lineRule="auto"/>
        <w:ind w:firstLine="482" w:firstLineChars="200"/>
        <w:contextualSpacing/>
        <w:rPr>
          <w:rFonts w:hint="eastAsia" w:ascii="宋体" w:hAnsi="宋体" w:cs="仿宋_GB2312"/>
          <w:b/>
          <w:bCs/>
          <w:color w:val="auto"/>
          <w:spacing w:val="0"/>
          <w:position w:val="0"/>
          <w:sz w:val="24"/>
          <w:highlight w:val="none"/>
        </w:rPr>
      </w:pPr>
      <w:r>
        <w:rPr>
          <w:rFonts w:hint="eastAsia" w:ascii="宋体" w:hAnsi="宋体" w:cs="仿宋_GB2312"/>
          <w:b/>
          <w:bCs/>
          <w:color w:val="auto"/>
          <w:spacing w:val="0"/>
          <w:position w:val="0"/>
          <w:sz w:val="24"/>
          <w:highlight w:val="none"/>
        </w:rPr>
        <w:t>一、我方承诺无下列相互串通竞标的情形：</w:t>
      </w:r>
    </w:p>
    <w:p w14:paraId="178A3BFB">
      <w:pPr>
        <w:spacing w:line="360" w:lineRule="auto"/>
        <w:ind w:firstLine="480" w:firstLineChars="2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 xml:space="preserve">1.不同供应商的响应文件由同一单位或者个人编制； </w:t>
      </w:r>
    </w:p>
    <w:p w14:paraId="55D6C387">
      <w:pPr>
        <w:spacing w:line="360" w:lineRule="auto"/>
        <w:ind w:firstLine="480" w:firstLineChars="2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2.不同供应商委托同一单位或者个人办理竞标事宜；</w:t>
      </w:r>
    </w:p>
    <w:p w14:paraId="34CEC555">
      <w:pPr>
        <w:spacing w:line="360" w:lineRule="auto"/>
        <w:ind w:firstLine="480" w:firstLineChars="2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3.不同供应商的响应文件载明的项目管理员为同一个人；</w:t>
      </w:r>
    </w:p>
    <w:p w14:paraId="111633E0">
      <w:pPr>
        <w:spacing w:line="360" w:lineRule="auto"/>
        <w:ind w:firstLine="480" w:firstLineChars="2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4.不同供应商的响应文件异常一致或者竞标报价呈规律性差异；</w:t>
      </w:r>
    </w:p>
    <w:p w14:paraId="342BE5BC">
      <w:pPr>
        <w:spacing w:line="360" w:lineRule="auto"/>
        <w:ind w:firstLine="480" w:firstLineChars="2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5.不同供应商的响应文件相互混装；</w:t>
      </w:r>
    </w:p>
    <w:p w14:paraId="6FA757CD">
      <w:pPr>
        <w:spacing w:line="360" w:lineRule="auto"/>
        <w:ind w:firstLine="480" w:firstLineChars="2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6.不同供应商的磋商保证金从同一单位或者个人账户转出。</w:t>
      </w:r>
    </w:p>
    <w:p w14:paraId="7119AC6E">
      <w:pPr>
        <w:spacing w:line="360" w:lineRule="auto"/>
        <w:ind w:firstLine="482" w:firstLineChars="200"/>
        <w:contextualSpacing/>
        <w:rPr>
          <w:rFonts w:hint="eastAsia" w:ascii="宋体" w:hAnsi="宋体" w:cs="仿宋_GB2312"/>
          <w:b/>
          <w:bCs/>
          <w:color w:val="auto"/>
          <w:spacing w:val="0"/>
          <w:position w:val="0"/>
          <w:sz w:val="24"/>
          <w:highlight w:val="none"/>
        </w:rPr>
      </w:pPr>
      <w:r>
        <w:rPr>
          <w:rFonts w:hint="eastAsia" w:ascii="宋体" w:hAnsi="宋体" w:cs="仿宋_GB2312"/>
          <w:b/>
          <w:bCs/>
          <w:color w:val="auto"/>
          <w:spacing w:val="0"/>
          <w:position w:val="0"/>
          <w:sz w:val="24"/>
          <w:highlight w:val="none"/>
        </w:rPr>
        <w:t>二、我方承诺无下列恶意串通的情形：</w:t>
      </w:r>
    </w:p>
    <w:p w14:paraId="1251D475">
      <w:pPr>
        <w:spacing w:line="360" w:lineRule="auto"/>
        <w:ind w:firstLine="480" w:firstLineChars="2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1.供应商直接或者间接从采购人或者采购代理机构处获得其他供应商的相关信息并修改其响应文件；</w:t>
      </w:r>
    </w:p>
    <w:p w14:paraId="42011CBA">
      <w:pPr>
        <w:spacing w:line="360" w:lineRule="auto"/>
        <w:ind w:firstLine="480" w:firstLineChars="2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2.供应商按照采购人或者采购代理机构的授意撤换、修改响应文件；</w:t>
      </w:r>
    </w:p>
    <w:p w14:paraId="6404582C">
      <w:pPr>
        <w:spacing w:line="360" w:lineRule="auto"/>
        <w:ind w:firstLine="480" w:firstLineChars="2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3.供应商之间协商报价、技术方案等响应文件的实质性内容；</w:t>
      </w:r>
    </w:p>
    <w:p w14:paraId="2EFD411F">
      <w:pPr>
        <w:spacing w:line="360" w:lineRule="auto"/>
        <w:ind w:firstLine="480" w:firstLineChars="2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4.属于同一集团、协会、商会等组织成员的供应商按照该组织要求协同参加政府采购活动；</w:t>
      </w:r>
    </w:p>
    <w:p w14:paraId="1B102CF1">
      <w:pPr>
        <w:spacing w:line="360" w:lineRule="auto"/>
        <w:ind w:firstLine="480" w:firstLineChars="2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5.供应商之间事先约定一致抬高或者压低竞标报价，或者在竞争性磋商项目中事先约定轮流以高价位或者低价位成交，或者事先约定由某一特定供应商成交，然后再参加竞标；</w:t>
      </w:r>
    </w:p>
    <w:p w14:paraId="1EED807B">
      <w:pPr>
        <w:spacing w:line="360" w:lineRule="auto"/>
        <w:ind w:firstLine="480" w:firstLineChars="2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6.供应商之间商定部分供应商放弃参加政府采购活动或者放弃成交；</w:t>
      </w:r>
    </w:p>
    <w:p w14:paraId="2E948E71">
      <w:pPr>
        <w:spacing w:line="360" w:lineRule="auto"/>
        <w:ind w:firstLine="480" w:firstLineChars="2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7.供应商与采购人或者采购代理机构之间、供应商相互之间，为谋求特定供应商成交或者排斥其他供应商的其他串通行为。</w:t>
      </w:r>
    </w:p>
    <w:p w14:paraId="68C60779">
      <w:pPr>
        <w:spacing w:line="360" w:lineRule="auto"/>
        <w:ind w:firstLine="480" w:firstLineChars="200"/>
        <w:contextualSpacing/>
        <w:rPr>
          <w:rFonts w:hint="eastAsia" w:ascii="宋体" w:hAnsi="宋体" w:cs="仿宋_GB2312"/>
          <w:color w:val="auto"/>
          <w:spacing w:val="0"/>
          <w:position w:val="0"/>
          <w:sz w:val="24"/>
          <w:highlight w:val="none"/>
        </w:rPr>
      </w:pPr>
    </w:p>
    <w:p w14:paraId="546947B7">
      <w:pPr>
        <w:spacing w:line="360" w:lineRule="auto"/>
        <w:ind w:firstLine="482" w:firstLineChars="200"/>
        <w:contextualSpacing/>
        <w:rPr>
          <w:rFonts w:hint="eastAsia" w:ascii="宋体" w:hAnsi="宋体" w:cs="仿宋_GB2312"/>
          <w:b/>
          <w:bCs/>
          <w:color w:val="auto"/>
          <w:spacing w:val="0"/>
          <w:position w:val="0"/>
          <w:sz w:val="24"/>
          <w:highlight w:val="none"/>
        </w:rPr>
      </w:pPr>
      <w:r>
        <w:rPr>
          <w:rFonts w:hint="eastAsia" w:ascii="宋体" w:hAnsi="宋体" w:cs="仿宋_GB2312"/>
          <w:b/>
          <w:bCs/>
          <w:color w:val="auto"/>
          <w:spacing w:val="0"/>
          <w:position w:val="0"/>
          <w:sz w:val="24"/>
          <w:highlight w:val="none"/>
        </w:rPr>
        <w:t>以上情形一经核查属实，我方愿意承担一切后果，并不再寻求任何旨在减轻或者免除法律责任的辩解。</w:t>
      </w:r>
    </w:p>
    <w:p w14:paraId="60CE3286">
      <w:pPr>
        <w:spacing w:line="360" w:lineRule="auto"/>
        <w:contextualSpacing/>
        <w:rPr>
          <w:rFonts w:hint="eastAsia" w:ascii="宋体" w:hAnsi="宋体" w:cs="仿宋_GB2312"/>
          <w:color w:val="auto"/>
          <w:spacing w:val="0"/>
          <w:position w:val="0"/>
          <w:sz w:val="24"/>
          <w:highlight w:val="none"/>
        </w:rPr>
      </w:pPr>
    </w:p>
    <w:p w14:paraId="105ECDFF">
      <w:pPr>
        <w:spacing w:line="360" w:lineRule="auto"/>
        <w:contextualSpacing/>
        <w:rPr>
          <w:rFonts w:hint="eastAsia" w:ascii="宋体" w:hAnsi="宋体" w:cs="仿宋_GB2312"/>
          <w:color w:val="auto"/>
          <w:spacing w:val="0"/>
          <w:position w:val="0"/>
          <w:sz w:val="24"/>
          <w:highlight w:val="none"/>
        </w:rPr>
      </w:pPr>
    </w:p>
    <w:p w14:paraId="2754B1DD">
      <w:pPr>
        <w:spacing w:line="360" w:lineRule="auto"/>
        <w:ind w:firstLine="3600" w:firstLineChars="15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供应商（电子签章）：</w:t>
      </w:r>
    </w:p>
    <w:p w14:paraId="76251AC0">
      <w:pPr>
        <w:spacing w:line="360" w:lineRule="auto"/>
        <w:ind w:firstLine="480" w:firstLineChars="200"/>
        <w:contextualSpacing/>
        <w:jc w:val="center"/>
        <w:rPr>
          <w:rFonts w:hint="eastAsia" w:ascii="仿宋_GB2312" w:hAnsi="仿宋_GB2312" w:eastAsia="仿宋_GB2312" w:cs="仿宋_GB2312"/>
          <w:color w:val="auto"/>
          <w:spacing w:val="0"/>
          <w:position w:val="0"/>
          <w:sz w:val="32"/>
          <w:szCs w:val="32"/>
          <w:highlight w:val="none"/>
        </w:rPr>
      </w:pPr>
      <w:r>
        <w:rPr>
          <w:rFonts w:hint="eastAsia" w:ascii="宋体" w:hAnsi="宋体" w:cs="仿宋_GB2312"/>
          <w:color w:val="auto"/>
          <w:spacing w:val="0"/>
          <w:position w:val="0"/>
          <w:sz w:val="24"/>
          <w:highlight w:val="none"/>
        </w:rPr>
        <w:t xml:space="preserve">                               年   月   日</w:t>
      </w:r>
    </w:p>
    <w:p w14:paraId="5FFDAC9E">
      <w:pPr>
        <w:spacing w:line="520" w:lineRule="exact"/>
        <w:jc w:val="center"/>
        <w:rPr>
          <w:rFonts w:hint="eastAsia" w:ascii="仿宋_GB2312" w:hAnsi="仿宋_GB2312" w:eastAsia="仿宋_GB2312" w:cs="仿宋_GB2312"/>
          <w:color w:val="auto"/>
          <w:spacing w:val="0"/>
          <w:position w:val="0"/>
          <w:sz w:val="32"/>
          <w:szCs w:val="32"/>
          <w:highlight w:val="none"/>
        </w:rPr>
      </w:pPr>
      <w:r>
        <w:rPr>
          <w:rFonts w:hint="eastAsia" w:ascii="方正小标宋简体" w:hAnsi="方正小标宋简体" w:eastAsia="方正小标宋简体" w:cs="方正小标宋简体"/>
          <w:bCs/>
          <w:color w:val="auto"/>
          <w:spacing w:val="0"/>
          <w:position w:val="0"/>
          <w:sz w:val="44"/>
          <w:szCs w:val="44"/>
          <w:highlight w:val="none"/>
        </w:rPr>
        <w:br w:type="page"/>
      </w:r>
      <w:r>
        <w:rPr>
          <w:rFonts w:hint="eastAsia" w:ascii="方正小标宋简体" w:hAnsi="方正小标宋简体" w:eastAsia="方正小标宋简体" w:cs="方正小标宋简体"/>
          <w:bCs/>
          <w:color w:val="auto"/>
          <w:spacing w:val="0"/>
          <w:position w:val="0"/>
          <w:sz w:val="44"/>
          <w:szCs w:val="44"/>
          <w:highlight w:val="none"/>
        </w:rPr>
        <w:t>法定代表人证明书</w:t>
      </w:r>
    </w:p>
    <w:p w14:paraId="20A52E56">
      <w:pPr>
        <w:spacing w:line="360" w:lineRule="auto"/>
        <w:ind w:left="540"/>
        <w:contextualSpacing/>
        <w:rPr>
          <w:rFonts w:hint="eastAsia" w:ascii="仿宋_GB2312" w:hAnsi="仿宋_GB2312" w:eastAsia="仿宋_GB2312" w:cs="仿宋_GB2312"/>
          <w:color w:val="auto"/>
          <w:spacing w:val="0"/>
          <w:position w:val="0"/>
          <w:sz w:val="32"/>
          <w:szCs w:val="32"/>
          <w:highlight w:val="none"/>
        </w:rPr>
      </w:pPr>
    </w:p>
    <w:p w14:paraId="18827A46">
      <w:pPr>
        <w:spacing w:line="360" w:lineRule="auto"/>
        <w:ind w:left="54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供应商名称：</w:t>
      </w:r>
      <w:r>
        <w:rPr>
          <w:rFonts w:hint="eastAsia" w:ascii="宋体" w:hAnsi="宋体" w:cs="仿宋_GB2312"/>
          <w:color w:val="auto"/>
          <w:spacing w:val="0"/>
          <w:position w:val="0"/>
          <w:sz w:val="24"/>
          <w:highlight w:val="none"/>
          <w:u w:val="single"/>
        </w:rPr>
        <w:t xml:space="preserve">                                         </w:t>
      </w:r>
    </w:p>
    <w:p w14:paraId="3615B1DB">
      <w:pPr>
        <w:spacing w:line="360" w:lineRule="auto"/>
        <w:ind w:left="54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地    址：</w:t>
      </w:r>
      <w:r>
        <w:rPr>
          <w:rFonts w:hint="eastAsia" w:ascii="宋体" w:hAnsi="宋体" w:cs="仿宋_GB2312"/>
          <w:color w:val="auto"/>
          <w:spacing w:val="0"/>
          <w:position w:val="0"/>
          <w:sz w:val="24"/>
          <w:highlight w:val="none"/>
          <w:u w:val="single"/>
        </w:rPr>
        <w:t xml:space="preserve">                                           </w:t>
      </w:r>
    </w:p>
    <w:p w14:paraId="3C07E8AB">
      <w:pPr>
        <w:spacing w:line="360" w:lineRule="auto"/>
        <w:ind w:left="54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姓    名：</w:t>
      </w:r>
      <w:r>
        <w:rPr>
          <w:rFonts w:hint="eastAsia" w:ascii="宋体" w:hAnsi="宋体" w:cs="仿宋_GB2312"/>
          <w:color w:val="auto"/>
          <w:spacing w:val="0"/>
          <w:position w:val="0"/>
          <w:sz w:val="24"/>
          <w:highlight w:val="none"/>
          <w:u w:val="single"/>
        </w:rPr>
        <w:t xml:space="preserve">                </w:t>
      </w:r>
      <w:r>
        <w:rPr>
          <w:rFonts w:hint="eastAsia" w:ascii="宋体" w:hAnsi="宋体" w:cs="仿宋_GB2312"/>
          <w:color w:val="auto"/>
          <w:spacing w:val="0"/>
          <w:position w:val="0"/>
          <w:sz w:val="24"/>
          <w:highlight w:val="none"/>
        </w:rPr>
        <w:t>性     别：</w:t>
      </w:r>
      <w:r>
        <w:rPr>
          <w:rFonts w:hint="eastAsia" w:ascii="宋体" w:hAnsi="宋体" w:cs="仿宋_GB2312"/>
          <w:color w:val="auto"/>
          <w:spacing w:val="0"/>
          <w:position w:val="0"/>
          <w:sz w:val="24"/>
          <w:highlight w:val="none"/>
          <w:u w:val="single"/>
        </w:rPr>
        <w:t xml:space="preserve">                </w:t>
      </w:r>
    </w:p>
    <w:p w14:paraId="31DA3BC7">
      <w:pPr>
        <w:spacing w:line="360" w:lineRule="auto"/>
        <w:ind w:left="540"/>
        <w:contextualSpacing/>
        <w:rPr>
          <w:rFonts w:hint="eastAsia" w:ascii="宋体" w:hAnsi="宋体" w:cs="仿宋_GB2312"/>
          <w:color w:val="auto"/>
          <w:spacing w:val="0"/>
          <w:position w:val="0"/>
          <w:sz w:val="24"/>
          <w:highlight w:val="none"/>
          <w:u w:val="single"/>
        </w:rPr>
      </w:pPr>
      <w:r>
        <w:rPr>
          <w:rFonts w:hint="eastAsia" w:ascii="宋体" w:hAnsi="宋体" w:cs="仿宋_GB2312"/>
          <w:color w:val="auto"/>
          <w:spacing w:val="0"/>
          <w:position w:val="0"/>
          <w:sz w:val="24"/>
          <w:highlight w:val="none"/>
        </w:rPr>
        <w:t>年    龄：</w:t>
      </w:r>
      <w:r>
        <w:rPr>
          <w:rFonts w:hint="eastAsia" w:ascii="宋体" w:hAnsi="宋体" w:cs="仿宋_GB2312"/>
          <w:color w:val="auto"/>
          <w:spacing w:val="0"/>
          <w:position w:val="0"/>
          <w:sz w:val="24"/>
          <w:highlight w:val="none"/>
          <w:u w:val="single"/>
        </w:rPr>
        <w:t xml:space="preserve">                </w:t>
      </w:r>
      <w:r>
        <w:rPr>
          <w:rFonts w:hint="eastAsia" w:ascii="宋体" w:hAnsi="宋体" w:cs="仿宋_GB2312"/>
          <w:color w:val="auto"/>
          <w:spacing w:val="0"/>
          <w:position w:val="0"/>
          <w:sz w:val="24"/>
          <w:highlight w:val="none"/>
        </w:rPr>
        <w:t>职     务：</w:t>
      </w:r>
      <w:r>
        <w:rPr>
          <w:rFonts w:hint="eastAsia" w:ascii="宋体" w:hAnsi="宋体" w:cs="仿宋_GB2312"/>
          <w:color w:val="auto"/>
          <w:spacing w:val="0"/>
          <w:position w:val="0"/>
          <w:sz w:val="24"/>
          <w:highlight w:val="none"/>
          <w:u w:val="single"/>
        </w:rPr>
        <w:t xml:space="preserve">                </w:t>
      </w:r>
    </w:p>
    <w:p w14:paraId="5E9F552D">
      <w:pPr>
        <w:spacing w:line="360" w:lineRule="auto"/>
        <w:ind w:left="54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身份证号码：</w:t>
      </w:r>
      <w:r>
        <w:rPr>
          <w:rFonts w:hint="eastAsia" w:ascii="宋体" w:hAnsi="宋体" w:cs="仿宋_GB2312"/>
          <w:color w:val="auto"/>
          <w:spacing w:val="0"/>
          <w:position w:val="0"/>
          <w:sz w:val="24"/>
          <w:highlight w:val="none"/>
          <w:u w:val="single"/>
        </w:rPr>
        <w:t xml:space="preserve">                                        </w:t>
      </w:r>
    </w:p>
    <w:p w14:paraId="368D25AB">
      <w:pPr>
        <w:spacing w:line="360" w:lineRule="auto"/>
        <w:ind w:firstLine="480" w:firstLineChars="2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系</w:t>
      </w:r>
      <w:r>
        <w:rPr>
          <w:rFonts w:hint="eastAsia" w:ascii="宋体" w:hAnsi="宋体" w:cs="仿宋_GB2312"/>
          <w:color w:val="auto"/>
          <w:spacing w:val="0"/>
          <w:position w:val="0"/>
          <w:sz w:val="24"/>
          <w:highlight w:val="none"/>
          <w:u w:val="single"/>
        </w:rPr>
        <w:t>（供应商名称）</w:t>
      </w:r>
      <w:r>
        <w:rPr>
          <w:rFonts w:hint="eastAsia" w:ascii="宋体" w:hAnsi="宋体" w:cs="仿宋_GB2312"/>
          <w:color w:val="auto"/>
          <w:spacing w:val="0"/>
          <w:position w:val="0"/>
          <w:sz w:val="24"/>
          <w:highlight w:val="none"/>
        </w:rPr>
        <w:t>的法定代表人。</w:t>
      </w:r>
    </w:p>
    <w:p w14:paraId="2722C2CC">
      <w:pPr>
        <w:spacing w:line="360" w:lineRule="auto"/>
        <w:ind w:left="54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特此证明。</w:t>
      </w:r>
    </w:p>
    <w:p w14:paraId="5B6CDCE0">
      <w:pPr>
        <w:spacing w:line="360" w:lineRule="auto"/>
        <w:ind w:left="540"/>
        <w:contextualSpacing/>
        <w:rPr>
          <w:rFonts w:hint="eastAsia" w:ascii="宋体" w:hAnsi="宋体" w:cs="仿宋_GB2312"/>
          <w:color w:val="auto"/>
          <w:spacing w:val="0"/>
          <w:position w:val="0"/>
          <w:sz w:val="24"/>
          <w:highlight w:val="none"/>
        </w:rPr>
      </w:pPr>
    </w:p>
    <w:p w14:paraId="0AE629DC">
      <w:pPr>
        <w:spacing w:line="360" w:lineRule="auto"/>
        <w:ind w:left="540"/>
        <w:contextualSpacing/>
        <w:rPr>
          <w:rFonts w:hint="eastAsia" w:ascii="宋体" w:hAnsi="宋体" w:cs="仿宋_GB2312"/>
          <w:color w:val="auto"/>
          <w:spacing w:val="0"/>
          <w:position w:val="0"/>
          <w:sz w:val="24"/>
          <w:highlight w:val="none"/>
        </w:rPr>
      </w:pPr>
    </w:p>
    <w:p w14:paraId="6FC59092">
      <w:pPr>
        <w:spacing w:line="360" w:lineRule="auto"/>
        <w:ind w:left="540"/>
        <w:contextualSpacing/>
        <w:rPr>
          <w:rFonts w:hint="eastAsia" w:ascii="宋体" w:hAnsi="宋体" w:cs="仿宋_GB2312"/>
          <w:color w:val="auto"/>
          <w:spacing w:val="0"/>
          <w:position w:val="0"/>
          <w:sz w:val="24"/>
          <w:highlight w:val="none"/>
        </w:rPr>
      </w:pPr>
    </w:p>
    <w:p w14:paraId="43E236BC">
      <w:pPr>
        <w:spacing w:line="360" w:lineRule="auto"/>
        <w:ind w:left="54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附件：法定代表人有效身份证正反面复印件</w:t>
      </w:r>
    </w:p>
    <w:p w14:paraId="6D7CFBF4">
      <w:pPr>
        <w:spacing w:line="360" w:lineRule="auto"/>
        <w:ind w:left="540"/>
        <w:contextualSpacing/>
        <w:rPr>
          <w:rFonts w:hint="eastAsia" w:ascii="宋体" w:hAnsi="宋体" w:cs="仿宋_GB2312"/>
          <w:color w:val="auto"/>
          <w:spacing w:val="0"/>
          <w:position w:val="0"/>
          <w:sz w:val="24"/>
          <w:highlight w:val="none"/>
        </w:rPr>
      </w:pPr>
    </w:p>
    <w:p w14:paraId="74236BF2">
      <w:pPr>
        <w:spacing w:line="360" w:lineRule="auto"/>
        <w:ind w:left="540"/>
        <w:contextualSpacing/>
        <w:rPr>
          <w:rFonts w:hint="eastAsia" w:ascii="宋体" w:hAnsi="宋体" w:cs="仿宋_GB2312"/>
          <w:color w:val="auto"/>
          <w:spacing w:val="0"/>
          <w:position w:val="0"/>
          <w:sz w:val="24"/>
          <w:highlight w:val="none"/>
        </w:rPr>
      </w:pPr>
    </w:p>
    <w:p w14:paraId="71C5DAB8">
      <w:pPr>
        <w:spacing w:line="360" w:lineRule="auto"/>
        <w:ind w:left="540" w:firstLine="3000" w:firstLineChars="1250"/>
        <w:contextualSpacing/>
        <w:jc w:val="left"/>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供应商（电子签章）：</w:t>
      </w:r>
      <w:r>
        <w:rPr>
          <w:rFonts w:hint="eastAsia" w:ascii="宋体" w:hAnsi="宋体" w:cs="仿宋_GB2312"/>
          <w:color w:val="auto"/>
          <w:spacing w:val="0"/>
          <w:position w:val="0"/>
          <w:sz w:val="24"/>
          <w:highlight w:val="none"/>
          <w:u w:val="single"/>
        </w:rPr>
        <w:t xml:space="preserve">               </w:t>
      </w:r>
    </w:p>
    <w:p w14:paraId="6EAB5AE2">
      <w:pPr>
        <w:spacing w:line="360" w:lineRule="auto"/>
        <w:ind w:firstLine="4080" w:firstLineChars="1700"/>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u w:val="single"/>
        </w:rPr>
        <w:t xml:space="preserve">     </w:t>
      </w:r>
      <w:r>
        <w:rPr>
          <w:rFonts w:hint="eastAsia" w:ascii="宋体" w:hAnsi="宋体" w:cs="仿宋_GB2312"/>
          <w:color w:val="auto"/>
          <w:spacing w:val="0"/>
          <w:position w:val="0"/>
          <w:sz w:val="24"/>
          <w:highlight w:val="none"/>
        </w:rPr>
        <w:t>年</w:t>
      </w:r>
      <w:r>
        <w:rPr>
          <w:rFonts w:hint="eastAsia" w:ascii="宋体" w:hAnsi="宋体" w:cs="仿宋_GB2312"/>
          <w:color w:val="auto"/>
          <w:spacing w:val="0"/>
          <w:position w:val="0"/>
          <w:sz w:val="24"/>
          <w:highlight w:val="none"/>
          <w:u w:val="single"/>
        </w:rPr>
        <w:t xml:space="preserve">     </w:t>
      </w:r>
      <w:r>
        <w:rPr>
          <w:rFonts w:hint="eastAsia" w:ascii="宋体" w:hAnsi="宋体" w:cs="仿宋_GB2312"/>
          <w:color w:val="auto"/>
          <w:spacing w:val="0"/>
          <w:position w:val="0"/>
          <w:sz w:val="24"/>
          <w:highlight w:val="none"/>
        </w:rPr>
        <w:t>月</w:t>
      </w:r>
      <w:r>
        <w:rPr>
          <w:rFonts w:hint="eastAsia" w:ascii="宋体" w:hAnsi="宋体" w:cs="仿宋_GB2312"/>
          <w:color w:val="auto"/>
          <w:spacing w:val="0"/>
          <w:position w:val="0"/>
          <w:sz w:val="24"/>
          <w:highlight w:val="none"/>
          <w:u w:val="single"/>
        </w:rPr>
        <w:t xml:space="preserve">     </w:t>
      </w:r>
      <w:r>
        <w:rPr>
          <w:rFonts w:hint="eastAsia" w:ascii="宋体" w:hAnsi="宋体" w:cs="仿宋_GB2312"/>
          <w:color w:val="auto"/>
          <w:spacing w:val="0"/>
          <w:position w:val="0"/>
          <w:sz w:val="24"/>
          <w:highlight w:val="none"/>
        </w:rPr>
        <w:t>日</w:t>
      </w:r>
    </w:p>
    <w:p w14:paraId="641B9E56">
      <w:pPr>
        <w:spacing w:line="360" w:lineRule="auto"/>
        <w:contextualSpacing/>
        <w:jc w:val="center"/>
        <w:rPr>
          <w:rFonts w:hint="eastAsia" w:ascii="宋体" w:hAnsi="宋体" w:cs="仿宋_GB2312"/>
          <w:b/>
          <w:color w:val="auto"/>
          <w:spacing w:val="0"/>
          <w:position w:val="0"/>
          <w:sz w:val="24"/>
          <w:highlight w:val="none"/>
        </w:rPr>
      </w:pPr>
    </w:p>
    <w:p w14:paraId="686DC534">
      <w:pPr>
        <w:adjustRightInd w:val="0"/>
        <w:snapToGrid w:val="0"/>
        <w:spacing w:line="300" w:lineRule="auto"/>
        <w:jc w:val="left"/>
        <w:rPr>
          <w:rFonts w:hint="eastAsia" w:ascii="宋体" w:hAnsi="宋体"/>
          <w:b/>
          <w:color w:val="auto"/>
          <w:spacing w:val="0"/>
          <w:position w:val="0"/>
          <w:szCs w:val="21"/>
          <w:highlight w:val="none"/>
        </w:rPr>
      </w:pPr>
    </w:p>
    <w:p w14:paraId="6CBC212C">
      <w:pPr>
        <w:spacing w:line="500" w:lineRule="exact"/>
        <w:jc w:val="center"/>
        <w:rPr>
          <w:rFonts w:hint="eastAsia" w:ascii="方正小标宋简体" w:hAnsi="方正小标宋简体" w:eastAsia="方正小标宋简体" w:cs="方正小标宋简体"/>
          <w:color w:val="auto"/>
          <w:spacing w:val="0"/>
          <w:position w:val="0"/>
          <w:sz w:val="44"/>
          <w:szCs w:val="44"/>
          <w:highlight w:val="none"/>
        </w:rPr>
      </w:pPr>
      <w:r>
        <w:rPr>
          <w:rFonts w:hint="eastAsia" w:ascii="方正小标宋简体" w:hAnsi="方正小标宋简体" w:eastAsia="方正小标宋简体" w:cs="方正小标宋简体"/>
          <w:color w:val="auto"/>
          <w:spacing w:val="0"/>
          <w:position w:val="0"/>
          <w:sz w:val="44"/>
          <w:szCs w:val="44"/>
          <w:highlight w:val="none"/>
        </w:rPr>
        <w:br w:type="page"/>
      </w:r>
      <w:bookmarkStart w:id="75" w:name="_Hlk65853643"/>
      <w:r>
        <w:rPr>
          <w:rFonts w:hint="eastAsia" w:ascii="方正小标宋简体" w:hAnsi="方正小标宋简体" w:eastAsia="方正小标宋简体" w:cs="方正小标宋简体"/>
          <w:color w:val="auto"/>
          <w:spacing w:val="0"/>
          <w:position w:val="0"/>
          <w:sz w:val="44"/>
          <w:szCs w:val="44"/>
          <w:highlight w:val="none"/>
        </w:rPr>
        <w:t>授权委托书</w:t>
      </w:r>
    </w:p>
    <w:p w14:paraId="2153ED7D">
      <w:pPr>
        <w:spacing w:line="520" w:lineRule="exact"/>
        <w:jc w:val="center"/>
        <w:rPr>
          <w:rFonts w:hint="eastAsia" w:ascii="方正小标宋简体" w:hAnsi="方正小标宋简体" w:eastAsia="方正小标宋简体" w:cs="方正小标宋简体"/>
          <w:color w:val="auto"/>
          <w:spacing w:val="0"/>
          <w:position w:val="0"/>
          <w:sz w:val="44"/>
          <w:szCs w:val="44"/>
          <w:highlight w:val="none"/>
        </w:rPr>
      </w:pPr>
      <w:r>
        <w:rPr>
          <w:rFonts w:hint="eastAsia" w:ascii="方正小标宋简体" w:hAnsi="方正小标宋简体" w:eastAsia="方正小标宋简体" w:cs="方正小标宋简体"/>
          <w:color w:val="auto"/>
          <w:spacing w:val="0"/>
          <w:position w:val="0"/>
          <w:sz w:val="32"/>
          <w:szCs w:val="32"/>
          <w:highlight w:val="none"/>
        </w:rPr>
        <w:t>（如有委托时）</w:t>
      </w:r>
    </w:p>
    <w:p w14:paraId="5B0BC7D1">
      <w:pPr>
        <w:spacing w:line="520" w:lineRule="exact"/>
        <w:rPr>
          <w:rFonts w:hint="eastAsia" w:ascii="仿宋_GB2312" w:hAnsi="仿宋_GB2312" w:eastAsia="仿宋_GB2312" w:cs="仿宋_GB2312"/>
          <w:color w:val="auto"/>
          <w:spacing w:val="0"/>
          <w:position w:val="0"/>
          <w:sz w:val="32"/>
          <w:szCs w:val="32"/>
          <w:highlight w:val="none"/>
        </w:rPr>
      </w:pPr>
    </w:p>
    <w:p w14:paraId="420D72F1">
      <w:pPr>
        <w:spacing w:line="360" w:lineRule="auto"/>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致：</w:t>
      </w:r>
      <w:r>
        <w:rPr>
          <w:rFonts w:hint="eastAsia" w:ascii="宋体" w:hAnsi="宋体" w:cs="仿宋_GB2312"/>
          <w:color w:val="auto"/>
          <w:spacing w:val="0"/>
          <w:position w:val="0"/>
          <w:sz w:val="24"/>
          <w:highlight w:val="none"/>
          <w:u w:val="single"/>
        </w:rPr>
        <w:t>（采购人名称）</w:t>
      </w:r>
      <w:r>
        <w:rPr>
          <w:rFonts w:hint="eastAsia" w:ascii="宋体" w:hAnsi="宋体" w:cs="仿宋_GB2312"/>
          <w:color w:val="auto"/>
          <w:spacing w:val="0"/>
          <w:position w:val="0"/>
          <w:sz w:val="24"/>
          <w:highlight w:val="none"/>
        </w:rPr>
        <w:t>：</w:t>
      </w:r>
    </w:p>
    <w:p w14:paraId="6E1D1032">
      <w:pPr>
        <w:spacing w:line="360" w:lineRule="auto"/>
        <w:ind w:firstLine="480" w:firstLineChars="200"/>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我</w:t>
      </w:r>
      <w:r>
        <w:rPr>
          <w:rFonts w:hint="eastAsia" w:ascii="宋体" w:hAnsi="宋体" w:cs="仿宋_GB2312"/>
          <w:color w:val="auto"/>
          <w:spacing w:val="0"/>
          <w:position w:val="0"/>
          <w:sz w:val="24"/>
          <w:highlight w:val="none"/>
          <w:u w:val="single"/>
        </w:rPr>
        <w:t xml:space="preserve"> </w:t>
      </w:r>
      <w:r>
        <w:rPr>
          <w:rFonts w:hint="eastAsia" w:ascii="宋体" w:hAnsi="宋体" w:cs="仿宋_GB2312"/>
          <w:color w:val="auto"/>
          <w:spacing w:val="0"/>
          <w:position w:val="0"/>
          <w:sz w:val="24"/>
          <w:highlight w:val="none"/>
          <w:u w:val="single"/>
          <w:lang w:eastAsia="zh-CN"/>
        </w:rPr>
        <w:t>（</w:t>
      </w:r>
      <w:r>
        <w:rPr>
          <w:rFonts w:hint="eastAsia" w:ascii="宋体" w:hAnsi="宋体" w:cs="仿宋_GB2312"/>
          <w:color w:val="auto"/>
          <w:spacing w:val="0"/>
          <w:position w:val="0"/>
          <w:sz w:val="24"/>
          <w:highlight w:val="none"/>
          <w:u w:val="single"/>
        </w:rPr>
        <w:t>姓名</w:t>
      </w:r>
      <w:r>
        <w:rPr>
          <w:rFonts w:hint="eastAsia" w:ascii="宋体" w:hAnsi="宋体" w:cs="仿宋_GB2312"/>
          <w:color w:val="auto"/>
          <w:spacing w:val="0"/>
          <w:position w:val="0"/>
          <w:sz w:val="24"/>
          <w:highlight w:val="none"/>
          <w:u w:val="single"/>
          <w:lang w:eastAsia="zh-CN"/>
        </w:rPr>
        <w:t>）</w:t>
      </w:r>
      <w:r>
        <w:rPr>
          <w:rFonts w:hint="eastAsia" w:ascii="宋体" w:hAnsi="宋体" w:cs="仿宋_GB2312"/>
          <w:color w:val="auto"/>
          <w:spacing w:val="0"/>
          <w:position w:val="0"/>
          <w:sz w:val="24"/>
          <w:highlight w:val="none"/>
          <w:u w:val="single"/>
        </w:rPr>
        <w:t xml:space="preserve"> </w:t>
      </w:r>
      <w:r>
        <w:rPr>
          <w:rFonts w:hint="eastAsia" w:ascii="宋体" w:hAnsi="宋体" w:cs="仿宋_GB2312"/>
          <w:color w:val="auto"/>
          <w:spacing w:val="0"/>
          <w:position w:val="0"/>
          <w:sz w:val="24"/>
          <w:highlight w:val="none"/>
        </w:rPr>
        <w:t>系</w:t>
      </w:r>
      <w:r>
        <w:rPr>
          <w:rFonts w:hint="eastAsia" w:ascii="宋体" w:hAnsi="宋体" w:cs="仿宋_GB2312"/>
          <w:color w:val="auto"/>
          <w:spacing w:val="0"/>
          <w:position w:val="0"/>
          <w:sz w:val="24"/>
          <w:highlight w:val="none"/>
          <w:u w:val="single"/>
        </w:rPr>
        <w:t xml:space="preserve"> </w:t>
      </w:r>
      <w:r>
        <w:rPr>
          <w:rFonts w:hint="eastAsia" w:ascii="宋体" w:hAnsi="宋体" w:cs="仿宋_GB2312"/>
          <w:color w:val="auto"/>
          <w:spacing w:val="0"/>
          <w:position w:val="0"/>
          <w:sz w:val="24"/>
          <w:highlight w:val="none"/>
          <w:u w:val="single"/>
          <w:lang w:eastAsia="zh-CN"/>
        </w:rPr>
        <w:t>（</w:t>
      </w:r>
      <w:r>
        <w:rPr>
          <w:rFonts w:hint="eastAsia" w:ascii="宋体" w:hAnsi="宋体" w:cs="仿宋_GB2312"/>
          <w:color w:val="auto"/>
          <w:spacing w:val="0"/>
          <w:position w:val="0"/>
          <w:sz w:val="24"/>
          <w:highlight w:val="none"/>
          <w:u w:val="single"/>
        </w:rPr>
        <w:t>供应商名称</w:t>
      </w:r>
      <w:r>
        <w:rPr>
          <w:rFonts w:hint="eastAsia" w:ascii="宋体" w:hAnsi="宋体" w:cs="仿宋_GB2312"/>
          <w:color w:val="auto"/>
          <w:spacing w:val="0"/>
          <w:position w:val="0"/>
          <w:sz w:val="24"/>
          <w:highlight w:val="none"/>
          <w:u w:val="single"/>
          <w:lang w:eastAsia="zh-CN"/>
        </w:rPr>
        <w:t>）</w:t>
      </w:r>
      <w:r>
        <w:rPr>
          <w:rFonts w:hint="eastAsia" w:ascii="宋体" w:hAnsi="宋体" w:cs="仿宋_GB2312"/>
          <w:color w:val="auto"/>
          <w:spacing w:val="0"/>
          <w:position w:val="0"/>
          <w:sz w:val="24"/>
          <w:highlight w:val="none"/>
          <w:u w:val="single"/>
        </w:rPr>
        <w:t xml:space="preserve"> </w:t>
      </w:r>
      <w:r>
        <w:rPr>
          <w:rFonts w:hint="eastAsia" w:ascii="宋体" w:hAnsi="宋体" w:cs="仿宋_GB2312"/>
          <w:color w:val="auto"/>
          <w:spacing w:val="0"/>
          <w:position w:val="0"/>
          <w:sz w:val="24"/>
          <w:highlight w:val="none"/>
        </w:rPr>
        <w:t>的（</w:t>
      </w:r>
      <w:r>
        <w:rPr>
          <w:rFonts w:hint="eastAsia" w:ascii="宋体" w:hAnsi="宋体" w:cs="仿宋_GB2312"/>
          <w:color w:val="auto"/>
          <w:spacing w:val="0"/>
          <w:position w:val="0"/>
          <w:sz w:val="24"/>
          <w:highlight w:val="none"/>
          <w:u w:val="single"/>
        </w:rPr>
        <w:t>□法定代表人/□负责人</w:t>
      </w:r>
      <w:r>
        <w:rPr>
          <w:rFonts w:hint="eastAsia" w:ascii="宋体" w:hAnsi="宋体" w:cs="仿宋_GB2312"/>
          <w:color w:val="auto"/>
          <w:spacing w:val="0"/>
          <w:position w:val="0"/>
          <w:sz w:val="24"/>
          <w:highlight w:val="none"/>
        </w:rPr>
        <w:t>），现授权</w:t>
      </w:r>
      <w:r>
        <w:rPr>
          <w:rFonts w:hint="eastAsia" w:ascii="宋体" w:hAnsi="宋体" w:cs="仿宋_GB2312"/>
          <w:color w:val="auto"/>
          <w:spacing w:val="0"/>
          <w:position w:val="0"/>
          <w:sz w:val="24"/>
          <w:highlight w:val="none"/>
          <w:u w:val="single"/>
          <w:lang w:eastAsia="zh-CN"/>
        </w:rPr>
        <w:t>（</w:t>
      </w:r>
      <w:r>
        <w:rPr>
          <w:rFonts w:hint="eastAsia" w:ascii="宋体" w:hAnsi="宋体" w:cs="仿宋_GB2312"/>
          <w:color w:val="auto"/>
          <w:spacing w:val="0"/>
          <w:position w:val="0"/>
          <w:sz w:val="24"/>
          <w:highlight w:val="none"/>
          <w:u w:val="single"/>
        </w:rPr>
        <w:t>姓名</w:t>
      </w:r>
      <w:r>
        <w:rPr>
          <w:rFonts w:hint="eastAsia" w:ascii="宋体" w:hAnsi="宋体" w:cs="仿宋_GB2312"/>
          <w:color w:val="auto"/>
          <w:spacing w:val="0"/>
          <w:position w:val="0"/>
          <w:sz w:val="24"/>
          <w:highlight w:val="none"/>
          <w:u w:val="single"/>
          <w:lang w:eastAsia="zh-CN"/>
        </w:rPr>
        <w:t>）</w:t>
      </w:r>
      <w:r>
        <w:rPr>
          <w:rFonts w:hint="eastAsia" w:ascii="宋体" w:hAnsi="宋体" w:cs="仿宋_GB2312"/>
          <w:color w:val="auto"/>
          <w:spacing w:val="0"/>
          <w:position w:val="0"/>
          <w:sz w:val="24"/>
          <w:highlight w:val="none"/>
        </w:rPr>
        <w:t>以我方的名义参加</w:t>
      </w:r>
      <w:r>
        <w:rPr>
          <w:rFonts w:hint="eastAsia" w:ascii="宋体" w:hAnsi="宋体" w:cs="仿宋_GB2312"/>
          <w:color w:val="auto"/>
          <w:spacing w:val="0"/>
          <w:position w:val="0"/>
          <w:sz w:val="24"/>
          <w:highlight w:val="none"/>
          <w:u w:val="single"/>
        </w:rPr>
        <w:t xml:space="preserve">              </w:t>
      </w:r>
      <w:r>
        <w:rPr>
          <w:rFonts w:hint="eastAsia" w:ascii="宋体" w:hAnsi="宋体" w:cs="仿宋_GB2312"/>
          <w:color w:val="auto"/>
          <w:spacing w:val="0"/>
          <w:position w:val="0"/>
          <w:sz w:val="24"/>
          <w:highlight w:val="none"/>
        </w:rPr>
        <w:t>项目的竞标活动，并代表我方全权办理针对上述项目的所有采购程序和环节的具体事务和签署相关文件。</w:t>
      </w:r>
    </w:p>
    <w:p w14:paraId="17A03BF4">
      <w:pPr>
        <w:spacing w:line="360" w:lineRule="auto"/>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 xml:space="preserve">    我方对委托代理人的签字</w:t>
      </w:r>
      <w:r>
        <w:rPr>
          <w:rFonts w:hint="eastAsia" w:ascii="宋体" w:hAnsi="宋体"/>
          <w:color w:val="auto"/>
          <w:spacing w:val="0"/>
          <w:position w:val="0"/>
          <w:sz w:val="24"/>
          <w:highlight w:val="none"/>
        </w:rPr>
        <w:t>或者电子签名</w:t>
      </w:r>
      <w:r>
        <w:rPr>
          <w:rFonts w:hint="eastAsia" w:ascii="宋体" w:hAnsi="宋体" w:cs="仿宋_GB2312"/>
          <w:color w:val="auto"/>
          <w:spacing w:val="0"/>
          <w:position w:val="0"/>
          <w:sz w:val="24"/>
          <w:highlight w:val="none"/>
        </w:rPr>
        <w:t>事项负全部责任。</w:t>
      </w:r>
    </w:p>
    <w:p w14:paraId="52F50179">
      <w:pPr>
        <w:spacing w:line="360" w:lineRule="auto"/>
        <w:ind w:firstLine="480" w:firstLineChars="200"/>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本授权书自签署之日起生效，在撤销授权的书面通知以前，本授权书一直有效。委托代理人在授权书有效期内签署的所有文件不因授权的撤销而失效。</w:t>
      </w:r>
    </w:p>
    <w:p w14:paraId="6F67AFB4">
      <w:pPr>
        <w:spacing w:line="360" w:lineRule="auto"/>
        <w:ind w:firstLine="480" w:firstLineChars="200"/>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委托代理人无转委托权，特此委托。</w:t>
      </w:r>
    </w:p>
    <w:p w14:paraId="3245FC75">
      <w:pPr>
        <w:spacing w:line="360" w:lineRule="auto"/>
        <w:ind w:firstLine="480" w:firstLineChars="200"/>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附：法定代表人身份证明书及委托代理人有效身份证正反面复印件</w:t>
      </w:r>
    </w:p>
    <w:p w14:paraId="68E20702">
      <w:pPr>
        <w:spacing w:line="360" w:lineRule="auto"/>
        <w:rPr>
          <w:rFonts w:hint="eastAsia" w:ascii="宋体" w:hAnsi="宋体" w:cs="仿宋_GB2312"/>
          <w:color w:val="auto"/>
          <w:spacing w:val="0"/>
          <w:position w:val="0"/>
          <w:sz w:val="24"/>
          <w:highlight w:val="none"/>
        </w:rPr>
      </w:pPr>
    </w:p>
    <w:p w14:paraId="677D6BE8">
      <w:pPr>
        <w:spacing w:line="360" w:lineRule="auto"/>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委托代理人（</w:t>
      </w:r>
      <w:r>
        <w:rPr>
          <w:rFonts w:hint="eastAsia" w:ascii="宋体" w:hAnsi="宋体"/>
          <w:color w:val="auto"/>
          <w:spacing w:val="0"/>
          <w:position w:val="0"/>
          <w:sz w:val="24"/>
          <w:highlight w:val="none"/>
        </w:rPr>
        <w:t>签字或者电子签名</w:t>
      </w:r>
      <w:r>
        <w:rPr>
          <w:rFonts w:hint="eastAsia" w:ascii="宋体" w:hAnsi="宋体" w:cs="仿宋_GB2312"/>
          <w:color w:val="auto"/>
          <w:spacing w:val="0"/>
          <w:position w:val="0"/>
          <w:sz w:val="24"/>
          <w:highlight w:val="none"/>
        </w:rPr>
        <w:t xml:space="preserve">）：     法定代表人（签字或者盖章或者电子签名）：                    </w:t>
      </w:r>
    </w:p>
    <w:p w14:paraId="69254602">
      <w:pPr>
        <w:spacing w:line="360" w:lineRule="auto"/>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 xml:space="preserve">委托代理人身份证号码：                              </w:t>
      </w:r>
    </w:p>
    <w:p w14:paraId="2F4C7DF9">
      <w:pPr>
        <w:spacing w:line="360" w:lineRule="auto"/>
        <w:contextualSpacing/>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 xml:space="preserve">                                </w:t>
      </w:r>
    </w:p>
    <w:p w14:paraId="25AB525B">
      <w:pPr>
        <w:spacing w:line="360" w:lineRule="auto"/>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 xml:space="preserve">                         供应商（电子签章）：                      </w:t>
      </w:r>
    </w:p>
    <w:p w14:paraId="526E111C">
      <w:pPr>
        <w:spacing w:line="360" w:lineRule="auto"/>
        <w:rPr>
          <w:rFonts w:hint="eastAsia"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 xml:space="preserve">                                         年    月    日</w:t>
      </w:r>
    </w:p>
    <w:p w14:paraId="000E16EA">
      <w:pPr>
        <w:spacing w:line="360" w:lineRule="auto"/>
        <w:rPr>
          <w:rFonts w:hint="eastAsia" w:ascii="宋体" w:hAnsi="宋体" w:cs="仿宋_GB2312"/>
          <w:color w:val="auto"/>
          <w:spacing w:val="0"/>
          <w:position w:val="0"/>
          <w:sz w:val="24"/>
          <w:highlight w:val="none"/>
        </w:rPr>
      </w:pPr>
    </w:p>
    <w:p w14:paraId="24EFECAE">
      <w:pPr>
        <w:spacing w:line="360" w:lineRule="auto"/>
        <w:rPr>
          <w:rFonts w:hint="eastAsia" w:ascii="宋体" w:hAnsi="宋体" w:cs="仿宋_GB2312"/>
          <w:color w:val="auto"/>
          <w:spacing w:val="0"/>
          <w:position w:val="0"/>
          <w:sz w:val="24"/>
          <w:highlight w:val="none"/>
        </w:rPr>
      </w:pPr>
    </w:p>
    <w:p w14:paraId="5CA91CB1">
      <w:pPr>
        <w:spacing w:line="360" w:lineRule="auto"/>
        <w:rPr>
          <w:rFonts w:hint="eastAsia" w:ascii="宋体" w:hAnsi="宋体" w:cs="仿宋_GB2312"/>
          <w:color w:val="auto"/>
          <w:spacing w:val="0"/>
          <w:position w:val="0"/>
          <w:sz w:val="24"/>
          <w:highlight w:val="none"/>
        </w:rPr>
      </w:pPr>
    </w:p>
    <w:p w14:paraId="242C818D">
      <w:pPr>
        <w:spacing w:line="360" w:lineRule="auto"/>
        <w:rPr>
          <w:rFonts w:hint="eastAsia" w:ascii="宋体" w:hAnsi="宋体" w:cs="仿宋_GB2312"/>
          <w:color w:val="auto"/>
          <w:spacing w:val="0"/>
          <w:position w:val="0"/>
          <w:sz w:val="24"/>
          <w:highlight w:val="none"/>
        </w:rPr>
      </w:pPr>
    </w:p>
    <w:p w14:paraId="52D2141A">
      <w:pPr>
        <w:spacing w:line="360" w:lineRule="auto"/>
        <w:rPr>
          <w:rFonts w:hint="eastAsia" w:ascii="宋体" w:hAnsi="宋体" w:cs="仿宋_GB2312"/>
          <w:color w:val="auto"/>
          <w:spacing w:val="0"/>
          <w:position w:val="0"/>
          <w:sz w:val="24"/>
          <w:highlight w:val="none"/>
        </w:rPr>
      </w:pPr>
    </w:p>
    <w:p w14:paraId="6670044B">
      <w:pPr>
        <w:spacing w:line="360" w:lineRule="auto"/>
        <w:ind w:firstLine="480" w:firstLineChars="200"/>
        <w:rPr>
          <w:rFonts w:ascii="宋体" w:hAnsi="宋体" w:cs="仿宋_GB2312"/>
          <w:color w:val="auto"/>
          <w:spacing w:val="0"/>
          <w:position w:val="0"/>
          <w:sz w:val="24"/>
          <w:highlight w:val="none"/>
        </w:rPr>
      </w:pPr>
      <w:r>
        <w:rPr>
          <w:rFonts w:hint="eastAsia" w:ascii="宋体" w:hAnsi="宋体" w:cs="仿宋_GB2312"/>
          <w:color w:val="auto"/>
          <w:spacing w:val="0"/>
          <w:position w:val="0"/>
          <w:sz w:val="24"/>
          <w:highlight w:val="none"/>
        </w:rPr>
        <w:t>注：法定代表人必须在授权委托书上签字或者盖章</w:t>
      </w:r>
      <w:r>
        <w:rPr>
          <w:rFonts w:hint="eastAsia" w:ascii="宋体" w:hAnsi="宋体"/>
          <w:color w:val="auto"/>
          <w:spacing w:val="0"/>
          <w:position w:val="0"/>
          <w:sz w:val="24"/>
          <w:highlight w:val="none"/>
        </w:rPr>
        <w:t>或者电子签名</w:t>
      </w:r>
      <w:r>
        <w:rPr>
          <w:rFonts w:hint="eastAsia" w:ascii="宋体" w:hAnsi="宋体" w:cs="仿宋_GB2312"/>
          <w:color w:val="auto"/>
          <w:spacing w:val="0"/>
          <w:position w:val="0"/>
          <w:sz w:val="24"/>
          <w:highlight w:val="none"/>
        </w:rPr>
        <w:t>，委托代理人必须在授权委托书上签字或者电子签名，</w:t>
      </w:r>
      <w:r>
        <w:rPr>
          <w:rFonts w:hint="eastAsia" w:ascii="宋体" w:hAnsi="宋体" w:cs="仿宋_GB2312"/>
          <w:b/>
          <w:color w:val="auto"/>
          <w:spacing w:val="0"/>
          <w:position w:val="0"/>
          <w:sz w:val="24"/>
          <w:highlight w:val="none"/>
        </w:rPr>
        <w:t>否则其响应文件按无效处理。</w:t>
      </w:r>
    </w:p>
    <w:p w14:paraId="674D54A4">
      <w:pPr>
        <w:spacing w:line="360" w:lineRule="auto"/>
        <w:ind w:firstLine="420" w:firstLineChars="200"/>
        <w:jc w:val="left"/>
        <w:rPr>
          <w:rFonts w:hint="eastAsia" w:ascii="仿宋_GB2312" w:hAnsi="仿宋_GB2312" w:eastAsia="仿宋_GB2312" w:cs="仿宋_GB2312"/>
          <w:color w:val="auto"/>
          <w:spacing w:val="0"/>
          <w:position w:val="0"/>
          <w:szCs w:val="21"/>
          <w:highlight w:val="none"/>
        </w:rPr>
      </w:pPr>
    </w:p>
    <w:p w14:paraId="528A7A83">
      <w:pPr>
        <w:spacing w:line="500" w:lineRule="exact"/>
        <w:jc w:val="center"/>
        <w:rPr>
          <w:rFonts w:hint="eastAsia" w:ascii="方正小标宋简体" w:hAnsi="方正小标宋简体" w:eastAsia="方正小标宋简体" w:cs="方正小标宋简体"/>
          <w:bCs/>
          <w:color w:val="auto"/>
          <w:spacing w:val="0"/>
          <w:position w:val="0"/>
          <w:sz w:val="44"/>
          <w:szCs w:val="44"/>
          <w:highlight w:val="none"/>
        </w:rPr>
      </w:pPr>
      <w:r>
        <w:rPr>
          <w:rFonts w:ascii="仿宋_GB2312" w:hAnsi="仿宋_GB2312" w:eastAsia="仿宋_GB2312" w:cs="仿宋_GB2312"/>
          <w:color w:val="auto"/>
          <w:spacing w:val="0"/>
          <w:position w:val="0"/>
          <w:szCs w:val="21"/>
          <w:highlight w:val="none"/>
        </w:rPr>
        <w:br w:type="page"/>
      </w:r>
      <w:bookmarkEnd w:id="75"/>
      <w:r>
        <w:rPr>
          <w:rFonts w:hint="eastAsia" w:ascii="方正小标宋简体" w:hAnsi="方正小标宋简体" w:eastAsia="方正小标宋简体" w:cs="方正小标宋简体"/>
          <w:bCs/>
          <w:color w:val="auto"/>
          <w:spacing w:val="0"/>
          <w:position w:val="0"/>
          <w:sz w:val="44"/>
          <w:szCs w:val="44"/>
          <w:highlight w:val="none"/>
        </w:rPr>
        <w:t>施工组织设计</w:t>
      </w:r>
    </w:p>
    <w:p w14:paraId="752D9EDC">
      <w:pPr>
        <w:spacing w:line="500" w:lineRule="exact"/>
        <w:jc w:val="center"/>
        <w:rPr>
          <w:rFonts w:hint="eastAsia" w:ascii="方正小标宋简体" w:hAnsi="方正小标宋简体" w:eastAsia="方正小标宋简体" w:cs="方正小标宋简体"/>
          <w:bCs/>
          <w:color w:val="auto"/>
          <w:spacing w:val="0"/>
          <w:position w:val="0"/>
          <w:sz w:val="28"/>
          <w:szCs w:val="28"/>
          <w:highlight w:val="none"/>
        </w:rPr>
      </w:pPr>
      <w:r>
        <w:rPr>
          <w:rFonts w:hint="eastAsia" w:ascii="方正小标宋简体" w:hAnsi="方正小标宋简体" w:eastAsia="方正小标宋简体" w:cs="方正小标宋简体"/>
          <w:bCs/>
          <w:color w:val="auto"/>
          <w:spacing w:val="0"/>
          <w:position w:val="0"/>
          <w:sz w:val="28"/>
          <w:szCs w:val="28"/>
          <w:highlight w:val="none"/>
        </w:rPr>
        <w:t>（格式自拟）</w:t>
      </w:r>
    </w:p>
    <w:p w14:paraId="64B393A4">
      <w:pPr>
        <w:adjustRightInd w:val="0"/>
        <w:snapToGrid w:val="0"/>
        <w:spacing w:line="300" w:lineRule="auto"/>
        <w:jc w:val="center"/>
        <w:rPr>
          <w:rFonts w:hint="eastAsia" w:ascii="方正小标宋简体" w:hAnsi="方正小标宋简体" w:eastAsia="方正小标宋简体" w:cs="方正小标宋简体"/>
          <w:bCs/>
          <w:color w:val="auto"/>
          <w:spacing w:val="0"/>
          <w:position w:val="0"/>
          <w:sz w:val="36"/>
          <w:szCs w:val="36"/>
          <w:highlight w:val="none"/>
          <w:lang w:eastAsia="zh-CN"/>
        </w:rPr>
      </w:pPr>
      <w:r>
        <w:rPr>
          <w:rFonts w:ascii="方正小标宋简体" w:hAnsi="方正小标宋简体" w:eastAsia="方正小标宋简体" w:cs="方正小标宋简体"/>
          <w:bCs/>
          <w:color w:val="auto"/>
          <w:spacing w:val="0"/>
          <w:position w:val="0"/>
          <w:sz w:val="44"/>
          <w:szCs w:val="44"/>
          <w:highlight w:val="none"/>
        </w:rPr>
        <w:br w:type="page"/>
      </w:r>
      <w:r>
        <w:rPr>
          <w:rFonts w:hint="eastAsia" w:ascii="方正小标宋简体" w:hAnsi="方正小标宋简体" w:eastAsia="方正小标宋简体" w:cs="方正小标宋简体"/>
          <w:bCs/>
          <w:color w:val="auto"/>
          <w:spacing w:val="0"/>
          <w:position w:val="0"/>
          <w:sz w:val="36"/>
          <w:szCs w:val="36"/>
          <w:highlight w:val="none"/>
        </w:rPr>
        <w:t>项目管理机构配备情况表</w:t>
      </w:r>
      <w:r>
        <w:rPr>
          <w:rFonts w:hint="eastAsia" w:ascii="方正小标宋简体" w:hAnsi="方正小标宋简体" w:eastAsia="方正小标宋简体" w:cs="方正小标宋简体"/>
          <w:bCs/>
          <w:color w:val="auto"/>
          <w:spacing w:val="0"/>
          <w:position w:val="0"/>
          <w:sz w:val="36"/>
          <w:szCs w:val="36"/>
          <w:highlight w:val="none"/>
          <w:lang w:eastAsia="zh-CN"/>
        </w:rPr>
        <w:t>（格式）</w:t>
      </w:r>
    </w:p>
    <w:p w14:paraId="596090A4">
      <w:pPr>
        <w:spacing w:line="500" w:lineRule="exact"/>
        <w:ind w:firstLine="3640" w:firstLineChars="1300"/>
        <w:jc w:val="both"/>
        <w:rPr>
          <w:rFonts w:hint="eastAsia" w:ascii="方正小标宋简体" w:hAnsi="方正小标宋简体" w:eastAsia="方正小标宋简体" w:cs="方正小标宋简体"/>
          <w:bCs/>
          <w:color w:val="auto"/>
          <w:spacing w:val="0"/>
          <w:position w:val="0"/>
          <w:sz w:val="28"/>
          <w:szCs w:val="28"/>
          <w:highlight w:val="none"/>
        </w:rPr>
      </w:pPr>
    </w:p>
    <w:p w14:paraId="2F43FE42">
      <w:pPr>
        <w:spacing w:line="500" w:lineRule="exact"/>
        <w:ind w:firstLine="3640" w:firstLineChars="1300"/>
        <w:jc w:val="both"/>
        <w:rPr>
          <w:rFonts w:hint="eastAsia" w:ascii="方正小标宋简体" w:hAnsi="方正小标宋简体" w:eastAsia="方正小标宋简体" w:cs="方正小标宋简体"/>
          <w:bCs/>
          <w:color w:val="auto"/>
          <w:spacing w:val="0"/>
          <w:position w:val="0"/>
          <w:sz w:val="28"/>
          <w:szCs w:val="28"/>
          <w:highlight w:val="none"/>
        </w:rPr>
      </w:pPr>
      <w:r>
        <w:rPr>
          <w:rFonts w:hint="eastAsia" w:ascii="方正小标宋简体" w:hAnsi="方正小标宋简体" w:eastAsia="方正小标宋简体" w:cs="方正小标宋简体"/>
          <w:bCs/>
          <w:color w:val="auto"/>
          <w:spacing w:val="0"/>
          <w:position w:val="0"/>
          <w:sz w:val="28"/>
          <w:szCs w:val="28"/>
          <w:highlight w:val="none"/>
        </w:rPr>
        <w:t>（格式自拟）</w:t>
      </w:r>
    </w:p>
    <w:p w14:paraId="0C6FA5F4">
      <w:pPr>
        <w:adjustRightInd w:val="0"/>
        <w:snapToGrid w:val="0"/>
        <w:spacing w:line="300" w:lineRule="auto"/>
        <w:jc w:val="center"/>
        <w:rPr>
          <w:rFonts w:hint="eastAsia" w:ascii="方正小标宋简体" w:hAnsi="方正小标宋简体" w:eastAsia="方正小标宋简体" w:cs="方正小标宋简体"/>
          <w:bCs/>
          <w:color w:val="auto"/>
          <w:spacing w:val="0"/>
          <w:position w:val="0"/>
          <w:sz w:val="36"/>
          <w:szCs w:val="36"/>
          <w:highlight w:val="none"/>
          <w:lang w:val="en-US" w:eastAsia="zh-CN"/>
        </w:rPr>
      </w:pPr>
    </w:p>
    <w:p w14:paraId="2DA0C668">
      <w:pPr>
        <w:pStyle w:val="3"/>
        <w:rPr>
          <w:rFonts w:hint="eastAsia"/>
          <w:color w:val="auto"/>
          <w:highlight w:val="none"/>
          <w:lang w:val="en-US" w:eastAsia="zh-CN"/>
        </w:rPr>
      </w:pPr>
    </w:p>
    <w:p w14:paraId="50B453D9">
      <w:pPr>
        <w:spacing w:line="360" w:lineRule="auto"/>
        <w:ind w:firstLine="480" w:firstLineChars="200"/>
        <w:contextualSpacing/>
        <w:jc w:val="left"/>
        <w:rPr>
          <w:rFonts w:hint="eastAsia" w:ascii="宋体" w:hAnsi="宋体"/>
          <w:color w:val="auto"/>
          <w:spacing w:val="0"/>
          <w:position w:val="0"/>
          <w:sz w:val="24"/>
          <w:szCs w:val="20"/>
          <w:highlight w:val="none"/>
        </w:rPr>
      </w:pPr>
    </w:p>
    <w:p w14:paraId="353B9A16">
      <w:pPr>
        <w:pStyle w:val="3"/>
        <w:rPr>
          <w:rFonts w:hint="eastAsia" w:ascii="宋体" w:hAnsi="宋体"/>
          <w:color w:val="auto"/>
          <w:spacing w:val="0"/>
          <w:position w:val="0"/>
          <w:sz w:val="24"/>
          <w:szCs w:val="20"/>
          <w:highlight w:val="none"/>
        </w:rPr>
      </w:pPr>
    </w:p>
    <w:p w14:paraId="65F16746">
      <w:pPr>
        <w:rPr>
          <w:rFonts w:hint="eastAsia" w:ascii="宋体" w:hAnsi="宋体"/>
          <w:color w:val="auto"/>
          <w:spacing w:val="0"/>
          <w:position w:val="0"/>
          <w:sz w:val="24"/>
          <w:szCs w:val="20"/>
          <w:highlight w:val="none"/>
        </w:rPr>
      </w:pPr>
    </w:p>
    <w:p w14:paraId="33D6D104">
      <w:pPr>
        <w:pStyle w:val="3"/>
        <w:rPr>
          <w:rFonts w:hint="eastAsia" w:ascii="宋体" w:hAnsi="宋体"/>
          <w:color w:val="auto"/>
          <w:spacing w:val="0"/>
          <w:position w:val="0"/>
          <w:sz w:val="24"/>
          <w:szCs w:val="20"/>
          <w:highlight w:val="none"/>
        </w:rPr>
      </w:pPr>
    </w:p>
    <w:p w14:paraId="0928F2EA">
      <w:pPr>
        <w:rPr>
          <w:rFonts w:hint="eastAsia" w:ascii="宋体" w:hAnsi="宋体"/>
          <w:color w:val="auto"/>
          <w:spacing w:val="0"/>
          <w:position w:val="0"/>
          <w:sz w:val="24"/>
          <w:szCs w:val="20"/>
          <w:highlight w:val="none"/>
        </w:rPr>
      </w:pPr>
    </w:p>
    <w:p w14:paraId="512933D8">
      <w:pPr>
        <w:pStyle w:val="3"/>
        <w:rPr>
          <w:rFonts w:hint="eastAsia"/>
          <w:color w:val="auto"/>
          <w:highlight w:val="none"/>
        </w:rPr>
      </w:pPr>
    </w:p>
    <w:p w14:paraId="1D1A0E25">
      <w:pPr>
        <w:spacing w:line="360" w:lineRule="auto"/>
        <w:ind w:right="480"/>
        <w:contextualSpacing/>
        <w:jc w:val="center"/>
        <w:rPr>
          <w:rFonts w:hint="eastAsia" w:ascii="宋体" w:hAnsi="宋体"/>
          <w:color w:val="auto"/>
          <w:spacing w:val="0"/>
          <w:position w:val="0"/>
          <w:sz w:val="24"/>
          <w:szCs w:val="24"/>
          <w:highlight w:val="none"/>
          <w:u w:val="single"/>
        </w:rPr>
      </w:pPr>
      <w:r>
        <w:rPr>
          <w:rFonts w:hint="eastAsia" w:ascii="宋体" w:hAnsi="宋体"/>
          <w:color w:val="auto"/>
          <w:spacing w:val="0"/>
          <w:position w:val="0"/>
          <w:sz w:val="24"/>
          <w:highlight w:val="none"/>
        </w:rPr>
        <w:t xml:space="preserve"> </w:t>
      </w:r>
      <w:r>
        <w:rPr>
          <w:rFonts w:ascii="宋体" w:hAnsi="宋体"/>
          <w:color w:val="auto"/>
          <w:spacing w:val="0"/>
          <w:position w:val="0"/>
          <w:sz w:val="24"/>
          <w:highlight w:val="none"/>
        </w:rPr>
        <w:t xml:space="preserve">            </w:t>
      </w:r>
      <w:r>
        <w:rPr>
          <w:rFonts w:ascii="宋体" w:hAnsi="宋体"/>
          <w:color w:val="auto"/>
          <w:spacing w:val="0"/>
          <w:position w:val="0"/>
          <w:sz w:val="24"/>
          <w:szCs w:val="24"/>
          <w:highlight w:val="none"/>
        </w:rPr>
        <w:t xml:space="preserve"> </w:t>
      </w:r>
      <w:r>
        <w:rPr>
          <w:rFonts w:hint="eastAsia" w:ascii="宋体" w:hAnsi="宋体"/>
          <w:color w:val="auto"/>
          <w:spacing w:val="0"/>
          <w:position w:val="0"/>
          <w:sz w:val="24"/>
          <w:szCs w:val="24"/>
          <w:highlight w:val="none"/>
        </w:rPr>
        <w:t>法定代表人或者委托代理人（签字或者电子签名）：</w:t>
      </w:r>
      <w:r>
        <w:rPr>
          <w:rFonts w:hint="eastAsia" w:ascii="宋体" w:hAnsi="宋体"/>
          <w:color w:val="auto"/>
          <w:spacing w:val="0"/>
          <w:position w:val="0"/>
          <w:sz w:val="24"/>
          <w:szCs w:val="24"/>
          <w:highlight w:val="none"/>
          <w:u w:val="single"/>
        </w:rPr>
        <w:t xml:space="preserve"> </w:t>
      </w:r>
      <w:r>
        <w:rPr>
          <w:rFonts w:ascii="宋体" w:hAnsi="宋体"/>
          <w:color w:val="auto"/>
          <w:spacing w:val="0"/>
          <w:position w:val="0"/>
          <w:sz w:val="24"/>
          <w:szCs w:val="24"/>
          <w:highlight w:val="none"/>
          <w:u w:val="single"/>
        </w:rPr>
        <w:t xml:space="preserve">                  </w:t>
      </w:r>
    </w:p>
    <w:p w14:paraId="61BBCA17">
      <w:pPr>
        <w:spacing w:line="360" w:lineRule="auto"/>
        <w:ind w:right="480" w:firstLine="3360" w:firstLineChars="1400"/>
        <w:contextualSpacing/>
        <w:rPr>
          <w:rFonts w:hint="eastAsia" w:ascii="宋体" w:hAnsi="宋体"/>
          <w:color w:val="auto"/>
          <w:spacing w:val="0"/>
          <w:position w:val="0"/>
          <w:sz w:val="24"/>
          <w:szCs w:val="24"/>
          <w:highlight w:val="none"/>
        </w:rPr>
      </w:pPr>
      <w:r>
        <w:rPr>
          <w:rFonts w:hint="eastAsia" w:ascii="宋体" w:hAnsi="宋体"/>
          <w:color w:val="auto"/>
          <w:spacing w:val="0"/>
          <w:position w:val="0"/>
          <w:sz w:val="24"/>
          <w:szCs w:val="24"/>
          <w:highlight w:val="none"/>
        </w:rPr>
        <w:t>供应商（电子签章）：</w:t>
      </w:r>
      <w:r>
        <w:rPr>
          <w:rFonts w:hint="eastAsia" w:ascii="宋体" w:hAnsi="宋体"/>
          <w:color w:val="auto"/>
          <w:spacing w:val="0"/>
          <w:position w:val="0"/>
          <w:sz w:val="24"/>
          <w:szCs w:val="24"/>
          <w:highlight w:val="none"/>
          <w:u w:val="single"/>
        </w:rPr>
        <w:t xml:space="preserve">                </w:t>
      </w:r>
    </w:p>
    <w:p w14:paraId="52D2EFDA">
      <w:pPr>
        <w:spacing w:line="360" w:lineRule="auto"/>
        <w:ind w:firstLine="480" w:firstLineChars="200"/>
        <w:contextualSpacing/>
        <w:jc w:val="left"/>
        <w:rPr>
          <w:rFonts w:ascii="宋体" w:hAnsi="宋体"/>
          <w:color w:val="auto"/>
          <w:spacing w:val="0"/>
          <w:position w:val="0"/>
          <w:sz w:val="24"/>
          <w:szCs w:val="24"/>
          <w:highlight w:val="none"/>
        </w:rPr>
      </w:pPr>
      <w:r>
        <w:rPr>
          <w:rFonts w:hint="eastAsia" w:ascii="宋体" w:hAnsi="宋体"/>
          <w:color w:val="auto"/>
          <w:spacing w:val="0"/>
          <w:position w:val="0"/>
          <w:sz w:val="24"/>
          <w:szCs w:val="24"/>
          <w:highlight w:val="none"/>
        </w:rPr>
        <w:t xml:space="preserve">                                        年    月    日</w:t>
      </w:r>
    </w:p>
    <w:p w14:paraId="52B23F30">
      <w:pPr>
        <w:spacing w:before="100" w:line="225" w:lineRule="auto"/>
        <w:ind w:left="16"/>
        <w:outlineLvl w:val="1"/>
        <w:rPr>
          <w:rFonts w:ascii="Cambria" w:hAnsi="Cambria" w:eastAsia="Cambria" w:cs="Cambria"/>
          <w:color w:val="auto"/>
          <w:spacing w:val="0"/>
          <w:position w:val="0"/>
          <w:sz w:val="31"/>
          <w:szCs w:val="31"/>
          <w:highlight w:val="none"/>
        </w:rPr>
      </w:pPr>
      <w:r>
        <w:rPr>
          <w:rFonts w:ascii="宋体" w:hAnsi="宋体"/>
          <w:b/>
          <w:color w:val="auto"/>
          <w:spacing w:val="0"/>
          <w:position w:val="0"/>
          <w:sz w:val="32"/>
          <w:szCs w:val="32"/>
          <w:highlight w:val="none"/>
        </w:rPr>
        <w:br w:type="page"/>
      </w:r>
    </w:p>
    <w:p w14:paraId="306270A6">
      <w:pPr>
        <w:pStyle w:val="39"/>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宋体"/>
          <w:b/>
          <w:bCs/>
          <w:color w:val="auto"/>
          <w:spacing w:val="0"/>
          <w:position w:val="0"/>
          <w:sz w:val="24"/>
          <w:szCs w:val="32"/>
          <w:highlight w:val="none"/>
        </w:rPr>
      </w:pPr>
      <w:r>
        <w:rPr>
          <w:rFonts w:hint="eastAsia" w:ascii="宋体" w:hAnsi="宋体" w:eastAsia="宋体" w:cs="宋体"/>
          <w:b/>
          <w:bCs/>
          <w:color w:val="auto"/>
          <w:spacing w:val="0"/>
          <w:position w:val="0"/>
          <w:sz w:val="24"/>
          <w:szCs w:val="32"/>
          <w:highlight w:val="none"/>
        </w:rPr>
        <w:t>附：大型、 中型和小型、微型企业划型标准</w:t>
      </w:r>
    </w:p>
    <w:p w14:paraId="4E2AACC9">
      <w:pPr>
        <w:pStyle w:val="39"/>
        <w:keepNext w:val="0"/>
        <w:keepLines w:val="0"/>
        <w:pageBreakBefore w:val="0"/>
        <w:widowControl w:val="0"/>
        <w:kinsoku/>
        <w:wordWrap/>
        <w:overflowPunct/>
        <w:topLinePunct w:val="0"/>
        <w:autoSpaceDE w:val="0"/>
        <w:autoSpaceDN w:val="0"/>
        <w:bidi w:val="0"/>
        <w:adjustRightInd w:val="0"/>
        <w:snapToGrid/>
        <w:spacing w:line="400" w:lineRule="exact"/>
        <w:jc w:val="center"/>
        <w:textAlignment w:val="auto"/>
        <w:rPr>
          <w:rFonts w:hint="eastAsia" w:ascii="宋体" w:hAnsi="宋体" w:eastAsia="宋体" w:cs="宋体"/>
          <w:b/>
          <w:bCs/>
          <w:color w:val="auto"/>
          <w:spacing w:val="0"/>
          <w:position w:val="0"/>
          <w:sz w:val="24"/>
          <w:szCs w:val="32"/>
          <w:highlight w:val="none"/>
        </w:rPr>
      </w:pPr>
      <w:r>
        <w:rPr>
          <w:rFonts w:hint="eastAsia" w:ascii="宋体" w:hAnsi="宋体" w:eastAsia="宋体" w:cs="宋体"/>
          <w:b/>
          <w:bCs/>
          <w:color w:val="auto"/>
          <w:spacing w:val="0"/>
          <w:position w:val="0"/>
          <w:sz w:val="24"/>
          <w:szCs w:val="32"/>
          <w:highlight w:val="none"/>
        </w:rPr>
        <w:t>根据</w:t>
      </w:r>
      <w:r>
        <w:rPr>
          <w:rFonts w:hint="eastAsia" w:ascii="宋体" w:hAnsi="宋体" w:eastAsia="宋体" w:cs="宋体"/>
          <w:b/>
          <w:bCs/>
          <w:color w:val="auto"/>
          <w:spacing w:val="0"/>
          <w:position w:val="0"/>
          <w:sz w:val="24"/>
          <w:szCs w:val="32"/>
          <w:highlight w:val="none"/>
          <w:lang w:eastAsia="zh-CN"/>
        </w:rPr>
        <w:t>（</w:t>
      </w:r>
      <w:r>
        <w:rPr>
          <w:rFonts w:hint="eastAsia" w:ascii="宋体" w:hAnsi="宋体" w:eastAsia="宋体" w:cs="宋体"/>
          <w:b/>
          <w:bCs/>
          <w:color w:val="auto"/>
          <w:spacing w:val="0"/>
          <w:position w:val="0"/>
          <w:sz w:val="24"/>
          <w:szCs w:val="32"/>
          <w:highlight w:val="none"/>
        </w:rPr>
        <w:t>工信部联企业[2011]300 号</w:t>
      </w:r>
      <w:r>
        <w:rPr>
          <w:rFonts w:hint="eastAsia" w:ascii="宋体" w:hAnsi="宋体" w:eastAsia="宋体" w:cs="宋体"/>
          <w:b/>
          <w:bCs/>
          <w:color w:val="auto"/>
          <w:spacing w:val="0"/>
          <w:position w:val="0"/>
          <w:sz w:val="24"/>
          <w:szCs w:val="32"/>
          <w:highlight w:val="none"/>
          <w:lang w:eastAsia="zh-CN"/>
        </w:rPr>
        <w:t>）</w:t>
      </w:r>
      <w:r>
        <w:rPr>
          <w:rFonts w:hint="eastAsia" w:ascii="宋体" w:hAnsi="宋体" w:eastAsia="宋体" w:cs="宋体"/>
          <w:b/>
          <w:bCs/>
          <w:color w:val="auto"/>
          <w:spacing w:val="0"/>
          <w:position w:val="0"/>
          <w:sz w:val="24"/>
          <w:szCs w:val="32"/>
          <w:highlight w:val="none"/>
        </w:rPr>
        <w:t>文</w:t>
      </w:r>
    </w:p>
    <w:tbl>
      <w:tblPr>
        <w:tblStyle w:val="51"/>
        <w:tblW w:w="85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4"/>
        <w:gridCol w:w="1187"/>
        <w:gridCol w:w="900"/>
        <w:gridCol w:w="1399"/>
        <w:gridCol w:w="1535"/>
        <w:gridCol w:w="1295"/>
        <w:gridCol w:w="1004"/>
      </w:tblGrid>
      <w:tr w14:paraId="352C0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1184" w:type="dxa"/>
            <w:vAlign w:val="top"/>
          </w:tcPr>
          <w:p w14:paraId="3A193121">
            <w:pPr>
              <w:keepNext w:val="0"/>
              <w:keepLines w:val="0"/>
              <w:pageBreakBefore w:val="0"/>
              <w:widowControl w:val="0"/>
              <w:kinsoku/>
              <w:wordWrap/>
              <w:overflowPunct/>
              <w:topLinePunct w:val="0"/>
              <w:autoSpaceDE/>
              <w:autoSpaceDN/>
              <w:bidi w:val="0"/>
              <w:adjustRightInd/>
              <w:snapToGrid/>
              <w:spacing w:before="104" w:line="200" w:lineRule="exact"/>
              <w:ind w:left="126"/>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14:textOutline w14:w="4358" w14:cap="sq" w14:cmpd="sng">
                  <w14:solidFill>
                    <w14:srgbClr w14:val="000000"/>
                  </w14:solidFill>
                  <w14:prstDash w14:val="solid"/>
                  <w14:bevel/>
                </w14:textOutline>
              </w:rPr>
              <w:t>行业名称</w:t>
            </w:r>
          </w:p>
        </w:tc>
        <w:tc>
          <w:tcPr>
            <w:tcW w:w="1187" w:type="dxa"/>
            <w:vAlign w:val="top"/>
          </w:tcPr>
          <w:p w14:paraId="32A7E35D">
            <w:pPr>
              <w:keepNext w:val="0"/>
              <w:keepLines w:val="0"/>
              <w:pageBreakBefore w:val="0"/>
              <w:widowControl w:val="0"/>
              <w:kinsoku/>
              <w:wordWrap/>
              <w:overflowPunct/>
              <w:topLinePunct w:val="0"/>
              <w:autoSpaceDE/>
              <w:autoSpaceDN/>
              <w:bidi w:val="0"/>
              <w:adjustRightInd/>
              <w:snapToGrid/>
              <w:spacing w:before="104" w:line="200" w:lineRule="exact"/>
              <w:ind w:left="126"/>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14:textOutline w14:w="4358" w14:cap="sq" w14:cmpd="sng">
                  <w14:solidFill>
                    <w14:srgbClr w14:val="000000"/>
                  </w14:solidFill>
                  <w14:prstDash w14:val="solid"/>
                  <w14:bevel/>
                </w14:textOutline>
              </w:rPr>
              <w:t>指标名称</w:t>
            </w:r>
          </w:p>
        </w:tc>
        <w:tc>
          <w:tcPr>
            <w:tcW w:w="900" w:type="dxa"/>
            <w:vAlign w:val="top"/>
          </w:tcPr>
          <w:p w14:paraId="777C51C5">
            <w:pPr>
              <w:keepNext w:val="0"/>
              <w:keepLines w:val="0"/>
              <w:pageBreakBefore w:val="0"/>
              <w:widowControl w:val="0"/>
              <w:kinsoku/>
              <w:wordWrap/>
              <w:overflowPunct/>
              <w:topLinePunct w:val="0"/>
              <w:autoSpaceDE/>
              <w:autoSpaceDN/>
              <w:bidi w:val="0"/>
              <w:adjustRightInd/>
              <w:snapToGrid/>
              <w:spacing w:before="104" w:line="200" w:lineRule="exact"/>
              <w:ind w:left="228"/>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14:textOutline w14:w="4358" w14:cap="sq" w14:cmpd="sng">
                  <w14:solidFill>
                    <w14:srgbClr w14:val="000000"/>
                  </w14:solidFill>
                  <w14:prstDash w14:val="solid"/>
                  <w14:bevel/>
                </w14:textOutline>
              </w:rPr>
              <w:t>单位</w:t>
            </w:r>
          </w:p>
        </w:tc>
        <w:tc>
          <w:tcPr>
            <w:tcW w:w="1399" w:type="dxa"/>
            <w:vAlign w:val="top"/>
          </w:tcPr>
          <w:p w14:paraId="7148006A">
            <w:pPr>
              <w:keepNext w:val="0"/>
              <w:keepLines w:val="0"/>
              <w:pageBreakBefore w:val="0"/>
              <w:widowControl w:val="0"/>
              <w:kinsoku/>
              <w:wordWrap/>
              <w:overflowPunct/>
              <w:topLinePunct w:val="0"/>
              <w:autoSpaceDE/>
              <w:autoSpaceDN/>
              <w:bidi w:val="0"/>
              <w:adjustRightInd/>
              <w:snapToGrid/>
              <w:spacing w:before="104" w:line="200" w:lineRule="exact"/>
              <w:ind w:left="47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14:textOutline w14:w="4358" w14:cap="sq" w14:cmpd="sng">
                  <w14:solidFill>
                    <w14:srgbClr w14:val="000000"/>
                  </w14:solidFill>
                  <w14:prstDash w14:val="solid"/>
                  <w14:bevel/>
                </w14:textOutline>
              </w:rPr>
              <w:t>大型</w:t>
            </w:r>
          </w:p>
        </w:tc>
        <w:tc>
          <w:tcPr>
            <w:tcW w:w="1535" w:type="dxa"/>
            <w:vAlign w:val="top"/>
          </w:tcPr>
          <w:p w14:paraId="683DAC9A">
            <w:pPr>
              <w:keepNext w:val="0"/>
              <w:keepLines w:val="0"/>
              <w:pageBreakBefore w:val="0"/>
              <w:widowControl w:val="0"/>
              <w:kinsoku/>
              <w:wordWrap/>
              <w:overflowPunct/>
              <w:topLinePunct w:val="0"/>
              <w:autoSpaceDE/>
              <w:autoSpaceDN/>
              <w:bidi w:val="0"/>
              <w:adjustRightInd/>
              <w:snapToGrid/>
              <w:spacing w:before="104" w:line="200" w:lineRule="exact"/>
              <w:ind w:left="571"/>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14:textOutline w14:w="4358" w14:cap="sq" w14:cmpd="sng">
                  <w14:solidFill>
                    <w14:srgbClr w14:val="000000"/>
                  </w14:solidFill>
                  <w14:prstDash w14:val="solid"/>
                  <w14:bevel/>
                </w14:textOutline>
              </w:rPr>
              <w:t>中型</w:t>
            </w:r>
          </w:p>
        </w:tc>
        <w:tc>
          <w:tcPr>
            <w:tcW w:w="1295" w:type="dxa"/>
            <w:vAlign w:val="top"/>
          </w:tcPr>
          <w:p w14:paraId="6B893BAB">
            <w:pPr>
              <w:keepNext w:val="0"/>
              <w:keepLines w:val="0"/>
              <w:pageBreakBefore w:val="0"/>
              <w:widowControl w:val="0"/>
              <w:kinsoku/>
              <w:wordWrap/>
              <w:overflowPunct/>
              <w:topLinePunct w:val="0"/>
              <w:autoSpaceDE/>
              <w:autoSpaceDN/>
              <w:bidi w:val="0"/>
              <w:adjustRightInd/>
              <w:snapToGrid/>
              <w:spacing w:before="105" w:line="200" w:lineRule="exact"/>
              <w:ind w:left="421"/>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14:textOutline w14:w="4358" w14:cap="sq" w14:cmpd="sng">
                  <w14:solidFill>
                    <w14:srgbClr w14:val="000000"/>
                  </w14:solidFill>
                  <w14:prstDash w14:val="solid"/>
                  <w14:bevel/>
                </w14:textOutline>
              </w:rPr>
              <w:t>小型</w:t>
            </w:r>
          </w:p>
        </w:tc>
        <w:tc>
          <w:tcPr>
            <w:tcW w:w="1004" w:type="dxa"/>
            <w:vAlign w:val="top"/>
          </w:tcPr>
          <w:p w14:paraId="077FA5A8">
            <w:pPr>
              <w:keepNext w:val="0"/>
              <w:keepLines w:val="0"/>
              <w:pageBreakBefore w:val="0"/>
              <w:widowControl w:val="0"/>
              <w:kinsoku/>
              <w:wordWrap/>
              <w:overflowPunct/>
              <w:topLinePunct w:val="0"/>
              <w:autoSpaceDE/>
              <w:autoSpaceDN/>
              <w:bidi w:val="0"/>
              <w:adjustRightInd/>
              <w:snapToGrid/>
              <w:spacing w:before="104" w:line="200" w:lineRule="exact"/>
              <w:ind w:left="27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14:textOutline w14:w="4358" w14:cap="sq" w14:cmpd="sng">
                  <w14:solidFill>
                    <w14:srgbClr w14:val="000000"/>
                  </w14:solidFill>
                  <w14:prstDash w14:val="solid"/>
                  <w14:bevel/>
                </w14:textOutline>
              </w:rPr>
              <w:t>微型</w:t>
            </w:r>
          </w:p>
        </w:tc>
      </w:tr>
      <w:tr w14:paraId="78155E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1184" w:type="dxa"/>
            <w:vAlign w:val="top"/>
          </w:tcPr>
          <w:p w14:paraId="68AF1FB1">
            <w:pPr>
              <w:keepNext w:val="0"/>
              <w:keepLines w:val="0"/>
              <w:pageBreakBefore w:val="0"/>
              <w:widowControl w:val="0"/>
              <w:kinsoku/>
              <w:wordWrap/>
              <w:overflowPunct/>
              <w:topLinePunct w:val="0"/>
              <w:autoSpaceDE/>
              <w:autoSpaceDN/>
              <w:bidi w:val="0"/>
              <w:adjustRightInd/>
              <w:snapToGrid/>
              <w:spacing w:before="99" w:line="200" w:lineRule="exact"/>
              <w:ind w:left="1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农林牧渔</w:t>
            </w:r>
          </w:p>
        </w:tc>
        <w:tc>
          <w:tcPr>
            <w:tcW w:w="1187" w:type="dxa"/>
            <w:vAlign w:val="top"/>
          </w:tcPr>
          <w:p w14:paraId="1A95BF18">
            <w:pPr>
              <w:keepNext w:val="0"/>
              <w:keepLines w:val="0"/>
              <w:pageBreakBefore w:val="0"/>
              <w:widowControl w:val="0"/>
              <w:kinsoku/>
              <w:wordWrap/>
              <w:overflowPunct/>
              <w:topLinePunct w:val="0"/>
              <w:autoSpaceDE/>
              <w:autoSpaceDN/>
              <w:bidi w:val="0"/>
              <w:adjustRightInd/>
              <w:snapToGrid/>
              <w:spacing w:before="100" w:line="200" w:lineRule="exact"/>
              <w:ind w:left="133"/>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营业收入</w:t>
            </w:r>
          </w:p>
        </w:tc>
        <w:tc>
          <w:tcPr>
            <w:tcW w:w="900" w:type="dxa"/>
            <w:vAlign w:val="top"/>
          </w:tcPr>
          <w:p w14:paraId="33F57227">
            <w:pPr>
              <w:keepNext w:val="0"/>
              <w:keepLines w:val="0"/>
              <w:pageBreakBefore w:val="0"/>
              <w:widowControl w:val="0"/>
              <w:kinsoku/>
              <w:wordWrap/>
              <w:overflowPunct/>
              <w:topLinePunct w:val="0"/>
              <w:autoSpaceDE/>
              <w:autoSpaceDN/>
              <w:bidi w:val="0"/>
              <w:adjustRightInd/>
              <w:snapToGrid/>
              <w:spacing w:before="100" w:line="200" w:lineRule="exact"/>
              <w:ind w:left="2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万元</w:t>
            </w:r>
          </w:p>
        </w:tc>
        <w:tc>
          <w:tcPr>
            <w:tcW w:w="1399" w:type="dxa"/>
            <w:vAlign w:val="top"/>
          </w:tcPr>
          <w:p w14:paraId="56CCFF88">
            <w:pPr>
              <w:keepNext w:val="0"/>
              <w:keepLines w:val="0"/>
              <w:pageBreakBefore w:val="0"/>
              <w:widowControl w:val="0"/>
              <w:kinsoku/>
              <w:wordWrap/>
              <w:overflowPunct/>
              <w:topLinePunct w:val="0"/>
              <w:autoSpaceDE/>
              <w:autoSpaceDN/>
              <w:bidi w:val="0"/>
              <w:adjustRightInd/>
              <w:snapToGrid/>
              <w:spacing w:before="100" w:line="200" w:lineRule="exact"/>
              <w:ind w:left="31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≥20000</w:t>
            </w:r>
          </w:p>
        </w:tc>
        <w:tc>
          <w:tcPr>
            <w:tcW w:w="1535" w:type="dxa"/>
            <w:vAlign w:val="top"/>
          </w:tcPr>
          <w:p w14:paraId="114243AE">
            <w:pPr>
              <w:keepNext w:val="0"/>
              <w:keepLines w:val="0"/>
              <w:pageBreakBefore w:val="0"/>
              <w:widowControl w:val="0"/>
              <w:kinsoku/>
              <w:wordWrap/>
              <w:overflowPunct/>
              <w:topLinePunct w:val="0"/>
              <w:autoSpaceDE/>
              <w:autoSpaceDN/>
              <w:bidi w:val="0"/>
              <w:adjustRightInd/>
              <w:snapToGrid/>
              <w:spacing w:before="141" w:line="200" w:lineRule="exact"/>
              <w:ind w:left="23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500-20000</w:t>
            </w:r>
          </w:p>
        </w:tc>
        <w:tc>
          <w:tcPr>
            <w:tcW w:w="1295" w:type="dxa"/>
            <w:vAlign w:val="top"/>
          </w:tcPr>
          <w:p w14:paraId="23B925DE">
            <w:pPr>
              <w:keepNext w:val="0"/>
              <w:keepLines w:val="0"/>
              <w:pageBreakBefore w:val="0"/>
              <w:widowControl w:val="0"/>
              <w:kinsoku/>
              <w:wordWrap/>
              <w:overflowPunct/>
              <w:topLinePunct w:val="0"/>
              <w:autoSpaceDE/>
              <w:autoSpaceDN/>
              <w:bidi w:val="0"/>
              <w:adjustRightInd/>
              <w:snapToGrid/>
              <w:spacing w:before="141" w:line="200" w:lineRule="exact"/>
              <w:ind w:left="298"/>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50-500</w:t>
            </w:r>
          </w:p>
        </w:tc>
        <w:tc>
          <w:tcPr>
            <w:tcW w:w="1004" w:type="dxa"/>
            <w:vAlign w:val="top"/>
          </w:tcPr>
          <w:p w14:paraId="36ED87EB">
            <w:pPr>
              <w:keepNext w:val="0"/>
              <w:keepLines w:val="0"/>
              <w:pageBreakBefore w:val="0"/>
              <w:widowControl w:val="0"/>
              <w:kinsoku/>
              <w:wordWrap/>
              <w:overflowPunct/>
              <w:topLinePunct w:val="0"/>
              <w:autoSpaceDE/>
              <w:autoSpaceDN/>
              <w:bidi w:val="0"/>
              <w:adjustRightInd/>
              <w:snapToGrid/>
              <w:spacing w:before="100" w:line="200" w:lineRule="exact"/>
              <w:ind w:left="28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＜50</w:t>
            </w:r>
          </w:p>
        </w:tc>
      </w:tr>
      <w:tr w14:paraId="5A84CB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1184" w:type="dxa"/>
            <w:vMerge w:val="restart"/>
            <w:tcBorders>
              <w:bottom w:val="nil"/>
            </w:tcBorders>
            <w:vAlign w:val="top"/>
          </w:tcPr>
          <w:p w14:paraId="656A2E42">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p w14:paraId="59CD1EF3">
            <w:pPr>
              <w:keepNext w:val="0"/>
              <w:keepLines w:val="0"/>
              <w:pageBreakBefore w:val="0"/>
              <w:widowControl w:val="0"/>
              <w:kinsoku/>
              <w:wordWrap/>
              <w:overflowPunct/>
              <w:topLinePunct w:val="0"/>
              <w:autoSpaceDE/>
              <w:autoSpaceDN/>
              <w:bidi w:val="0"/>
              <w:adjustRightInd/>
              <w:snapToGrid/>
              <w:spacing w:before="75" w:line="200" w:lineRule="exact"/>
              <w:ind w:left="37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工业</w:t>
            </w:r>
          </w:p>
        </w:tc>
        <w:tc>
          <w:tcPr>
            <w:tcW w:w="1187" w:type="dxa"/>
            <w:vAlign w:val="top"/>
          </w:tcPr>
          <w:p w14:paraId="756986DF">
            <w:pPr>
              <w:keepNext w:val="0"/>
              <w:keepLines w:val="0"/>
              <w:pageBreakBefore w:val="0"/>
              <w:widowControl w:val="0"/>
              <w:kinsoku/>
              <w:wordWrap/>
              <w:overflowPunct/>
              <w:topLinePunct w:val="0"/>
              <w:autoSpaceDE/>
              <w:autoSpaceDN/>
              <w:bidi w:val="0"/>
              <w:adjustRightInd/>
              <w:snapToGrid/>
              <w:spacing w:before="101" w:line="200" w:lineRule="exact"/>
              <w:ind w:left="1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从业人员</w:t>
            </w:r>
          </w:p>
        </w:tc>
        <w:tc>
          <w:tcPr>
            <w:tcW w:w="900" w:type="dxa"/>
            <w:vAlign w:val="top"/>
          </w:tcPr>
          <w:p w14:paraId="5B522131">
            <w:pPr>
              <w:keepNext w:val="0"/>
              <w:keepLines w:val="0"/>
              <w:pageBreakBefore w:val="0"/>
              <w:widowControl w:val="0"/>
              <w:kinsoku/>
              <w:wordWrap/>
              <w:overflowPunct/>
              <w:topLinePunct w:val="0"/>
              <w:autoSpaceDE/>
              <w:autoSpaceDN/>
              <w:bidi w:val="0"/>
              <w:adjustRightInd/>
              <w:snapToGrid/>
              <w:spacing w:before="101" w:line="200" w:lineRule="exact"/>
              <w:ind w:left="34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人</w:t>
            </w:r>
          </w:p>
        </w:tc>
        <w:tc>
          <w:tcPr>
            <w:tcW w:w="1399" w:type="dxa"/>
            <w:vAlign w:val="top"/>
          </w:tcPr>
          <w:p w14:paraId="1B987D13">
            <w:pPr>
              <w:keepNext w:val="0"/>
              <w:keepLines w:val="0"/>
              <w:pageBreakBefore w:val="0"/>
              <w:widowControl w:val="0"/>
              <w:kinsoku/>
              <w:wordWrap/>
              <w:overflowPunct/>
              <w:topLinePunct w:val="0"/>
              <w:autoSpaceDE/>
              <w:autoSpaceDN/>
              <w:bidi w:val="0"/>
              <w:adjustRightInd/>
              <w:snapToGrid/>
              <w:spacing w:before="101" w:line="200" w:lineRule="exact"/>
              <w:ind w:left="37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≥1000</w:t>
            </w:r>
          </w:p>
        </w:tc>
        <w:tc>
          <w:tcPr>
            <w:tcW w:w="1535" w:type="dxa"/>
            <w:vAlign w:val="top"/>
          </w:tcPr>
          <w:p w14:paraId="1DB26C8E">
            <w:pPr>
              <w:keepNext w:val="0"/>
              <w:keepLines w:val="0"/>
              <w:pageBreakBefore w:val="0"/>
              <w:widowControl w:val="0"/>
              <w:kinsoku/>
              <w:wordWrap/>
              <w:overflowPunct/>
              <w:topLinePunct w:val="0"/>
              <w:autoSpaceDE/>
              <w:autoSpaceDN/>
              <w:bidi w:val="0"/>
              <w:adjustRightInd/>
              <w:snapToGrid/>
              <w:spacing w:before="142" w:line="200" w:lineRule="exact"/>
              <w:ind w:left="29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300-1000</w:t>
            </w:r>
          </w:p>
        </w:tc>
        <w:tc>
          <w:tcPr>
            <w:tcW w:w="1295" w:type="dxa"/>
            <w:vAlign w:val="top"/>
          </w:tcPr>
          <w:p w14:paraId="5D7FDB25">
            <w:pPr>
              <w:keepNext w:val="0"/>
              <w:keepLines w:val="0"/>
              <w:pageBreakBefore w:val="0"/>
              <w:widowControl w:val="0"/>
              <w:kinsoku/>
              <w:wordWrap/>
              <w:overflowPunct/>
              <w:topLinePunct w:val="0"/>
              <w:autoSpaceDE/>
              <w:autoSpaceDN/>
              <w:bidi w:val="0"/>
              <w:adjustRightInd/>
              <w:snapToGrid/>
              <w:spacing w:before="142" w:line="200" w:lineRule="exact"/>
              <w:ind w:left="296"/>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20-300</w:t>
            </w:r>
          </w:p>
        </w:tc>
        <w:tc>
          <w:tcPr>
            <w:tcW w:w="1004" w:type="dxa"/>
            <w:vAlign w:val="top"/>
          </w:tcPr>
          <w:p w14:paraId="7DBCE323">
            <w:pPr>
              <w:keepNext w:val="0"/>
              <w:keepLines w:val="0"/>
              <w:pageBreakBefore w:val="0"/>
              <w:widowControl w:val="0"/>
              <w:kinsoku/>
              <w:wordWrap/>
              <w:overflowPunct/>
              <w:topLinePunct w:val="0"/>
              <w:autoSpaceDE/>
              <w:autoSpaceDN/>
              <w:bidi w:val="0"/>
              <w:adjustRightInd/>
              <w:snapToGrid/>
              <w:spacing w:before="101" w:line="200" w:lineRule="exact"/>
              <w:ind w:left="28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w:t>
            </w:r>
          </w:p>
        </w:tc>
      </w:tr>
      <w:tr w14:paraId="1CEB6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184" w:type="dxa"/>
            <w:vMerge w:val="continue"/>
            <w:tcBorders>
              <w:top w:val="nil"/>
            </w:tcBorders>
            <w:vAlign w:val="top"/>
          </w:tcPr>
          <w:p w14:paraId="3A3C537C">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tc>
        <w:tc>
          <w:tcPr>
            <w:tcW w:w="1187" w:type="dxa"/>
            <w:vAlign w:val="top"/>
          </w:tcPr>
          <w:p w14:paraId="53AC8C59">
            <w:pPr>
              <w:keepNext w:val="0"/>
              <w:keepLines w:val="0"/>
              <w:pageBreakBefore w:val="0"/>
              <w:widowControl w:val="0"/>
              <w:kinsoku/>
              <w:wordWrap/>
              <w:overflowPunct/>
              <w:topLinePunct w:val="0"/>
              <w:autoSpaceDE/>
              <w:autoSpaceDN/>
              <w:bidi w:val="0"/>
              <w:adjustRightInd/>
              <w:snapToGrid/>
              <w:spacing w:before="101" w:line="200" w:lineRule="exact"/>
              <w:ind w:left="133"/>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营业收入</w:t>
            </w:r>
          </w:p>
        </w:tc>
        <w:tc>
          <w:tcPr>
            <w:tcW w:w="900" w:type="dxa"/>
            <w:vAlign w:val="top"/>
          </w:tcPr>
          <w:p w14:paraId="040CC582">
            <w:pPr>
              <w:keepNext w:val="0"/>
              <w:keepLines w:val="0"/>
              <w:pageBreakBefore w:val="0"/>
              <w:widowControl w:val="0"/>
              <w:kinsoku/>
              <w:wordWrap/>
              <w:overflowPunct/>
              <w:topLinePunct w:val="0"/>
              <w:autoSpaceDE/>
              <w:autoSpaceDN/>
              <w:bidi w:val="0"/>
              <w:adjustRightInd/>
              <w:snapToGrid/>
              <w:spacing w:before="101" w:line="200" w:lineRule="exact"/>
              <w:ind w:left="2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万元</w:t>
            </w:r>
          </w:p>
        </w:tc>
        <w:tc>
          <w:tcPr>
            <w:tcW w:w="1399" w:type="dxa"/>
            <w:vAlign w:val="top"/>
          </w:tcPr>
          <w:p w14:paraId="5C74DBAD">
            <w:pPr>
              <w:keepNext w:val="0"/>
              <w:keepLines w:val="0"/>
              <w:pageBreakBefore w:val="0"/>
              <w:widowControl w:val="0"/>
              <w:kinsoku/>
              <w:wordWrap/>
              <w:overflowPunct/>
              <w:topLinePunct w:val="0"/>
              <w:autoSpaceDE/>
              <w:autoSpaceDN/>
              <w:bidi w:val="0"/>
              <w:adjustRightInd/>
              <w:snapToGrid/>
              <w:spacing w:before="101" w:line="200" w:lineRule="exact"/>
              <w:ind w:left="31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≥40000</w:t>
            </w:r>
          </w:p>
        </w:tc>
        <w:tc>
          <w:tcPr>
            <w:tcW w:w="1535" w:type="dxa"/>
            <w:vAlign w:val="top"/>
          </w:tcPr>
          <w:p w14:paraId="7F38D86C">
            <w:pPr>
              <w:keepNext w:val="0"/>
              <w:keepLines w:val="0"/>
              <w:pageBreakBefore w:val="0"/>
              <w:widowControl w:val="0"/>
              <w:kinsoku/>
              <w:wordWrap/>
              <w:overflowPunct/>
              <w:topLinePunct w:val="0"/>
              <w:autoSpaceDE/>
              <w:autoSpaceDN/>
              <w:bidi w:val="0"/>
              <w:adjustRightInd/>
              <w:snapToGrid/>
              <w:spacing w:before="142" w:line="200" w:lineRule="exact"/>
              <w:ind w:left="17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2000-40000</w:t>
            </w:r>
          </w:p>
        </w:tc>
        <w:tc>
          <w:tcPr>
            <w:tcW w:w="1295" w:type="dxa"/>
            <w:vAlign w:val="top"/>
          </w:tcPr>
          <w:p w14:paraId="2D81C005">
            <w:pPr>
              <w:keepNext w:val="0"/>
              <w:keepLines w:val="0"/>
              <w:pageBreakBefore w:val="0"/>
              <w:widowControl w:val="0"/>
              <w:kinsoku/>
              <w:wordWrap/>
              <w:overflowPunct/>
              <w:topLinePunct w:val="0"/>
              <w:autoSpaceDE/>
              <w:autoSpaceDN/>
              <w:bidi w:val="0"/>
              <w:adjustRightInd/>
              <w:snapToGrid/>
              <w:spacing w:before="142" w:line="200" w:lineRule="exact"/>
              <w:ind w:left="178"/>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300-2000</w:t>
            </w:r>
          </w:p>
        </w:tc>
        <w:tc>
          <w:tcPr>
            <w:tcW w:w="1004" w:type="dxa"/>
            <w:vAlign w:val="top"/>
          </w:tcPr>
          <w:p w14:paraId="4C92BA88">
            <w:pPr>
              <w:keepNext w:val="0"/>
              <w:keepLines w:val="0"/>
              <w:pageBreakBefore w:val="0"/>
              <w:widowControl w:val="0"/>
              <w:kinsoku/>
              <w:wordWrap/>
              <w:overflowPunct/>
              <w:topLinePunct w:val="0"/>
              <w:autoSpaceDE/>
              <w:autoSpaceDN/>
              <w:bidi w:val="0"/>
              <w:adjustRightInd/>
              <w:snapToGrid/>
              <w:spacing w:before="101" w:line="200" w:lineRule="exact"/>
              <w:ind w:left="22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w:t>
            </w:r>
          </w:p>
        </w:tc>
      </w:tr>
      <w:tr w14:paraId="052BE8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1184" w:type="dxa"/>
            <w:vMerge w:val="restart"/>
            <w:tcBorders>
              <w:bottom w:val="nil"/>
            </w:tcBorders>
            <w:vAlign w:val="top"/>
          </w:tcPr>
          <w:p w14:paraId="7DC8A2EE">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p w14:paraId="66672D15">
            <w:pPr>
              <w:keepNext w:val="0"/>
              <w:keepLines w:val="0"/>
              <w:pageBreakBefore w:val="0"/>
              <w:widowControl w:val="0"/>
              <w:kinsoku/>
              <w:wordWrap/>
              <w:overflowPunct/>
              <w:topLinePunct w:val="0"/>
              <w:autoSpaceDE/>
              <w:autoSpaceDN/>
              <w:bidi w:val="0"/>
              <w:adjustRightInd/>
              <w:snapToGrid/>
              <w:spacing w:before="74" w:line="200" w:lineRule="exact"/>
              <w:ind w:left="244"/>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建筑业</w:t>
            </w:r>
          </w:p>
        </w:tc>
        <w:tc>
          <w:tcPr>
            <w:tcW w:w="1187" w:type="dxa"/>
            <w:vAlign w:val="top"/>
          </w:tcPr>
          <w:p w14:paraId="44823EA6">
            <w:pPr>
              <w:keepNext w:val="0"/>
              <w:keepLines w:val="0"/>
              <w:pageBreakBefore w:val="0"/>
              <w:widowControl w:val="0"/>
              <w:kinsoku/>
              <w:wordWrap/>
              <w:overflowPunct/>
              <w:topLinePunct w:val="0"/>
              <w:autoSpaceDE/>
              <w:autoSpaceDN/>
              <w:bidi w:val="0"/>
              <w:adjustRightInd/>
              <w:snapToGrid/>
              <w:spacing w:before="101" w:line="200" w:lineRule="exact"/>
              <w:ind w:left="133"/>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营业收入</w:t>
            </w:r>
          </w:p>
        </w:tc>
        <w:tc>
          <w:tcPr>
            <w:tcW w:w="900" w:type="dxa"/>
            <w:vAlign w:val="top"/>
          </w:tcPr>
          <w:p w14:paraId="6E304048">
            <w:pPr>
              <w:keepNext w:val="0"/>
              <w:keepLines w:val="0"/>
              <w:pageBreakBefore w:val="0"/>
              <w:widowControl w:val="0"/>
              <w:kinsoku/>
              <w:wordWrap/>
              <w:overflowPunct/>
              <w:topLinePunct w:val="0"/>
              <w:autoSpaceDE/>
              <w:autoSpaceDN/>
              <w:bidi w:val="0"/>
              <w:adjustRightInd/>
              <w:snapToGrid/>
              <w:spacing w:before="101" w:line="200" w:lineRule="exact"/>
              <w:ind w:left="2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万元</w:t>
            </w:r>
          </w:p>
        </w:tc>
        <w:tc>
          <w:tcPr>
            <w:tcW w:w="1399" w:type="dxa"/>
            <w:vAlign w:val="top"/>
          </w:tcPr>
          <w:p w14:paraId="4AFD2E12">
            <w:pPr>
              <w:keepNext w:val="0"/>
              <w:keepLines w:val="0"/>
              <w:pageBreakBefore w:val="0"/>
              <w:widowControl w:val="0"/>
              <w:kinsoku/>
              <w:wordWrap/>
              <w:overflowPunct/>
              <w:topLinePunct w:val="0"/>
              <w:autoSpaceDE/>
              <w:autoSpaceDN/>
              <w:bidi w:val="0"/>
              <w:adjustRightInd/>
              <w:snapToGrid/>
              <w:spacing w:before="100" w:line="200" w:lineRule="exact"/>
              <w:ind w:left="31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≥80000</w:t>
            </w:r>
          </w:p>
        </w:tc>
        <w:tc>
          <w:tcPr>
            <w:tcW w:w="1535" w:type="dxa"/>
            <w:vAlign w:val="top"/>
          </w:tcPr>
          <w:p w14:paraId="07D0DE9A">
            <w:pPr>
              <w:keepNext w:val="0"/>
              <w:keepLines w:val="0"/>
              <w:pageBreakBefore w:val="0"/>
              <w:widowControl w:val="0"/>
              <w:kinsoku/>
              <w:wordWrap/>
              <w:overflowPunct/>
              <w:topLinePunct w:val="0"/>
              <w:autoSpaceDE/>
              <w:autoSpaceDN/>
              <w:bidi w:val="0"/>
              <w:adjustRightInd/>
              <w:snapToGrid/>
              <w:spacing w:before="141" w:line="200" w:lineRule="exact"/>
              <w:ind w:left="174"/>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6000-80000</w:t>
            </w:r>
          </w:p>
        </w:tc>
        <w:tc>
          <w:tcPr>
            <w:tcW w:w="1295" w:type="dxa"/>
            <w:vAlign w:val="top"/>
          </w:tcPr>
          <w:p w14:paraId="52BBA050">
            <w:pPr>
              <w:keepNext w:val="0"/>
              <w:keepLines w:val="0"/>
              <w:pageBreakBefore w:val="0"/>
              <w:widowControl w:val="0"/>
              <w:kinsoku/>
              <w:wordWrap/>
              <w:overflowPunct/>
              <w:topLinePunct w:val="0"/>
              <w:autoSpaceDE/>
              <w:autoSpaceDN/>
              <w:bidi w:val="0"/>
              <w:adjustRightInd/>
              <w:snapToGrid/>
              <w:spacing w:before="141" w:line="200" w:lineRule="exact"/>
              <w:ind w:left="178"/>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300-6000</w:t>
            </w:r>
          </w:p>
        </w:tc>
        <w:tc>
          <w:tcPr>
            <w:tcW w:w="1004" w:type="dxa"/>
            <w:vAlign w:val="top"/>
          </w:tcPr>
          <w:p w14:paraId="7F7CFEF9">
            <w:pPr>
              <w:keepNext w:val="0"/>
              <w:keepLines w:val="0"/>
              <w:pageBreakBefore w:val="0"/>
              <w:widowControl w:val="0"/>
              <w:kinsoku/>
              <w:wordWrap/>
              <w:overflowPunct/>
              <w:topLinePunct w:val="0"/>
              <w:autoSpaceDE/>
              <w:autoSpaceDN/>
              <w:bidi w:val="0"/>
              <w:adjustRightInd/>
              <w:snapToGrid/>
              <w:spacing w:before="100" w:line="200" w:lineRule="exact"/>
              <w:ind w:left="22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w:t>
            </w:r>
          </w:p>
        </w:tc>
      </w:tr>
      <w:tr w14:paraId="592C8C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184" w:type="dxa"/>
            <w:vMerge w:val="continue"/>
            <w:tcBorders>
              <w:top w:val="nil"/>
            </w:tcBorders>
            <w:vAlign w:val="top"/>
          </w:tcPr>
          <w:p w14:paraId="73BE6C16">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tc>
        <w:tc>
          <w:tcPr>
            <w:tcW w:w="1187" w:type="dxa"/>
            <w:vAlign w:val="top"/>
          </w:tcPr>
          <w:p w14:paraId="62BD03E3">
            <w:pPr>
              <w:keepNext w:val="0"/>
              <w:keepLines w:val="0"/>
              <w:pageBreakBefore w:val="0"/>
              <w:widowControl w:val="0"/>
              <w:kinsoku/>
              <w:wordWrap/>
              <w:overflowPunct/>
              <w:topLinePunct w:val="0"/>
              <w:autoSpaceDE/>
              <w:autoSpaceDN/>
              <w:bidi w:val="0"/>
              <w:adjustRightInd/>
              <w:snapToGrid/>
              <w:spacing w:before="101" w:line="200" w:lineRule="exact"/>
              <w:ind w:left="138"/>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资产总额</w:t>
            </w:r>
          </w:p>
        </w:tc>
        <w:tc>
          <w:tcPr>
            <w:tcW w:w="900" w:type="dxa"/>
            <w:vAlign w:val="top"/>
          </w:tcPr>
          <w:p w14:paraId="22519507">
            <w:pPr>
              <w:keepNext w:val="0"/>
              <w:keepLines w:val="0"/>
              <w:pageBreakBefore w:val="0"/>
              <w:widowControl w:val="0"/>
              <w:kinsoku/>
              <w:wordWrap/>
              <w:overflowPunct/>
              <w:topLinePunct w:val="0"/>
              <w:autoSpaceDE/>
              <w:autoSpaceDN/>
              <w:bidi w:val="0"/>
              <w:adjustRightInd/>
              <w:snapToGrid/>
              <w:spacing w:before="101" w:line="200" w:lineRule="exact"/>
              <w:ind w:left="2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万元</w:t>
            </w:r>
          </w:p>
        </w:tc>
        <w:tc>
          <w:tcPr>
            <w:tcW w:w="1399" w:type="dxa"/>
            <w:vAlign w:val="top"/>
          </w:tcPr>
          <w:p w14:paraId="1DAD6ECC">
            <w:pPr>
              <w:keepNext w:val="0"/>
              <w:keepLines w:val="0"/>
              <w:pageBreakBefore w:val="0"/>
              <w:widowControl w:val="0"/>
              <w:kinsoku/>
              <w:wordWrap/>
              <w:overflowPunct/>
              <w:topLinePunct w:val="0"/>
              <w:autoSpaceDE/>
              <w:autoSpaceDN/>
              <w:bidi w:val="0"/>
              <w:adjustRightInd/>
              <w:snapToGrid/>
              <w:spacing w:before="101" w:line="200" w:lineRule="exact"/>
              <w:ind w:left="31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≥80000</w:t>
            </w:r>
          </w:p>
        </w:tc>
        <w:tc>
          <w:tcPr>
            <w:tcW w:w="1535" w:type="dxa"/>
            <w:vAlign w:val="top"/>
          </w:tcPr>
          <w:p w14:paraId="6F7319A6">
            <w:pPr>
              <w:keepNext w:val="0"/>
              <w:keepLines w:val="0"/>
              <w:pageBreakBefore w:val="0"/>
              <w:widowControl w:val="0"/>
              <w:kinsoku/>
              <w:wordWrap/>
              <w:overflowPunct/>
              <w:topLinePunct w:val="0"/>
              <w:autoSpaceDE/>
              <w:autoSpaceDN/>
              <w:bidi w:val="0"/>
              <w:adjustRightInd/>
              <w:snapToGrid/>
              <w:spacing w:before="142" w:line="200" w:lineRule="exact"/>
              <w:ind w:left="17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5000-80000</w:t>
            </w:r>
          </w:p>
        </w:tc>
        <w:tc>
          <w:tcPr>
            <w:tcW w:w="1295" w:type="dxa"/>
            <w:vAlign w:val="top"/>
          </w:tcPr>
          <w:p w14:paraId="524E75B7">
            <w:pPr>
              <w:keepNext w:val="0"/>
              <w:keepLines w:val="0"/>
              <w:pageBreakBefore w:val="0"/>
              <w:widowControl w:val="0"/>
              <w:kinsoku/>
              <w:wordWrap/>
              <w:overflowPunct/>
              <w:topLinePunct w:val="0"/>
              <w:autoSpaceDE/>
              <w:autoSpaceDN/>
              <w:bidi w:val="0"/>
              <w:adjustRightInd/>
              <w:snapToGrid/>
              <w:spacing w:before="142" w:line="200" w:lineRule="exact"/>
              <w:ind w:left="178"/>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300-5000</w:t>
            </w:r>
          </w:p>
        </w:tc>
        <w:tc>
          <w:tcPr>
            <w:tcW w:w="1004" w:type="dxa"/>
            <w:vAlign w:val="top"/>
          </w:tcPr>
          <w:p w14:paraId="7B1FCC80">
            <w:pPr>
              <w:keepNext w:val="0"/>
              <w:keepLines w:val="0"/>
              <w:pageBreakBefore w:val="0"/>
              <w:widowControl w:val="0"/>
              <w:kinsoku/>
              <w:wordWrap/>
              <w:overflowPunct/>
              <w:topLinePunct w:val="0"/>
              <w:autoSpaceDE/>
              <w:autoSpaceDN/>
              <w:bidi w:val="0"/>
              <w:adjustRightInd/>
              <w:snapToGrid/>
              <w:spacing w:before="101" w:line="200" w:lineRule="exact"/>
              <w:ind w:left="22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w:t>
            </w:r>
          </w:p>
        </w:tc>
      </w:tr>
      <w:tr w14:paraId="0A77C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1184" w:type="dxa"/>
            <w:vMerge w:val="restart"/>
            <w:tcBorders>
              <w:bottom w:val="nil"/>
            </w:tcBorders>
            <w:vAlign w:val="top"/>
          </w:tcPr>
          <w:p w14:paraId="7673C443">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p w14:paraId="77272806">
            <w:pPr>
              <w:keepNext w:val="0"/>
              <w:keepLines w:val="0"/>
              <w:pageBreakBefore w:val="0"/>
              <w:widowControl w:val="0"/>
              <w:kinsoku/>
              <w:wordWrap/>
              <w:overflowPunct/>
              <w:topLinePunct w:val="0"/>
              <w:autoSpaceDE/>
              <w:autoSpaceDN/>
              <w:bidi w:val="0"/>
              <w:adjustRightInd/>
              <w:snapToGrid/>
              <w:spacing w:before="74" w:line="200" w:lineRule="exact"/>
              <w:ind w:left="244"/>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批发业</w:t>
            </w:r>
          </w:p>
        </w:tc>
        <w:tc>
          <w:tcPr>
            <w:tcW w:w="1187" w:type="dxa"/>
            <w:vAlign w:val="top"/>
          </w:tcPr>
          <w:p w14:paraId="2FB53D7A">
            <w:pPr>
              <w:keepNext w:val="0"/>
              <w:keepLines w:val="0"/>
              <w:pageBreakBefore w:val="0"/>
              <w:widowControl w:val="0"/>
              <w:kinsoku/>
              <w:wordWrap/>
              <w:overflowPunct/>
              <w:topLinePunct w:val="0"/>
              <w:autoSpaceDE/>
              <w:autoSpaceDN/>
              <w:bidi w:val="0"/>
              <w:adjustRightInd/>
              <w:snapToGrid/>
              <w:spacing w:before="101" w:line="200" w:lineRule="exact"/>
              <w:ind w:left="1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从业人员</w:t>
            </w:r>
          </w:p>
        </w:tc>
        <w:tc>
          <w:tcPr>
            <w:tcW w:w="900" w:type="dxa"/>
            <w:vAlign w:val="top"/>
          </w:tcPr>
          <w:p w14:paraId="0B189D98">
            <w:pPr>
              <w:keepNext w:val="0"/>
              <w:keepLines w:val="0"/>
              <w:pageBreakBefore w:val="0"/>
              <w:widowControl w:val="0"/>
              <w:kinsoku/>
              <w:wordWrap/>
              <w:overflowPunct/>
              <w:topLinePunct w:val="0"/>
              <w:autoSpaceDE/>
              <w:autoSpaceDN/>
              <w:bidi w:val="0"/>
              <w:adjustRightInd/>
              <w:snapToGrid/>
              <w:spacing w:before="101" w:line="200" w:lineRule="exact"/>
              <w:ind w:left="34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人</w:t>
            </w:r>
          </w:p>
        </w:tc>
        <w:tc>
          <w:tcPr>
            <w:tcW w:w="1399" w:type="dxa"/>
            <w:vAlign w:val="top"/>
          </w:tcPr>
          <w:p w14:paraId="4FF12646">
            <w:pPr>
              <w:keepNext w:val="0"/>
              <w:keepLines w:val="0"/>
              <w:pageBreakBefore w:val="0"/>
              <w:widowControl w:val="0"/>
              <w:kinsoku/>
              <w:wordWrap/>
              <w:overflowPunct/>
              <w:topLinePunct w:val="0"/>
              <w:autoSpaceDE/>
              <w:autoSpaceDN/>
              <w:bidi w:val="0"/>
              <w:adjustRightInd/>
              <w:snapToGrid/>
              <w:spacing w:before="101" w:line="200" w:lineRule="exact"/>
              <w:ind w:left="43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≥200</w:t>
            </w:r>
          </w:p>
        </w:tc>
        <w:tc>
          <w:tcPr>
            <w:tcW w:w="1535" w:type="dxa"/>
            <w:vAlign w:val="top"/>
          </w:tcPr>
          <w:p w14:paraId="4D25371E">
            <w:pPr>
              <w:keepNext w:val="0"/>
              <w:keepLines w:val="0"/>
              <w:pageBreakBefore w:val="0"/>
              <w:widowControl w:val="0"/>
              <w:kinsoku/>
              <w:wordWrap/>
              <w:overflowPunct/>
              <w:topLinePunct w:val="0"/>
              <w:autoSpaceDE/>
              <w:autoSpaceDN/>
              <w:bidi w:val="0"/>
              <w:adjustRightInd/>
              <w:snapToGrid/>
              <w:spacing w:before="142" w:line="200" w:lineRule="exact"/>
              <w:ind w:left="41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20-200</w:t>
            </w:r>
          </w:p>
        </w:tc>
        <w:tc>
          <w:tcPr>
            <w:tcW w:w="1295" w:type="dxa"/>
            <w:vAlign w:val="top"/>
          </w:tcPr>
          <w:p w14:paraId="36175B69">
            <w:pPr>
              <w:keepNext w:val="0"/>
              <w:keepLines w:val="0"/>
              <w:pageBreakBefore w:val="0"/>
              <w:widowControl w:val="0"/>
              <w:kinsoku/>
              <w:wordWrap/>
              <w:overflowPunct/>
              <w:topLinePunct w:val="0"/>
              <w:autoSpaceDE/>
              <w:autoSpaceDN/>
              <w:bidi w:val="0"/>
              <w:adjustRightInd/>
              <w:snapToGrid/>
              <w:spacing w:before="142" w:line="200" w:lineRule="exact"/>
              <w:ind w:left="418"/>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5-20</w:t>
            </w:r>
          </w:p>
        </w:tc>
        <w:tc>
          <w:tcPr>
            <w:tcW w:w="1004" w:type="dxa"/>
            <w:vAlign w:val="top"/>
          </w:tcPr>
          <w:p w14:paraId="66B889C2">
            <w:pPr>
              <w:keepNext w:val="0"/>
              <w:keepLines w:val="0"/>
              <w:pageBreakBefore w:val="0"/>
              <w:widowControl w:val="0"/>
              <w:kinsoku/>
              <w:wordWrap/>
              <w:overflowPunct/>
              <w:topLinePunct w:val="0"/>
              <w:autoSpaceDE/>
              <w:autoSpaceDN/>
              <w:bidi w:val="0"/>
              <w:adjustRightInd/>
              <w:snapToGrid/>
              <w:spacing w:before="101" w:line="200" w:lineRule="exact"/>
              <w:ind w:left="34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＜5</w:t>
            </w:r>
          </w:p>
        </w:tc>
      </w:tr>
      <w:tr w14:paraId="08C42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184" w:type="dxa"/>
            <w:vMerge w:val="continue"/>
            <w:tcBorders>
              <w:top w:val="nil"/>
            </w:tcBorders>
            <w:vAlign w:val="top"/>
          </w:tcPr>
          <w:p w14:paraId="658DD4D1">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tc>
        <w:tc>
          <w:tcPr>
            <w:tcW w:w="1187" w:type="dxa"/>
            <w:vAlign w:val="top"/>
          </w:tcPr>
          <w:p w14:paraId="2EFE940A">
            <w:pPr>
              <w:keepNext w:val="0"/>
              <w:keepLines w:val="0"/>
              <w:pageBreakBefore w:val="0"/>
              <w:widowControl w:val="0"/>
              <w:kinsoku/>
              <w:wordWrap/>
              <w:overflowPunct/>
              <w:topLinePunct w:val="0"/>
              <w:autoSpaceDE/>
              <w:autoSpaceDN/>
              <w:bidi w:val="0"/>
              <w:adjustRightInd/>
              <w:snapToGrid/>
              <w:spacing w:before="102" w:line="200" w:lineRule="exact"/>
              <w:ind w:left="133"/>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营业收入</w:t>
            </w:r>
          </w:p>
        </w:tc>
        <w:tc>
          <w:tcPr>
            <w:tcW w:w="900" w:type="dxa"/>
            <w:vAlign w:val="top"/>
          </w:tcPr>
          <w:p w14:paraId="1E4C0C4B">
            <w:pPr>
              <w:keepNext w:val="0"/>
              <w:keepLines w:val="0"/>
              <w:pageBreakBefore w:val="0"/>
              <w:widowControl w:val="0"/>
              <w:kinsoku/>
              <w:wordWrap/>
              <w:overflowPunct/>
              <w:topLinePunct w:val="0"/>
              <w:autoSpaceDE/>
              <w:autoSpaceDN/>
              <w:bidi w:val="0"/>
              <w:adjustRightInd/>
              <w:snapToGrid/>
              <w:spacing w:before="102" w:line="200" w:lineRule="exact"/>
              <w:ind w:left="2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万元</w:t>
            </w:r>
          </w:p>
        </w:tc>
        <w:tc>
          <w:tcPr>
            <w:tcW w:w="1399" w:type="dxa"/>
            <w:vAlign w:val="top"/>
          </w:tcPr>
          <w:p w14:paraId="40F0DF17">
            <w:pPr>
              <w:keepNext w:val="0"/>
              <w:keepLines w:val="0"/>
              <w:pageBreakBefore w:val="0"/>
              <w:widowControl w:val="0"/>
              <w:kinsoku/>
              <w:wordWrap/>
              <w:overflowPunct/>
              <w:topLinePunct w:val="0"/>
              <w:autoSpaceDE/>
              <w:autoSpaceDN/>
              <w:bidi w:val="0"/>
              <w:adjustRightInd/>
              <w:snapToGrid/>
              <w:spacing w:before="102" w:line="200" w:lineRule="exact"/>
              <w:ind w:left="31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≥40000</w:t>
            </w:r>
          </w:p>
        </w:tc>
        <w:tc>
          <w:tcPr>
            <w:tcW w:w="1535" w:type="dxa"/>
            <w:vAlign w:val="top"/>
          </w:tcPr>
          <w:p w14:paraId="328041C6">
            <w:pPr>
              <w:keepNext w:val="0"/>
              <w:keepLines w:val="0"/>
              <w:pageBreakBefore w:val="0"/>
              <w:widowControl w:val="0"/>
              <w:kinsoku/>
              <w:wordWrap/>
              <w:overflowPunct/>
              <w:topLinePunct w:val="0"/>
              <w:autoSpaceDE/>
              <w:autoSpaceDN/>
              <w:bidi w:val="0"/>
              <w:adjustRightInd/>
              <w:snapToGrid/>
              <w:spacing w:before="143" w:line="200" w:lineRule="exact"/>
              <w:ind w:left="17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5000-40000</w:t>
            </w:r>
          </w:p>
        </w:tc>
        <w:tc>
          <w:tcPr>
            <w:tcW w:w="1295" w:type="dxa"/>
            <w:vAlign w:val="top"/>
          </w:tcPr>
          <w:p w14:paraId="173F17B1">
            <w:pPr>
              <w:keepNext w:val="0"/>
              <w:keepLines w:val="0"/>
              <w:pageBreakBefore w:val="0"/>
              <w:widowControl w:val="0"/>
              <w:kinsoku/>
              <w:wordWrap/>
              <w:overflowPunct/>
              <w:topLinePunct w:val="0"/>
              <w:autoSpaceDE/>
              <w:autoSpaceDN/>
              <w:bidi w:val="0"/>
              <w:adjustRightInd/>
              <w:snapToGrid/>
              <w:spacing w:before="143" w:line="200" w:lineRule="exact"/>
              <w:ind w:left="131"/>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1000-5000</w:t>
            </w:r>
          </w:p>
        </w:tc>
        <w:tc>
          <w:tcPr>
            <w:tcW w:w="1004" w:type="dxa"/>
            <w:vAlign w:val="top"/>
          </w:tcPr>
          <w:p w14:paraId="166A0808">
            <w:pPr>
              <w:keepNext w:val="0"/>
              <w:keepLines w:val="0"/>
              <w:pageBreakBefore w:val="0"/>
              <w:widowControl w:val="0"/>
              <w:kinsoku/>
              <w:wordWrap/>
              <w:overflowPunct/>
              <w:topLinePunct w:val="0"/>
              <w:autoSpaceDE/>
              <w:autoSpaceDN/>
              <w:bidi w:val="0"/>
              <w:adjustRightInd/>
              <w:snapToGrid/>
              <w:spacing w:before="102" w:line="200" w:lineRule="exact"/>
              <w:ind w:left="16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＜1000</w:t>
            </w:r>
          </w:p>
        </w:tc>
      </w:tr>
      <w:tr w14:paraId="5A7AB0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184" w:type="dxa"/>
            <w:vMerge w:val="restart"/>
            <w:tcBorders>
              <w:bottom w:val="nil"/>
            </w:tcBorders>
            <w:vAlign w:val="top"/>
          </w:tcPr>
          <w:p w14:paraId="4C68363E">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p w14:paraId="74632441">
            <w:pPr>
              <w:keepNext w:val="0"/>
              <w:keepLines w:val="0"/>
              <w:pageBreakBefore w:val="0"/>
              <w:widowControl w:val="0"/>
              <w:kinsoku/>
              <w:wordWrap/>
              <w:overflowPunct/>
              <w:topLinePunct w:val="0"/>
              <w:autoSpaceDE/>
              <w:autoSpaceDN/>
              <w:bidi w:val="0"/>
              <w:adjustRightInd/>
              <w:snapToGrid/>
              <w:spacing w:before="75" w:line="200" w:lineRule="exact"/>
              <w:ind w:left="24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零售业</w:t>
            </w:r>
          </w:p>
        </w:tc>
        <w:tc>
          <w:tcPr>
            <w:tcW w:w="1187" w:type="dxa"/>
            <w:vAlign w:val="top"/>
          </w:tcPr>
          <w:p w14:paraId="7C688458">
            <w:pPr>
              <w:keepNext w:val="0"/>
              <w:keepLines w:val="0"/>
              <w:pageBreakBefore w:val="0"/>
              <w:widowControl w:val="0"/>
              <w:kinsoku/>
              <w:wordWrap/>
              <w:overflowPunct/>
              <w:topLinePunct w:val="0"/>
              <w:autoSpaceDE/>
              <w:autoSpaceDN/>
              <w:bidi w:val="0"/>
              <w:adjustRightInd/>
              <w:snapToGrid/>
              <w:spacing w:before="102" w:line="200" w:lineRule="exact"/>
              <w:ind w:left="1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从业人员</w:t>
            </w:r>
          </w:p>
        </w:tc>
        <w:tc>
          <w:tcPr>
            <w:tcW w:w="900" w:type="dxa"/>
            <w:vAlign w:val="top"/>
          </w:tcPr>
          <w:p w14:paraId="7ADAEFBC">
            <w:pPr>
              <w:keepNext w:val="0"/>
              <w:keepLines w:val="0"/>
              <w:pageBreakBefore w:val="0"/>
              <w:widowControl w:val="0"/>
              <w:kinsoku/>
              <w:wordWrap/>
              <w:overflowPunct/>
              <w:topLinePunct w:val="0"/>
              <w:autoSpaceDE/>
              <w:autoSpaceDN/>
              <w:bidi w:val="0"/>
              <w:adjustRightInd/>
              <w:snapToGrid/>
              <w:spacing w:before="101" w:line="200" w:lineRule="exact"/>
              <w:ind w:left="34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人</w:t>
            </w:r>
          </w:p>
        </w:tc>
        <w:tc>
          <w:tcPr>
            <w:tcW w:w="1399" w:type="dxa"/>
            <w:vAlign w:val="top"/>
          </w:tcPr>
          <w:p w14:paraId="03546C64">
            <w:pPr>
              <w:keepNext w:val="0"/>
              <w:keepLines w:val="0"/>
              <w:pageBreakBefore w:val="0"/>
              <w:widowControl w:val="0"/>
              <w:kinsoku/>
              <w:wordWrap/>
              <w:overflowPunct/>
              <w:topLinePunct w:val="0"/>
              <w:autoSpaceDE/>
              <w:autoSpaceDN/>
              <w:bidi w:val="0"/>
              <w:adjustRightInd/>
              <w:snapToGrid/>
              <w:spacing w:before="102" w:line="200" w:lineRule="exact"/>
              <w:ind w:left="43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w:t>
            </w:r>
          </w:p>
        </w:tc>
        <w:tc>
          <w:tcPr>
            <w:tcW w:w="1535" w:type="dxa"/>
            <w:vAlign w:val="top"/>
          </w:tcPr>
          <w:p w14:paraId="579A62E5">
            <w:pPr>
              <w:keepNext w:val="0"/>
              <w:keepLines w:val="0"/>
              <w:pageBreakBefore w:val="0"/>
              <w:widowControl w:val="0"/>
              <w:kinsoku/>
              <w:wordWrap/>
              <w:overflowPunct/>
              <w:topLinePunct w:val="0"/>
              <w:autoSpaceDE/>
              <w:autoSpaceDN/>
              <w:bidi w:val="0"/>
              <w:adjustRightInd/>
              <w:snapToGrid/>
              <w:spacing w:before="143" w:line="200" w:lineRule="exact"/>
              <w:ind w:left="41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50-300</w:t>
            </w:r>
          </w:p>
        </w:tc>
        <w:tc>
          <w:tcPr>
            <w:tcW w:w="1295" w:type="dxa"/>
            <w:vAlign w:val="top"/>
          </w:tcPr>
          <w:p w14:paraId="7A2D5B45">
            <w:pPr>
              <w:keepNext w:val="0"/>
              <w:keepLines w:val="0"/>
              <w:pageBreakBefore w:val="0"/>
              <w:widowControl w:val="0"/>
              <w:kinsoku/>
              <w:wordWrap/>
              <w:overflowPunct/>
              <w:topLinePunct w:val="0"/>
              <w:autoSpaceDE/>
              <w:autoSpaceDN/>
              <w:bidi w:val="0"/>
              <w:adjustRightInd/>
              <w:snapToGrid/>
              <w:spacing w:before="143" w:line="200" w:lineRule="exact"/>
              <w:ind w:left="371"/>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10-50</w:t>
            </w:r>
          </w:p>
        </w:tc>
        <w:tc>
          <w:tcPr>
            <w:tcW w:w="1004" w:type="dxa"/>
            <w:vAlign w:val="top"/>
          </w:tcPr>
          <w:p w14:paraId="7C721948">
            <w:pPr>
              <w:keepNext w:val="0"/>
              <w:keepLines w:val="0"/>
              <w:pageBreakBefore w:val="0"/>
              <w:widowControl w:val="0"/>
              <w:kinsoku/>
              <w:wordWrap/>
              <w:overflowPunct/>
              <w:topLinePunct w:val="0"/>
              <w:autoSpaceDE/>
              <w:autoSpaceDN/>
              <w:bidi w:val="0"/>
              <w:adjustRightInd/>
              <w:snapToGrid/>
              <w:spacing w:before="102" w:line="200" w:lineRule="exact"/>
              <w:ind w:left="28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w:t>
            </w:r>
          </w:p>
        </w:tc>
      </w:tr>
      <w:tr w14:paraId="1951C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184" w:type="dxa"/>
            <w:vMerge w:val="continue"/>
            <w:tcBorders>
              <w:top w:val="nil"/>
            </w:tcBorders>
            <w:vAlign w:val="top"/>
          </w:tcPr>
          <w:p w14:paraId="309670FB">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tc>
        <w:tc>
          <w:tcPr>
            <w:tcW w:w="1187" w:type="dxa"/>
            <w:vAlign w:val="top"/>
          </w:tcPr>
          <w:p w14:paraId="0538E23A">
            <w:pPr>
              <w:keepNext w:val="0"/>
              <w:keepLines w:val="0"/>
              <w:pageBreakBefore w:val="0"/>
              <w:widowControl w:val="0"/>
              <w:kinsoku/>
              <w:wordWrap/>
              <w:overflowPunct/>
              <w:topLinePunct w:val="0"/>
              <w:autoSpaceDE/>
              <w:autoSpaceDN/>
              <w:bidi w:val="0"/>
              <w:adjustRightInd/>
              <w:snapToGrid/>
              <w:spacing w:before="102" w:line="200" w:lineRule="exact"/>
              <w:ind w:left="133"/>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营业收入</w:t>
            </w:r>
          </w:p>
        </w:tc>
        <w:tc>
          <w:tcPr>
            <w:tcW w:w="900" w:type="dxa"/>
            <w:vAlign w:val="top"/>
          </w:tcPr>
          <w:p w14:paraId="7F277482">
            <w:pPr>
              <w:keepNext w:val="0"/>
              <w:keepLines w:val="0"/>
              <w:pageBreakBefore w:val="0"/>
              <w:widowControl w:val="0"/>
              <w:kinsoku/>
              <w:wordWrap/>
              <w:overflowPunct/>
              <w:topLinePunct w:val="0"/>
              <w:autoSpaceDE/>
              <w:autoSpaceDN/>
              <w:bidi w:val="0"/>
              <w:adjustRightInd/>
              <w:snapToGrid/>
              <w:spacing w:before="102" w:line="200" w:lineRule="exact"/>
              <w:ind w:left="2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万元</w:t>
            </w:r>
          </w:p>
        </w:tc>
        <w:tc>
          <w:tcPr>
            <w:tcW w:w="1399" w:type="dxa"/>
            <w:vAlign w:val="top"/>
          </w:tcPr>
          <w:p w14:paraId="0591700A">
            <w:pPr>
              <w:keepNext w:val="0"/>
              <w:keepLines w:val="0"/>
              <w:pageBreakBefore w:val="0"/>
              <w:widowControl w:val="0"/>
              <w:kinsoku/>
              <w:wordWrap/>
              <w:overflowPunct/>
              <w:topLinePunct w:val="0"/>
              <w:autoSpaceDE/>
              <w:autoSpaceDN/>
              <w:bidi w:val="0"/>
              <w:adjustRightInd/>
              <w:snapToGrid/>
              <w:spacing w:before="101" w:line="200" w:lineRule="exact"/>
              <w:ind w:left="303"/>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≤20000</w:t>
            </w:r>
          </w:p>
        </w:tc>
        <w:tc>
          <w:tcPr>
            <w:tcW w:w="1535" w:type="dxa"/>
            <w:vAlign w:val="top"/>
          </w:tcPr>
          <w:p w14:paraId="0548B92E">
            <w:pPr>
              <w:keepNext w:val="0"/>
              <w:keepLines w:val="0"/>
              <w:pageBreakBefore w:val="0"/>
              <w:widowControl w:val="0"/>
              <w:kinsoku/>
              <w:wordWrap/>
              <w:overflowPunct/>
              <w:topLinePunct w:val="0"/>
              <w:autoSpaceDE/>
              <w:autoSpaceDN/>
              <w:bidi w:val="0"/>
              <w:adjustRightInd/>
              <w:snapToGrid/>
              <w:spacing w:before="142" w:line="200" w:lineRule="exact"/>
              <w:ind w:left="23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500-20000</w:t>
            </w:r>
          </w:p>
        </w:tc>
        <w:tc>
          <w:tcPr>
            <w:tcW w:w="1295" w:type="dxa"/>
            <w:vAlign w:val="top"/>
          </w:tcPr>
          <w:p w14:paraId="721E44A2">
            <w:pPr>
              <w:keepNext w:val="0"/>
              <w:keepLines w:val="0"/>
              <w:pageBreakBefore w:val="0"/>
              <w:widowControl w:val="0"/>
              <w:kinsoku/>
              <w:wordWrap/>
              <w:overflowPunct/>
              <w:topLinePunct w:val="0"/>
              <w:autoSpaceDE/>
              <w:autoSpaceDN/>
              <w:bidi w:val="0"/>
              <w:adjustRightInd/>
              <w:snapToGrid/>
              <w:spacing w:before="142" w:line="200" w:lineRule="exact"/>
              <w:ind w:left="251"/>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100-500</w:t>
            </w:r>
          </w:p>
        </w:tc>
        <w:tc>
          <w:tcPr>
            <w:tcW w:w="1004" w:type="dxa"/>
            <w:vAlign w:val="top"/>
          </w:tcPr>
          <w:p w14:paraId="6FE8972D">
            <w:pPr>
              <w:keepNext w:val="0"/>
              <w:keepLines w:val="0"/>
              <w:pageBreakBefore w:val="0"/>
              <w:widowControl w:val="0"/>
              <w:kinsoku/>
              <w:wordWrap/>
              <w:overflowPunct/>
              <w:topLinePunct w:val="0"/>
              <w:autoSpaceDE/>
              <w:autoSpaceDN/>
              <w:bidi w:val="0"/>
              <w:adjustRightInd/>
              <w:snapToGrid/>
              <w:spacing w:before="101" w:line="200" w:lineRule="exact"/>
              <w:ind w:left="22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w:t>
            </w:r>
          </w:p>
        </w:tc>
      </w:tr>
      <w:tr w14:paraId="65ED5D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1184" w:type="dxa"/>
            <w:vMerge w:val="restart"/>
            <w:tcBorders>
              <w:bottom w:val="nil"/>
            </w:tcBorders>
            <w:vAlign w:val="top"/>
          </w:tcPr>
          <w:p w14:paraId="54F02522">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p w14:paraId="6215FDB5">
            <w:pPr>
              <w:keepNext w:val="0"/>
              <w:keepLines w:val="0"/>
              <w:pageBreakBefore w:val="0"/>
              <w:widowControl w:val="0"/>
              <w:kinsoku/>
              <w:wordWrap/>
              <w:overflowPunct/>
              <w:topLinePunct w:val="0"/>
              <w:autoSpaceDE/>
              <w:autoSpaceDN/>
              <w:bidi w:val="0"/>
              <w:adjustRightInd/>
              <w:snapToGrid/>
              <w:spacing w:before="75" w:line="200" w:lineRule="exact"/>
              <w:ind w:left="13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交通运输</w:t>
            </w:r>
          </w:p>
        </w:tc>
        <w:tc>
          <w:tcPr>
            <w:tcW w:w="1187" w:type="dxa"/>
            <w:vAlign w:val="top"/>
          </w:tcPr>
          <w:p w14:paraId="00A99ED0">
            <w:pPr>
              <w:keepNext w:val="0"/>
              <w:keepLines w:val="0"/>
              <w:pageBreakBefore w:val="0"/>
              <w:widowControl w:val="0"/>
              <w:kinsoku/>
              <w:wordWrap/>
              <w:overflowPunct/>
              <w:topLinePunct w:val="0"/>
              <w:autoSpaceDE/>
              <w:autoSpaceDN/>
              <w:bidi w:val="0"/>
              <w:adjustRightInd/>
              <w:snapToGrid/>
              <w:spacing w:before="102" w:line="200" w:lineRule="exact"/>
              <w:ind w:left="1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从业人员</w:t>
            </w:r>
          </w:p>
        </w:tc>
        <w:tc>
          <w:tcPr>
            <w:tcW w:w="900" w:type="dxa"/>
            <w:vAlign w:val="top"/>
          </w:tcPr>
          <w:p w14:paraId="2B9AFF32">
            <w:pPr>
              <w:keepNext w:val="0"/>
              <w:keepLines w:val="0"/>
              <w:pageBreakBefore w:val="0"/>
              <w:widowControl w:val="0"/>
              <w:kinsoku/>
              <w:wordWrap/>
              <w:overflowPunct/>
              <w:topLinePunct w:val="0"/>
              <w:autoSpaceDE/>
              <w:autoSpaceDN/>
              <w:bidi w:val="0"/>
              <w:adjustRightInd/>
              <w:snapToGrid/>
              <w:spacing w:before="102" w:line="200" w:lineRule="exact"/>
              <w:ind w:left="34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人</w:t>
            </w:r>
          </w:p>
        </w:tc>
        <w:tc>
          <w:tcPr>
            <w:tcW w:w="1399" w:type="dxa"/>
            <w:vAlign w:val="top"/>
          </w:tcPr>
          <w:p w14:paraId="302BFE76">
            <w:pPr>
              <w:keepNext w:val="0"/>
              <w:keepLines w:val="0"/>
              <w:pageBreakBefore w:val="0"/>
              <w:widowControl w:val="0"/>
              <w:kinsoku/>
              <w:wordWrap/>
              <w:overflowPunct/>
              <w:topLinePunct w:val="0"/>
              <w:autoSpaceDE/>
              <w:autoSpaceDN/>
              <w:bidi w:val="0"/>
              <w:adjustRightInd/>
              <w:snapToGrid/>
              <w:spacing w:before="102" w:line="200" w:lineRule="exact"/>
              <w:ind w:left="37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≥1000</w:t>
            </w:r>
          </w:p>
        </w:tc>
        <w:tc>
          <w:tcPr>
            <w:tcW w:w="1535" w:type="dxa"/>
            <w:vAlign w:val="top"/>
          </w:tcPr>
          <w:p w14:paraId="598D32C9">
            <w:pPr>
              <w:keepNext w:val="0"/>
              <w:keepLines w:val="0"/>
              <w:pageBreakBefore w:val="0"/>
              <w:widowControl w:val="0"/>
              <w:kinsoku/>
              <w:wordWrap/>
              <w:overflowPunct/>
              <w:topLinePunct w:val="0"/>
              <w:autoSpaceDE/>
              <w:autoSpaceDN/>
              <w:bidi w:val="0"/>
              <w:adjustRightInd/>
              <w:snapToGrid/>
              <w:spacing w:before="143" w:line="200" w:lineRule="exact"/>
              <w:ind w:left="29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300-1000</w:t>
            </w:r>
          </w:p>
        </w:tc>
        <w:tc>
          <w:tcPr>
            <w:tcW w:w="1295" w:type="dxa"/>
            <w:vAlign w:val="top"/>
          </w:tcPr>
          <w:p w14:paraId="68FAA704">
            <w:pPr>
              <w:keepNext w:val="0"/>
              <w:keepLines w:val="0"/>
              <w:pageBreakBefore w:val="0"/>
              <w:widowControl w:val="0"/>
              <w:kinsoku/>
              <w:wordWrap/>
              <w:overflowPunct/>
              <w:topLinePunct w:val="0"/>
              <w:autoSpaceDE/>
              <w:autoSpaceDN/>
              <w:bidi w:val="0"/>
              <w:adjustRightInd/>
              <w:snapToGrid/>
              <w:spacing w:before="143" w:line="200" w:lineRule="exact"/>
              <w:ind w:left="296"/>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20-300</w:t>
            </w:r>
          </w:p>
        </w:tc>
        <w:tc>
          <w:tcPr>
            <w:tcW w:w="1004" w:type="dxa"/>
            <w:vAlign w:val="top"/>
          </w:tcPr>
          <w:p w14:paraId="7D6DB1DB">
            <w:pPr>
              <w:keepNext w:val="0"/>
              <w:keepLines w:val="0"/>
              <w:pageBreakBefore w:val="0"/>
              <w:widowControl w:val="0"/>
              <w:kinsoku/>
              <w:wordWrap/>
              <w:overflowPunct/>
              <w:topLinePunct w:val="0"/>
              <w:autoSpaceDE/>
              <w:autoSpaceDN/>
              <w:bidi w:val="0"/>
              <w:adjustRightInd/>
              <w:snapToGrid/>
              <w:spacing w:before="102" w:line="200" w:lineRule="exact"/>
              <w:ind w:left="28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w:t>
            </w:r>
          </w:p>
        </w:tc>
      </w:tr>
      <w:tr w14:paraId="4B34B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184" w:type="dxa"/>
            <w:vMerge w:val="continue"/>
            <w:tcBorders>
              <w:top w:val="nil"/>
            </w:tcBorders>
            <w:vAlign w:val="top"/>
          </w:tcPr>
          <w:p w14:paraId="690FF960">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tc>
        <w:tc>
          <w:tcPr>
            <w:tcW w:w="1187" w:type="dxa"/>
            <w:vAlign w:val="top"/>
          </w:tcPr>
          <w:p w14:paraId="402310FD">
            <w:pPr>
              <w:keepNext w:val="0"/>
              <w:keepLines w:val="0"/>
              <w:pageBreakBefore w:val="0"/>
              <w:widowControl w:val="0"/>
              <w:kinsoku/>
              <w:wordWrap/>
              <w:overflowPunct/>
              <w:topLinePunct w:val="0"/>
              <w:autoSpaceDE/>
              <w:autoSpaceDN/>
              <w:bidi w:val="0"/>
              <w:adjustRightInd/>
              <w:snapToGrid/>
              <w:spacing w:before="105" w:line="200" w:lineRule="exact"/>
              <w:ind w:left="133"/>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营业收入</w:t>
            </w:r>
          </w:p>
        </w:tc>
        <w:tc>
          <w:tcPr>
            <w:tcW w:w="900" w:type="dxa"/>
            <w:vAlign w:val="top"/>
          </w:tcPr>
          <w:p w14:paraId="61671C86">
            <w:pPr>
              <w:keepNext w:val="0"/>
              <w:keepLines w:val="0"/>
              <w:pageBreakBefore w:val="0"/>
              <w:widowControl w:val="0"/>
              <w:kinsoku/>
              <w:wordWrap/>
              <w:overflowPunct/>
              <w:topLinePunct w:val="0"/>
              <w:autoSpaceDE/>
              <w:autoSpaceDN/>
              <w:bidi w:val="0"/>
              <w:adjustRightInd/>
              <w:snapToGrid/>
              <w:spacing w:before="105" w:line="200" w:lineRule="exact"/>
              <w:ind w:left="2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万元</w:t>
            </w:r>
          </w:p>
        </w:tc>
        <w:tc>
          <w:tcPr>
            <w:tcW w:w="1399" w:type="dxa"/>
            <w:vAlign w:val="top"/>
          </w:tcPr>
          <w:p w14:paraId="272FF506">
            <w:pPr>
              <w:keepNext w:val="0"/>
              <w:keepLines w:val="0"/>
              <w:pageBreakBefore w:val="0"/>
              <w:widowControl w:val="0"/>
              <w:kinsoku/>
              <w:wordWrap/>
              <w:overflowPunct/>
              <w:topLinePunct w:val="0"/>
              <w:autoSpaceDE/>
              <w:autoSpaceDN/>
              <w:bidi w:val="0"/>
              <w:adjustRightInd/>
              <w:snapToGrid/>
              <w:spacing w:before="104" w:line="200" w:lineRule="exact"/>
              <w:ind w:left="31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≥30000</w:t>
            </w:r>
          </w:p>
        </w:tc>
        <w:tc>
          <w:tcPr>
            <w:tcW w:w="1535" w:type="dxa"/>
            <w:vAlign w:val="top"/>
          </w:tcPr>
          <w:p w14:paraId="42FE52F3">
            <w:pPr>
              <w:keepNext w:val="0"/>
              <w:keepLines w:val="0"/>
              <w:pageBreakBefore w:val="0"/>
              <w:widowControl w:val="0"/>
              <w:kinsoku/>
              <w:wordWrap/>
              <w:overflowPunct/>
              <w:topLinePunct w:val="0"/>
              <w:autoSpaceDE/>
              <w:autoSpaceDN/>
              <w:bidi w:val="0"/>
              <w:adjustRightInd/>
              <w:snapToGrid/>
              <w:spacing w:before="145" w:line="200" w:lineRule="exact"/>
              <w:ind w:left="17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3000-30000</w:t>
            </w:r>
          </w:p>
        </w:tc>
        <w:tc>
          <w:tcPr>
            <w:tcW w:w="1295" w:type="dxa"/>
            <w:vAlign w:val="top"/>
          </w:tcPr>
          <w:p w14:paraId="3E99F6FD">
            <w:pPr>
              <w:keepNext w:val="0"/>
              <w:keepLines w:val="0"/>
              <w:pageBreakBefore w:val="0"/>
              <w:widowControl w:val="0"/>
              <w:kinsoku/>
              <w:wordWrap/>
              <w:overflowPunct/>
              <w:topLinePunct w:val="0"/>
              <w:autoSpaceDE/>
              <w:autoSpaceDN/>
              <w:bidi w:val="0"/>
              <w:adjustRightInd/>
              <w:snapToGrid/>
              <w:spacing w:before="145" w:line="200" w:lineRule="exact"/>
              <w:ind w:left="176"/>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200-3000</w:t>
            </w:r>
          </w:p>
        </w:tc>
        <w:tc>
          <w:tcPr>
            <w:tcW w:w="1004" w:type="dxa"/>
            <w:vAlign w:val="top"/>
          </w:tcPr>
          <w:p w14:paraId="222B85E0">
            <w:pPr>
              <w:keepNext w:val="0"/>
              <w:keepLines w:val="0"/>
              <w:pageBreakBefore w:val="0"/>
              <w:widowControl w:val="0"/>
              <w:kinsoku/>
              <w:wordWrap/>
              <w:overflowPunct/>
              <w:topLinePunct w:val="0"/>
              <w:autoSpaceDE/>
              <w:autoSpaceDN/>
              <w:bidi w:val="0"/>
              <w:adjustRightInd/>
              <w:snapToGrid/>
              <w:spacing w:before="104" w:line="200" w:lineRule="exact"/>
              <w:ind w:left="22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＜200</w:t>
            </w:r>
          </w:p>
        </w:tc>
      </w:tr>
      <w:tr w14:paraId="6FB40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184" w:type="dxa"/>
            <w:vMerge w:val="restart"/>
            <w:tcBorders>
              <w:bottom w:val="nil"/>
            </w:tcBorders>
            <w:vAlign w:val="top"/>
          </w:tcPr>
          <w:p w14:paraId="32A0FD43">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p w14:paraId="0DD7FDEE">
            <w:pPr>
              <w:keepNext w:val="0"/>
              <w:keepLines w:val="0"/>
              <w:pageBreakBefore w:val="0"/>
              <w:widowControl w:val="0"/>
              <w:kinsoku/>
              <w:wordWrap/>
              <w:overflowPunct/>
              <w:topLinePunct w:val="0"/>
              <w:autoSpaceDE/>
              <w:autoSpaceDN/>
              <w:bidi w:val="0"/>
              <w:adjustRightInd/>
              <w:snapToGrid/>
              <w:spacing w:before="75" w:line="200" w:lineRule="exact"/>
              <w:ind w:left="369"/>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仓储</w:t>
            </w:r>
          </w:p>
        </w:tc>
        <w:tc>
          <w:tcPr>
            <w:tcW w:w="1187" w:type="dxa"/>
            <w:vAlign w:val="top"/>
          </w:tcPr>
          <w:p w14:paraId="22D9A8D3">
            <w:pPr>
              <w:keepNext w:val="0"/>
              <w:keepLines w:val="0"/>
              <w:pageBreakBefore w:val="0"/>
              <w:widowControl w:val="0"/>
              <w:kinsoku/>
              <w:wordWrap/>
              <w:overflowPunct/>
              <w:topLinePunct w:val="0"/>
              <w:autoSpaceDE/>
              <w:autoSpaceDN/>
              <w:bidi w:val="0"/>
              <w:adjustRightInd/>
              <w:snapToGrid/>
              <w:spacing w:before="104" w:line="200" w:lineRule="exact"/>
              <w:ind w:left="1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从业人员</w:t>
            </w:r>
          </w:p>
        </w:tc>
        <w:tc>
          <w:tcPr>
            <w:tcW w:w="900" w:type="dxa"/>
            <w:vAlign w:val="top"/>
          </w:tcPr>
          <w:p w14:paraId="2B817635">
            <w:pPr>
              <w:keepNext w:val="0"/>
              <w:keepLines w:val="0"/>
              <w:pageBreakBefore w:val="0"/>
              <w:widowControl w:val="0"/>
              <w:kinsoku/>
              <w:wordWrap/>
              <w:overflowPunct/>
              <w:topLinePunct w:val="0"/>
              <w:autoSpaceDE/>
              <w:autoSpaceDN/>
              <w:bidi w:val="0"/>
              <w:adjustRightInd/>
              <w:snapToGrid/>
              <w:spacing w:before="104" w:line="200" w:lineRule="exact"/>
              <w:ind w:left="34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人</w:t>
            </w:r>
          </w:p>
        </w:tc>
        <w:tc>
          <w:tcPr>
            <w:tcW w:w="1399" w:type="dxa"/>
            <w:vAlign w:val="top"/>
          </w:tcPr>
          <w:p w14:paraId="5F1E22D5">
            <w:pPr>
              <w:keepNext w:val="0"/>
              <w:keepLines w:val="0"/>
              <w:pageBreakBefore w:val="0"/>
              <w:widowControl w:val="0"/>
              <w:kinsoku/>
              <w:wordWrap/>
              <w:overflowPunct/>
              <w:topLinePunct w:val="0"/>
              <w:autoSpaceDE/>
              <w:autoSpaceDN/>
              <w:bidi w:val="0"/>
              <w:adjustRightInd/>
              <w:snapToGrid/>
              <w:spacing w:before="104" w:line="200" w:lineRule="exact"/>
              <w:ind w:left="43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≥200</w:t>
            </w:r>
          </w:p>
        </w:tc>
        <w:tc>
          <w:tcPr>
            <w:tcW w:w="1535" w:type="dxa"/>
            <w:vAlign w:val="top"/>
          </w:tcPr>
          <w:p w14:paraId="205B7052">
            <w:pPr>
              <w:keepNext w:val="0"/>
              <w:keepLines w:val="0"/>
              <w:pageBreakBefore w:val="0"/>
              <w:widowControl w:val="0"/>
              <w:kinsoku/>
              <w:wordWrap/>
              <w:overflowPunct/>
              <w:topLinePunct w:val="0"/>
              <w:autoSpaceDE/>
              <w:autoSpaceDN/>
              <w:bidi w:val="0"/>
              <w:adjustRightInd/>
              <w:snapToGrid/>
              <w:spacing w:before="145" w:line="200" w:lineRule="exact"/>
              <w:ind w:left="37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100-200</w:t>
            </w:r>
          </w:p>
        </w:tc>
        <w:tc>
          <w:tcPr>
            <w:tcW w:w="1295" w:type="dxa"/>
            <w:vAlign w:val="top"/>
          </w:tcPr>
          <w:p w14:paraId="09902DA6">
            <w:pPr>
              <w:keepNext w:val="0"/>
              <w:keepLines w:val="0"/>
              <w:pageBreakBefore w:val="0"/>
              <w:widowControl w:val="0"/>
              <w:kinsoku/>
              <w:wordWrap/>
              <w:overflowPunct/>
              <w:topLinePunct w:val="0"/>
              <w:autoSpaceDE/>
              <w:autoSpaceDN/>
              <w:bidi w:val="0"/>
              <w:adjustRightInd/>
              <w:snapToGrid/>
              <w:spacing w:before="145" w:line="200" w:lineRule="exact"/>
              <w:ind w:left="296"/>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20-100</w:t>
            </w:r>
          </w:p>
        </w:tc>
        <w:tc>
          <w:tcPr>
            <w:tcW w:w="1004" w:type="dxa"/>
            <w:vAlign w:val="top"/>
          </w:tcPr>
          <w:p w14:paraId="6C71CE34">
            <w:pPr>
              <w:keepNext w:val="0"/>
              <w:keepLines w:val="0"/>
              <w:pageBreakBefore w:val="0"/>
              <w:widowControl w:val="0"/>
              <w:kinsoku/>
              <w:wordWrap/>
              <w:overflowPunct/>
              <w:topLinePunct w:val="0"/>
              <w:autoSpaceDE/>
              <w:autoSpaceDN/>
              <w:bidi w:val="0"/>
              <w:adjustRightInd/>
              <w:snapToGrid/>
              <w:spacing w:before="104" w:line="200" w:lineRule="exact"/>
              <w:ind w:left="28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w:t>
            </w:r>
          </w:p>
        </w:tc>
      </w:tr>
      <w:tr w14:paraId="63171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184" w:type="dxa"/>
            <w:vMerge w:val="continue"/>
            <w:tcBorders>
              <w:top w:val="nil"/>
            </w:tcBorders>
            <w:vAlign w:val="top"/>
          </w:tcPr>
          <w:p w14:paraId="6BE190D6">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tc>
        <w:tc>
          <w:tcPr>
            <w:tcW w:w="1187" w:type="dxa"/>
            <w:vAlign w:val="top"/>
          </w:tcPr>
          <w:p w14:paraId="396D469B">
            <w:pPr>
              <w:keepNext w:val="0"/>
              <w:keepLines w:val="0"/>
              <w:pageBreakBefore w:val="0"/>
              <w:widowControl w:val="0"/>
              <w:kinsoku/>
              <w:wordWrap/>
              <w:overflowPunct/>
              <w:topLinePunct w:val="0"/>
              <w:autoSpaceDE/>
              <w:autoSpaceDN/>
              <w:bidi w:val="0"/>
              <w:adjustRightInd/>
              <w:snapToGrid/>
              <w:spacing w:before="104" w:line="200" w:lineRule="exact"/>
              <w:ind w:left="133"/>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营业收入</w:t>
            </w:r>
          </w:p>
        </w:tc>
        <w:tc>
          <w:tcPr>
            <w:tcW w:w="900" w:type="dxa"/>
            <w:vAlign w:val="top"/>
          </w:tcPr>
          <w:p w14:paraId="7DF5170B">
            <w:pPr>
              <w:keepNext w:val="0"/>
              <w:keepLines w:val="0"/>
              <w:pageBreakBefore w:val="0"/>
              <w:widowControl w:val="0"/>
              <w:kinsoku/>
              <w:wordWrap/>
              <w:overflowPunct/>
              <w:topLinePunct w:val="0"/>
              <w:autoSpaceDE/>
              <w:autoSpaceDN/>
              <w:bidi w:val="0"/>
              <w:adjustRightInd/>
              <w:snapToGrid/>
              <w:spacing w:before="104" w:line="200" w:lineRule="exact"/>
              <w:ind w:left="2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万元</w:t>
            </w:r>
          </w:p>
        </w:tc>
        <w:tc>
          <w:tcPr>
            <w:tcW w:w="1399" w:type="dxa"/>
            <w:vAlign w:val="top"/>
          </w:tcPr>
          <w:p w14:paraId="7FD32BA0">
            <w:pPr>
              <w:keepNext w:val="0"/>
              <w:keepLines w:val="0"/>
              <w:pageBreakBefore w:val="0"/>
              <w:widowControl w:val="0"/>
              <w:kinsoku/>
              <w:wordWrap/>
              <w:overflowPunct/>
              <w:topLinePunct w:val="0"/>
              <w:autoSpaceDE/>
              <w:autoSpaceDN/>
              <w:bidi w:val="0"/>
              <w:adjustRightInd/>
              <w:snapToGrid/>
              <w:spacing w:before="104" w:line="200" w:lineRule="exact"/>
              <w:ind w:left="31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≥30000</w:t>
            </w:r>
          </w:p>
        </w:tc>
        <w:tc>
          <w:tcPr>
            <w:tcW w:w="1535" w:type="dxa"/>
            <w:vAlign w:val="top"/>
          </w:tcPr>
          <w:p w14:paraId="2840C9A8">
            <w:pPr>
              <w:keepNext w:val="0"/>
              <w:keepLines w:val="0"/>
              <w:pageBreakBefore w:val="0"/>
              <w:widowControl w:val="0"/>
              <w:kinsoku/>
              <w:wordWrap/>
              <w:overflowPunct/>
              <w:topLinePunct w:val="0"/>
              <w:autoSpaceDE/>
              <w:autoSpaceDN/>
              <w:bidi w:val="0"/>
              <w:adjustRightInd/>
              <w:snapToGrid/>
              <w:spacing w:before="145" w:line="200" w:lineRule="exact"/>
              <w:ind w:left="19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1000-30000</w:t>
            </w:r>
          </w:p>
        </w:tc>
        <w:tc>
          <w:tcPr>
            <w:tcW w:w="1295" w:type="dxa"/>
            <w:vAlign w:val="top"/>
          </w:tcPr>
          <w:p w14:paraId="1D63DB47">
            <w:pPr>
              <w:keepNext w:val="0"/>
              <w:keepLines w:val="0"/>
              <w:pageBreakBefore w:val="0"/>
              <w:widowControl w:val="0"/>
              <w:kinsoku/>
              <w:wordWrap/>
              <w:overflowPunct/>
              <w:topLinePunct w:val="0"/>
              <w:autoSpaceDE/>
              <w:autoSpaceDN/>
              <w:bidi w:val="0"/>
              <w:adjustRightInd/>
              <w:snapToGrid/>
              <w:spacing w:before="145" w:line="200" w:lineRule="exact"/>
              <w:ind w:left="191"/>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100-1000</w:t>
            </w:r>
          </w:p>
        </w:tc>
        <w:tc>
          <w:tcPr>
            <w:tcW w:w="1004" w:type="dxa"/>
            <w:vAlign w:val="top"/>
          </w:tcPr>
          <w:p w14:paraId="32F3F36B">
            <w:pPr>
              <w:keepNext w:val="0"/>
              <w:keepLines w:val="0"/>
              <w:pageBreakBefore w:val="0"/>
              <w:widowControl w:val="0"/>
              <w:kinsoku/>
              <w:wordWrap/>
              <w:overflowPunct/>
              <w:topLinePunct w:val="0"/>
              <w:autoSpaceDE/>
              <w:autoSpaceDN/>
              <w:bidi w:val="0"/>
              <w:adjustRightInd/>
              <w:snapToGrid/>
              <w:spacing w:before="104" w:line="200" w:lineRule="exact"/>
              <w:ind w:left="22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w:t>
            </w:r>
          </w:p>
        </w:tc>
      </w:tr>
      <w:tr w14:paraId="77B77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184" w:type="dxa"/>
            <w:vMerge w:val="restart"/>
            <w:tcBorders>
              <w:bottom w:val="nil"/>
            </w:tcBorders>
            <w:vAlign w:val="top"/>
          </w:tcPr>
          <w:p w14:paraId="28738526">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p w14:paraId="0C1B6F24">
            <w:pPr>
              <w:keepNext w:val="0"/>
              <w:keepLines w:val="0"/>
              <w:pageBreakBefore w:val="0"/>
              <w:widowControl w:val="0"/>
              <w:kinsoku/>
              <w:wordWrap/>
              <w:overflowPunct/>
              <w:topLinePunct w:val="0"/>
              <w:autoSpaceDE/>
              <w:autoSpaceDN/>
              <w:bidi w:val="0"/>
              <w:adjustRightInd/>
              <w:snapToGrid/>
              <w:spacing w:before="75" w:line="200" w:lineRule="exact"/>
              <w:ind w:left="262"/>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邮政业</w:t>
            </w:r>
          </w:p>
        </w:tc>
        <w:tc>
          <w:tcPr>
            <w:tcW w:w="1187" w:type="dxa"/>
            <w:vAlign w:val="top"/>
          </w:tcPr>
          <w:p w14:paraId="4E821824">
            <w:pPr>
              <w:keepNext w:val="0"/>
              <w:keepLines w:val="0"/>
              <w:pageBreakBefore w:val="0"/>
              <w:widowControl w:val="0"/>
              <w:kinsoku/>
              <w:wordWrap/>
              <w:overflowPunct/>
              <w:topLinePunct w:val="0"/>
              <w:autoSpaceDE/>
              <w:autoSpaceDN/>
              <w:bidi w:val="0"/>
              <w:adjustRightInd/>
              <w:snapToGrid/>
              <w:spacing w:before="104" w:line="200" w:lineRule="exact"/>
              <w:ind w:left="1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从业人员</w:t>
            </w:r>
          </w:p>
        </w:tc>
        <w:tc>
          <w:tcPr>
            <w:tcW w:w="900" w:type="dxa"/>
            <w:vAlign w:val="top"/>
          </w:tcPr>
          <w:p w14:paraId="2634B51B">
            <w:pPr>
              <w:keepNext w:val="0"/>
              <w:keepLines w:val="0"/>
              <w:pageBreakBefore w:val="0"/>
              <w:widowControl w:val="0"/>
              <w:kinsoku/>
              <w:wordWrap/>
              <w:overflowPunct/>
              <w:topLinePunct w:val="0"/>
              <w:autoSpaceDE/>
              <w:autoSpaceDN/>
              <w:bidi w:val="0"/>
              <w:adjustRightInd/>
              <w:snapToGrid/>
              <w:spacing w:before="104" w:line="200" w:lineRule="exact"/>
              <w:ind w:left="34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人</w:t>
            </w:r>
          </w:p>
        </w:tc>
        <w:tc>
          <w:tcPr>
            <w:tcW w:w="1399" w:type="dxa"/>
            <w:vAlign w:val="top"/>
          </w:tcPr>
          <w:p w14:paraId="607A8FFC">
            <w:pPr>
              <w:keepNext w:val="0"/>
              <w:keepLines w:val="0"/>
              <w:pageBreakBefore w:val="0"/>
              <w:widowControl w:val="0"/>
              <w:kinsoku/>
              <w:wordWrap/>
              <w:overflowPunct/>
              <w:topLinePunct w:val="0"/>
              <w:autoSpaceDE/>
              <w:autoSpaceDN/>
              <w:bidi w:val="0"/>
              <w:adjustRightInd/>
              <w:snapToGrid/>
              <w:spacing w:before="104" w:line="200" w:lineRule="exact"/>
              <w:ind w:left="37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≥1000</w:t>
            </w:r>
          </w:p>
        </w:tc>
        <w:tc>
          <w:tcPr>
            <w:tcW w:w="1535" w:type="dxa"/>
            <w:vAlign w:val="top"/>
          </w:tcPr>
          <w:p w14:paraId="7A8BB8DF">
            <w:pPr>
              <w:keepNext w:val="0"/>
              <w:keepLines w:val="0"/>
              <w:pageBreakBefore w:val="0"/>
              <w:widowControl w:val="0"/>
              <w:kinsoku/>
              <w:wordWrap/>
              <w:overflowPunct/>
              <w:topLinePunct w:val="0"/>
              <w:autoSpaceDE/>
              <w:autoSpaceDN/>
              <w:bidi w:val="0"/>
              <w:adjustRightInd/>
              <w:snapToGrid/>
              <w:spacing w:before="145" w:line="200" w:lineRule="exact"/>
              <w:ind w:left="23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300- 1000</w:t>
            </w:r>
          </w:p>
        </w:tc>
        <w:tc>
          <w:tcPr>
            <w:tcW w:w="1295" w:type="dxa"/>
            <w:vAlign w:val="top"/>
          </w:tcPr>
          <w:p w14:paraId="00AE30FD">
            <w:pPr>
              <w:keepNext w:val="0"/>
              <w:keepLines w:val="0"/>
              <w:pageBreakBefore w:val="0"/>
              <w:widowControl w:val="0"/>
              <w:kinsoku/>
              <w:wordWrap/>
              <w:overflowPunct/>
              <w:topLinePunct w:val="0"/>
              <w:autoSpaceDE/>
              <w:autoSpaceDN/>
              <w:bidi w:val="0"/>
              <w:adjustRightInd/>
              <w:snapToGrid/>
              <w:spacing w:before="145" w:line="200" w:lineRule="exact"/>
              <w:ind w:left="296"/>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20-300</w:t>
            </w:r>
          </w:p>
        </w:tc>
        <w:tc>
          <w:tcPr>
            <w:tcW w:w="1004" w:type="dxa"/>
            <w:vAlign w:val="top"/>
          </w:tcPr>
          <w:p w14:paraId="52EE8C58">
            <w:pPr>
              <w:keepNext w:val="0"/>
              <w:keepLines w:val="0"/>
              <w:pageBreakBefore w:val="0"/>
              <w:widowControl w:val="0"/>
              <w:kinsoku/>
              <w:wordWrap/>
              <w:overflowPunct/>
              <w:topLinePunct w:val="0"/>
              <w:autoSpaceDE/>
              <w:autoSpaceDN/>
              <w:bidi w:val="0"/>
              <w:adjustRightInd/>
              <w:snapToGrid/>
              <w:spacing w:before="104" w:line="200" w:lineRule="exact"/>
              <w:ind w:left="28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w:t>
            </w:r>
          </w:p>
        </w:tc>
      </w:tr>
      <w:tr w14:paraId="42EED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1184" w:type="dxa"/>
            <w:vMerge w:val="continue"/>
            <w:tcBorders>
              <w:top w:val="nil"/>
            </w:tcBorders>
            <w:vAlign w:val="top"/>
          </w:tcPr>
          <w:p w14:paraId="5D32BABE">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tc>
        <w:tc>
          <w:tcPr>
            <w:tcW w:w="1187" w:type="dxa"/>
            <w:vAlign w:val="top"/>
          </w:tcPr>
          <w:p w14:paraId="57707031">
            <w:pPr>
              <w:keepNext w:val="0"/>
              <w:keepLines w:val="0"/>
              <w:pageBreakBefore w:val="0"/>
              <w:widowControl w:val="0"/>
              <w:kinsoku/>
              <w:wordWrap/>
              <w:overflowPunct/>
              <w:topLinePunct w:val="0"/>
              <w:autoSpaceDE/>
              <w:autoSpaceDN/>
              <w:bidi w:val="0"/>
              <w:adjustRightInd/>
              <w:snapToGrid/>
              <w:spacing w:before="104" w:line="200" w:lineRule="exact"/>
              <w:ind w:left="133"/>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营业收入</w:t>
            </w:r>
          </w:p>
        </w:tc>
        <w:tc>
          <w:tcPr>
            <w:tcW w:w="900" w:type="dxa"/>
            <w:vAlign w:val="top"/>
          </w:tcPr>
          <w:p w14:paraId="15C83A39">
            <w:pPr>
              <w:keepNext w:val="0"/>
              <w:keepLines w:val="0"/>
              <w:pageBreakBefore w:val="0"/>
              <w:widowControl w:val="0"/>
              <w:kinsoku/>
              <w:wordWrap/>
              <w:overflowPunct/>
              <w:topLinePunct w:val="0"/>
              <w:autoSpaceDE/>
              <w:autoSpaceDN/>
              <w:bidi w:val="0"/>
              <w:adjustRightInd/>
              <w:snapToGrid/>
              <w:spacing w:before="104" w:line="200" w:lineRule="exact"/>
              <w:ind w:left="2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万元</w:t>
            </w:r>
          </w:p>
        </w:tc>
        <w:tc>
          <w:tcPr>
            <w:tcW w:w="1399" w:type="dxa"/>
            <w:vAlign w:val="top"/>
          </w:tcPr>
          <w:p w14:paraId="1AF97559">
            <w:pPr>
              <w:keepNext w:val="0"/>
              <w:keepLines w:val="0"/>
              <w:pageBreakBefore w:val="0"/>
              <w:widowControl w:val="0"/>
              <w:kinsoku/>
              <w:wordWrap/>
              <w:overflowPunct/>
              <w:topLinePunct w:val="0"/>
              <w:autoSpaceDE/>
              <w:autoSpaceDN/>
              <w:bidi w:val="0"/>
              <w:adjustRightInd/>
              <w:snapToGrid/>
              <w:spacing w:before="104" w:line="200" w:lineRule="exact"/>
              <w:ind w:left="31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≥30000</w:t>
            </w:r>
          </w:p>
        </w:tc>
        <w:tc>
          <w:tcPr>
            <w:tcW w:w="1535" w:type="dxa"/>
            <w:vAlign w:val="top"/>
          </w:tcPr>
          <w:p w14:paraId="726EF00E">
            <w:pPr>
              <w:keepNext w:val="0"/>
              <w:keepLines w:val="0"/>
              <w:pageBreakBefore w:val="0"/>
              <w:widowControl w:val="0"/>
              <w:kinsoku/>
              <w:wordWrap/>
              <w:overflowPunct/>
              <w:topLinePunct w:val="0"/>
              <w:autoSpaceDE/>
              <w:autoSpaceDN/>
              <w:bidi w:val="0"/>
              <w:adjustRightInd/>
              <w:snapToGrid/>
              <w:spacing w:before="145" w:line="200" w:lineRule="exact"/>
              <w:ind w:left="17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2000-30000</w:t>
            </w:r>
          </w:p>
        </w:tc>
        <w:tc>
          <w:tcPr>
            <w:tcW w:w="1295" w:type="dxa"/>
            <w:vAlign w:val="top"/>
          </w:tcPr>
          <w:p w14:paraId="5A54C46B">
            <w:pPr>
              <w:keepNext w:val="0"/>
              <w:keepLines w:val="0"/>
              <w:pageBreakBefore w:val="0"/>
              <w:widowControl w:val="0"/>
              <w:kinsoku/>
              <w:wordWrap/>
              <w:overflowPunct/>
              <w:topLinePunct w:val="0"/>
              <w:autoSpaceDE/>
              <w:autoSpaceDN/>
              <w:bidi w:val="0"/>
              <w:adjustRightInd/>
              <w:snapToGrid/>
              <w:spacing w:before="145" w:line="200" w:lineRule="exact"/>
              <w:ind w:left="191"/>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100-2000</w:t>
            </w:r>
          </w:p>
        </w:tc>
        <w:tc>
          <w:tcPr>
            <w:tcW w:w="1004" w:type="dxa"/>
            <w:vAlign w:val="top"/>
          </w:tcPr>
          <w:p w14:paraId="2DE538E4">
            <w:pPr>
              <w:keepNext w:val="0"/>
              <w:keepLines w:val="0"/>
              <w:pageBreakBefore w:val="0"/>
              <w:widowControl w:val="0"/>
              <w:kinsoku/>
              <w:wordWrap/>
              <w:overflowPunct/>
              <w:topLinePunct w:val="0"/>
              <w:autoSpaceDE/>
              <w:autoSpaceDN/>
              <w:bidi w:val="0"/>
              <w:adjustRightInd/>
              <w:snapToGrid/>
              <w:spacing w:before="104" w:line="200" w:lineRule="exact"/>
              <w:ind w:left="22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w:t>
            </w:r>
          </w:p>
        </w:tc>
      </w:tr>
      <w:tr w14:paraId="6A266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184" w:type="dxa"/>
            <w:vMerge w:val="restart"/>
            <w:tcBorders>
              <w:bottom w:val="nil"/>
            </w:tcBorders>
            <w:vAlign w:val="top"/>
          </w:tcPr>
          <w:p w14:paraId="59D0C8BF">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p w14:paraId="49DE3466">
            <w:pPr>
              <w:keepNext w:val="0"/>
              <w:keepLines w:val="0"/>
              <w:pageBreakBefore w:val="0"/>
              <w:widowControl w:val="0"/>
              <w:kinsoku/>
              <w:wordWrap/>
              <w:overflowPunct/>
              <w:topLinePunct w:val="0"/>
              <w:autoSpaceDE/>
              <w:autoSpaceDN/>
              <w:bidi w:val="0"/>
              <w:adjustRightInd/>
              <w:snapToGrid/>
              <w:spacing w:before="75" w:line="200" w:lineRule="exact"/>
              <w:ind w:left="124"/>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住宿餐饮</w:t>
            </w:r>
          </w:p>
        </w:tc>
        <w:tc>
          <w:tcPr>
            <w:tcW w:w="1187" w:type="dxa"/>
            <w:vAlign w:val="top"/>
          </w:tcPr>
          <w:p w14:paraId="5FC6E526">
            <w:pPr>
              <w:keepNext w:val="0"/>
              <w:keepLines w:val="0"/>
              <w:pageBreakBefore w:val="0"/>
              <w:widowControl w:val="0"/>
              <w:kinsoku/>
              <w:wordWrap/>
              <w:overflowPunct/>
              <w:topLinePunct w:val="0"/>
              <w:autoSpaceDE/>
              <w:autoSpaceDN/>
              <w:bidi w:val="0"/>
              <w:adjustRightInd/>
              <w:snapToGrid/>
              <w:spacing w:before="104" w:line="200" w:lineRule="exact"/>
              <w:ind w:left="1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从业人员</w:t>
            </w:r>
          </w:p>
        </w:tc>
        <w:tc>
          <w:tcPr>
            <w:tcW w:w="900" w:type="dxa"/>
            <w:vAlign w:val="top"/>
          </w:tcPr>
          <w:p w14:paraId="7EF4B8A4">
            <w:pPr>
              <w:keepNext w:val="0"/>
              <w:keepLines w:val="0"/>
              <w:pageBreakBefore w:val="0"/>
              <w:widowControl w:val="0"/>
              <w:kinsoku/>
              <w:wordWrap/>
              <w:overflowPunct/>
              <w:topLinePunct w:val="0"/>
              <w:autoSpaceDE/>
              <w:autoSpaceDN/>
              <w:bidi w:val="0"/>
              <w:adjustRightInd/>
              <w:snapToGrid/>
              <w:spacing w:before="103" w:line="200" w:lineRule="exact"/>
              <w:ind w:left="34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人</w:t>
            </w:r>
          </w:p>
        </w:tc>
        <w:tc>
          <w:tcPr>
            <w:tcW w:w="1399" w:type="dxa"/>
            <w:vAlign w:val="top"/>
          </w:tcPr>
          <w:p w14:paraId="3C160FC7">
            <w:pPr>
              <w:keepNext w:val="0"/>
              <w:keepLines w:val="0"/>
              <w:pageBreakBefore w:val="0"/>
              <w:widowControl w:val="0"/>
              <w:kinsoku/>
              <w:wordWrap/>
              <w:overflowPunct/>
              <w:topLinePunct w:val="0"/>
              <w:autoSpaceDE/>
              <w:autoSpaceDN/>
              <w:bidi w:val="0"/>
              <w:adjustRightInd/>
              <w:snapToGrid/>
              <w:spacing w:before="103" w:line="200" w:lineRule="exact"/>
              <w:ind w:left="43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w:t>
            </w:r>
          </w:p>
        </w:tc>
        <w:tc>
          <w:tcPr>
            <w:tcW w:w="1535" w:type="dxa"/>
            <w:vAlign w:val="top"/>
          </w:tcPr>
          <w:p w14:paraId="34F06686">
            <w:pPr>
              <w:keepNext w:val="0"/>
              <w:keepLines w:val="0"/>
              <w:pageBreakBefore w:val="0"/>
              <w:widowControl w:val="0"/>
              <w:kinsoku/>
              <w:wordWrap/>
              <w:overflowPunct/>
              <w:topLinePunct w:val="0"/>
              <w:autoSpaceDE/>
              <w:autoSpaceDN/>
              <w:bidi w:val="0"/>
              <w:adjustRightInd/>
              <w:snapToGrid/>
              <w:spacing w:before="144" w:line="200" w:lineRule="exact"/>
              <w:ind w:left="37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100-300</w:t>
            </w:r>
          </w:p>
        </w:tc>
        <w:tc>
          <w:tcPr>
            <w:tcW w:w="1295" w:type="dxa"/>
            <w:vAlign w:val="top"/>
          </w:tcPr>
          <w:p w14:paraId="55C5EE8B">
            <w:pPr>
              <w:keepNext w:val="0"/>
              <w:keepLines w:val="0"/>
              <w:pageBreakBefore w:val="0"/>
              <w:widowControl w:val="0"/>
              <w:kinsoku/>
              <w:wordWrap/>
              <w:overflowPunct/>
              <w:topLinePunct w:val="0"/>
              <w:autoSpaceDE/>
              <w:autoSpaceDN/>
              <w:bidi w:val="0"/>
              <w:adjustRightInd/>
              <w:snapToGrid/>
              <w:spacing w:before="144" w:line="200" w:lineRule="exact"/>
              <w:ind w:left="311"/>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10-100</w:t>
            </w:r>
          </w:p>
        </w:tc>
        <w:tc>
          <w:tcPr>
            <w:tcW w:w="1004" w:type="dxa"/>
            <w:vAlign w:val="top"/>
          </w:tcPr>
          <w:p w14:paraId="1435E8A8">
            <w:pPr>
              <w:keepNext w:val="0"/>
              <w:keepLines w:val="0"/>
              <w:pageBreakBefore w:val="0"/>
              <w:widowControl w:val="0"/>
              <w:kinsoku/>
              <w:wordWrap/>
              <w:overflowPunct/>
              <w:topLinePunct w:val="0"/>
              <w:autoSpaceDE/>
              <w:autoSpaceDN/>
              <w:bidi w:val="0"/>
              <w:adjustRightInd/>
              <w:snapToGrid/>
              <w:spacing w:before="103" w:line="200" w:lineRule="exact"/>
              <w:ind w:left="28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w:t>
            </w:r>
          </w:p>
        </w:tc>
      </w:tr>
      <w:tr w14:paraId="1DAEB2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184" w:type="dxa"/>
            <w:vMerge w:val="continue"/>
            <w:tcBorders>
              <w:top w:val="nil"/>
            </w:tcBorders>
            <w:vAlign w:val="top"/>
          </w:tcPr>
          <w:p w14:paraId="76C760FB">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tc>
        <w:tc>
          <w:tcPr>
            <w:tcW w:w="1187" w:type="dxa"/>
            <w:vAlign w:val="top"/>
          </w:tcPr>
          <w:p w14:paraId="6E2FC0E5">
            <w:pPr>
              <w:keepNext w:val="0"/>
              <w:keepLines w:val="0"/>
              <w:pageBreakBefore w:val="0"/>
              <w:widowControl w:val="0"/>
              <w:kinsoku/>
              <w:wordWrap/>
              <w:overflowPunct/>
              <w:topLinePunct w:val="0"/>
              <w:autoSpaceDE/>
              <w:autoSpaceDN/>
              <w:bidi w:val="0"/>
              <w:adjustRightInd/>
              <w:snapToGrid/>
              <w:spacing w:before="103" w:line="200" w:lineRule="exact"/>
              <w:ind w:left="133"/>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营业收入</w:t>
            </w:r>
          </w:p>
        </w:tc>
        <w:tc>
          <w:tcPr>
            <w:tcW w:w="900" w:type="dxa"/>
            <w:vAlign w:val="top"/>
          </w:tcPr>
          <w:p w14:paraId="5B72A2A0">
            <w:pPr>
              <w:keepNext w:val="0"/>
              <w:keepLines w:val="0"/>
              <w:pageBreakBefore w:val="0"/>
              <w:widowControl w:val="0"/>
              <w:kinsoku/>
              <w:wordWrap/>
              <w:overflowPunct/>
              <w:topLinePunct w:val="0"/>
              <w:autoSpaceDE/>
              <w:autoSpaceDN/>
              <w:bidi w:val="0"/>
              <w:adjustRightInd/>
              <w:snapToGrid/>
              <w:spacing w:before="103" w:line="200" w:lineRule="exact"/>
              <w:ind w:left="2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万元</w:t>
            </w:r>
          </w:p>
        </w:tc>
        <w:tc>
          <w:tcPr>
            <w:tcW w:w="1399" w:type="dxa"/>
            <w:vAlign w:val="top"/>
          </w:tcPr>
          <w:p w14:paraId="33EB422D">
            <w:pPr>
              <w:keepNext w:val="0"/>
              <w:keepLines w:val="0"/>
              <w:pageBreakBefore w:val="0"/>
              <w:widowControl w:val="0"/>
              <w:kinsoku/>
              <w:wordWrap/>
              <w:overflowPunct/>
              <w:topLinePunct w:val="0"/>
              <w:autoSpaceDE/>
              <w:autoSpaceDN/>
              <w:bidi w:val="0"/>
              <w:adjustRightInd/>
              <w:snapToGrid/>
              <w:spacing w:before="103" w:line="200" w:lineRule="exact"/>
              <w:ind w:left="31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≥10000</w:t>
            </w:r>
          </w:p>
        </w:tc>
        <w:tc>
          <w:tcPr>
            <w:tcW w:w="1535" w:type="dxa"/>
            <w:vAlign w:val="top"/>
          </w:tcPr>
          <w:p w14:paraId="6245ADAB">
            <w:pPr>
              <w:keepNext w:val="0"/>
              <w:keepLines w:val="0"/>
              <w:pageBreakBefore w:val="0"/>
              <w:widowControl w:val="0"/>
              <w:kinsoku/>
              <w:wordWrap/>
              <w:overflowPunct/>
              <w:topLinePunct w:val="0"/>
              <w:autoSpaceDE/>
              <w:autoSpaceDN/>
              <w:bidi w:val="0"/>
              <w:adjustRightInd/>
              <w:snapToGrid/>
              <w:spacing w:before="144" w:line="200" w:lineRule="exact"/>
              <w:ind w:left="17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2000-10000</w:t>
            </w:r>
          </w:p>
        </w:tc>
        <w:tc>
          <w:tcPr>
            <w:tcW w:w="1295" w:type="dxa"/>
            <w:vAlign w:val="top"/>
          </w:tcPr>
          <w:p w14:paraId="14AE4CA6">
            <w:pPr>
              <w:keepNext w:val="0"/>
              <w:keepLines w:val="0"/>
              <w:pageBreakBefore w:val="0"/>
              <w:widowControl w:val="0"/>
              <w:kinsoku/>
              <w:wordWrap/>
              <w:overflowPunct/>
              <w:topLinePunct w:val="0"/>
              <w:autoSpaceDE/>
              <w:autoSpaceDN/>
              <w:bidi w:val="0"/>
              <w:adjustRightInd/>
              <w:snapToGrid/>
              <w:spacing w:before="144" w:line="200" w:lineRule="exact"/>
              <w:ind w:left="191"/>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100-2000</w:t>
            </w:r>
          </w:p>
        </w:tc>
        <w:tc>
          <w:tcPr>
            <w:tcW w:w="1004" w:type="dxa"/>
            <w:vAlign w:val="top"/>
          </w:tcPr>
          <w:p w14:paraId="38D99DFB">
            <w:pPr>
              <w:keepNext w:val="0"/>
              <w:keepLines w:val="0"/>
              <w:pageBreakBefore w:val="0"/>
              <w:widowControl w:val="0"/>
              <w:kinsoku/>
              <w:wordWrap/>
              <w:overflowPunct/>
              <w:topLinePunct w:val="0"/>
              <w:autoSpaceDE/>
              <w:autoSpaceDN/>
              <w:bidi w:val="0"/>
              <w:adjustRightInd/>
              <w:snapToGrid/>
              <w:spacing w:before="103" w:line="200" w:lineRule="exact"/>
              <w:ind w:left="22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w:t>
            </w:r>
          </w:p>
        </w:tc>
      </w:tr>
      <w:tr w14:paraId="047B8F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184" w:type="dxa"/>
            <w:vMerge w:val="restart"/>
            <w:tcBorders>
              <w:bottom w:val="nil"/>
            </w:tcBorders>
            <w:vAlign w:val="top"/>
          </w:tcPr>
          <w:p w14:paraId="60D0CCE7">
            <w:pPr>
              <w:keepNext w:val="0"/>
              <w:keepLines w:val="0"/>
              <w:pageBreakBefore w:val="0"/>
              <w:widowControl w:val="0"/>
              <w:kinsoku/>
              <w:wordWrap/>
              <w:overflowPunct/>
              <w:topLinePunct w:val="0"/>
              <w:autoSpaceDE/>
              <w:autoSpaceDN/>
              <w:bidi w:val="0"/>
              <w:adjustRightInd/>
              <w:snapToGrid/>
              <w:spacing w:before="172" w:line="200" w:lineRule="exact"/>
              <w:ind w:left="124" w:right="110" w:firstLine="124"/>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房地产 开发经营</w:t>
            </w:r>
          </w:p>
        </w:tc>
        <w:tc>
          <w:tcPr>
            <w:tcW w:w="1187" w:type="dxa"/>
            <w:vAlign w:val="top"/>
          </w:tcPr>
          <w:p w14:paraId="527747BF">
            <w:pPr>
              <w:keepNext w:val="0"/>
              <w:keepLines w:val="0"/>
              <w:pageBreakBefore w:val="0"/>
              <w:widowControl w:val="0"/>
              <w:kinsoku/>
              <w:wordWrap/>
              <w:overflowPunct/>
              <w:topLinePunct w:val="0"/>
              <w:autoSpaceDE/>
              <w:autoSpaceDN/>
              <w:bidi w:val="0"/>
              <w:adjustRightInd/>
              <w:snapToGrid/>
              <w:spacing w:before="103" w:line="200" w:lineRule="exact"/>
              <w:ind w:left="138"/>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资产总额</w:t>
            </w:r>
          </w:p>
        </w:tc>
        <w:tc>
          <w:tcPr>
            <w:tcW w:w="900" w:type="dxa"/>
            <w:vAlign w:val="top"/>
          </w:tcPr>
          <w:p w14:paraId="71EEAA7F">
            <w:pPr>
              <w:keepNext w:val="0"/>
              <w:keepLines w:val="0"/>
              <w:pageBreakBefore w:val="0"/>
              <w:widowControl w:val="0"/>
              <w:kinsoku/>
              <w:wordWrap/>
              <w:overflowPunct/>
              <w:topLinePunct w:val="0"/>
              <w:autoSpaceDE/>
              <w:autoSpaceDN/>
              <w:bidi w:val="0"/>
              <w:adjustRightInd/>
              <w:snapToGrid/>
              <w:spacing w:before="103" w:line="200" w:lineRule="exact"/>
              <w:ind w:left="2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万元</w:t>
            </w:r>
          </w:p>
        </w:tc>
        <w:tc>
          <w:tcPr>
            <w:tcW w:w="1399" w:type="dxa"/>
            <w:vAlign w:val="top"/>
          </w:tcPr>
          <w:p w14:paraId="6C22B241">
            <w:pPr>
              <w:keepNext w:val="0"/>
              <w:keepLines w:val="0"/>
              <w:pageBreakBefore w:val="0"/>
              <w:widowControl w:val="0"/>
              <w:kinsoku/>
              <w:wordWrap/>
              <w:overflowPunct/>
              <w:topLinePunct w:val="0"/>
              <w:autoSpaceDE/>
              <w:autoSpaceDN/>
              <w:bidi w:val="0"/>
              <w:adjustRightInd/>
              <w:snapToGrid/>
              <w:spacing w:before="103" w:line="200" w:lineRule="exact"/>
              <w:ind w:left="31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≥10000</w:t>
            </w:r>
          </w:p>
        </w:tc>
        <w:tc>
          <w:tcPr>
            <w:tcW w:w="1535" w:type="dxa"/>
            <w:vAlign w:val="top"/>
          </w:tcPr>
          <w:p w14:paraId="07507173">
            <w:pPr>
              <w:keepNext w:val="0"/>
              <w:keepLines w:val="0"/>
              <w:pageBreakBefore w:val="0"/>
              <w:widowControl w:val="0"/>
              <w:kinsoku/>
              <w:wordWrap/>
              <w:overflowPunct/>
              <w:topLinePunct w:val="0"/>
              <w:autoSpaceDE/>
              <w:autoSpaceDN/>
              <w:bidi w:val="0"/>
              <w:adjustRightInd/>
              <w:snapToGrid/>
              <w:spacing w:before="144" w:line="200" w:lineRule="exact"/>
              <w:ind w:left="17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5000-10000</w:t>
            </w:r>
          </w:p>
        </w:tc>
        <w:tc>
          <w:tcPr>
            <w:tcW w:w="1295" w:type="dxa"/>
            <w:vAlign w:val="top"/>
          </w:tcPr>
          <w:p w14:paraId="6CC3B6B5">
            <w:pPr>
              <w:keepNext w:val="0"/>
              <w:keepLines w:val="0"/>
              <w:pageBreakBefore w:val="0"/>
              <w:widowControl w:val="0"/>
              <w:kinsoku/>
              <w:wordWrap/>
              <w:overflowPunct/>
              <w:topLinePunct w:val="0"/>
              <w:autoSpaceDE/>
              <w:autoSpaceDN/>
              <w:bidi w:val="0"/>
              <w:adjustRightInd/>
              <w:snapToGrid/>
              <w:spacing w:before="103" w:line="200" w:lineRule="exact"/>
              <w:ind w:left="116"/>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2000&lt;5000</w:t>
            </w:r>
          </w:p>
        </w:tc>
        <w:tc>
          <w:tcPr>
            <w:tcW w:w="1004" w:type="dxa"/>
            <w:vAlign w:val="top"/>
          </w:tcPr>
          <w:p w14:paraId="684110AF">
            <w:pPr>
              <w:keepNext w:val="0"/>
              <w:keepLines w:val="0"/>
              <w:pageBreakBefore w:val="0"/>
              <w:widowControl w:val="0"/>
              <w:kinsoku/>
              <w:wordWrap/>
              <w:overflowPunct/>
              <w:topLinePunct w:val="0"/>
              <w:autoSpaceDE/>
              <w:autoSpaceDN/>
              <w:bidi w:val="0"/>
              <w:adjustRightInd/>
              <w:snapToGrid/>
              <w:spacing w:before="103" w:line="200" w:lineRule="exact"/>
              <w:ind w:left="16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＜2000</w:t>
            </w:r>
          </w:p>
        </w:tc>
      </w:tr>
      <w:tr w14:paraId="19D695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184" w:type="dxa"/>
            <w:vMerge w:val="continue"/>
            <w:tcBorders>
              <w:top w:val="nil"/>
            </w:tcBorders>
            <w:vAlign w:val="top"/>
          </w:tcPr>
          <w:p w14:paraId="3CB93CDB">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tc>
        <w:tc>
          <w:tcPr>
            <w:tcW w:w="1187" w:type="dxa"/>
            <w:vAlign w:val="top"/>
          </w:tcPr>
          <w:p w14:paraId="7AD7AA5A">
            <w:pPr>
              <w:keepNext w:val="0"/>
              <w:keepLines w:val="0"/>
              <w:pageBreakBefore w:val="0"/>
              <w:widowControl w:val="0"/>
              <w:kinsoku/>
              <w:wordWrap/>
              <w:overflowPunct/>
              <w:topLinePunct w:val="0"/>
              <w:autoSpaceDE/>
              <w:autoSpaceDN/>
              <w:bidi w:val="0"/>
              <w:adjustRightInd/>
              <w:snapToGrid/>
              <w:spacing w:before="103" w:line="200" w:lineRule="exact"/>
              <w:ind w:left="133"/>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营业收入</w:t>
            </w:r>
          </w:p>
        </w:tc>
        <w:tc>
          <w:tcPr>
            <w:tcW w:w="900" w:type="dxa"/>
            <w:vAlign w:val="top"/>
          </w:tcPr>
          <w:p w14:paraId="2F9F8BC2">
            <w:pPr>
              <w:keepNext w:val="0"/>
              <w:keepLines w:val="0"/>
              <w:pageBreakBefore w:val="0"/>
              <w:widowControl w:val="0"/>
              <w:kinsoku/>
              <w:wordWrap/>
              <w:overflowPunct/>
              <w:topLinePunct w:val="0"/>
              <w:autoSpaceDE/>
              <w:autoSpaceDN/>
              <w:bidi w:val="0"/>
              <w:adjustRightInd/>
              <w:snapToGrid/>
              <w:spacing w:before="103" w:line="200" w:lineRule="exact"/>
              <w:ind w:left="2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万元</w:t>
            </w:r>
          </w:p>
        </w:tc>
        <w:tc>
          <w:tcPr>
            <w:tcW w:w="1399" w:type="dxa"/>
            <w:vAlign w:val="top"/>
          </w:tcPr>
          <w:p w14:paraId="0B808052">
            <w:pPr>
              <w:keepNext w:val="0"/>
              <w:keepLines w:val="0"/>
              <w:pageBreakBefore w:val="0"/>
              <w:widowControl w:val="0"/>
              <w:kinsoku/>
              <w:wordWrap/>
              <w:overflowPunct/>
              <w:topLinePunct w:val="0"/>
              <w:autoSpaceDE/>
              <w:autoSpaceDN/>
              <w:bidi w:val="0"/>
              <w:adjustRightInd/>
              <w:snapToGrid/>
              <w:spacing w:before="103" w:line="200" w:lineRule="exact"/>
              <w:ind w:left="25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≥200000</w:t>
            </w:r>
          </w:p>
        </w:tc>
        <w:tc>
          <w:tcPr>
            <w:tcW w:w="1535" w:type="dxa"/>
            <w:vAlign w:val="top"/>
          </w:tcPr>
          <w:p w14:paraId="5ACD7BD4">
            <w:pPr>
              <w:keepNext w:val="0"/>
              <w:keepLines w:val="0"/>
              <w:pageBreakBefore w:val="0"/>
              <w:widowControl w:val="0"/>
              <w:kinsoku/>
              <w:wordWrap/>
              <w:overflowPunct/>
              <w:topLinePunct w:val="0"/>
              <w:autoSpaceDE/>
              <w:autoSpaceDN/>
              <w:bidi w:val="0"/>
              <w:adjustRightInd/>
              <w:snapToGrid/>
              <w:spacing w:before="144" w:line="200" w:lineRule="exact"/>
              <w:ind w:left="13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1000-200000</w:t>
            </w:r>
          </w:p>
        </w:tc>
        <w:tc>
          <w:tcPr>
            <w:tcW w:w="1295" w:type="dxa"/>
            <w:vAlign w:val="top"/>
          </w:tcPr>
          <w:p w14:paraId="790C8E7D">
            <w:pPr>
              <w:keepNext w:val="0"/>
              <w:keepLines w:val="0"/>
              <w:pageBreakBefore w:val="0"/>
              <w:widowControl w:val="0"/>
              <w:kinsoku/>
              <w:wordWrap/>
              <w:overflowPunct/>
              <w:topLinePunct w:val="0"/>
              <w:autoSpaceDE/>
              <w:autoSpaceDN/>
              <w:bidi w:val="0"/>
              <w:adjustRightInd/>
              <w:snapToGrid/>
              <w:spacing w:before="103" w:line="200" w:lineRule="exact"/>
              <w:ind w:left="131"/>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100&lt;10000</w:t>
            </w:r>
          </w:p>
        </w:tc>
        <w:tc>
          <w:tcPr>
            <w:tcW w:w="1004" w:type="dxa"/>
            <w:vAlign w:val="top"/>
          </w:tcPr>
          <w:p w14:paraId="5EFED313">
            <w:pPr>
              <w:keepNext w:val="0"/>
              <w:keepLines w:val="0"/>
              <w:pageBreakBefore w:val="0"/>
              <w:widowControl w:val="0"/>
              <w:kinsoku/>
              <w:wordWrap/>
              <w:overflowPunct/>
              <w:topLinePunct w:val="0"/>
              <w:autoSpaceDE/>
              <w:autoSpaceDN/>
              <w:bidi w:val="0"/>
              <w:adjustRightInd/>
              <w:snapToGrid/>
              <w:spacing w:before="103" w:line="200" w:lineRule="exact"/>
              <w:ind w:left="22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w:t>
            </w:r>
          </w:p>
        </w:tc>
      </w:tr>
      <w:tr w14:paraId="59403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 w:hRule="atLeast"/>
        </w:trPr>
        <w:tc>
          <w:tcPr>
            <w:tcW w:w="1184" w:type="dxa"/>
            <w:vMerge w:val="restart"/>
            <w:tcBorders>
              <w:bottom w:val="nil"/>
            </w:tcBorders>
            <w:vAlign w:val="top"/>
          </w:tcPr>
          <w:p w14:paraId="027D718B">
            <w:pPr>
              <w:keepNext w:val="0"/>
              <w:keepLines w:val="0"/>
              <w:pageBreakBefore w:val="0"/>
              <w:widowControl w:val="0"/>
              <w:kinsoku/>
              <w:wordWrap/>
              <w:overflowPunct/>
              <w:topLinePunct w:val="0"/>
              <w:autoSpaceDE/>
              <w:autoSpaceDN/>
              <w:bidi w:val="0"/>
              <w:adjustRightInd/>
              <w:snapToGrid/>
              <w:spacing w:before="263" w:line="200" w:lineRule="exact"/>
              <w:ind w:left="1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物业管理</w:t>
            </w:r>
          </w:p>
        </w:tc>
        <w:tc>
          <w:tcPr>
            <w:tcW w:w="1187" w:type="dxa"/>
            <w:vAlign w:val="top"/>
          </w:tcPr>
          <w:p w14:paraId="2A2E805E">
            <w:pPr>
              <w:keepNext w:val="0"/>
              <w:keepLines w:val="0"/>
              <w:pageBreakBefore w:val="0"/>
              <w:widowControl w:val="0"/>
              <w:kinsoku/>
              <w:wordWrap/>
              <w:overflowPunct/>
              <w:topLinePunct w:val="0"/>
              <w:autoSpaceDE/>
              <w:autoSpaceDN/>
              <w:bidi w:val="0"/>
              <w:adjustRightInd/>
              <w:snapToGrid/>
              <w:spacing w:before="40" w:line="200" w:lineRule="exact"/>
              <w:ind w:left="1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从业人员</w:t>
            </w:r>
          </w:p>
        </w:tc>
        <w:tc>
          <w:tcPr>
            <w:tcW w:w="900" w:type="dxa"/>
            <w:vAlign w:val="top"/>
          </w:tcPr>
          <w:p w14:paraId="47CAA596">
            <w:pPr>
              <w:keepNext w:val="0"/>
              <w:keepLines w:val="0"/>
              <w:pageBreakBefore w:val="0"/>
              <w:widowControl w:val="0"/>
              <w:kinsoku/>
              <w:wordWrap/>
              <w:overflowPunct/>
              <w:topLinePunct w:val="0"/>
              <w:autoSpaceDE/>
              <w:autoSpaceDN/>
              <w:bidi w:val="0"/>
              <w:adjustRightInd/>
              <w:snapToGrid/>
              <w:spacing w:before="40" w:line="200" w:lineRule="exact"/>
              <w:ind w:left="34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人</w:t>
            </w:r>
          </w:p>
        </w:tc>
        <w:tc>
          <w:tcPr>
            <w:tcW w:w="1399" w:type="dxa"/>
            <w:vAlign w:val="top"/>
          </w:tcPr>
          <w:p w14:paraId="6F0E23A9">
            <w:pPr>
              <w:keepNext w:val="0"/>
              <w:keepLines w:val="0"/>
              <w:pageBreakBefore w:val="0"/>
              <w:widowControl w:val="0"/>
              <w:kinsoku/>
              <w:wordWrap/>
              <w:overflowPunct/>
              <w:topLinePunct w:val="0"/>
              <w:autoSpaceDE/>
              <w:autoSpaceDN/>
              <w:bidi w:val="0"/>
              <w:adjustRightInd/>
              <w:snapToGrid/>
              <w:spacing w:before="40" w:line="200" w:lineRule="exact"/>
              <w:ind w:left="37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≥1000</w:t>
            </w:r>
          </w:p>
        </w:tc>
        <w:tc>
          <w:tcPr>
            <w:tcW w:w="1535" w:type="dxa"/>
            <w:vAlign w:val="top"/>
          </w:tcPr>
          <w:p w14:paraId="113A5C51">
            <w:pPr>
              <w:keepNext w:val="0"/>
              <w:keepLines w:val="0"/>
              <w:pageBreakBefore w:val="0"/>
              <w:widowControl w:val="0"/>
              <w:kinsoku/>
              <w:wordWrap/>
              <w:overflowPunct/>
              <w:topLinePunct w:val="0"/>
              <w:autoSpaceDE/>
              <w:autoSpaceDN/>
              <w:bidi w:val="0"/>
              <w:adjustRightInd/>
              <w:snapToGrid/>
              <w:spacing w:before="81" w:line="200" w:lineRule="exact"/>
              <w:ind w:left="29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300-1000</w:t>
            </w:r>
          </w:p>
        </w:tc>
        <w:tc>
          <w:tcPr>
            <w:tcW w:w="1295" w:type="dxa"/>
            <w:vAlign w:val="top"/>
          </w:tcPr>
          <w:p w14:paraId="338453C0">
            <w:pPr>
              <w:keepNext w:val="0"/>
              <w:keepLines w:val="0"/>
              <w:pageBreakBefore w:val="0"/>
              <w:widowControl w:val="0"/>
              <w:kinsoku/>
              <w:wordWrap/>
              <w:overflowPunct/>
              <w:topLinePunct w:val="0"/>
              <w:autoSpaceDE/>
              <w:autoSpaceDN/>
              <w:bidi w:val="0"/>
              <w:adjustRightInd/>
              <w:snapToGrid/>
              <w:spacing w:before="81" w:line="200" w:lineRule="exact"/>
              <w:ind w:left="251"/>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100-300</w:t>
            </w:r>
          </w:p>
        </w:tc>
        <w:tc>
          <w:tcPr>
            <w:tcW w:w="1004" w:type="dxa"/>
            <w:vAlign w:val="top"/>
          </w:tcPr>
          <w:p w14:paraId="5240E416">
            <w:pPr>
              <w:keepNext w:val="0"/>
              <w:keepLines w:val="0"/>
              <w:pageBreakBefore w:val="0"/>
              <w:widowControl w:val="0"/>
              <w:kinsoku/>
              <w:wordWrap/>
              <w:overflowPunct/>
              <w:topLinePunct w:val="0"/>
              <w:autoSpaceDE/>
              <w:autoSpaceDN/>
              <w:bidi w:val="0"/>
              <w:adjustRightInd/>
              <w:snapToGrid/>
              <w:spacing w:before="40" w:line="200" w:lineRule="exact"/>
              <w:ind w:left="22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w:t>
            </w:r>
          </w:p>
        </w:tc>
      </w:tr>
      <w:tr w14:paraId="7B038D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184" w:type="dxa"/>
            <w:vMerge w:val="continue"/>
            <w:tcBorders>
              <w:top w:val="nil"/>
            </w:tcBorders>
            <w:vAlign w:val="top"/>
          </w:tcPr>
          <w:p w14:paraId="20F6EC3A">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tc>
        <w:tc>
          <w:tcPr>
            <w:tcW w:w="1187" w:type="dxa"/>
            <w:vAlign w:val="top"/>
          </w:tcPr>
          <w:p w14:paraId="0F311A88">
            <w:pPr>
              <w:keepNext w:val="0"/>
              <w:keepLines w:val="0"/>
              <w:pageBreakBefore w:val="0"/>
              <w:widowControl w:val="0"/>
              <w:kinsoku/>
              <w:wordWrap/>
              <w:overflowPunct/>
              <w:topLinePunct w:val="0"/>
              <w:autoSpaceDE/>
              <w:autoSpaceDN/>
              <w:bidi w:val="0"/>
              <w:adjustRightInd/>
              <w:snapToGrid/>
              <w:spacing w:before="103" w:line="200" w:lineRule="exact"/>
              <w:ind w:left="133"/>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营业收入</w:t>
            </w:r>
          </w:p>
        </w:tc>
        <w:tc>
          <w:tcPr>
            <w:tcW w:w="900" w:type="dxa"/>
            <w:vAlign w:val="top"/>
          </w:tcPr>
          <w:p w14:paraId="5F092097">
            <w:pPr>
              <w:keepNext w:val="0"/>
              <w:keepLines w:val="0"/>
              <w:pageBreakBefore w:val="0"/>
              <w:widowControl w:val="0"/>
              <w:kinsoku/>
              <w:wordWrap/>
              <w:overflowPunct/>
              <w:topLinePunct w:val="0"/>
              <w:autoSpaceDE/>
              <w:autoSpaceDN/>
              <w:bidi w:val="0"/>
              <w:adjustRightInd/>
              <w:snapToGrid/>
              <w:spacing w:before="103" w:line="200" w:lineRule="exact"/>
              <w:ind w:left="2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万元</w:t>
            </w:r>
          </w:p>
        </w:tc>
        <w:tc>
          <w:tcPr>
            <w:tcW w:w="1399" w:type="dxa"/>
            <w:vAlign w:val="top"/>
          </w:tcPr>
          <w:p w14:paraId="64929230">
            <w:pPr>
              <w:keepNext w:val="0"/>
              <w:keepLines w:val="0"/>
              <w:pageBreakBefore w:val="0"/>
              <w:widowControl w:val="0"/>
              <w:kinsoku/>
              <w:wordWrap/>
              <w:overflowPunct/>
              <w:topLinePunct w:val="0"/>
              <w:autoSpaceDE/>
              <w:autoSpaceDN/>
              <w:bidi w:val="0"/>
              <w:adjustRightInd/>
              <w:snapToGrid/>
              <w:spacing w:before="103" w:line="200" w:lineRule="exact"/>
              <w:ind w:left="37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≥5000</w:t>
            </w:r>
          </w:p>
        </w:tc>
        <w:tc>
          <w:tcPr>
            <w:tcW w:w="1535" w:type="dxa"/>
            <w:vAlign w:val="top"/>
          </w:tcPr>
          <w:p w14:paraId="52802876">
            <w:pPr>
              <w:keepNext w:val="0"/>
              <w:keepLines w:val="0"/>
              <w:pageBreakBefore w:val="0"/>
              <w:widowControl w:val="0"/>
              <w:kinsoku/>
              <w:wordWrap/>
              <w:overflowPunct/>
              <w:topLinePunct w:val="0"/>
              <w:autoSpaceDE/>
              <w:autoSpaceDN/>
              <w:bidi w:val="0"/>
              <w:adjustRightInd/>
              <w:snapToGrid/>
              <w:spacing w:before="144" w:line="200" w:lineRule="exact"/>
              <w:ind w:left="25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1000-5000</w:t>
            </w:r>
          </w:p>
        </w:tc>
        <w:tc>
          <w:tcPr>
            <w:tcW w:w="1295" w:type="dxa"/>
            <w:vAlign w:val="top"/>
          </w:tcPr>
          <w:p w14:paraId="316AD0C8">
            <w:pPr>
              <w:keepNext w:val="0"/>
              <w:keepLines w:val="0"/>
              <w:pageBreakBefore w:val="0"/>
              <w:widowControl w:val="0"/>
              <w:kinsoku/>
              <w:wordWrap/>
              <w:overflowPunct/>
              <w:topLinePunct w:val="0"/>
              <w:autoSpaceDE/>
              <w:autoSpaceDN/>
              <w:bidi w:val="0"/>
              <w:adjustRightInd/>
              <w:snapToGrid/>
              <w:spacing w:before="144" w:line="200" w:lineRule="exact"/>
              <w:ind w:left="118"/>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500- 1000</w:t>
            </w:r>
          </w:p>
        </w:tc>
        <w:tc>
          <w:tcPr>
            <w:tcW w:w="1004" w:type="dxa"/>
            <w:vAlign w:val="top"/>
          </w:tcPr>
          <w:p w14:paraId="4A8DBA1F">
            <w:pPr>
              <w:keepNext w:val="0"/>
              <w:keepLines w:val="0"/>
              <w:pageBreakBefore w:val="0"/>
              <w:widowControl w:val="0"/>
              <w:kinsoku/>
              <w:wordWrap/>
              <w:overflowPunct/>
              <w:topLinePunct w:val="0"/>
              <w:autoSpaceDE/>
              <w:autoSpaceDN/>
              <w:bidi w:val="0"/>
              <w:adjustRightInd/>
              <w:snapToGrid/>
              <w:spacing w:before="103" w:line="200" w:lineRule="exact"/>
              <w:ind w:left="22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＜500</w:t>
            </w:r>
          </w:p>
        </w:tc>
      </w:tr>
      <w:tr w14:paraId="2265AC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trPr>
        <w:tc>
          <w:tcPr>
            <w:tcW w:w="1184" w:type="dxa"/>
            <w:vMerge w:val="restart"/>
            <w:tcBorders>
              <w:bottom w:val="nil"/>
            </w:tcBorders>
            <w:vAlign w:val="top"/>
          </w:tcPr>
          <w:p w14:paraId="6721671D">
            <w:pPr>
              <w:keepNext w:val="0"/>
              <w:keepLines w:val="0"/>
              <w:pageBreakBefore w:val="0"/>
              <w:widowControl w:val="0"/>
              <w:kinsoku/>
              <w:wordWrap/>
              <w:overflowPunct/>
              <w:topLinePunct w:val="0"/>
              <w:autoSpaceDE/>
              <w:autoSpaceDN/>
              <w:bidi w:val="0"/>
              <w:adjustRightInd/>
              <w:snapToGrid/>
              <w:spacing w:before="263" w:line="200" w:lineRule="exact"/>
              <w:ind w:left="124"/>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信息传输</w:t>
            </w:r>
          </w:p>
        </w:tc>
        <w:tc>
          <w:tcPr>
            <w:tcW w:w="1187" w:type="dxa"/>
            <w:vAlign w:val="top"/>
          </w:tcPr>
          <w:p w14:paraId="563AB03E">
            <w:pPr>
              <w:keepNext w:val="0"/>
              <w:keepLines w:val="0"/>
              <w:pageBreakBefore w:val="0"/>
              <w:widowControl w:val="0"/>
              <w:kinsoku/>
              <w:wordWrap/>
              <w:overflowPunct/>
              <w:topLinePunct w:val="0"/>
              <w:autoSpaceDE/>
              <w:autoSpaceDN/>
              <w:bidi w:val="0"/>
              <w:adjustRightInd/>
              <w:snapToGrid/>
              <w:spacing w:before="40" w:line="200" w:lineRule="exact"/>
              <w:ind w:left="1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从业人员</w:t>
            </w:r>
          </w:p>
        </w:tc>
        <w:tc>
          <w:tcPr>
            <w:tcW w:w="900" w:type="dxa"/>
            <w:vAlign w:val="top"/>
          </w:tcPr>
          <w:p w14:paraId="63FD8E10">
            <w:pPr>
              <w:keepNext w:val="0"/>
              <w:keepLines w:val="0"/>
              <w:pageBreakBefore w:val="0"/>
              <w:widowControl w:val="0"/>
              <w:kinsoku/>
              <w:wordWrap/>
              <w:overflowPunct/>
              <w:topLinePunct w:val="0"/>
              <w:autoSpaceDE/>
              <w:autoSpaceDN/>
              <w:bidi w:val="0"/>
              <w:adjustRightInd/>
              <w:snapToGrid/>
              <w:spacing w:before="40" w:line="200" w:lineRule="exact"/>
              <w:ind w:left="34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人</w:t>
            </w:r>
          </w:p>
        </w:tc>
        <w:tc>
          <w:tcPr>
            <w:tcW w:w="1399" w:type="dxa"/>
            <w:vAlign w:val="top"/>
          </w:tcPr>
          <w:p w14:paraId="23B87609">
            <w:pPr>
              <w:keepNext w:val="0"/>
              <w:keepLines w:val="0"/>
              <w:pageBreakBefore w:val="0"/>
              <w:widowControl w:val="0"/>
              <w:kinsoku/>
              <w:wordWrap/>
              <w:overflowPunct/>
              <w:topLinePunct w:val="0"/>
              <w:autoSpaceDE/>
              <w:autoSpaceDN/>
              <w:bidi w:val="0"/>
              <w:adjustRightInd/>
              <w:snapToGrid/>
              <w:spacing w:before="40" w:line="200" w:lineRule="exact"/>
              <w:ind w:left="37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≥2000</w:t>
            </w:r>
          </w:p>
        </w:tc>
        <w:tc>
          <w:tcPr>
            <w:tcW w:w="1535" w:type="dxa"/>
            <w:vAlign w:val="top"/>
          </w:tcPr>
          <w:p w14:paraId="609B68D1">
            <w:pPr>
              <w:keepNext w:val="0"/>
              <w:keepLines w:val="0"/>
              <w:pageBreakBefore w:val="0"/>
              <w:widowControl w:val="0"/>
              <w:kinsoku/>
              <w:wordWrap/>
              <w:overflowPunct/>
              <w:topLinePunct w:val="0"/>
              <w:autoSpaceDE/>
              <w:autoSpaceDN/>
              <w:bidi w:val="0"/>
              <w:adjustRightInd/>
              <w:snapToGrid/>
              <w:spacing w:before="82" w:line="200" w:lineRule="exact"/>
              <w:ind w:left="37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100-200</w:t>
            </w:r>
          </w:p>
        </w:tc>
        <w:tc>
          <w:tcPr>
            <w:tcW w:w="1295" w:type="dxa"/>
            <w:vAlign w:val="top"/>
          </w:tcPr>
          <w:p w14:paraId="4C131F01">
            <w:pPr>
              <w:keepNext w:val="0"/>
              <w:keepLines w:val="0"/>
              <w:pageBreakBefore w:val="0"/>
              <w:widowControl w:val="0"/>
              <w:kinsoku/>
              <w:wordWrap/>
              <w:overflowPunct/>
              <w:topLinePunct w:val="0"/>
              <w:autoSpaceDE/>
              <w:autoSpaceDN/>
              <w:bidi w:val="0"/>
              <w:adjustRightInd/>
              <w:snapToGrid/>
              <w:spacing w:before="82" w:line="200" w:lineRule="exact"/>
              <w:ind w:left="311"/>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10-100</w:t>
            </w:r>
          </w:p>
        </w:tc>
        <w:tc>
          <w:tcPr>
            <w:tcW w:w="1004" w:type="dxa"/>
            <w:vAlign w:val="top"/>
          </w:tcPr>
          <w:p w14:paraId="06760222">
            <w:pPr>
              <w:keepNext w:val="0"/>
              <w:keepLines w:val="0"/>
              <w:pageBreakBefore w:val="0"/>
              <w:widowControl w:val="0"/>
              <w:kinsoku/>
              <w:wordWrap/>
              <w:overflowPunct/>
              <w:topLinePunct w:val="0"/>
              <w:autoSpaceDE/>
              <w:autoSpaceDN/>
              <w:bidi w:val="0"/>
              <w:adjustRightInd/>
              <w:snapToGrid/>
              <w:spacing w:before="40" w:line="200" w:lineRule="exact"/>
              <w:ind w:left="28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w:t>
            </w:r>
          </w:p>
        </w:tc>
      </w:tr>
      <w:tr w14:paraId="66032F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184" w:type="dxa"/>
            <w:vMerge w:val="continue"/>
            <w:tcBorders>
              <w:top w:val="nil"/>
            </w:tcBorders>
            <w:vAlign w:val="top"/>
          </w:tcPr>
          <w:p w14:paraId="7F50E67C">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tc>
        <w:tc>
          <w:tcPr>
            <w:tcW w:w="1187" w:type="dxa"/>
            <w:vAlign w:val="top"/>
          </w:tcPr>
          <w:p w14:paraId="5586C1C0">
            <w:pPr>
              <w:keepNext w:val="0"/>
              <w:keepLines w:val="0"/>
              <w:pageBreakBefore w:val="0"/>
              <w:widowControl w:val="0"/>
              <w:kinsoku/>
              <w:wordWrap/>
              <w:overflowPunct/>
              <w:topLinePunct w:val="0"/>
              <w:autoSpaceDE/>
              <w:autoSpaceDN/>
              <w:bidi w:val="0"/>
              <w:adjustRightInd/>
              <w:snapToGrid/>
              <w:spacing w:before="103" w:line="200" w:lineRule="exact"/>
              <w:ind w:left="133"/>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营业收入</w:t>
            </w:r>
          </w:p>
        </w:tc>
        <w:tc>
          <w:tcPr>
            <w:tcW w:w="900" w:type="dxa"/>
            <w:vAlign w:val="top"/>
          </w:tcPr>
          <w:p w14:paraId="006C54BD">
            <w:pPr>
              <w:keepNext w:val="0"/>
              <w:keepLines w:val="0"/>
              <w:pageBreakBefore w:val="0"/>
              <w:widowControl w:val="0"/>
              <w:kinsoku/>
              <w:wordWrap/>
              <w:overflowPunct/>
              <w:topLinePunct w:val="0"/>
              <w:autoSpaceDE/>
              <w:autoSpaceDN/>
              <w:bidi w:val="0"/>
              <w:adjustRightInd/>
              <w:snapToGrid/>
              <w:spacing w:before="103" w:line="200" w:lineRule="exact"/>
              <w:ind w:left="2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万元</w:t>
            </w:r>
          </w:p>
        </w:tc>
        <w:tc>
          <w:tcPr>
            <w:tcW w:w="1399" w:type="dxa"/>
            <w:vAlign w:val="top"/>
          </w:tcPr>
          <w:p w14:paraId="10B86CE7">
            <w:pPr>
              <w:keepNext w:val="0"/>
              <w:keepLines w:val="0"/>
              <w:pageBreakBefore w:val="0"/>
              <w:widowControl w:val="0"/>
              <w:kinsoku/>
              <w:wordWrap/>
              <w:overflowPunct/>
              <w:topLinePunct w:val="0"/>
              <w:autoSpaceDE/>
              <w:autoSpaceDN/>
              <w:bidi w:val="0"/>
              <w:adjustRightInd/>
              <w:snapToGrid/>
              <w:spacing w:before="103" w:line="200" w:lineRule="exact"/>
              <w:ind w:left="25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≥100000</w:t>
            </w:r>
          </w:p>
        </w:tc>
        <w:tc>
          <w:tcPr>
            <w:tcW w:w="1535" w:type="dxa"/>
            <w:vAlign w:val="top"/>
          </w:tcPr>
          <w:p w14:paraId="1A463D65">
            <w:pPr>
              <w:keepNext w:val="0"/>
              <w:keepLines w:val="0"/>
              <w:pageBreakBefore w:val="0"/>
              <w:widowControl w:val="0"/>
              <w:kinsoku/>
              <w:wordWrap/>
              <w:overflowPunct/>
              <w:topLinePunct w:val="0"/>
              <w:autoSpaceDE/>
              <w:autoSpaceDN/>
              <w:bidi w:val="0"/>
              <w:adjustRightInd/>
              <w:snapToGrid/>
              <w:spacing w:before="144" w:line="200" w:lineRule="exact"/>
              <w:ind w:left="13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1000-100000</w:t>
            </w:r>
          </w:p>
        </w:tc>
        <w:tc>
          <w:tcPr>
            <w:tcW w:w="1295" w:type="dxa"/>
            <w:vAlign w:val="top"/>
          </w:tcPr>
          <w:p w14:paraId="1576B1FA">
            <w:pPr>
              <w:keepNext w:val="0"/>
              <w:keepLines w:val="0"/>
              <w:pageBreakBefore w:val="0"/>
              <w:widowControl w:val="0"/>
              <w:kinsoku/>
              <w:wordWrap/>
              <w:overflowPunct/>
              <w:topLinePunct w:val="0"/>
              <w:autoSpaceDE/>
              <w:autoSpaceDN/>
              <w:bidi w:val="0"/>
              <w:adjustRightInd/>
              <w:snapToGrid/>
              <w:spacing w:before="144" w:line="200" w:lineRule="exact"/>
              <w:ind w:left="191"/>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100-1000</w:t>
            </w:r>
          </w:p>
        </w:tc>
        <w:tc>
          <w:tcPr>
            <w:tcW w:w="1004" w:type="dxa"/>
            <w:vAlign w:val="top"/>
          </w:tcPr>
          <w:p w14:paraId="2FA822EB">
            <w:pPr>
              <w:keepNext w:val="0"/>
              <w:keepLines w:val="0"/>
              <w:pageBreakBefore w:val="0"/>
              <w:widowControl w:val="0"/>
              <w:kinsoku/>
              <w:wordWrap/>
              <w:overflowPunct/>
              <w:topLinePunct w:val="0"/>
              <w:autoSpaceDE/>
              <w:autoSpaceDN/>
              <w:bidi w:val="0"/>
              <w:adjustRightInd/>
              <w:snapToGrid/>
              <w:spacing w:before="103" w:line="200" w:lineRule="exact"/>
              <w:ind w:left="22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w:t>
            </w:r>
          </w:p>
        </w:tc>
      </w:tr>
      <w:tr w14:paraId="28BE4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184" w:type="dxa"/>
            <w:vMerge w:val="restart"/>
            <w:tcBorders>
              <w:bottom w:val="nil"/>
            </w:tcBorders>
            <w:vAlign w:val="top"/>
          </w:tcPr>
          <w:p w14:paraId="28A10EB8">
            <w:pPr>
              <w:keepNext w:val="0"/>
              <w:keepLines w:val="0"/>
              <w:pageBreakBefore w:val="0"/>
              <w:widowControl w:val="0"/>
              <w:kinsoku/>
              <w:wordWrap/>
              <w:overflowPunct/>
              <w:topLinePunct w:val="0"/>
              <w:autoSpaceDE/>
              <w:autoSpaceDN/>
              <w:bidi w:val="0"/>
              <w:adjustRightInd/>
              <w:snapToGrid/>
              <w:spacing w:before="127" w:line="200" w:lineRule="exact"/>
              <w:ind w:left="124" w:right="110" w:firstLine="12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软件和 信息技术</w:t>
            </w:r>
          </w:p>
        </w:tc>
        <w:tc>
          <w:tcPr>
            <w:tcW w:w="1187" w:type="dxa"/>
            <w:vAlign w:val="top"/>
          </w:tcPr>
          <w:p w14:paraId="760376B5">
            <w:pPr>
              <w:keepNext w:val="0"/>
              <w:keepLines w:val="0"/>
              <w:pageBreakBefore w:val="0"/>
              <w:widowControl w:val="0"/>
              <w:kinsoku/>
              <w:wordWrap/>
              <w:overflowPunct/>
              <w:topLinePunct w:val="0"/>
              <w:autoSpaceDE/>
              <w:autoSpaceDN/>
              <w:bidi w:val="0"/>
              <w:adjustRightInd/>
              <w:snapToGrid/>
              <w:spacing w:before="57" w:line="200" w:lineRule="exact"/>
              <w:ind w:left="1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从业人员</w:t>
            </w:r>
          </w:p>
        </w:tc>
        <w:tc>
          <w:tcPr>
            <w:tcW w:w="900" w:type="dxa"/>
            <w:vAlign w:val="top"/>
          </w:tcPr>
          <w:p w14:paraId="66E8A2DD">
            <w:pPr>
              <w:keepNext w:val="0"/>
              <w:keepLines w:val="0"/>
              <w:pageBreakBefore w:val="0"/>
              <w:widowControl w:val="0"/>
              <w:kinsoku/>
              <w:wordWrap/>
              <w:overflowPunct/>
              <w:topLinePunct w:val="0"/>
              <w:autoSpaceDE/>
              <w:autoSpaceDN/>
              <w:bidi w:val="0"/>
              <w:adjustRightInd/>
              <w:snapToGrid/>
              <w:spacing w:before="57" w:line="200" w:lineRule="exact"/>
              <w:ind w:left="34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人</w:t>
            </w:r>
          </w:p>
        </w:tc>
        <w:tc>
          <w:tcPr>
            <w:tcW w:w="1399" w:type="dxa"/>
            <w:vAlign w:val="top"/>
          </w:tcPr>
          <w:p w14:paraId="1F434F80">
            <w:pPr>
              <w:keepNext w:val="0"/>
              <w:keepLines w:val="0"/>
              <w:pageBreakBefore w:val="0"/>
              <w:widowControl w:val="0"/>
              <w:kinsoku/>
              <w:wordWrap/>
              <w:overflowPunct/>
              <w:topLinePunct w:val="0"/>
              <w:autoSpaceDE/>
              <w:autoSpaceDN/>
              <w:bidi w:val="0"/>
              <w:adjustRightInd/>
              <w:snapToGrid/>
              <w:spacing w:before="57" w:line="200" w:lineRule="exact"/>
              <w:ind w:left="43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w:t>
            </w:r>
          </w:p>
        </w:tc>
        <w:tc>
          <w:tcPr>
            <w:tcW w:w="1535" w:type="dxa"/>
            <w:vAlign w:val="top"/>
          </w:tcPr>
          <w:p w14:paraId="179183EA">
            <w:pPr>
              <w:keepNext w:val="0"/>
              <w:keepLines w:val="0"/>
              <w:pageBreakBefore w:val="0"/>
              <w:widowControl w:val="0"/>
              <w:kinsoku/>
              <w:wordWrap/>
              <w:overflowPunct/>
              <w:topLinePunct w:val="0"/>
              <w:autoSpaceDE/>
              <w:autoSpaceDN/>
              <w:bidi w:val="0"/>
              <w:adjustRightInd/>
              <w:snapToGrid/>
              <w:spacing w:before="98" w:line="200" w:lineRule="exact"/>
              <w:ind w:left="37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100-300</w:t>
            </w:r>
          </w:p>
        </w:tc>
        <w:tc>
          <w:tcPr>
            <w:tcW w:w="1295" w:type="dxa"/>
            <w:vAlign w:val="top"/>
          </w:tcPr>
          <w:p w14:paraId="49EDA01D">
            <w:pPr>
              <w:keepNext w:val="0"/>
              <w:keepLines w:val="0"/>
              <w:pageBreakBefore w:val="0"/>
              <w:widowControl w:val="0"/>
              <w:kinsoku/>
              <w:wordWrap/>
              <w:overflowPunct/>
              <w:topLinePunct w:val="0"/>
              <w:autoSpaceDE/>
              <w:autoSpaceDN/>
              <w:bidi w:val="0"/>
              <w:adjustRightInd/>
              <w:snapToGrid/>
              <w:spacing w:before="98" w:line="200" w:lineRule="exact"/>
              <w:ind w:left="311"/>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10-100</w:t>
            </w:r>
          </w:p>
        </w:tc>
        <w:tc>
          <w:tcPr>
            <w:tcW w:w="1004" w:type="dxa"/>
            <w:vAlign w:val="top"/>
          </w:tcPr>
          <w:p w14:paraId="631FDFC7">
            <w:pPr>
              <w:keepNext w:val="0"/>
              <w:keepLines w:val="0"/>
              <w:pageBreakBefore w:val="0"/>
              <w:widowControl w:val="0"/>
              <w:kinsoku/>
              <w:wordWrap/>
              <w:overflowPunct/>
              <w:topLinePunct w:val="0"/>
              <w:autoSpaceDE/>
              <w:autoSpaceDN/>
              <w:bidi w:val="0"/>
              <w:adjustRightInd/>
              <w:snapToGrid/>
              <w:spacing w:before="57" w:line="200" w:lineRule="exact"/>
              <w:ind w:left="28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w:t>
            </w:r>
          </w:p>
        </w:tc>
      </w:tr>
      <w:tr w14:paraId="36BF4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184" w:type="dxa"/>
            <w:vMerge w:val="continue"/>
            <w:tcBorders>
              <w:top w:val="nil"/>
            </w:tcBorders>
            <w:vAlign w:val="top"/>
          </w:tcPr>
          <w:p w14:paraId="45EB7579">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tc>
        <w:tc>
          <w:tcPr>
            <w:tcW w:w="1187" w:type="dxa"/>
            <w:vAlign w:val="top"/>
          </w:tcPr>
          <w:p w14:paraId="486A86DA">
            <w:pPr>
              <w:keepNext w:val="0"/>
              <w:keepLines w:val="0"/>
              <w:pageBreakBefore w:val="0"/>
              <w:widowControl w:val="0"/>
              <w:kinsoku/>
              <w:wordWrap/>
              <w:overflowPunct/>
              <w:topLinePunct w:val="0"/>
              <w:autoSpaceDE/>
              <w:autoSpaceDN/>
              <w:bidi w:val="0"/>
              <w:adjustRightInd/>
              <w:snapToGrid/>
              <w:spacing w:before="104" w:line="200" w:lineRule="exact"/>
              <w:ind w:left="133"/>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营业收入</w:t>
            </w:r>
          </w:p>
        </w:tc>
        <w:tc>
          <w:tcPr>
            <w:tcW w:w="900" w:type="dxa"/>
            <w:vAlign w:val="top"/>
          </w:tcPr>
          <w:p w14:paraId="2316D67D">
            <w:pPr>
              <w:keepNext w:val="0"/>
              <w:keepLines w:val="0"/>
              <w:pageBreakBefore w:val="0"/>
              <w:widowControl w:val="0"/>
              <w:kinsoku/>
              <w:wordWrap/>
              <w:overflowPunct/>
              <w:topLinePunct w:val="0"/>
              <w:autoSpaceDE/>
              <w:autoSpaceDN/>
              <w:bidi w:val="0"/>
              <w:adjustRightInd/>
              <w:snapToGrid/>
              <w:spacing w:before="104" w:line="200" w:lineRule="exact"/>
              <w:ind w:left="2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万元</w:t>
            </w:r>
          </w:p>
        </w:tc>
        <w:tc>
          <w:tcPr>
            <w:tcW w:w="1399" w:type="dxa"/>
            <w:vAlign w:val="top"/>
          </w:tcPr>
          <w:p w14:paraId="0F64A14D">
            <w:pPr>
              <w:keepNext w:val="0"/>
              <w:keepLines w:val="0"/>
              <w:pageBreakBefore w:val="0"/>
              <w:widowControl w:val="0"/>
              <w:kinsoku/>
              <w:wordWrap/>
              <w:overflowPunct/>
              <w:topLinePunct w:val="0"/>
              <w:autoSpaceDE/>
              <w:autoSpaceDN/>
              <w:bidi w:val="0"/>
              <w:adjustRightInd/>
              <w:snapToGrid/>
              <w:spacing w:before="103" w:line="200" w:lineRule="exact"/>
              <w:ind w:left="31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≥10000</w:t>
            </w:r>
          </w:p>
        </w:tc>
        <w:tc>
          <w:tcPr>
            <w:tcW w:w="1535" w:type="dxa"/>
            <w:vAlign w:val="top"/>
          </w:tcPr>
          <w:p w14:paraId="10763E0B">
            <w:pPr>
              <w:keepNext w:val="0"/>
              <w:keepLines w:val="0"/>
              <w:pageBreakBefore w:val="0"/>
              <w:widowControl w:val="0"/>
              <w:kinsoku/>
              <w:wordWrap/>
              <w:overflowPunct/>
              <w:topLinePunct w:val="0"/>
              <w:autoSpaceDE/>
              <w:autoSpaceDN/>
              <w:bidi w:val="0"/>
              <w:adjustRightInd/>
              <w:snapToGrid/>
              <w:spacing w:before="144" w:line="200" w:lineRule="exact"/>
              <w:ind w:left="19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1000-10000</w:t>
            </w:r>
          </w:p>
        </w:tc>
        <w:tc>
          <w:tcPr>
            <w:tcW w:w="1295" w:type="dxa"/>
            <w:vAlign w:val="top"/>
          </w:tcPr>
          <w:p w14:paraId="0CD56B6D">
            <w:pPr>
              <w:keepNext w:val="0"/>
              <w:keepLines w:val="0"/>
              <w:pageBreakBefore w:val="0"/>
              <w:widowControl w:val="0"/>
              <w:kinsoku/>
              <w:wordWrap/>
              <w:overflowPunct/>
              <w:topLinePunct w:val="0"/>
              <w:autoSpaceDE/>
              <w:autoSpaceDN/>
              <w:bidi w:val="0"/>
              <w:adjustRightInd/>
              <w:snapToGrid/>
              <w:spacing w:before="144" w:line="200" w:lineRule="exact"/>
              <w:ind w:left="238"/>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50-1000</w:t>
            </w:r>
          </w:p>
        </w:tc>
        <w:tc>
          <w:tcPr>
            <w:tcW w:w="1004" w:type="dxa"/>
            <w:vAlign w:val="top"/>
          </w:tcPr>
          <w:p w14:paraId="26E1AC9D">
            <w:pPr>
              <w:keepNext w:val="0"/>
              <w:keepLines w:val="0"/>
              <w:pageBreakBefore w:val="0"/>
              <w:widowControl w:val="0"/>
              <w:kinsoku/>
              <w:wordWrap/>
              <w:overflowPunct/>
              <w:topLinePunct w:val="0"/>
              <w:autoSpaceDE/>
              <w:autoSpaceDN/>
              <w:bidi w:val="0"/>
              <w:adjustRightInd/>
              <w:snapToGrid/>
              <w:spacing w:before="103" w:line="200" w:lineRule="exact"/>
              <w:ind w:left="28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＜50</w:t>
            </w:r>
          </w:p>
        </w:tc>
      </w:tr>
      <w:tr w14:paraId="25179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184" w:type="dxa"/>
            <w:vMerge w:val="restart"/>
            <w:tcBorders>
              <w:bottom w:val="nil"/>
            </w:tcBorders>
            <w:vAlign w:val="top"/>
          </w:tcPr>
          <w:p w14:paraId="61DE2000">
            <w:pPr>
              <w:keepNext w:val="0"/>
              <w:keepLines w:val="0"/>
              <w:pageBreakBefore w:val="0"/>
              <w:widowControl w:val="0"/>
              <w:kinsoku/>
              <w:wordWrap/>
              <w:overflowPunct/>
              <w:topLinePunct w:val="0"/>
              <w:autoSpaceDE/>
              <w:autoSpaceDN/>
              <w:bidi w:val="0"/>
              <w:adjustRightInd/>
              <w:snapToGrid/>
              <w:spacing w:before="117" w:line="200" w:lineRule="exact"/>
              <w:ind w:left="133" w:right="110" w:firstLine="112"/>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租赁和 商务服务</w:t>
            </w:r>
          </w:p>
        </w:tc>
        <w:tc>
          <w:tcPr>
            <w:tcW w:w="1187" w:type="dxa"/>
            <w:vAlign w:val="top"/>
          </w:tcPr>
          <w:p w14:paraId="7FA0388D">
            <w:pPr>
              <w:keepNext w:val="0"/>
              <w:keepLines w:val="0"/>
              <w:pageBreakBefore w:val="0"/>
              <w:widowControl w:val="0"/>
              <w:kinsoku/>
              <w:wordWrap/>
              <w:overflowPunct/>
              <w:topLinePunct w:val="0"/>
              <w:autoSpaceDE/>
              <w:autoSpaceDN/>
              <w:bidi w:val="0"/>
              <w:adjustRightInd/>
              <w:snapToGrid/>
              <w:spacing w:before="48" w:line="200" w:lineRule="exact"/>
              <w:ind w:left="1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从业人员</w:t>
            </w:r>
          </w:p>
        </w:tc>
        <w:tc>
          <w:tcPr>
            <w:tcW w:w="900" w:type="dxa"/>
            <w:vAlign w:val="top"/>
          </w:tcPr>
          <w:p w14:paraId="336F2286">
            <w:pPr>
              <w:keepNext w:val="0"/>
              <w:keepLines w:val="0"/>
              <w:pageBreakBefore w:val="0"/>
              <w:widowControl w:val="0"/>
              <w:kinsoku/>
              <w:wordWrap/>
              <w:overflowPunct/>
              <w:topLinePunct w:val="0"/>
              <w:autoSpaceDE/>
              <w:autoSpaceDN/>
              <w:bidi w:val="0"/>
              <w:adjustRightInd/>
              <w:snapToGrid/>
              <w:spacing w:before="48" w:line="200" w:lineRule="exact"/>
              <w:ind w:left="34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人</w:t>
            </w:r>
          </w:p>
        </w:tc>
        <w:tc>
          <w:tcPr>
            <w:tcW w:w="1399" w:type="dxa"/>
            <w:vAlign w:val="top"/>
          </w:tcPr>
          <w:p w14:paraId="1B5A74A2">
            <w:pPr>
              <w:keepNext w:val="0"/>
              <w:keepLines w:val="0"/>
              <w:pageBreakBefore w:val="0"/>
              <w:widowControl w:val="0"/>
              <w:kinsoku/>
              <w:wordWrap/>
              <w:overflowPunct/>
              <w:topLinePunct w:val="0"/>
              <w:autoSpaceDE/>
              <w:autoSpaceDN/>
              <w:bidi w:val="0"/>
              <w:adjustRightInd/>
              <w:snapToGrid/>
              <w:spacing w:before="48" w:line="200" w:lineRule="exact"/>
              <w:ind w:left="43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w:t>
            </w:r>
          </w:p>
        </w:tc>
        <w:tc>
          <w:tcPr>
            <w:tcW w:w="1535" w:type="dxa"/>
            <w:vAlign w:val="top"/>
          </w:tcPr>
          <w:p w14:paraId="2AA2D4AC">
            <w:pPr>
              <w:keepNext w:val="0"/>
              <w:keepLines w:val="0"/>
              <w:pageBreakBefore w:val="0"/>
              <w:widowControl w:val="0"/>
              <w:kinsoku/>
              <w:wordWrap/>
              <w:overflowPunct/>
              <w:topLinePunct w:val="0"/>
              <w:autoSpaceDE/>
              <w:autoSpaceDN/>
              <w:bidi w:val="0"/>
              <w:adjustRightInd/>
              <w:snapToGrid/>
              <w:spacing w:before="89" w:line="200" w:lineRule="exact"/>
              <w:ind w:left="37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100-300</w:t>
            </w:r>
          </w:p>
        </w:tc>
        <w:tc>
          <w:tcPr>
            <w:tcW w:w="1295" w:type="dxa"/>
            <w:vAlign w:val="top"/>
          </w:tcPr>
          <w:p w14:paraId="714C67D7">
            <w:pPr>
              <w:keepNext w:val="0"/>
              <w:keepLines w:val="0"/>
              <w:pageBreakBefore w:val="0"/>
              <w:widowControl w:val="0"/>
              <w:kinsoku/>
              <w:wordWrap/>
              <w:overflowPunct/>
              <w:topLinePunct w:val="0"/>
              <w:autoSpaceDE/>
              <w:autoSpaceDN/>
              <w:bidi w:val="0"/>
              <w:adjustRightInd/>
              <w:snapToGrid/>
              <w:spacing w:before="89" w:line="200" w:lineRule="exact"/>
              <w:ind w:left="311"/>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10-100</w:t>
            </w:r>
          </w:p>
        </w:tc>
        <w:tc>
          <w:tcPr>
            <w:tcW w:w="1004" w:type="dxa"/>
            <w:vAlign w:val="top"/>
          </w:tcPr>
          <w:p w14:paraId="3D6E7E7E">
            <w:pPr>
              <w:keepNext w:val="0"/>
              <w:keepLines w:val="0"/>
              <w:pageBreakBefore w:val="0"/>
              <w:widowControl w:val="0"/>
              <w:kinsoku/>
              <w:wordWrap/>
              <w:overflowPunct/>
              <w:topLinePunct w:val="0"/>
              <w:autoSpaceDE/>
              <w:autoSpaceDN/>
              <w:bidi w:val="0"/>
              <w:adjustRightInd/>
              <w:snapToGrid/>
              <w:spacing w:before="48" w:line="200" w:lineRule="exact"/>
              <w:ind w:left="28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w:t>
            </w:r>
          </w:p>
        </w:tc>
      </w:tr>
      <w:tr w14:paraId="4D61D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184" w:type="dxa"/>
            <w:vMerge w:val="continue"/>
            <w:tcBorders>
              <w:top w:val="nil"/>
            </w:tcBorders>
            <w:vAlign w:val="top"/>
          </w:tcPr>
          <w:p w14:paraId="23095541">
            <w:pPr>
              <w:keepNext w:val="0"/>
              <w:keepLines w:val="0"/>
              <w:pageBreakBefore w:val="0"/>
              <w:widowControl w:val="0"/>
              <w:kinsoku/>
              <w:wordWrap/>
              <w:overflowPunct/>
              <w:topLinePunct w:val="0"/>
              <w:autoSpaceDE/>
              <w:autoSpaceDN/>
              <w:bidi w:val="0"/>
              <w:adjustRightInd/>
              <w:snapToGrid/>
              <w:spacing w:line="200" w:lineRule="exact"/>
              <w:textAlignment w:val="auto"/>
              <w:rPr>
                <w:rFonts w:ascii="Arial"/>
                <w:color w:val="auto"/>
                <w:spacing w:val="0"/>
                <w:position w:val="0"/>
                <w:sz w:val="21"/>
                <w:highlight w:val="none"/>
              </w:rPr>
            </w:pPr>
          </w:p>
        </w:tc>
        <w:tc>
          <w:tcPr>
            <w:tcW w:w="1187" w:type="dxa"/>
            <w:vAlign w:val="top"/>
          </w:tcPr>
          <w:p w14:paraId="730463EE">
            <w:pPr>
              <w:keepNext w:val="0"/>
              <w:keepLines w:val="0"/>
              <w:pageBreakBefore w:val="0"/>
              <w:widowControl w:val="0"/>
              <w:kinsoku/>
              <w:wordWrap/>
              <w:overflowPunct/>
              <w:topLinePunct w:val="0"/>
              <w:autoSpaceDE/>
              <w:autoSpaceDN/>
              <w:bidi w:val="0"/>
              <w:adjustRightInd/>
              <w:snapToGrid/>
              <w:spacing w:before="102" w:line="200" w:lineRule="exact"/>
              <w:ind w:left="138"/>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资产总额</w:t>
            </w:r>
          </w:p>
        </w:tc>
        <w:tc>
          <w:tcPr>
            <w:tcW w:w="900" w:type="dxa"/>
            <w:vAlign w:val="top"/>
          </w:tcPr>
          <w:p w14:paraId="74D05357">
            <w:pPr>
              <w:keepNext w:val="0"/>
              <w:keepLines w:val="0"/>
              <w:pageBreakBefore w:val="0"/>
              <w:widowControl w:val="0"/>
              <w:kinsoku/>
              <w:wordWrap/>
              <w:overflowPunct/>
              <w:topLinePunct w:val="0"/>
              <w:autoSpaceDE/>
              <w:autoSpaceDN/>
              <w:bidi w:val="0"/>
              <w:adjustRightInd/>
              <w:snapToGrid/>
              <w:spacing w:before="102" w:line="200" w:lineRule="exact"/>
              <w:ind w:left="2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万元</w:t>
            </w:r>
          </w:p>
        </w:tc>
        <w:tc>
          <w:tcPr>
            <w:tcW w:w="1399" w:type="dxa"/>
            <w:vAlign w:val="top"/>
          </w:tcPr>
          <w:p w14:paraId="73DBFE35">
            <w:pPr>
              <w:keepNext w:val="0"/>
              <w:keepLines w:val="0"/>
              <w:pageBreakBefore w:val="0"/>
              <w:widowControl w:val="0"/>
              <w:kinsoku/>
              <w:wordWrap/>
              <w:overflowPunct/>
              <w:topLinePunct w:val="0"/>
              <w:autoSpaceDE/>
              <w:autoSpaceDN/>
              <w:bidi w:val="0"/>
              <w:adjustRightInd/>
              <w:snapToGrid/>
              <w:spacing w:before="102" w:line="200" w:lineRule="exact"/>
              <w:ind w:left="25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≥120000</w:t>
            </w:r>
          </w:p>
        </w:tc>
        <w:tc>
          <w:tcPr>
            <w:tcW w:w="1535" w:type="dxa"/>
            <w:vAlign w:val="top"/>
          </w:tcPr>
          <w:p w14:paraId="0A9699CF">
            <w:pPr>
              <w:keepNext w:val="0"/>
              <w:keepLines w:val="0"/>
              <w:pageBreakBefore w:val="0"/>
              <w:widowControl w:val="0"/>
              <w:kinsoku/>
              <w:wordWrap/>
              <w:overflowPunct/>
              <w:topLinePunct w:val="0"/>
              <w:autoSpaceDE/>
              <w:autoSpaceDN/>
              <w:bidi w:val="0"/>
              <w:adjustRightInd/>
              <w:snapToGrid/>
              <w:spacing w:before="143" w:line="200" w:lineRule="exact"/>
              <w:ind w:left="113"/>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8000-120000</w:t>
            </w:r>
          </w:p>
        </w:tc>
        <w:tc>
          <w:tcPr>
            <w:tcW w:w="1295" w:type="dxa"/>
            <w:vAlign w:val="top"/>
          </w:tcPr>
          <w:p w14:paraId="175936F4">
            <w:pPr>
              <w:keepNext w:val="0"/>
              <w:keepLines w:val="0"/>
              <w:pageBreakBefore w:val="0"/>
              <w:widowControl w:val="0"/>
              <w:kinsoku/>
              <w:wordWrap/>
              <w:overflowPunct/>
              <w:topLinePunct w:val="0"/>
              <w:autoSpaceDE/>
              <w:autoSpaceDN/>
              <w:bidi w:val="0"/>
              <w:adjustRightInd/>
              <w:snapToGrid/>
              <w:spacing w:before="143" w:line="200" w:lineRule="exact"/>
              <w:ind w:left="191"/>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100-8000</w:t>
            </w:r>
          </w:p>
        </w:tc>
        <w:tc>
          <w:tcPr>
            <w:tcW w:w="1004" w:type="dxa"/>
            <w:vAlign w:val="top"/>
          </w:tcPr>
          <w:p w14:paraId="55BA4862">
            <w:pPr>
              <w:keepNext w:val="0"/>
              <w:keepLines w:val="0"/>
              <w:pageBreakBefore w:val="0"/>
              <w:widowControl w:val="0"/>
              <w:kinsoku/>
              <w:wordWrap/>
              <w:overflowPunct/>
              <w:topLinePunct w:val="0"/>
              <w:autoSpaceDE/>
              <w:autoSpaceDN/>
              <w:bidi w:val="0"/>
              <w:adjustRightInd/>
              <w:snapToGrid/>
              <w:spacing w:before="102" w:line="200" w:lineRule="exact"/>
              <w:ind w:left="22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w:t>
            </w:r>
          </w:p>
        </w:tc>
      </w:tr>
      <w:tr w14:paraId="4CEAAF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184" w:type="dxa"/>
            <w:vAlign w:val="top"/>
          </w:tcPr>
          <w:p w14:paraId="75E941FE">
            <w:pPr>
              <w:keepNext w:val="0"/>
              <w:keepLines w:val="0"/>
              <w:pageBreakBefore w:val="0"/>
              <w:widowControl w:val="0"/>
              <w:kinsoku/>
              <w:wordWrap/>
              <w:overflowPunct/>
              <w:topLinePunct w:val="0"/>
              <w:autoSpaceDE/>
              <w:autoSpaceDN/>
              <w:bidi w:val="0"/>
              <w:adjustRightInd/>
              <w:snapToGrid/>
              <w:spacing w:before="40" w:line="200" w:lineRule="exact"/>
              <w:ind w:left="259" w:right="110" w:hanging="133"/>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其他未列 明行业</w:t>
            </w:r>
          </w:p>
        </w:tc>
        <w:tc>
          <w:tcPr>
            <w:tcW w:w="1187" w:type="dxa"/>
            <w:vAlign w:val="top"/>
          </w:tcPr>
          <w:p w14:paraId="3D89157F">
            <w:pPr>
              <w:keepNext w:val="0"/>
              <w:keepLines w:val="0"/>
              <w:pageBreakBefore w:val="0"/>
              <w:widowControl w:val="0"/>
              <w:kinsoku/>
              <w:wordWrap/>
              <w:overflowPunct/>
              <w:topLinePunct w:val="0"/>
              <w:autoSpaceDE/>
              <w:autoSpaceDN/>
              <w:bidi w:val="0"/>
              <w:adjustRightInd/>
              <w:snapToGrid/>
              <w:spacing w:before="195" w:line="200" w:lineRule="exact"/>
              <w:ind w:left="125"/>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从业人员</w:t>
            </w:r>
          </w:p>
        </w:tc>
        <w:tc>
          <w:tcPr>
            <w:tcW w:w="900" w:type="dxa"/>
            <w:vAlign w:val="top"/>
          </w:tcPr>
          <w:p w14:paraId="25DAFA3F">
            <w:pPr>
              <w:keepNext w:val="0"/>
              <w:keepLines w:val="0"/>
              <w:pageBreakBefore w:val="0"/>
              <w:widowControl w:val="0"/>
              <w:kinsoku/>
              <w:wordWrap/>
              <w:overflowPunct/>
              <w:topLinePunct w:val="0"/>
              <w:autoSpaceDE/>
              <w:autoSpaceDN/>
              <w:bidi w:val="0"/>
              <w:adjustRightInd/>
              <w:snapToGrid/>
              <w:spacing w:before="195" w:line="200" w:lineRule="exact"/>
              <w:ind w:left="34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人</w:t>
            </w:r>
          </w:p>
        </w:tc>
        <w:tc>
          <w:tcPr>
            <w:tcW w:w="1399" w:type="dxa"/>
            <w:vAlign w:val="top"/>
          </w:tcPr>
          <w:p w14:paraId="09920D2C">
            <w:pPr>
              <w:keepNext w:val="0"/>
              <w:keepLines w:val="0"/>
              <w:pageBreakBefore w:val="0"/>
              <w:widowControl w:val="0"/>
              <w:kinsoku/>
              <w:wordWrap/>
              <w:overflowPunct/>
              <w:topLinePunct w:val="0"/>
              <w:autoSpaceDE/>
              <w:autoSpaceDN/>
              <w:bidi w:val="0"/>
              <w:adjustRightInd/>
              <w:snapToGrid/>
              <w:spacing w:before="195" w:line="200" w:lineRule="exact"/>
              <w:ind w:left="43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≥300</w:t>
            </w:r>
          </w:p>
        </w:tc>
        <w:tc>
          <w:tcPr>
            <w:tcW w:w="1535" w:type="dxa"/>
            <w:vAlign w:val="top"/>
          </w:tcPr>
          <w:p w14:paraId="1E032039">
            <w:pPr>
              <w:keepNext w:val="0"/>
              <w:keepLines w:val="0"/>
              <w:pageBreakBefore w:val="0"/>
              <w:widowControl w:val="0"/>
              <w:kinsoku/>
              <w:wordWrap/>
              <w:overflowPunct/>
              <w:topLinePunct w:val="0"/>
              <w:autoSpaceDE/>
              <w:autoSpaceDN/>
              <w:bidi w:val="0"/>
              <w:adjustRightInd/>
              <w:snapToGrid/>
              <w:spacing w:before="236" w:line="200" w:lineRule="exact"/>
              <w:ind w:left="370"/>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100-300</w:t>
            </w:r>
          </w:p>
        </w:tc>
        <w:tc>
          <w:tcPr>
            <w:tcW w:w="1295" w:type="dxa"/>
            <w:vAlign w:val="top"/>
          </w:tcPr>
          <w:p w14:paraId="1B327A97">
            <w:pPr>
              <w:keepNext w:val="0"/>
              <w:keepLines w:val="0"/>
              <w:pageBreakBefore w:val="0"/>
              <w:widowControl w:val="0"/>
              <w:kinsoku/>
              <w:wordWrap/>
              <w:overflowPunct/>
              <w:topLinePunct w:val="0"/>
              <w:autoSpaceDE/>
              <w:autoSpaceDN/>
              <w:bidi w:val="0"/>
              <w:adjustRightInd/>
              <w:snapToGrid/>
              <w:spacing w:before="236" w:line="200" w:lineRule="exact"/>
              <w:ind w:left="311"/>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10-100</w:t>
            </w:r>
          </w:p>
        </w:tc>
        <w:tc>
          <w:tcPr>
            <w:tcW w:w="1004" w:type="dxa"/>
            <w:vAlign w:val="top"/>
          </w:tcPr>
          <w:p w14:paraId="1F1B4C57">
            <w:pPr>
              <w:keepNext w:val="0"/>
              <w:keepLines w:val="0"/>
              <w:pageBreakBefore w:val="0"/>
              <w:widowControl w:val="0"/>
              <w:kinsoku/>
              <w:wordWrap/>
              <w:overflowPunct/>
              <w:topLinePunct w:val="0"/>
              <w:autoSpaceDE/>
              <w:autoSpaceDN/>
              <w:bidi w:val="0"/>
              <w:adjustRightInd/>
              <w:snapToGrid/>
              <w:spacing w:before="195" w:line="200" w:lineRule="exact"/>
              <w:ind w:left="287"/>
              <w:textAlignment w:val="auto"/>
              <w:rPr>
                <w:rFonts w:ascii="仿宋" w:hAnsi="仿宋" w:eastAsia="仿宋" w:cs="仿宋"/>
                <w:color w:val="auto"/>
                <w:spacing w:val="0"/>
                <w:position w:val="0"/>
                <w:sz w:val="23"/>
                <w:szCs w:val="23"/>
                <w:highlight w:val="none"/>
              </w:rPr>
            </w:pPr>
            <w:r>
              <w:rPr>
                <w:rFonts w:ascii="仿宋" w:hAnsi="仿宋" w:eastAsia="仿宋" w:cs="仿宋"/>
                <w:color w:val="auto"/>
                <w:spacing w:val="0"/>
                <w:position w:val="0"/>
                <w:sz w:val="23"/>
                <w:szCs w:val="23"/>
                <w:highlight w:val="none"/>
              </w:rPr>
              <w:t>＜10</w:t>
            </w:r>
          </w:p>
        </w:tc>
      </w:tr>
    </w:tbl>
    <w:p w14:paraId="7B987B72">
      <w:pPr>
        <w:widowControl/>
        <w:spacing w:line="360" w:lineRule="auto"/>
        <w:ind w:left="420" w:hanging="420" w:hangingChars="200"/>
        <w:jc w:val="left"/>
        <w:rPr>
          <w:rFonts w:hint="eastAsia" w:ascii="宋体" w:hAnsi="宋体" w:cs="宋体"/>
          <w:color w:val="auto"/>
          <w:spacing w:val="0"/>
          <w:kern w:val="0"/>
          <w:position w:val="0"/>
          <w:szCs w:val="21"/>
          <w:highlight w:val="none"/>
        </w:rPr>
      </w:pPr>
      <w:r>
        <w:rPr>
          <w:rFonts w:hint="eastAsia" w:ascii="宋体" w:hAnsi="宋体" w:cs="宋体"/>
          <w:color w:val="auto"/>
          <w:spacing w:val="0"/>
          <w:kern w:val="0"/>
          <w:position w:val="0"/>
          <w:szCs w:val="21"/>
          <w:highlight w:val="none"/>
        </w:rPr>
        <w:t>说明：</w:t>
      </w:r>
    </w:p>
    <w:p w14:paraId="4BD49B44">
      <w:pPr>
        <w:widowControl/>
        <w:spacing w:line="360" w:lineRule="auto"/>
        <w:jc w:val="left"/>
        <w:rPr>
          <w:rFonts w:hint="eastAsia" w:ascii="宋体" w:hAnsi="宋体" w:cs="宋体"/>
          <w:color w:val="auto"/>
          <w:spacing w:val="0"/>
          <w:kern w:val="0"/>
          <w:position w:val="0"/>
          <w:szCs w:val="21"/>
          <w:highlight w:val="none"/>
        </w:rPr>
      </w:pPr>
      <w:r>
        <w:rPr>
          <w:rFonts w:hint="eastAsia" w:ascii="宋体" w:hAnsi="宋体" w:cs="宋体"/>
          <w:color w:val="auto"/>
          <w:spacing w:val="0"/>
          <w:kern w:val="0"/>
          <w:position w:val="0"/>
          <w:szCs w:val="21"/>
          <w:highlight w:val="none"/>
        </w:rPr>
        <w:t>1.大型、中型和小型企业须同时满足所列指标的下限，否则下划一档；微型企业只须满足所列指标中的一项即可。</w:t>
      </w:r>
    </w:p>
    <w:p w14:paraId="33413375">
      <w:pPr>
        <w:widowControl/>
        <w:spacing w:line="360" w:lineRule="auto"/>
        <w:jc w:val="left"/>
        <w:rPr>
          <w:rFonts w:hint="eastAsia" w:ascii="宋体" w:hAnsi="宋体" w:cs="宋体"/>
          <w:color w:val="auto"/>
          <w:spacing w:val="0"/>
          <w:kern w:val="0"/>
          <w:position w:val="0"/>
          <w:szCs w:val="21"/>
          <w:highlight w:val="none"/>
        </w:rPr>
      </w:pPr>
      <w:r>
        <w:rPr>
          <w:rFonts w:hint="eastAsia" w:ascii="宋体" w:hAnsi="宋体" w:cs="宋体"/>
          <w:color w:val="auto"/>
          <w:spacing w:val="0"/>
          <w:kern w:val="0"/>
          <w:position w:val="0"/>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5E81FC6E">
      <w:pPr>
        <w:pStyle w:val="3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宋体" w:hAnsi="宋体" w:cs="宋体"/>
          <w:color w:val="auto"/>
          <w:spacing w:val="0"/>
          <w:kern w:val="0"/>
          <w:position w:val="0"/>
          <w:szCs w:val="21"/>
          <w:highlight w:val="none"/>
        </w:rPr>
        <w:sectPr>
          <w:pgSz w:w="11906" w:h="16838"/>
          <w:pgMar w:top="1247" w:right="1417" w:bottom="1247" w:left="1417" w:header="851" w:footer="992" w:gutter="0"/>
          <w:cols w:space="0" w:num="1"/>
          <w:docGrid w:type="lines" w:linePitch="312" w:charSpace="0"/>
        </w:sectPr>
      </w:pPr>
      <w:r>
        <w:rPr>
          <w:rFonts w:hint="eastAsia" w:ascii="宋体" w:hAnsi="宋体" w:cs="宋体"/>
          <w:color w:val="auto"/>
          <w:spacing w:val="0"/>
          <w:kern w:val="0"/>
          <w:position w:val="0"/>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EFA4F62">
      <w:pPr>
        <w:keepNext w:val="0"/>
        <w:keepLines w:val="0"/>
        <w:widowControl w:val="0"/>
        <w:suppressLineNumbers w:val="0"/>
        <w:snapToGrid w:val="0"/>
        <w:spacing w:before="156" w:beforeLines="50" w:beforeAutospacing="0" w:after="50" w:afterAutospacing="0" w:line="360" w:lineRule="auto"/>
        <w:ind w:left="0" w:right="480" w:firstLine="321" w:firstLineChars="100"/>
        <w:jc w:val="center"/>
        <w:outlineLvl w:val="2"/>
        <w:rPr>
          <w:rFonts w:hint="eastAsia" w:ascii="宋体" w:hAnsi="宋体" w:eastAsia="宋体" w:cs="宋体"/>
          <w:b/>
          <w:bCs/>
          <w:color w:val="auto"/>
          <w:spacing w:val="0"/>
          <w:w w:val="100"/>
          <w:kern w:val="2"/>
          <w:sz w:val="32"/>
          <w:szCs w:val="32"/>
          <w:highlight w:val="none"/>
          <w:lang w:val="en-US" w:eastAsia="zh-CN" w:bidi="ar"/>
        </w:rPr>
      </w:pPr>
      <w:r>
        <w:rPr>
          <w:rFonts w:hint="eastAsia" w:ascii="宋体" w:hAnsi="宋体" w:eastAsia="宋体" w:cs="宋体"/>
          <w:b/>
          <w:bCs/>
          <w:color w:val="auto"/>
          <w:spacing w:val="0"/>
          <w:w w:val="100"/>
          <w:kern w:val="2"/>
          <w:sz w:val="32"/>
          <w:szCs w:val="32"/>
          <w:highlight w:val="none"/>
          <w:lang w:val="en-US" w:eastAsia="zh-CN" w:bidi="ar"/>
        </w:rPr>
        <w:t>其他文书、文件格式</w:t>
      </w:r>
    </w:p>
    <w:p w14:paraId="51B79F2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color w:val="auto"/>
          <w:spacing w:val="0"/>
          <w:w w:val="100"/>
          <w:kern w:val="2"/>
          <w:sz w:val="32"/>
          <w:szCs w:val="32"/>
          <w:highlight w:val="none"/>
        </w:rPr>
      </w:pPr>
      <w:r>
        <w:rPr>
          <w:rFonts w:hint="eastAsia" w:ascii="宋体" w:hAnsi="宋体" w:eastAsia="宋体" w:cs="宋体"/>
          <w:b/>
          <w:bCs/>
          <w:color w:val="auto"/>
          <w:spacing w:val="0"/>
          <w:w w:val="100"/>
          <w:kern w:val="2"/>
          <w:sz w:val="32"/>
          <w:szCs w:val="32"/>
          <w:highlight w:val="none"/>
          <w:lang w:val="en-US" w:eastAsia="zh-CN" w:bidi="ar"/>
        </w:rPr>
        <w:t>质疑函（格式）</w:t>
      </w:r>
    </w:p>
    <w:p w14:paraId="28C13EAE">
      <w:pPr>
        <w:pStyle w:val="24"/>
        <w:keepNext w:val="0"/>
        <w:keepLines w:val="0"/>
        <w:widowControl w:val="0"/>
        <w:suppressLineNumbers w:val="0"/>
        <w:snapToGrid w:val="0"/>
        <w:spacing w:before="0" w:beforeAutospacing="0" w:after="0" w:afterAutospacing="0" w:line="360" w:lineRule="auto"/>
        <w:ind w:left="0" w:right="0" w:firstLine="482" w:firstLineChars="200"/>
        <w:jc w:val="both"/>
        <w:outlineLvl w:val="2"/>
        <w:rPr>
          <w:rFonts w:hint="eastAsia" w:ascii="宋体" w:hAnsi="宋体" w:eastAsia="宋体" w:cs="宋体"/>
          <w:b/>
          <w:bCs/>
          <w:color w:val="auto"/>
          <w:spacing w:val="0"/>
          <w:w w:val="100"/>
          <w:kern w:val="0"/>
          <w:sz w:val="24"/>
          <w:szCs w:val="24"/>
          <w:highlight w:val="none"/>
        </w:rPr>
      </w:pPr>
      <w:r>
        <w:rPr>
          <w:rFonts w:hint="eastAsia" w:ascii="宋体" w:hAnsi="宋体" w:eastAsia="宋体" w:cs="宋体"/>
          <w:b/>
          <w:bCs/>
          <w:color w:val="auto"/>
          <w:spacing w:val="0"/>
          <w:w w:val="100"/>
          <w:kern w:val="0"/>
          <w:sz w:val="24"/>
          <w:szCs w:val="24"/>
          <w:highlight w:val="none"/>
          <w:lang w:val="en-US" w:eastAsia="zh-CN" w:bidi="ar"/>
        </w:rPr>
        <w:t>一、质疑供应商基本信息：</w:t>
      </w:r>
    </w:p>
    <w:p w14:paraId="71067EFF">
      <w:pPr>
        <w:pStyle w:val="24"/>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bCs/>
          <w:color w:val="auto"/>
          <w:spacing w:val="0"/>
          <w:w w:val="100"/>
          <w:kern w:val="0"/>
          <w:sz w:val="24"/>
          <w:szCs w:val="24"/>
          <w:highlight w:val="none"/>
          <w:u w:val="single"/>
        </w:rPr>
      </w:pPr>
      <w:r>
        <w:rPr>
          <w:rFonts w:hint="eastAsia" w:ascii="宋体" w:hAnsi="宋体" w:eastAsia="宋体" w:cs="宋体"/>
          <w:bCs/>
          <w:color w:val="auto"/>
          <w:spacing w:val="0"/>
          <w:w w:val="100"/>
          <w:kern w:val="0"/>
          <w:sz w:val="24"/>
          <w:szCs w:val="24"/>
          <w:highlight w:val="none"/>
          <w:lang w:val="en-US" w:eastAsia="zh-CN" w:bidi="ar"/>
        </w:rPr>
        <w:t>质疑供应商：</w:t>
      </w:r>
      <w:r>
        <w:rPr>
          <w:rFonts w:hint="eastAsia" w:ascii="宋体" w:hAnsi="宋体" w:eastAsia="宋体" w:cs="宋体"/>
          <w:bCs/>
          <w:color w:val="auto"/>
          <w:spacing w:val="0"/>
          <w:w w:val="100"/>
          <w:kern w:val="0"/>
          <w:sz w:val="24"/>
          <w:szCs w:val="24"/>
          <w:highlight w:val="none"/>
          <w:u w:val="single"/>
          <w:lang w:val="en-US" w:eastAsia="zh-CN" w:bidi="ar"/>
        </w:rPr>
        <w:t xml:space="preserve">                                       </w:t>
      </w:r>
      <w:r>
        <w:rPr>
          <w:rFonts w:hint="eastAsia" w:ascii="宋体" w:hAnsi="宋体" w:eastAsia="宋体" w:cs="宋体"/>
          <w:bCs/>
          <w:color w:val="auto"/>
          <w:spacing w:val="0"/>
          <w:w w:val="100"/>
          <w:kern w:val="0"/>
          <w:sz w:val="24"/>
          <w:szCs w:val="24"/>
          <w:highlight w:val="none"/>
          <w:lang w:val="en-US" w:eastAsia="zh-CN" w:bidi="ar"/>
        </w:rPr>
        <w:t xml:space="preserve">                 </w:t>
      </w:r>
    </w:p>
    <w:p w14:paraId="17F0DB75">
      <w:pPr>
        <w:pStyle w:val="24"/>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bCs/>
          <w:color w:val="auto"/>
          <w:spacing w:val="0"/>
          <w:w w:val="100"/>
          <w:kern w:val="0"/>
          <w:sz w:val="24"/>
          <w:szCs w:val="24"/>
          <w:highlight w:val="none"/>
        </w:rPr>
      </w:pPr>
      <w:r>
        <w:rPr>
          <w:rFonts w:hint="eastAsia" w:ascii="宋体" w:hAnsi="宋体" w:eastAsia="宋体" w:cs="宋体"/>
          <w:bCs/>
          <w:color w:val="auto"/>
          <w:spacing w:val="0"/>
          <w:w w:val="100"/>
          <w:kern w:val="0"/>
          <w:sz w:val="24"/>
          <w:szCs w:val="24"/>
          <w:highlight w:val="none"/>
          <w:lang w:val="en-US" w:eastAsia="zh-CN" w:bidi="ar"/>
        </w:rPr>
        <w:t>地址：</w:t>
      </w:r>
      <w:r>
        <w:rPr>
          <w:rFonts w:hint="eastAsia" w:ascii="宋体" w:hAnsi="宋体" w:eastAsia="宋体" w:cs="宋体"/>
          <w:bCs/>
          <w:color w:val="auto"/>
          <w:spacing w:val="0"/>
          <w:w w:val="100"/>
          <w:kern w:val="0"/>
          <w:sz w:val="24"/>
          <w:szCs w:val="24"/>
          <w:highlight w:val="none"/>
          <w:u w:val="single"/>
          <w:lang w:val="en-US" w:eastAsia="zh-CN" w:bidi="ar"/>
        </w:rPr>
        <w:t xml:space="preserve">                                          </w:t>
      </w:r>
      <w:r>
        <w:rPr>
          <w:rFonts w:hint="eastAsia" w:ascii="宋体" w:hAnsi="宋体" w:eastAsia="宋体" w:cs="宋体"/>
          <w:bCs/>
          <w:color w:val="auto"/>
          <w:spacing w:val="0"/>
          <w:w w:val="100"/>
          <w:kern w:val="0"/>
          <w:sz w:val="24"/>
          <w:szCs w:val="24"/>
          <w:highlight w:val="none"/>
          <w:lang w:val="en-US" w:eastAsia="zh-CN" w:bidi="ar"/>
        </w:rPr>
        <w:t>邮编：</w:t>
      </w:r>
      <w:r>
        <w:rPr>
          <w:rFonts w:hint="eastAsia" w:ascii="宋体" w:hAnsi="宋体" w:eastAsia="宋体" w:cs="宋体"/>
          <w:bCs/>
          <w:color w:val="auto"/>
          <w:spacing w:val="0"/>
          <w:w w:val="100"/>
          <w:kern w:val="0"/>
          <w:sz w:val="24"/>
          <w:szCs w:val="24"/>
          <w:highlight w:val="none"/>
          <w:u w:val="single"/>
          <w:lang w:val="en-US" w:eastAsia="zh-CN" w:bidi="ar"/>
        </w:rPr>
        <w:t xml:space="preserve">                  </w:t>
      </w:r>
      <w:r>
        <w:rPr>
          <w:rFonts w:hint="eastAsia" w:ascii="宋体" w:hAnsi="宋体" w:eastAsia="宋体" w:cs="宋体"/>
          <w:bCs/>
          <w:color w:val="auto"/>
          <w:spacing w:val="0"/>
          <w:w w:val="100"/>
          <w:kern w:val="0"/>
          <w:sz w:val="24"/>
          <w:szCs w:val="24"/>
          <w:highlight w:val="none"/>
          <w:lang w:val="en-US" w:eastAsia="zh-CN" w:bidi="ar"/>
        </w:rPr>
        <w:t xml:space="preserve">                 </w:t>
      </w:r>
    </w:p>
    <w:p w14:paraId="5D1709BB">
      <w:pPr>
        <w:pStyle w:val="24"/>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bCs/>
          <w:color w:val="auto"/>
          <w:spacing w:val="0"/>
          <w:w w:val="100"/>
          <w:kern w:val="0"/>
          <w:sz w:val="24"/>
          <w:szCs w:val="24"/>
          <w:highlight w:val="none"/>
        </w:rPr>
      </w:pPr>
      <w:r>
        <w:rPr>
          <w:rFonts w:hint="eastAsia" w:ascii="宋体" w:hAnsi="宋体" w:eastAsia="宋体" w:cs="宋体"/>
          <w:bCs/>
          <w:color w:val="auto"/>
          <w:spacing w:val="0"/>
          <w:w w:val="100"/>
          <w:kern w:val="0"/>
          <w:sz w:val="24"/>
          <w:szCs w:val="24"/>
          <w:highlight w:val="none"/>
          <w:lang w:val="en-US" w:eastAsia="zh-CN" w:bidi="ar"/>
        </w:rPr>
        <w:t>联系人：</w:t>
      </w:r>
      <w:r>
        <w:rPr>
          <w:rFonts w:hint="eastAsia" w:ascii="宋体" w:hAnsi="宋体" w:eastAsia="宋体" w:cs="宋体"/>
          <w:bCs/>
          <w:color w:val="auto"/>
          <w:spacing w:val="0"/>
          <w:w w:val="100"/>
          <w:kern w:val="0"/>
          <w:sz w:val="24"/>
          <w:szCs w:val="24"/>
          <w:highlight w:val="none"/>
          <w:u w:val="single"/>
          <w:lang w:val="en-US" w:eastAsia="zh-CN" w:bidi="ar"/>
        </w:rPr>
        <w:t xml:space="preserve">                     </w:t>
      </w:r>
      <w:r>
        <w:rPr>
          <w:rFonts w:hint="eastAsia" w:ascii="宋体" w:hAnsi="宋体" w:eastAsia="宋体" w:cs="宋体"/>
          <w:bCs/>
          <w:color w:val="auto"/>
          <w:spacing w:val="0"/>
          <w:w w:val="100"/>
          <w:kern w:val="0"/>
          <w:sz w:val="24"/>
          <w:szCs w:val="24"/>
          <w:highlight w:val="none"/>
          <w:lang w:val="en-US" w:eastAsia="zh-CN" w:bidi="ar"/>
        </w:rPr>
        <w:t>联系电话：</w:t>
      </w:r>
      <w:r>
        <w:rPr>
          <w:rFonts w:hint="eastAsia" w:ascii="宋体" w:hAnsi="宋体" w:eastAsia="宋体" w:cs="宋体"/>
          <w:bCs/>
          <w:color w:val="auto"/>
          <w:spacing w:val="0"/>
          <w:w w:val="100"/>
          <w:kern w:val="0"/>
          <w:sz w:val="24"/>
          <w:szCs w:val="24"/>
          <w:highlight w:val="none"/>
          <w:u w:val="single"/>
          <w:lang w:val="en-US" w:eastAsia="zh-CN" w:bidi="ar"/>
        </w:rPr>
        <w:t xml:space="preserve">                 </w:t>
      </w:r>
    </w:p>
    <w:p w14:paraId="557F38F0">
      <w:pPr>
        <w:pStyle w:val="24"/>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bCs/>
          <w:color w:val="auto"/>
          <w:spacing w:val="0"/>
          <w:w w:val="100"/>
          <w:kern w:val="0"/>
          <w:sz w:val="24"/>
          <w:szCs w:val="24"/>
          <w:highlight w:val="none"/>
        </w:rPr>
      </w:pPr>
      <w:r>
        <w:rPr>
          <w:rFonts w:hint="eastAsia" w:ascii="宋体" w:hAnsi="宋体" w:eastAsia="宋体" w:cs="宋体"/>
          <w:bCs/>
          <w:color w:val="auto"/>
          <w:spacing w:val="0"/>
          <w:w w:val="100"/>
          <w:kern w:val="0"/>
          <w:sz w:val="24"/>
          <w:szCs w:val="24"/>
          <w:highlight w:val="none"/>
          <w:lang w:val="en-US" w:eastAsia="zh-CN" w:bidi="ar"/>
        </w:rPr>
        <w:t>授权代表：</w:t>
      </w:r>
      <w:r>
        <w:rPr>
          <w:rFonts w:hint="eastAsia" w:ascii="宋体" w:hAnsi="宋体" w:eastAsia="宋体" w:cs="宋体"/>
          <w:bCs/>
          <w:color w:val="auto"/>
          <w:spacing w:val="0"/>
          <w:w w:val="100"/>
          <w:kern w:val="0"/>
          <w:sz w:val="24"/>
          <w:szCs w:val="24"/>
          <w:highlight w:val="none"/>
          <w:u w:val="single"/>
          <w:lang w:val="en-US" w:eastAsia="zh-CN" w:bidi="ar"/>
        </w:rPr>
        <w:t xml:space="preserve">                      </w:t>
      </w:r>
    </w:p>
    <w:p w14:paraId="0E282F3C">
      <w:pPr>
        <w:pStyle w:val="24"/>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bCs/>
          <w:color w:val="auto"/>
          <w:spacing w:val="0"/>
          <w:w w:val="100"/>
          <w:kern w:val="0"/>
          <w:sz w:val="24"/>
          <w:szCs w:val="24"/>
          <w:highlight w:val="none"/>
          <w:u w:val="single"/>
        </w:rPr>
      </w:pPr>
      <w:r>
        <w:rPr>
          <w:rFonts w:hint="eastAsia" w:ascii="宋体" w:hAnsi="宋体" w:eastAsia="宋体" w:cs="宋体"/>
          <w:bCs/>
          <w:color w:val="auto"/>
          <w:spacing w:val="0"/>
          <w:w w:val="100"/>
          <w:kern w:val="0"/>
          <w:sz w:val="24"/>
          <w:szCs w:val="24"/>
          <w:highlight w:val="none"/>
          <w:lang w:val="en-US" w:eastAsia="zh-CN" w:bidi="ar"/>
        </w:rPr>
        <w:t>联系电话：</w:t>
      </w:r>
      <w:r>
        <w:rPr>
          <w:rFonts w:hint="eastAsia" w:ascii="宋体" w:hAnsi="宋体" w:eastAsia="宋体" w:cs="宋体"/>
          <w:bCs/>
          <w:color w:val="auto"/>
          <w:spacing w:val="0"/>
          <w:w w:val="100"/>
          <w:kern w:val="0"/>
          <w:sz w:val="24"/>
          <w:szCs w:val="24"/>
          <w:highlight w:val="none"/>
          <w:u w:val="single"/>
          <w:lang w:val="en-US" w:eastAsia="zh-CN" w:bidi="ar"/>
        </w:rPr>
        <w:t xml:space="preserve">                      </w:t>
      </w:r>
    </w:p>
    <w:p w14:paraId="47ED7C9B">
      <w:pPr>
        <w:pStyle w:val="24"/>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bCs/>
          <w:color w:val="auto"/>
          <w:spacing w:val="0"/>
          <w:w w:val="100"/>
          <w:kern w:val="0"/>
          <w:sz w:val="24"/>
          <w:szCs w:val="24"/>
          <w:highlight w:val="none"/>
        </w:rPr>
      </w:pPr>
      <w:r>
        <w:rPr>
          <w:rFonts w:hint="eastAsia" w:ascii="宋体" w:hAnsi="宋体" w:eastAsia="宋体" w:cs="宋体"/>
          <w:bCs/>
          <w:color w:val="auto"/>
          <w:spacing w:val="0"/>
          <w:w w:val="100"/>
          <w:kern w:val="0"/>
          <w:sz w:val="24"/>
          <w:szCs w:val="24"/>
          <w:highlight w:val="none"/>
          <w:lang w:val="en-US" w:eastAsia="zh-CN" w:bidi="ar"/>
        </w:rPr>
        <w:t>地址：</w:t>
      </w:r>
      <w:r>
        <w:rPr>
          <w:rFonts w:hint="eastAsia" w:ascii="宋体" w:hAnsi="宋体" w:eastAsia="宋体" w:cs="宋体"/>
          <w:bCs/>
          <w:color w:val="auto"/>
          <w:spacing w:val="0"/>
          <w:w w:val="100"/>
          <w:kern w:val="0"/>
          <w:sz w:val="24"/>
          <w:szCs w:val="24"/>
          <w:highlight w:val="none"/>
          <w:u w:val="single"/>
          <w:lang w:val="en-US" w:eastAsia="zh-CN" w:bidi="ar"/>
        </w:rPr>
        <w:t xml:space="preserve">                 </w:t>
      </w:r>
      <w:r>
        <w:rPr>
          <w:rFonts w:hint="eastAsia" w:ascii="宋体" w:hAnsi="宋体" w:eastAsia="宋体" w:cs="宋体"/>
          <w:bCs/>
          <w:color w:val="auto"/>
          <w:spacing w:val="0"/>
          <w:w w:val="100"/>
          <w:kern w:val="0"/>
          <w:sz w:val="24"/>
          <w:szCs w:val="24"/>
          <w:highlight w:val="none"/>
          <w:lang w:val="en-US" w:eastAsia="zh-CN" w:bidi="ar"/>
        </w:rPr>
        <w:t>邮编：</w:t>
      </w:r>
      <w:r>
        <w:rPr>
          <w:rFonts w:hint="eastAsia" w:ascii="宋体" w:hAnsi="宋体" w:eastAsia="宋体" w:cs="宋体"/>
          <w:bCs/>
          <w:color w:val="auto"/>
          <w:spacing w:val="0"/>
          <w:w w:val="100"/>
          <w:kern w:val="0"/>
          <w:sz w:val="24"/>
          <w:szCs w:val="24"/>
          <w:highlight w:val="none"/>
          <w:u w:val="single"/>
          <w:lang w:val="en-US" w:eastAsia="zh-CN" w:bidi="ar"/>
        </w:rPr>
        <w:t xml:space="preserve">                  </w:t>
      </w:r>
      <w:r>
        <w:rPr>
          <w:rFonts w:hint="eastAsia" w:ascii="宋体" w:hAnsi="宋体" w:eastAsia="宋体" w:cs="宋体"/>
          <w:bCs/>
          <w:color w:val="auto"/>
          <w:spacing w:val="0"/>
          <w:w w:val="100"/>
          <w:kern w:val="0"/>
          <w:sz w:val="24"/>
          <w:szCs w:val="24"/>
          <w:highlight w:val="none"/>
          <w:lang w:val="en-US" w:eastAsia="zh-CN" w:bidi="ar"/>
        </w:rPr>
        <w:t xml:space="preserve">     </w:t>
      </w:r>
    </w:p>
    <w:p w14:paraId="609F1C1C">
      <w:pPr>
        <w:pStyle w:val="24"/>
        <w:keepNext w:val="0"/>
        <w:keepLines w:val="0"/>
        <w:widowControl w:val="0"/>
        <w:suppressLineNumbers w:val="0"/>
        <w:snapToGrid w:val="0"/>
        <w:spacing w:before="0" w:beforeAutospacing="0" w:after="0" w:afterAutospacing="0" w:line="360" w:lineRule="auto"/>
        <w:ind w:left="0" w:right="0" w:firstLine="482" w:firstLineChars="200"/>
        <w:jc w:val="both"/>
        <w:outlineLvl w:val="2"/>
        <w:rPr>
          <w:rFonts w:hint="eastAsia" w:ascii="宋体" w:hAnsi="宋体" w:eastAsia="宋体" w:cs="宋体"/>
          <w:b/>
          <w:bCs/>
          <w:color w:val="auto"/>
          <w:spacing w:val="0"/>
          <w:w w:val="100"/>
          <w:kern w:val="0"/>
          <w:sz w:val="24"/>
          <w:szCs w:val="24"/>
          <w:highlight w:val="none"/>
        </w:rPr>
      </w:pPr>
      <w:r>
        <w:rPr>
          <w:rFonts w:hint="eastAsia" w:ascii="宋体" w:hAnsi="宋体" w:eastAsia="宋体" w:cs="宋体"/>
          <w:b/>
          <w:bCs/>
          <w:color w:val="auto"/>
          <w:spacing w:val="0"/>
          <w:w w:val="100"/>
          <w:kern w:val="0"/>
          <w:sz w:val="24"/>
          <w:szCs w:val="24"/>
          <w:highlight w:val="none"/>
          <w:lang w:val="en-US" w:eastAsia="zh-CN" w:bidi="ar"/>
        </w:rPr>
        <w:t>二、质疑项目基本情况：</w:t>
      </w:r>
    </w:p>
    <w:p w14:paraId="39FC0A50">
      <w:pPr>
        <w:pStyle w:val="24"/>
        <w:keepNext w:val="0"/>
        <w:keepLines w:val="0"/>
        <w:widowControl w:val="0"/>
        <w:suppressLineNumbers w:val="0"/>
        <w:spacing w:before="0" w:beforeAutospacing="0" w:after="0" w:afterAutospacing="0" w:line="360" w:lineRule="auto"/>
        <w:ind w:left="25" w:leftChars="12" w:right="0" w:firstLine="472" w:firstLineChars="197"/>
        <w:jc w:val="both"/>
        <w:rPr>
          <w:rFonts w:hint="eastAsia" w:ascii="宋体" w:hAnsi="宋体" w:eastAsia="宋体" w:cs="宋体"/>
          <w:color w:val="auto"/>
          <w:spacing w:val="0"/>
          <w:w w:val="100"/>
          <w:kern w:val="0"/>
          <w:sz w:val="24"/>
          <w:szCs w:val="24"/>
          <w:highlight w:val="none"/>
        </w:rPr>
      </w:pPr>
      <w:r>
        <w:rPr>
          <w:rFonts w:hint="eastAsia" w:ascii="宋体" w:hAnsi="宋体" w:eastAsia="宋体" w:cs="宋体"/>
          <w:bCs/>
          <w:color w:val="auto"/>
          <w:spacing w:val="0"/>
          <w:w w:val="100"/>
          <w:kern w:val="0"/>
          <w:sz w:val="24"/>
          <w:szCs w:val="24"/>
          <w:highlight w:val="none"/>
          <w:lang w:val="en-US" w:eastAsia="zh-CN" w:bidi="ar"/>
        </w:rPr>
        <w:t>质疑</w:t>
      </w:r>
      <w:r>
        <w:rPr>
          <w:rFonts w:hint="eastAsia" w:ascii="宋体" w:hAnsi="宋体" w:eastAsia="宋体" w:cs="宋体"/>
          <w:color w:val="auto"/>
          <w:spacing w:val="0"/>
          <w:w w:val="100"/>
          <w:kern w:val="0"/>
          <w:sz w:val="24"/>
          <w:szCs w:val="24"/>
          <w:highlight w:val="none"/>
          <w:lang w:val="en-US" w:eastAsia="zh-CN" w:bidi="ar"/>
        </w:rPr>
        <w:t>项目的名称：</w:t>
      </w:r>
      <w:r>
        <w:rPr>
          <w:rFonts w:hint="eastAsia" w:ascii="宋体" w:hAnsi="宋体" w:eastAsia="宋体" w:cs="宋体"/>
          <w:bCs/>
          <w:color w:val="auto"/>
          <w:spacing w:val="0"/>
          <w:w w:val="100"/>
          <w:kern w:val="0"/>
          <w:sz w:val="24"/>
          <w:szCs w:val="24"/>
          <w:highlight w:val="none"/>
          <w:u w:val="single"/>
          <w:lang w:val="en-US" w:eastAsia="zh-CN" w:bidi="ar"/>
        </w:rPr>
        <w:t xml:space="preserve">                                     </w:t>
      </w:r>
    </w:p>
    <w:p w14:paraId="2372F1E7">
      <w:pPr>
        <w:pStyle w:val="24"/>
        <w:keepNext w:val="0"/>
        <w:keepLines w:val="0"/>
        <w:widowControl w:val="0"/>
        <w:suppressLineNumbers w:val="0"/>
        <w:spacing w:before="0" w:beforeAutospacing="0" w:after="0" w:afterAutospacing="0" w:line="360" w:lineRule="auto"/>
        <w:ind w:left="25" w:leftChars="12" w:right="0" w:firstLine="472" w:firstLineChars="197"/>
        <w:jc w:val="both"/>
        <w:rPr>
          <w:rFonts w:hint="eastAsia" w:ascii="宋体" w:hAnsi="宋体" w:eastAsia="宋体" w:cs="宋体"/>
          <w:color w:val="auto"/>
          <w:spacing w:val="0"/>
          <w:w w:val="100"/>
          <w:kern w:val="0"/>
          <w:sz w:val="24"/>
          <w:szCs w:val="24"/>
          <w:highlight w:val="none"/>
        </w:rPr>
      </w:pPr>
      <w:r>
        <w:rPr>
          <w:rFonts w:hint="eastAsia" w:ascii="宋体" w:hAnsi="宋体" w:eastAsia="宋体" w:cs="宋体"/>
          <w:bCs/>
          <w:color w:val="auto"/>
          <w:spacing w:val="0"/>
          <w:w w:val="100"/>
          <w:kern w:val="0"/>
          <w:sz w:val="24"/>
          <w:szCs w:val="24"/>
          <w:highlight w:val="none"/>
          <w:lang w:val="en-US" w:eastAsia="zh-CN" w:bidi="ar"/>
        </w:rPr>
        <w:t>质疑</w:t>
      </w:r>
      <w:r>
        <w:rPr>
          <w:rFonts w:hint="eastAsia" w:ascii="宋体" w:hAnsi="宋体" w:eastAsia="宋体" w:cs="宋体"/>
          <w:color w:val="auto"/>
          <w:spacing w:val="0"/>
          <w:w w:val="100"/>
          <w:kern w:val="0"/>
          <w:sz w:val="24"/>
          <w:szCs w:val="24"/>
          <w:highlight w:val="none"/>
          <w:lang w:val="en-US" w:eastAsia="zh-CN" w:bidi="ar"/>
        </w:rPr>
        <w:t>项目的编号：</w:t>
      </w:r>
      <w:r>
        <w:rPr>
          <w:rFonts w:hint="eastAsia" w:ascii="宋体" w:hAnsi="宋体" w:eastAsia="宋体" w:cs="宋体"/>
          <w:bCs/>
          <w:color w:val="auto"/>
          <w:spacing w:val="0"/>
          <w:w w:val="100"/>
          <w:kern w:val="0"/>
          <w:sz w:val="24"/>
          <w:szCs w:val="24"/>
          <w:highlight w:val="none"/>
          <w:u w:val="single"/>
          <w:lang w:val="en-US" w:eastAsia="zh-CN" w:bidi="ar"/>
        </w:rPr>
        <w:t xml:space="preserve">                                     </w:t>
      </w:r>
    </w:p>
    <w:p w14:paraId="1187C0AA">
      <w:pPr>
        <w:pStyle w:val="24"/>
        <w:keepNext w:val="0"/>
        <w:keepLines w:val="0"/>
        <w:widowControl w:val="0"/>
        <w:suppressLineNumbers w:val="0"/>
        <w:spacing w:before="0" w:beforeAutospacing="0" w:after="0" w:afterAutospacing="0" w:line="360" w:lineRule="auto"/>
        <w:ind w:left="25" w:leftChars="12" w:right="0" w:firstLine="472" w:firstLineChars="197"/>
        <w:jc w:val="both"/>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lang w:val="en-US" w:eastAsia="zh-CN" w:bidi="ar"/>
        </w:rPr>
        <w:t>采购人名称：</w:t>
      </w:r>
      <w:r>
        <w:rPr>
          <w:rFonts w:hint="eastAsia" w:ascii="宋体" w:hAnsi="宋体" w:eastAsia="宋体" w:cs="宋体"/>
          <w:bCs/>
          <w:color w:val="auto"/>
          <w:spacing w:val="0"/>
          <w:w w:val="100"/>
          <w:kern w:val="0"/>
          <w:sz w:val="24"/>
          <w:szCs w:val="24"/>
          <w:highlight w:val="none"/>
          <w:u w:val="single"/>
          <w:lang w:val="en-US" w:eastAsia="zh-CN" w:bidi="ar"/>
        </w:rPr>
        <w:t xml:space="preserve">                                         </w:t>
      </w:r>
    </w:p>
    <w:p w14:paraId="7DD9AD18">
      <w:pPr>
        <w:pStyle w:val="24"/>
        <w:keepNext w:val="0"/>
        <w:keepLines w:val="0"/>
        <w:widowControl w:val="0"/>
        <w:suppressLineNumbers w:val="0"/>
        <w:spacing w:before="0" w:beforeAutospacing="0" w:after="0" w:afterAutospacing="0" w:line="360" w:lineRule="auto"/>
        <w:ind w:left="25" w:leftChars="12" w:right="0" w:firstLine="472" w:firstLineChars="197"/>
        <w:jc w:val="both"/>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lang w:val="en-US" w:eastAsia="zh-CN" w:bidi="ar"/>
        </w:rPr>
        <w:t>质疑事项：</w:t>
      </w:r>
    </w:p>
    <w:p w14:paraId="568E9DC3">
      <w:pPr>
        <w:pStyle w:val="24"/>
        <w:keepNext w:val="0"/>
        <w:keepLines w:val="0"/>
        <w:widowControl w:val="0"/>
        <w:suppressLineNumbers w:val="0"/>
        <w:spacing w:before="0" w:beforeAutospacing="0" w:after="0" w:afterAutospacing="0" w:line="360" w:lineRule="auto"/>
        <w:ind w:left="25" w:leftChars="12" w:right="0" w:firstLine="352" w:firstLineChars="147"/>
        <w:jc w:val="both"/>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lang w:val="en-US" w:eastAsia="zh-CN" w:bidi="ar"/>
        </w:rPr>
        <w:t>□采购文件   采购文件获取日期：</w:t>
      </w:r>
      <w:r>
        <w:rPr>
          <w:rFonts w:hint="eastAsia" w:ascii="宋体" w:hAnsi="宋体" w:eastAsia="宋体" w:cs="宋体"/>
          <w:bCs/>
          <w:color w:val="auto"/>
          <w:spacing w:val="0"/>
          <w:w w:val="100"/>
          <w:kern w:val="0"/>
          <w:sz w:val="24"/>
          <w:szCs w:val="24"/>
          <w:highlight w:val="none"/>
          <w:u w:val="single"/>
          <w:lang w:val="en-US" w:eastAsia="zh-CN" w:bidi="ar"/>
        </w:rPr>
        <w:t xml:space="preserve">                                   </w:t>
      </w:r>
    </w:p>
    <w:p w14:paraId="2B998182">
      <w:pPr>
        <w:pStyle w:val="24"/>
        <w:keepNext w:val="0"/>
        <w:keepLines w:val="0"/>
        <w:widowControl w:val="0"/>
        <w:suppressLineNumbers w:val="0"/>
        <w:spacing w:before="0" w:beforeAutospacing="0" w:after="0" w:afterAutospacing="0" w:line="360" w:lineRule="auto"/>
        <w:ind w:left="25" w:leftChars="12" w:right="0" w:firstLine="352" w:firstLineChars="147"/>
        <w:jc w:val="both"/>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lang w:val="en-US" w:eastAsia="zh-CN" w:bidi="ar"/>
        </w:rPr>
        <w:t xml:space="preserve">□采购过程   </w:t>
      </w:r>
    </w:p>
    <w:p w14:paraId="7E90BA50">
      <w:pPr>
        <w:pStyle w:val="24"/>
        <w:keepNext w:val="0"/>
        <w:keepLines w:val="0"/>
        <w:widowControl w:val="0"/>
        <w:suppressLineNumbers w:val="0"/>
        <w:spacing w:before="0" w:beforeAutospacing="0" w:after="0" w:afterAutospacing="0" w:line="360" w:lineRule="auto"/>
        <w:ind w:left="25" w:leftChars="12" w:right="0" w:firstLine="352" w:firstLineChars="147"/>
        <w:jc w:val="both"/>
        <w:rPr>
          <w:rFonts w:hint="eastAsia" w:ascii="宋体" w:hAnsi="宋体" w:eastAsia="宋体" w:cs="宋体"/>
          <w:bCs/>
          <w:color w:val="auto"/>
          <w:spacing w:val="0"/>
          <w:w w:val="100"/>
          <w:kern w:val="0"/>
          <w:sz w:val="24"/>
          <w:szCs w:val="24"/>
          <w:highlight w:val="none"/>
          <w:u w:val="single"/>
        </w:rPr>
      </w:pPr>
      <w:r>
        <w:rPr>
          <w:rFonts w:hint="eastAsia" w:ascii="宋体" w:hAnsi="宋体" w:eastAsia="宋体" w:cs="宋体"/>
          <w:color w:val="auto"/>
          <w:spacing w:val="0"/>
          <w:w w:val="100"/>
          <w:kern w:val="0"/>
          <w:sz w:val="24"/>
          <w:szCs w:val="24"/>
          <w:highlight w:val="none"/>
          <w:lang w:val="en-US" w:eastAsia="zh-CN" w:bidi="ar"/>
        </w:rPr>
        <w:t xml:space="preserve">□成交结果   </w:t>
      </w:r>
    </w:p>
    <w:p w14:paraId="30814D94">
      <w:pPr>
        <w:pStyle w:val="24"/>
        <w:keepNext w:val="0"/>
        <w:keepLines w:val="0"/>
        <w:widowControl w:val="0"/>
        <w:suppressLineNumbers w:val="0"/>
        <w:spacing w:before="0" w:beforeAutospacing="0" w:after="0" w:afterAutospacing="0" w:line="360" w:lineRule="auto"/>
        <w:ind w:left="25" w:leftChars="12" w:right="0" w:firstLine="472" w:firstLineChars="196"/>
        <w:jc w:val="both"/>
        <w:outlineLvl w:val="2"/>
        <w:rPr>
          <w:rFonts w:hint="eastAsia" w:ascii="宋体" w:hAnsi="宋体" w:eastAsia="宋体" w:cs="宋体"/>
          <w:b/>
          <w:bCs w:val="0"/>
          <w:color w:val="auto"/>
          <w:spacing w:val="0"/>
          <w:w w:val="100"/>
          <w:kern w:val="0"/>
          <w:sz w:val="24"/>
          <w:szCs w:val="24"/>
          <w:highlight w:val="none"/>
        </w:rPr>
      </w:pPr>
      <w:r>
        <w:rPr>
          <w:rFonts w:hint="eastAsia" w:ascii="宋体" w:hAnsi="宋体" w:eastAsia="宋体" w:cs="宋体"/>
          <w:b/>
          <w:bCs w:val="0"/>
          <w:color w:val="auto"/>
          <w:spacing w:val="0"/>
          <w:w w:val="100"/>
          <w:kern w:val="0"/>
          <w:sz w:val="24"/>
          <w:szCs w:val="24"/>
          <w:highlight w:val="none"/>
          <w:lang w:val="en-US" w:eastAsia="zh-CN" w:bidi="ar"/>
        </w:rPr>
        <w:t>三、质疑事项具体内容</w:t>
      </w:r>
    </w:p>
    <w:p w14:paraId="6152D59A">
      <w:pPr>
        <w:pStyle w:val="24"/>
        <w:keepNext w:val="0"/>
        <w:keepLines w:val="0"/>
        <w:widowControl w:val="0"/>
        <w:suppressLineNumbers w:val="0"/>
        <w:spacing w:before="0" w:beforeAutospacing="0" w:after="0" w:afterAutospacing="0" w:line="360" w:lineRule="auto"/>
        <w:ind w:left="25" w:leftChars="12" w:right="0" w:firstLine="472" w:firstLineChars="197"/>
        <w:jc w:val="both"/>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lang w:val="en-US" w:eastAsia="zh-CN" w:bidi="ar"/>
        </w:rPr>
        <w:t>质疑事项1：</w:t>
      </w:r>
      <w:r>
        <w:rPr>
          <w:rFonts w:hint="eastAsia" w:ascii="宋体" w:hAnsi="宋体" w:eastAsia="宋体" w:cs="宋体"/>
          <w:bCs/>
          <w:color w:val="auto"/>
          <w:spacing w:val="0"/>
          <w:w w:val="100"/>
          <w:kern w:val="0"/>
          <w:sz w:val="24"/>
          <w:szCs w:val="24"/>
          <w:highlight w:val="none"/>
          <w:u w:val="single"/>
          <w:lang w:val="en-US" w:eastAsia="zh-CN" w:bidi="ar"/>
        </w:rPr>
        <w:t xml:space="preserve">                                                                    </w:t>
      </w:r>
    </w:p>
    <w:p w14:paraId="550318FC">
      <w:pPr>
        <w:pStyle w:val="24"/>
        <w:keepNext w:val="0"/>
        <w:keepLines w:val="0"/>
        <w:widowControl w:val="0"/>
        <w:suppressLineNumbers w:val="0"/>
        <w:spacing w:before="0" w:beforeAutospacing="0" w:after="0" w:afterAutospacing="0" w:line="360" w:lineRule="auto"/>
        <w:ind w:left="25" w:leftChars="12" w:right="0" w:firstLine="472" w:firstLineChars="197"/>
        <w:jc w:val="both"/>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lang w:val="en-US" w:eastAsia="zh-CN" w:bidi="ar"/>
        </w:rPr>
        <w:t>事实依据：</w:t>
      </w:r>
      <w:r>
        <w:rPr>
          <w:rFonts w:hint="eastAsia" w:ascii="宋体" w:hAnsi="宋体" w:eastAsia="宋体" w:cs="宋体"/>
          <w:bCs/>
          <w:color w:val="auto"/>
          <w:spacing w:val="0"/>
          <w:w w:val="100"/>
          <w:kern w:val="0"/>
          <w:sz w:val="24"/>
          <w:szCs w:val="24"/>
          <w:highlight w:val="none"/>
          <w:u w:val="single"/>
          <w:lang w:val="en-US" w:eastAsia="zh-CN" w:bidi="ar"/>
        </w:rPr>
        <w:t xml:space="preserve">                                                                      </w:t>
      </w:r>
    </w:p>
    <w:p w14:paraId="04EE9AA0">
      <w:pPr>
        <w:pStyle w:val="24"/>
        <w:keepNext w:val="0"/>
        <w:keepLines w:val="0"/>
        <w:widowControl w:val="0"/>
        <w:suppressLineNumbers w:val="0"/>
        <w:spacing w:before="0" w:beforeAutospacing="0" w:after="0" w:afterAutospacing="0" w:line="360" w:lineRule="auto"/>
        <w:ind w:left="25" w:leftChars="12" w:right="0" w:firstLine="472" w:firstLineChars="197"/>
        <w:jc w:val="both"/>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lang w:val="en-US" w:eastAsia="zh-CN" w:bidi="ar"/>
        </w:rPr>
        <w:t>法律依据：</w:t>
      </w:r>
      <w:r>
        <w:rPr>
          <w:rFonts w:hint="eastAsia" w:ascii="宋体" w:hAnsi="宋体" w:eastAsia="宋体" w:cs="宋体"/>
          <w:color w:val="auto"/>
          <w:spacing w:val="0"/>
          <w:w w:val="100"/>
          <w:kern w:val="0"/>
          <w:sz w:val="24"/>
          <w:szCs w:val="24"/>
          <w:highlight w:val="none"/>
          <w:u w:val="single"/>
          <w:lang w:val="en-US" w:eastAsia="zh-CN" w:bidi="ar"/>
        </w:rPr>
        <w:t xml:space="preserve">                                                        </w:t>
      </w:r>
      <w:r>
        <w:rPr>
          <w:rFonts w:hint="eastAsia" w:ascii="宋体" w:hAnsi="宋体" w:eastAsia="宋体" w:cs="宋体"/>
          <w:bCs/>
          <w:color w:val="auto"/>
          <w:spacing w:val="0"/>
          <w:w w:val="100"/>
          <w:kern w:val="0"/>
          <w:sz w:val="24"/>
          <w:szCs w:val="24"/>
          <w:highlight w:val="none"/>
          <w:u w:val="single"/>
          <w:lang w:val="en-US" w:eastAsia="zh-CN" w:bidi="ar"/>
        </w:rPr>
        <w:t xml:space="preserve">               </w:t>
      </w:r>
    </w:p>
    <w:p w14:paraId="62B6A835">
      <w:pPr>
        <w:pStyle w:val="24"/>
        <w:keepNext w:val="0"/>
        <w:keepLines w:val="0"/>
        <w:widowControl w:val="0"/>
        <w:suppressLineNumbers w:val="0"/>
        <w:spacing w:before="0" w:beforeAutospacing="0" w:after="0" w:afterAutospacing="0" w:line="360" w:lineRule="auto"/>
        <w:ind w:left="25" w:leftChars="12" w:right="0" w:firstLine="472" w:firstLineChars="197"/>
        <w:jc w:val="both"/>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lang w:val="en-US" w:eastAsia="zh-CN" w:bidi="ar"/>
        </w:rPr>
        <w:t>质疑事项2</w:t>
      </w:r>
    </w:p>
    <w:p w14:paraId="75049CE2">
      <w:pPr>
        <w:pStyle w:val="24"/>
        <w:keepNext w:val="0"/>
        <w:keepLines w:val="0"/>
        <w:widowControl w:val="0"/>
        <w:suppressLineNumbers w:val="0"/>
        <w:spacing w:before="0" w:beforeAutospacing="0" w:after="0" w:afterAutospacing="0" w:line="360" w:lineRule="auto"/>
        <w:ind w:left="25" w:leftChars="12" w:right="0" w:firstLine="472" w:firstLineChars="197"/>
        <w:jc w:val="both"/>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lang w:val="en-US" w:eastAsia="zh-CN" w:bidi="ar"/>
        </w:rPr>
        <w:t>……</w:t>
      </w:r>
    </w:p>
    <w:p w14:paraId="045368C8">
      <w:pPr>
        <w:pStyle w:val="24"/>
        <w:keepNext w:val="0"/>
        <w:keepLines w:val="0"/>
        <w:widowControl w:val="0"/>
        <w:suppressLineNumbers w:val="0"/>
        <w:spacing w:before="0" w:beforeAutospacing="0" w:after="0" w:afterAutospacing="0" w:line="360" w:lineRule="auto"/>
        <w:ind w:left="25" w:leftChars="12" w:right="0" w:firstLine="472" w:firstLineChars="196"/>
        <w:jc w:val="both"/>
        <w:outlineLvl w:val="2"/>
        <w:rPr>
          <w:rFonts w:hint="eastAsia" w:ascii="宋体" w:hAnsi="宋体" w:eastAsia="宋体" w:cs="宋体"/>
          <w:b/>
          <w:bCs w:val="0"/>
          <w:color w:val="auto"/>
          <w:spacing w:val="0"/>
          <w:w w:val="100"/>
          <w:kern w:val="0"/>
          <w:sz w:val="24"/>
          <w:szCs w:val="24"/>
          <w:highlight w:val="none"/>
          <w:lang w:val="en-US" w:eastAsia="zh-CN" w:bidi="ar"/>
        </w:rPr>
      </w:pPr>
      <w:r>
        <w:rPr>
          <w:rFonts w:hint="eastAsia" w:ascii="宋体" w:hAnsi="宋体" w:eastAsia="宋体" w:cs="宋体"/>
          <w:b/>
          <w:bCs w:val="0"/>
          <w:color w:val="auto"/>
          <w:spacing w:val="0"/>
          <w:w w:val="100"/>
          <w:kern w:val="0"/>
          <w:sz w:val="24"/>
          <w:szCs w:val="24"/>
          <w:highlight w:val="none"/>
          <w:lang w:val="en-US" w:eastAsia="zh-CN" w:bidi="ar"/>
        </w:rPr>
        <w:t>四、与质疑事项相关的质疑请求：</w:t>
      </w:r>
    </w:p>
    <w:p w14:paraId="371F509B">
      <w:pPr>
        <w:pStyle w:val="24"/>
        <w:keepNext w:val="0"/>
        <w:keepLines w:val="0"/>
        <w:widowControl w:val="0"/>
        <w:suppressLineNumbers w:val="0"/>
        <w:spacing w:before="0" w:beforeAutospacing="0" w:after="0" w:afterAutospacing="0" w:line="360" w:lineRule="auto"/>
        <w:ind w:left="25" w:leftChars="12" w:right="0" w:firstLine="472" w:firstLineChars="197"/>
        <w:jc w:val="both"/>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lang w:val="en-US" w:eastAsia="zh-CN" w:bidi="ar"/>
        </w:rPr>
        <w:t>请求：</w:t>
      </w:r>
      <w:r>
        <w:rPr>
          <w:rFonts w:hint="eastAsia" w:ascii="宋体" w:hAnsi="宋体" w:eastAsia="宋体" w:cs="宋体"/>
          <w:bCs/>
          <w:color w:val="auto"/>
          <w:spacing w:val="0"/>
          <w:w w:val="100"/>
          <w:kern w:val="0"/>
          <w:sz w:val="24"/>
          <w:szCs w:val="24"/>
          <w:highlight w:val="none"/>
          <w:u w:val="single"/>
          <w:lang w:val="en-US" w:eastAsia="zh-CN" w:bidi="ar"/>
        </w:rPr>
        <w:t xml:space="preserve">                                                                </w:t>
      </w:r>
    </w:p>
    <w:p w14:paraId="127EA5DA">
      <w:pPr>
        <w:pStyle w:val="24"/>
        <w:keepNext w:val="0"/>
        <w:keepLines w:val="0"/>
        <w:widowControl w:val="0"/>
        <w:suppressLineNumbers w:val="0"/>
        <w:spacing w:before="0" w:beforeAutospacing="0" w:after="0" w:afterAutospacing="0" w:line="360" w:lineRule="auto"/>
        <w:ind w:left="25" w:leftChars="12" w:right="0" w:firstLine="352" w:firstLineChars="147"/>
        <w:jc w:val="both"/>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lang w:val="en-US" w:eastAsia="zh-CN" w:bidi="ar"/>
        </w:rPr>
        <w:t xml:space="preserve"> </w:t>
      </w:r>
    </w:p>
    <w:p w14:paraId="74288669">
      <w:pPr>
        <w:pStyle w:val="24"/>
        <w:keepNext w:val="0"/>
        <w:keepLines w:val="0"/>
        <w:widowControl w:val="0"/>
        <w:suppressLineNumbers w:val="0"/>
        <w:spacing w:before="0" w:beforeAutospacing="0" w:after="0" w:afterAutospacing="0" w:line="360" w:lineRule="auto"/>
        <w:ind w:left="25" w:leftChars="12" w:right="0" w:firstLine="472" w:firstLineChars="197"/>
        <w:jc w:val="both"/>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lang w:val="en-US" w:eastAsia="zh-CN" w:bidi="ar"/>
        </w:rPr>
        <w:t>签字（签章）：                                       公章：</w:t>
      </w:r>
    </w:p>
    <w:p w14:paraId="0CC2A4E6">
      <w:pPr>
        <w:pStyle w:val="24"/>
        <w:keepNext w:val="0"/>
        <w:keepLines w:val="0"/>
        <w:widowControl w:val="0"/>
        <w:suppressLineNumbers w:val="0"/>
        <w:spacing w:before="0" w:beforeAutospacing="0" w:after="0" w:afterAutospacing="0" w:line="360" w:lineRule="auto"/>
        <w:ind w:left="25" w:leftChars="12" w:right="0" w:firstLine="352" w:firstLineChars="147"/>
        <w:jc w:val="both"/>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lang w:val="en-US" w:eastAsia="zh-CN" w:bidi="ar"/>
        </w:rPr>
        <w:t xml:space="preserve"> </w:t>
      </w:r>
    </w:p>
    <w:p w14:paraId="17DD1AD1">
      <w:pPr>
        <w:pStyle w:val="24"/>
        <w:keepNext w:val="0"/>
        <w:keepLines w:val="0"/>
        <w:widowControl w:val="0"/>
        <w:suppressLineNumbers w:val="0"/>
        <w:spacing w:before="0" w:beforeAutospacing="0" w:after="0" w:afterAutospacing="0" w:line="360" w:lineRule="auto"/>
        <w:ind w:left="25" w:leftChars="12" w:right="0" w:firstLine="472" w:firstLineChars="197"/>
        <w:jc w:val="both"/>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lang w:val="en-US" w:eastAsia="zh-CN" w:bidi="ar"/>
        </w:rPr>
        <w:t>日期：</w:t>
      </w:r>
    </w:p>
    <w:p w14:paraId="6BB8D9E9">
      <w:pPr>
        <w:pStyle w:val="24"/>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b/>
          <w:bCs w:val="0"/>
          <w:color w:val="auto"/>
          <w:spacing w:val="0"/>
          <w:w w:val="100"/>
          <w:kern w:val="0"/>
          <w:sz w:val="24"/>
          <w:szCs w:val="24"/>
          <w:highlight w:val="none"/>
        </w:rPr>
      </w:pPr>
      <w:r>
        <w:rPr>
          <w:rFonts w:hint="eastAsia" w:ascii="宋体" w:hAnsi="宋体" w:eastAsia="宋体" w:cs="宋体"/>
          <w:b/>
          <w:bCs w:val="0"/>
          <w:color w:val="auto"/>
          <w:spacing w:val="0"/>
          <w:w w:val="100"/>
          <w:kern w:val="0"/>
          <w:sz w:val="24"/>
          <w:szCs w:val="24"/>
          <w:highlight w:val="none"/>
          <w:lang w:val="en-US" w:eastAsia="zh-CN" w:bidi="ar"/>
        </w:rPr>
        <w:t xml:space="preserve"> </w:t>
      </w:r>
    </w:p>
    <w:p w14:paraId="524E48F5">
      <w:pPr>
        <w:pStyle w:val="24"/>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b/>
          <w:bCs w:val="0"/>
          <w:color w:val="auto"/>
          <w:spacing w:val="0"/>
          <w:w w:val="100"/>
          <w:kern w:val="0"/>
          <w:sz w:val="24"/>
          <w:szCs w:val="24"/>
          <w:highlight w:val="none"/>
          <w:lang w:val="en-US" w:eastAsia="zh-CN" w:bidi="ar"/>
        </w:rPr>
      </w:pPr>
    </w:p>
    <w:p w14:paraId="225B2B78">
      <w:pPr>
        <w:pStyle w:val="24"/>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b/>
          <w:bCs w:val="0"/>
          <w:color w:val="auto"/>
          <w:spacing w:val="0"/>
          <w:w w:val="100"/>
          <w:kern w:val="0"/>
          <w:sz w:val="24"/>
          <w:szCs w:val="24"/>
          <w:highlight w:val="none"/>
        </w:rPr>
      </w:pPr>
      <w:r>
        <w:rPr>
          <w:rFonts w:hint="eastAsia" w:ascii="宋体" w:hAnsi="宋体" w:eastAsia="宋体" w:cs="宋体"/>
          <w:b/>
          <w:bCs w:val="0"/>
          <w:color w:val="auto"/>
          <w:spacing w:val="0"/>
          <w:w w:val="100"/>
          <w:kern w:val="0"/>
          <w:sz w:val="24"/>
          <w:szCs w:val="24"/>
          <w:highlight w:val="none"/>
          <w:lang w:val="en-US" w:eastAsia="zh-CN" w:bidi="ar"/>
        </w:rPr>
        <w:t>说明：</w:t>
      </w:r>
    </w:p>
    <w:p w14:paraId="2AC102D5">
      <w:pPr>
        <w:pStyle w:val="24"/>
        <w:keepNext w:val="0"/>
        <w:keepLines w:val="0"/>
        <w:widowControl w:val="0"/>
        <w:suppressLineNumbers w:val="0"/>
        <w:spacing w:before="0" w:beforeAutospacing="0" w:after="0" w:afterAutospacing="0" w:line="360" w:lineRule="auto"/>
        <w:ind w:left="25" w:leftChars="12" w:right="0" w:firstLine="354" w:firstLineChars="147"/>
        <w:jc w:val="both"/>
        <w:rPr>
          <w:rFonts w:hint="eastAsia" w:ascii="宋体" w:hAnsi="宋体" w:eastAsia="宋体" w:cs="宋体"/>
          <w:b/>
          <w:bCs/>
          <w:color w:val="auto"/>
          <w:spacing w:val="0"/>
          <w:w w:val="100"/>
          <w:kern w:val="0"/>
          <w:sz w:val="24"/>
          <w:szCs w:val="24"/>
          <w:highlight w:val="none"/>
        </w:rPr>
      </w:pPr>
      <w:r>
        <w:rPr>
          <w:rFonts w:hint="eastAsia" w:ascii="宋体" w:hAnsi="宋体" w:eastAsia="宋体" w:cs="宋体"/>
          <w:b/>
          <w:bCs w:val="0"/>
          <w:color w:val="auto"/>
          <w:spacing w:val="0"/>
          <w:w w:val="100"/>
          <w:kern w:val="0"/>
          <w:sz w:val="24"/>
          <w:szCs w:val="24"/>
          <w:highlight w:val="none"/>
          <w:lang w:val="en-US" w:eastAsia="zh-CN" w:bidi="ar"/>
        </w:rPr>
        <w:t>1.供应商提出质疑时，应提交质疑函和必要的证明材料</w:t>
      </w:r>
      <w:r>
        <w:rPr>
          <w:rFonts w:hint="eastAsia" w:ascii="宋体" w:hAnsi="宋体" w:eastAsia="宋体" w:cs="宋体"/>
          <w:b/>
          <w:bCs/>
          <w:color w:val="auto"/>
          <w:spacing w:val="0"/>
          <w:w w:val="100"/>
          <w:kern w:val="0"/>
          <w:sz w:val="24"/>
          <w:szCs w:val="24"/>
          <w:highlight w:val="none"/>
          <w:lang w:val="en-US" w:eastAsia="zh-CN" w:bidi="ar"/>
        </w:rPr>
        <w:t>。</w:t>
      </w:r>
    </w:p>
    <w:p w14:paraId="704ACA45">
      <w:pPr>
        <w:pStyle w:val="24"/>
        <w:keepNext w:val="0"/>
        <w:keepLines w:val="0"/>
        <w:widowControl w:val="0"/>
        <w:suppressLineNumbers w:val="0"/>
        <w:spacing w:before="0" w:beforeAutospacing="0" w:after="0" w:afterAutospacing="0" w:line="360" w:lineRule="auto"/>
        <w:ind w:left="25" w:leftChars="12" w:right="0" w:firstLine="354" w:firstLineChars="147"/>
        <w:jc w:val="both"/>
        <w:rPr>
          <w:rFonts w:hint="eastAsia" w:ascii="宋体" w:hAnsi="宋体" w:eastAsia="宋体" w:cs="宋体"/>
          <w:b/>
          <w:bCs w:val="0"/>
          <w:color w:val="auto"/>
          <w:spacing w:val="0"/>
          <w:w w:val="100"/>
          <w:kern w:val="0"/>
          <w:sz w:val="24"/>
          <w:szCs w:val="24"/>
          <w:highlight w:val="none"/>
        </w:rPr>
      </w:pPr>
      <w:r>
        <w:rPr>
          <w:rFonts w:hint="eastAsia" w:ascii="宋体" w:hAnsi="宋体" w:eastAsia="宋体" w:cs="宋体"/>
          <w:b/>
          <w:bCs w:val="0"/>
          <w:color w:val="auto"/>
          <w:spacing w:val="0"/>
          <w:w w:val="100"/>
          <w:kern w:val="0"/>
          <w:sz w:val="24"/>
          <w:szCs w:val="24"/>
          <w:highlight w:val="none"/>
          <w:lang w:val="en-US" w:eastAsia="zh-CN" w:bidi="ar"/>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F90AB91">
      <w:pPr>
        <w:pStyle w:val="24"/>
        <w:keepNext w:val="0"/>
        <w:keepLines w:val="0"/>
        <w:widowControl w:val="0"/>
        <w:suppressLineNumbers w:val="0"/>
        <w:spacing w:before="0" w:beforeAutospacing="0" w:after="0" w:afterAutospacing="0" w:line="360" w:lineRule="auto"/>
        <w:ind w:left="25" w:leftChars="12" w:right="0" w:firstLine="354" w:firstLineChars="147"/>
        <w:jc w:val="both"/>
        <w:rPr>
          <w:rFonts w:hint="eastAsia" w:ascii="宋体" w:hAnsi="宋体" w:eastAsia="宋体" w:cs="宋体"/>
          <w:b/>
          <w:bCs w:val="0"/>
          <w:color w:val="auto"/>
          <w:spacing w:val="0"/>
          <w:w w:val="100"/>
          <w:kern w:val="0"/>
          <w:sz w:val="24"/>
          <w:szCs w:val="24"/>
          <w:highlight w:val="none"/>
        </w:rPr>
      </w:pPr>
      <w:r>
        <w:rPr>
          <w:rFonts w:hint="eastAsia" w:ascii="宋体" w:hAnsi="宋体" w:eastAsia="宋体" w:cs="宋体"/>
          <w:b/>
          <w:bCs w:val="0"/>
          <w:color w:val="auto"/>
          <w:spacing w:val="0"/>
          <w:w w:val="100"/>
          <w:kern w:val="0"/>
          <w:sz w:val="24"/>
          <w:szCs w:val="24"/>
          <w:highlight w:val="none"/>
          <w:lang w:val="en-US" w:eastAsia="zh-CN" w:bidi="ar"/>
        </w:rPr>
        <w:t>3.质疑函的质疑事项应具体、明确，并有必要的事实依据和法律依据。</w:t>
      </w:r>
    </w:p>
    <w:p w14:paraId="155397DE">
      <w:pPr>
        <w:pStyle w:val="24"/>
        <w:keepNext w:val="0"/>
        <w:keepLines w:val="0"/>
        <w:widowControl w:val="0"/>
        <w:suppressLineNumbers w:val="0"/>
        <w:spacing w:before="0" w:beforeAutospacing="0" w:after="0" w:afterAutospacing="0" w:line="360" w:lineRule="auto"/>
        <w:ind w:left="25" w:leftChars="12" w:right="0" w:firstLine="354" w:firstLineChars="147"/>
        <w:jc w:val="both"/>
        <w:rPr>
          <w:rFonts w:hint="eastAsia" w:ascii="宋体" w:hAnsi="宋体" w:eastAsia="宋体" w:cs="宋体"/>
          <w:b/>
          <w:bCs w:val="0"/>
          <w:color w:val="auto"/>
          <w:spacing w:val="0"/>
          <w:w w:val="100"/>
          <w:kern w:val="0"/>
          <w:sz w:val="24"/>
          <w:szCs w:val="24"/>
          <w:highlight w:val="none"/>
        </w:rPr>
      </w:pPr>
      <w:r>
        <w:rPr>
          <w:rFonts w:hint="eastAsia" w:ascii="宋体" w:hAnsi="宋体" w:eastAsia="宋体" w:cs="宋体"/>
          <w:b/>
          <w:bCs w:val="0"/>
          <w:color w:val="auto"/>
          <w:spacing w:val="0"/>
          <w:w w:val="100"/>
          <w:kern w:val="0"/>
          <w:sz w:val="24"/>
          <w:szCs w:val="24"/>
          <w:highlight w:val="none"/>
          <w:lang w:val="en-US" w:eastAsia="zh-CN" w:bidi="ar"/>
        </w:rPr>
        <w:t>4.质疑函的质疑请求应与质疑事项相关。</w:t>
      </w:r>
    </w:p>
    <w:p w14:paraId="24EAE2F0">
      <w:pPr>
        <w:pStyle w:val="24"/>
        <w:keepNext w:val="0"/>
        <w:keepLines w:val="0"/>
        <w:widowControl w:val="0"/>
        <w:suppressLineNumbers w:val="0"/>
        <w:spacing w:before="0" w:beforeAutospacing="0" w:after="0" w:afterAutospacing="0" w:line="360" w:lineRule="auto"/>
        <w:ind w:left="25" w:leftChars="12" w:right="0" w:firstLine="354" w:firstLineChars="147"/>
        <w:jc w:val="both"/>
        <w:rPr>
          <w:rFonts w:hint="eastAsia" w:ascii="宋体" w:hAnsi="宋体" w:eastAsia="宋体" w:cs="宋体"/>
          <w:b/>
          <w:bCs w:val="0"/>
          <w:color w:val="auto"/>
          <w:spacing w:val="0"/>
          <w:w w:val="100"/>
          <w:kern w:val="0"/>
          <w:sz w:val="20"/>
          <w:szCs w:val="20"/>
          <w:highlight w:val="none"/>
        </w:rPr>
      </w:pPr>
      <w:r>
        <w:rPr>
          <w:rFonts w:hint="eastAsia" w:ascii="宋体" w:hAnsi="宋体" w:eastAsia="宋体" w:cs="宋体"/>
          <w:b/>
          <w:bCs w:val="0"/>
          <w:color w:val="auto"/>
          <w:spacing w:val="0"/>
          <w:w w:val="100"/>
          <w:kern w:val="0"/>
          <w:sz w:val="24"/>
          <w:szCs w:val="24"/>
          <w:highlight w:val="none"/>
          <w:lang w:val="en-US" w:eastAsia="zh-CN" w:bidi="ar"/>
        </w:rPr>
        <w:t>5.质疑供应商为法人或者其他组织的，质疑函应由法定代表人、主要负责人，或者其授权代表签字或者盖章，并加盖公章。</w:t>
      </w:r>
    </w:p>
    <w:p w14:paraId="37694387">
      <w:pPr>
        <w:pStyle w:val="2"/>
        <w:numPr>
          <w:ilvl w:val="0"/>
          <w:numId w:val="0"/>
        </w:numPr>
        <w:spacing w:line="600" w:lineRule="auto"/>
        <w:ind w:firstLine="843" w:firstLineChars="300"/>
        <w:jc w:val="both"/>
        <w:outlineLvl w:val="9"/>
        <w:rPr>
          <w:rFonts w:hint="eastAsia" w:ascii="宋体" w:hAnsi="宋体" w:eastAsia="宋体" w:cs="宋体"/>
          <w:color w:val="auto"/>
          <w:spacing w:val="0"/>
          <w:w w:val="100"/>
          <w:highlight w:val="none"/>
          <w:lang w:eastAsia="zh-CN"/>
        </w:rPr>
      </w:pPr>
    </w:p>
    <w:p w14:paraId="604D8519">
      <w:pPr>
        <w:rPr>
          <w:rFonts w:hint="eastAsia" w:ascii="宋体" w:hAnsi="宋体" w:eastAsia="宋体" w:cs="宋体"/>
          <w:color w:val="auto"/>
          <w:spacing w:val="0"/>
          <w:w w:val="100"/>
          <w:highlight w:val="none"/>
          <w:lang w:eastAsia="zh-CN"/>
        </w:rPr>
      </w:pPr>
    </w:p>
    <w:p w14:paraId="6400B01D">
      <w:pPr>
        <w:pStyle w:val="10"/>
        <w:rPr>
          <w:rFonts w:hint="eastAsia" w:ascii="宋体" w:hAnsi="宋体" w:eastAsia="宋体" w:cs="宋体"/>
          <w:color w:val="auto"/>
          <w:spacing w:val="0"/>
          <w:w w:val="100"/>
          <w:highlight w:val="none"/>
          <w:lang w:eastAsia="zh-CN"/>
        </w:rPr>
      </w:pPr>
    </w:p>
    <w:p w14:paraId="07BD40B1">
      <w:pPr>
        <w:pStyle w:val="10"/>
        <w:rPr>
          <w:rFonts w:hint="eastAsia" w:ascii="宋体" w:hAnsi="宋体" w:eastAsia="宋体" w:cs="宋体"/>
          <w:color w:val="auto"/>
          <w:spacing w:val="0"/>
          <w:w w:val="100"/>
          <w:highlight w:val="none"/>
          <w:lang w:eastAsia="zh-CN"/>
        </w:rPr>
      </w:pPr>
    </w:p>
    <w:p w14:paraId="50A8226F">
      <w:pPr>
        <w:pStyle w:val="10"/>
        <w:rPr>
          <w:rFonts w:hint="eastAsia" w:ascii="宋体" w:hAnsi="宋体" w:eastAsia="宋体" w:cs="宋体"/>
          <w:color w:val="auto"/>
          <w:spacing w:val="0"/>
          <w:w w:val="100"/>
          <w:highlight w:val="none"/>
          <w:lang w:eastAsia="zh-CN"/>
        </w:rPr>
      </w:pPr>
    </w:p>
    <w:p w14:paraId="14FAFB02">
      <w:pPr>
        <w:pStyle w:val="10"/>
        <w:rPr>
          <w:rFonts w:hint="eastAsia" w:ascii="宋体" w:hAnsi="宋体" w:eastAsia="宋体" w:cs="宋体"/>
          <w:color w:val="auto"/>
          <w:spacing w:val="0"/>
          <w:w w:val="100"/>
          <w:highlight w:val="none"/>
          <w:lang w:eastAsia="zh-CN"/>
        </w:rPr>
      </w:pPr>
    </w:p>
    <w:p w14:paraId="78801225">
      <w:pPr>
        <w:pStyle w:val="10"/>
        <w:rPr>
          <w:rFonts w:hint="eastAsia" w:ascii="宋体" w:hAnsi="宋体" w:eastAsia="宋体" w:cs="宋体"/>
          <w:color w:val="auto"/>
          <w:spacing w:val="0"/>
          <w:w w:val="100"/>
          <w:highlight w:val="none"/>
          <w:lang w:eastAsia="zh-CN"/>
        </w:rPr>
      </w:pPr>
    </w:p>
    <w:p w14:paraId="103122EF">
      <w:pPr>
        <w:pStyle w:val="10"/>
        <w:rPr>
          <w:rFonts w:hint="eastAsia" w:ascii="宋体" w:hAnsi="宋体" w:eastAsia="宋体" w:cs="宋体"/>
          <w:color w:val="auto"/>
          <w:spacing w:val="0"/>
          <w:w w:val="100"/>
          <w:highlight w:val="none"/>
          <w:lang w:eastAsia="zh-CN"/>
        </w:rPr>
      </w:pPr>
    </w:p>
    <w:p w14:paraId="099B31AB">
      <w:pPr>
        <w:pStyle w:val="10"/>
        <w:rPr>
          <w:rFonts w:hint="eastAsia" w:ascii="宋体" w:hAnsi="宋体" w:eastAsia="宋体" w:cs="宋体"/>
          <w:color w:val="auto"/>
          <w:spacing w:val="0"/>
          <w:w w:val="100"/>
          <w:highlight w:val="none"/>
          <w:lang w:eastAsia="zh-CN"/>
        </w:rPr>
      </w:pPr>
    </w:p>
    <w:p w14:paraId="20E93146">
      <w:pPr>
        <w:pStyle w:val="10"/>
        <w:rPr>
          <w:rFonts w:hint="eastAsia" w:ascii="宋体" w:hAnsi="宋体" w:eastAsia="宋体" w:cs="宋体"/>
          <w:color w:val="auto"/>
          <w:spacing w:val="0"/>
          <w:w w:val="100"/>
          <w:highlight w:val="none"/>
          <w:lang w:eastAsia="zh-CN"/>
        </w:rPr>
      </w:pPr>
    </w:p>
    <w:p w14:paraId="3CD67082">
      <w:pPr>
        <w:pStyle w:val="10"/>
        <w:rPr>
          <w:rFonts w:hint="eastAsia" w:ascii="宋体" w:hAnsi="宋体" w:eastAsia="宋体" w:cs="宋体"/>
          <w:color w:val="auto"/>
          <w:spacing w:val="0"/>
          <w:w w:val="100"/>
          <w:highlight w:val="none"/>
          <w:lang w:eastAsia="zh-CN"/>
        </w:rPr>
      </w:pPr>
    </w:p>
    <w:p w14:paraId="4E7610CE">
      <w:pPr>
        <w:pStyle w:val="10"/>
        <w:rPr>
          <w:rFonts w:hint="eastAsia" w:ascii="宋体" w:hAnsi="宋体" w:eastAsia="宋体" w:cs="宋体"/>
          <w:color w:val="auto"/>
          <w:spacing w:val="0"/>
          <w:w w:val="100"/>
          <w:highlight w:val="none"/>
          <w:lang w:eastAsia="zh-CN"/>
        </w:rPr>
      </w:pPr>
    </w:p>
    <w:p w14:paraId="65581CFF">
      <w:pPr>
        <w:spacing w:beforeLines="0" w:afterLines="0" w:line="360" w:lineRule="auto"/>
        <w:jc w:val="center"/>
        <w:rPr>
          <w:rFonts w:hint="eastAsia" w:ascii="宋体" w:hAnsi="宋体" w:eastAsia="宋体" w:cs="宋体"/>
          <w:b/>
          <w:color w:val="auto"/>
          <w:spacing w:val="0"/>
          <w:w w:val="100"/>
          <w:sz w:val="32"/>
          <w:szCs w:val="24"/>
          <w:highlight w:val="none"/>
        </w:rPr>
      </w:pPr>
      <w:r>
        <w:rPr>
          <w:rFonts w:hint="eastAsia" w:ascii="宋体" w:hAnsi="宋体" w:eastAsia="宋体" w:cs="宋体"/>
          <w:b/>
          <w:color w:val="auto"/>
          <w:spacing w:val="0"/>
          <w:w w:val="100"/>
          <w:sz w:val="32"/>
          <w:szCs w:val="24"/>
          <w:highlight w:val="none"/>
        </w:rPr>
        <w:br w:type="page"/>
      </w:r>
      <w:r>
        <w:rPr>
          <w:rFonts w:hint="eastAsia" w:ascii="宋体" w:hAnsi="宋体" w:eastAsia="宋体" w:cs="宋体"/>
          <w:b/>
          <w:color w:val="auto"/>
          <w:spacing w:val="0"/>
          <w:w w:val="100"/>
          <w:sz w:val="32"/>
          <w:szCs w:val="24"/>
          <w:highlight w:val="none"/>
        </w:rPr>
        <w:t>投诉书（格式）</w:t>
      </w:r>
    </w:p>
    <w:p w14:paraId="6943ACD9">
      <w:pPr>
        <w:snapToGrid w:val="0"/>
        <w:spacing w:beforeLines="0" w:afterLines="0" w:line="360" w:lineRule="auto"/>
        <w:ind w:firstLine="482" w:firstLineChars="200"/>
        <w:outlineLvl w:val="2"/>
        <w:rPr>
          <w:rFonts w:hint="eastAsia" w:ascii="宋体" w:hAnsi="宋体" w:eastAsia="宋体" w:cs="宋体"/>
          <w:b/>
          <w:color w:val="auto"/>
          <w:spacing w:val="0"/>
          <w:w w:val="100"/>
          <w:kern w:val="0"/>
          <w:sz w:val="24"/>
          <w:szCs w:val="24"/>
          <w:highlight w:val="none"/>
        </w:rPr>
      </w:pPr>
      <w:r>
        <w:rPr>
          <w:rFonts w:hint="eastAsia" w:ascii="宋体" w:hAnsi="宋体" w:eastAsia="宋体" w:cs="宋体"/>
          <w:b/>
          <w:color w:val="auto"/>
          <w:spacing w:val="0"/>
          <w:w w:val="100"/>
          <w:kern w:val="0"/>
          <w:sz w:val="24"/>
          <w:szCs w:val="24"/>
          <w:highlight w:val="none"/>
        </w:rPr>
        <w:t>一、投诉相关主体基本情况：</w:t>
      </w:r>
    </w:p>
    <w:p w14:paraId="6C45D301">
      <w:pPr>
        <w:snapToGrid w:val="0"/>
        <w:spacing w:beforeLines="0" w:afterLines="0" w:line="360" w:lineRule="auto"/>
        <w:ind w:firstLine="480" w:firstLineChars="200"/>
        <w:rPr>
          <w:rFonts w:hint="eastAsia" w:ascii="宋体" w:hAnsi="宋体" w:eastAsia="宋体" w:cs="宋体"/>
          <w:color w:val="auto"/>
          <w:spacing w:val="0"/>
          <w:w w:val="100"/>
          <w:kern w:val="0"/>
          <w:sz w:val="24"/>
          <w:szCs w:val="24"/>
          <w:highlight w:val="none"/>
          <w:u w:val="single"/>
        </w:rPr>
      </w:pPr>
      <w:r>
        <w:rPr>
          <w:rFonts w:hint="eastAsia" w:ascii="宋体" w:hAnsi="宋体" w:eastAsia="宋体" w:cs="宋体"/>
          <w:color w:val="auto"/>
          <w:spacing w:val="0"/>
          <w:w w:val="100"/>
          <w:kern w:val="0"/>
          <w:sz w:val="24"/>
          <w:szCs w:val="24"/>
          <w:highlight w:val="none"/>
        </w:rPr>
        <w:t>供应商：</w:t>
      </w:r>
      <w:r>
        <w:rPr>
          <w:rFonts w:hint="eastAsia" w:ascii="宋体" w:hAnsi="宋体" w:eastAsia="宋体" w:cs="宋体"/>
          <w:color w:val="auto"/>
          <w:spacing w:val="0"/>
          <w:w w:val="100"/>
          <w:kern w:val="0"/>
          <w:sz w:val="24"/>
          <w:szCs w:val="24"/>
          <w:highlight w:val="none"/>
          <w:u w:val="single"/>
        </w:rPr>
        <w:t xml:space="preserve">                                                                 </w:t>
      </w:r>
      <w:r>
        <w:rPr>
          <w:rFonts w:hint="eastAsia" w:ascii="宋体" w:hAnsi="宋体" w:eastAsia="宋体" w:cs="宋体"/>
          <w:color w:val="auto"/>
          <w:spacing w:val="0"/>
          <w:w w:val="100"/>
          <w:kern w:val="0"/>
          <w:sz w:val="24"/>
          <w:szCs w:val="24"/>
          <w:highlight w:val="none"/>
        </w:rPr>
        <w:t xml:space="preserve">                 </w:t>
      </w:r>
    </w:p>
    <w:p w14:paraId="6F74B60F">
      <w:pPr>
        <w:snapToGrid w:val="0"/>
        <w:spacing w:beforeLines="0" w:afterLines="0" w:line="360" w:lineRule="auto"/>
        <w:ind w:firstLine="480" w:firstLineChars="200"/>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rPr>
        <w:t>地址：</w:t>
      </w:r>
      <w:r>
        <w:rPr>
          <w:rFonts w:hint="eastAsia" w:ascii="宋体" w:hAnsi="宋体" w:eastAsia="宋体" w:cs="宋体"/>
          <w:color w:val="auto"/>
          <w:spacing w:val="0"/>
          <w:w w:val="100"/>
          <w:kern w:val="0"/>
          <w:sz w:val="24"/>
          <w:szCs w:val="24"/>
          <w:highlight w:val="none"/>
          <w:u w:val="single"/>
        </w:rPr>
        <w:t xml:space="preserve">                                          </w:t>
      </w:r>
      <w:r>
        <w:rPr>
          <w:rFonts w:hint="eastAsia" w:ascii="宋体" w:hAnsi="宋体" w:eastAsia="宋体" w:cs="宋体"/>
          <w:color w:val="auto"/>
          <w:spacing w:val="0"/>
          <w:w w:val="100"/>
          <w:kern w:val="0"/>
          <w:sz w:val="24"/>
          <w:szCs w:val="24"/>
          <w:highlight w:val="none"/>
        </w:rPr>
        <w:t>邮编：</w:t>
      </w:r>
      <w:r>
        <w:rPr>
          <w:rFonts w:hint="eastAsia" w:ascii="宋体" w:hAnsi="宋体" w:eastAsia="宋体" w:cs="宋体"/>
          <w:color w:val="auto"/>
          <w:spacing w:val="0"/>
          <w:w w:val="100"/>
          <w:kern w:val="0"/>
          <w:sz w:val="24"/>
          <w:szCs w:val="24"/>
          <w:highlight w:val="none"/>
          <w:u w:val="single"/>
        </w:rPr>
        <w:t xml:space="preserve">                          </w:t>
      </w:r>
      <w:r>
        <w:rPr>
          <w:rFonts w:hint="eastAsia" w:ascii="宋体" w:hAnsi="宋体" w:eastAsia="宋体" w:cs="宋体"/>
          <w:color w:val="auto"/>
          <w:spacing w:val="0"/>
          <w:w w:val="100"/>
          <w:kern w:val="0"/>
          <w:sz w:val="24"/>
          <w:szCs w:val="24"/>
          <w:highlight w:val="none"/>
        </w:rPr>
        <w:t xml:space="preserve">                 </w:t>
      </w:r>
    </w:p>
    <w:p w14:paraId="6E1CEE02">
      <w:pPr>
        <w:snapToGrid w:val="0"/>
        <w:spacing w:beforeLines="0" w:afterLines="0" w:line="360" w:lineRule="auto"/>
        <w:ind w:firstLine="480" w:firstLineChars="200"/>
        <w:rPr>
          <w:rFonts w:hint="eastAsia" w:ascii="宋体" w:hAnsi="宋体" w:eastAsia="宋体" w:cs="宋体"/>
          <w:color w:val="auto"/>
          <w:spacing w:val="0"/>
          <w:w w:val="100"/>
          <w:kern w:val="0"/>
          <w:sz w:val="24"/>
          <w:szCs w:val="24"/>
          <w:highlight w:val="none"/>
          <w:u w:val="single"/>
        </w:rPr>
      </w:pPr>
      <w:r>
        <w:rPr>
          <w:rFonts w:hint="eastAsia" w:ascii="宋体" w:hAnsi="宋体" w:eastAsia="宋体" w:cs="宋体"/>
          <w:color w:val="auto"/>
          <w:spacing w:val="0"/>
          <w:w w:val="100"/>
          <w:kern w:val="0"/>
          <w:sz w:val="24"/>
          <w:szCs w:val="24"/>
          <w:highlight w:val="none"/>
        </w:rPr>
        <w:t>法定代表人/主要负责人：</w:t>
      </w:r>
      <w:r>
        <w:rPr>
          <w:rFonts w:hint="eastAsia" w:ascii="宋体" w:hAnsi="宋体" w:eastAsia="宋体" w:cs="宋体"/>
          <w:color w:val="auto"/>
          <w:spacing w:val="0"/>
          <w:w w:val="100"/>
          <w:kern w:val="0"/>
          <w:sz w:val="24"/>
          <w:szCs w:val="24"/>
          <w:highlight w:val="none"/>
          <w:u w:val="single"/>
        </w:rPr>
        <w:t xml:space="preserve">                                                         </w:t>
      </w:r>
    </w:p>
    <w:p w14:paraId="46ABF00D">
      <w:pPr>
        <w:snapToGrid w:val="0"/>
        <w:spacing w:beforeLines="0" w:afterLines="0" w:line="360" w:lineRule="auto"/>
        <w:ind w:firstLine="480" w:firstLineChars="200"/>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rPr>
        <w:t>联系电话：</w:t>
      </w:r>
      <w:r>
        <w:rPr>
          <w:rFonts w:hint="eastAsia" w:ascii="宋体" w:hAnsi="宋体" w:eastAsia="宋体" w:cs="宋体"/>
          <w:color w:val="auto"/>
          <w:spacing w:val="0"/>
          <w:w w:val="100"/>
          <w:kern w:val="0"/>
          <w:sz w:val="24"/>
          <w:szCs w:val="24"/>
          <w:highlight w:val="none"/>
          <w:u w:val="single"/>
        </w:rPr>
        <w:t xml:space="preserve">                                         </w:t>
      </w:r>
    </w:p>
    <w:p w14:paraId="2AD657ED">
      <w:pPr>
        <w:snapToGrid w:val="0"/>
        <w:spacing w:beforeLines="0" w:afterLines="0" w:line="360" w:lineRule="auto"/>
        <w:ind w:firstLine="480" w:firstLineChars="200"/>
        <w:rPr>
          <w:rFonts w:hint="eastAsia" w:ascii="宋体" w:hAnsi="宋体" w:eastAsia="宋体" w:cs="宋体"/>
          <w:color w:val="auto"/>
          <w:spacing w:val="0"/>
          <w:w w:val="100"/>
          <w:kern w:val="0"/>
          <w:sz w:val="24"/>
          <w:szCs w:val="24"/>
          <w:highlight w:val="none"/>
          <w:u w:val="single"/>
        </w:rPr>
      </w:pPr>
      <w:r>
        <w:rPr>
          <w:rFonts w:hint="eastAsia" w:ascii="宋体" w:hAnsi="宋体" w:eastAsia="宋体" w:cs="宋体"/>
          <w:color w:val="auto"/>
          <w:spacing w:val="0"/>
          <w:w w:val="100"/>
          <w:kern w:val="0"/>
          <w:sz w:val="24"/>
          <w:szCs w:val="24"/>
          <w:highlight w:val="none"/>
        </w:rPr>
        <w:t>授权代表：</w:t>
      </w:r>
      <w:r>
        <w:rPr>
          <w:rFonts w:hint="eastAsia" w:ascii="宋体" w:hAnsi="宋体" w:eastAsia="宋体" w:cs="宋体"/>
          <w:color w:val="auto"/>
          <w:spacing w:val="0"/>
          <w:w w:val="100"/>
          <w:kern w:val="0"/>
          <w:sz w:val="24"/>
          <w:szCs w:val="24"/>
          <w:highlight w:val="none"/>
          <w:u w:val="single"/>
        </w:rPr>
        <w:t xml:space="preserve">                                         </w:t>
      </w:r>
      <w:r>
        <w:rPr>
          <w:rFonts w:hint="eastAsia" w:ascii="宋体" w:hAnsi="宋体" w:eastAsia="宋体" w:cs="宋体"/>
          <w:color w:val="auto"/>
          <w:spacing w:val="0"/>
          <w:w w:val="100"/>
          <w:kern w:val="0"/>
          <w:sz w:val="24"/>
          <w:szCs w:val="24"/>
          <w:highlight w:val="none"/>
        </w:rPr>
        <w:t>联系电话：</w:t>
      </w:r>
      <w:r>
        <w:rPr>
          <w:rFonts w:hint="eastAsia" w:ascii="宋体" w:hAnsi="宋体" w:eastAsia="宋体" w:cs="宋体"/>
          <w:color w:val="auto"/>
          <w:spacing w:val="0"/>
          <w:w w:val="100"/>
          <w:kern w:val="0"/>
          <w:sz w:val="24"/>
          <w:szCs w:val="24"/>
          <w:highlight w:val="none"/>
          <w:u w:val="single"/>
        </w:rPr>
        <w:t xml:space="preserve">                   </w:t>
      </w:r>
    </w:p>
    <w:p w14:paraId="025E043C">
      <w:pPr>
        <w:snapToGrid w:val="0"/>
        <w:spacing w:beforeLines="0" w:afterLines="0" w:line="360" w:lineRule="auto"/>
        <w:ind w:firstLine="480" w:firstLineChars="200"/>
        <w:rPr>
          <w:rFonts w:hint="eastAsia" w:ascii="宋体" w:hAnsi="宋体" w:eastAsia="宋体" w:cs="宋体"/>
          <w:color w:val="auto"/>
          <w:spacing w:val="0"/>
          <w:w w:val="100"/>
          <w:kern w:val="0"/>
          <w:sz w:val="24"/>
          <w:szCs w:val="24"/>
          <w:highlight w:val="none"/>
          <w:u w:val="single"/>
        </w:rPr>
      </w:pPr>
      <w:r>
        <w:rPr>
          <w:rFonts w:hint="eastAsia" w:ascii="宋体" w:hAnsi="宋体" w:eastAsia="宋体" w:cs="宋体"/>
          <w:color w:val="auto"/>
          <w:spacing w:val="0"/>
          <w:w w:val="100"/>
          <w:kern w:val="0"/>
          <w:sz w:val="24"/>
          <w:szCs w:val="24"/>
          <w:highlight w:val="none"/>
        </w:rPr>
        <w:t>地址：</w:t>
      </w:r>
      <w:r>
        <w:rPr>
          <w:rFonts w:hint="eastAsia" w:ascii="宋体" w:hAnsi="宋体" w:eastAsia="宋体" w:cs="宋体"/>
          <w:color w:val="auto"/>
          <w:spacing w:val="0"/>
          <w:w w:val="100"/>
          <w:kern w:val="0"/>
          <w:sz w:val="24"/>
          <w:szCs w:val="24"/>
          <w:highlight w:val="none"/>
          <w:u w:val="single"/>
        </w:rPr>
        <w:t xml:space="preserve">                                                            </w:t>
      </w:r>
    </w:p>
    <w:p w14:paraId="6AE30475">
      <w:pPr>
        <w:snapToGrid w:val="0"/>
        <w:spacing w:beforeLines="0" w:afterLines="0" w:line="360" w:lineRule="auto"/>
        <w:ind w:firstLine="480" w:firstLineChars="200"/>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rPr>
        <w:t>邮编：</w:t>
      </w:r>
      <w:r>
        <w:rPr>
          <w:rFonts w:hint="eastAsia" w:ascii="宋体" w:hAnsi="宋体" w:eastAsia="宋体" w:cs="宋体"/>
          <w:color w:val="auto"/>
          <w:spacing w:val="0"/>
          <w:w w:val="100"/>
          <w:kern w:val="0"/>
          <w:sz w:val="24"/>
          <w:szCs w:val="24"/>
          <w:highlight w:val="none"/>
          <w:u w:val="single"/>
        </w:rPr>
        <w:t xml:space="preserve">         </w:t>
      </w:r>
      <w:r>
        <w:rPr>
          <w:rFonts w:hint="eastAsia" w:ascii="宋体" w:hAnsi="宋体" w:eastAsia="宋体" w:cs="宋体"/>
          <w:color w:val="auto"/>
          <w:spacing w:val="0"/>
          <w:w w:val="100"/>
          <w:kern w:val="0"/>
          <w:sz w:val="24"/>
          <w:szCs w:val="24"/>
          <w:highlight w:val="none"/>
        </w:rPr>
        <w:t xml:space="preserve">   </w:t>
      </w:r>
    </w:p>
    <w:p w14:paraId="6D4EC50A">
      <w:pPr>
        <w:snapToGrid w:val="0"/>
        <w:spacing w:beforeLines="0" w:afterLines="0" w:line="360" w:lineRule="auto"/>
        <w:ind w:firstLine="480" w:firstLineChars="200"/>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rPr>
        <w:t>被投诉人1：</w:t>
      </w:r>
    </w:p>
    <w:p w14:paraId="31D646CD">
      <w:pPr>
        <w:snapToGrid w:val="0"/>
        <w:spacing w:beforeLines="0" w:afterLines="0" w:line="360" w:lineRule="auto"/>
        <w:ind w:firstLine="480" w:firstLineChars="200"/>
        <w:rPr>
          <w:rFonts w:hint="eastAsia" w:ascii="宋体" w:hAnsi="宋体" w:eastAsia="宋体" w:cs="宋体"/>
          <w:color w:val="auto"/>
          <w:spacing w:val="0"/>
          <w:w w:val="100"/>
          <w:kern w:val="0"/>
          <w:sz w:val="24"/>
          <w:szCs w:val="24"/>
          <w:highlight w:val="none"/>
          <w:u w:val="single"/>
        </w:rPr>
      </w:pPr>
      <w:r>
        <w:rPr>
          <w:rFonts w:hint="eastAsia" w:ascii="宋体" w:hAnsi="宋体" w:eastAsia="宋体" w:cs="宋体"/>
          <w:color w:val="auto"/>
          <w:spacing w:val="0"/>
          <w:w w:val="100"/>
          <w:kern w:val="0"/>
          <w:sz w:val="24"/>
          <w:szCs w:val="24"/>
          <w:highlight w:val="none"/>
        </w:rPr>
        <w:t>地址：</w:t>
      </w:r>
      <w:r>
        <w:rPr>
          <w:rFonts w:hint="eastAsia" w:ascii="宋体" w:hAnsi="宋体" w:eastAsia="宋体" w:cs="宋体"/>
          <w:color w:val="auto"/>
          <w:spacing w:val="0"/>
          <w:w w:val="100"/>
          <w:kern w:val="0"/>
          <w:sz w:val="24"/>
          <w:szCs w:val="24"/>
          <w:highlight w:val="none"/>
          <w:u w:val="single"/>
        </w:rPr>
        <w:t xml:space="preserve">                                                            </w:t>
      </w:r>
    </w:p>
    <w:p w14:paraId="67B39739">
      <w:pPr>
        <w:snapToGrid w:val="0"/>
        <w:spacing w:beforeLines="0" w:afterLines="0" w:line="360" w:lineRule="auto"/>
        <w:ind w:firstLine="480" w:firstLineChars="200"/>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rPr>
        <w:t>邮编：</w:t>
      </w:r>
      <w:r>
        <w:rPr>
          <w:rFonts w:hint="eastAsia" w:ascii="宋体" w:hAnsi="宋体" w:eastAsia="宋体" w:cs="宋体"/>
          <w:color w:val="auto"/>
          <w:spacing w:val="0"/>
          <w:w w:val="100"/>
          <w:kern w:val="0"/>
          <w:sz w:val="24"/>
          <w:szCs w:val="24"/>
          <w:highlight w:val="none"/>
          <w:u w:val="single"/>
        </w:rPr>
        <w:t xml:space="preserve">         </w:t>
      </w:r>
      <w:r>
        <w:rPr>
          <w:rFonts w:hint="eastAsia" w:ascii="宋体" w:hAnsi="宋体" w:eastAsia="宋体" w:cs="宋体"/>
          <w:color w:val="auto"/>
          <w:spacing w:val="0"/>
          <w:w w:val="100"/>
          <w:kern w:val="0"/>
          <w:sz w:val="24"/>
          <w:szCs w:val="24"/>
          <w:highlight w:val="none"/>
        </w:rPr>
        <w:t xml:space="preserve">  </w:t>
      </w:r>
    </w:p>
    <w:p w14:paraId="0A9ED289">
      <w:pPr>
        <w:snapToGrid w:val="0"/>
        <w:spacing w:beforeLines="0" w:afterLines="0" w:line="360" w:lineRule="auto"/>
        <w:ind w:firstLine="480" w:firstLineChars="200"/>
        <w:rPr>
          <w:rFonts w:hint="eastAsia" w:ascii="宋体" w:hAnsi="宋体" w:eastAsia="宋体" w:cs="宋体"/>
          <w:color w:val="auto"/>
          <w:spacing w:val="0"/>
          <w:w w:val="100"/>
          <w:kern w:val="0"/>
          <w:sz w:val="24"/>
          <w:szCs w:val="24"/>
          <w:highlight w:val="none"/>
          <w:u w:val="single"/>
        </w:rPr>
      </w:pPr>
      <w:r>
        <w:rPr>
          <w:rFonts w:hint="eastAsia" w:ascii="宋体" w:hAnsi="宋体" w:eastAsia="宋体" w:cs="宋体"/>
          <w:color w:val="auto"/>
          <w:spacing w:val="0"/>
          <w:w w:val="100"/>
          <w:kern w:val="0"/>
          <w:sz w:val="24"/>
          <w:szCs w:val="24"/>
          <w:highlight w:val="none"/>
        </w:rPr>
        <w:t>联系人：</w:t>
      </w:r>
      <w:r>
        <w:rPr>
          <w:rFonts w:hint="eastAsia" w:ascii="宋体" w:hAnsi="宋体" w:eastAsia="宋体" w:cs="宋体"/>
          <w:color w:val="auto"/>
          <w:spacing w:val="0"/>
          <w:w w:val="100"/>
          <w:kern w:val="0"/>
          <w:sz w:val="24"/>
          <w:szCs w:val="24"/>
          <w:highlight w:val="none"/>
          <w:u w:val="single"/>
        </w:rPr>
        <w:t xml:space="preserve">                                                </w:t>
      </w:r>
      <w:r>
        <w:rPr>
          <w:rFonts w:hint="eastAsia" w:ascii="宋体" w:hAnsi="宋体" w:eastAsia="宋体" w:cs="宋体"/>
          <w:color w:val="auto"/>
          <w:spacing w:val="0"/>
          <w:w w:val="100"/>
          <w:kern w:val="0"/>
          <w:sz w:val="24"/>
          <w:szCs w:val="24"/>
          <w:highlight w:val="none"/>
        </w:rPr>
        <w:t>联系电话：</w:t>
      </w:r>
      <w:r>
        <w:rPr>
          <w:rFonts w:hint="eastAsia" w:ascii="宋体" w:hAnsi="宋体" w:eastAsia="宋体" w:cs="宋体"/>
          <w:color w:val="auto"/>
          <w:spacing w:val="0"/>
          <w:w w:val="100"/>
          <w:kern w:val="0"/>
          <w:sz w:val="24"/>
          <w:szCs w:val="24"/>
          <w:highlight w:val="none"/>
          <w:u w:val="single"/>
        </w:rPr>
        <w:t xml:space="preserve">                </w:t>
      </w:r>
    </w:p>
    <w:p w14:paraId="3EFF8DC0">
      <w:pPr>
        <w:snapToGrid w:val="0"/>
        <w:spacing w:beforeLines="0" w:afterLines="0" w:line="360" w:lineRule="auto"/>
        <w:ind w:firstLine="480" w:firstLineChars="200"/>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rPr>
        <w:t>被投诉人2：</w:t>
      </w:r>
    </w:p>
    <w:p w14:paraId="4AB99B80">
      <w:pPr>
        <w:snapToGrid w:val="0"/>
        <w:spacing w:beforeLines="0" w:afterLines="0" w:line="360" w:lineRule="auto"/>
        <w:ind w:firstLine="480" w:firstLineChars="200"/>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rPr>
        <w:t>……</w:t>
      </w:r>
    </w:p>
    <w:p w14:paraId="2413D5D9">
      <w:pPr>
        <w:snapToGrid w:val="0"/>
        <w:spacing w:beforeLines="0" w:afterLines="0" w:line="360" w:lineRule="auto"/>
        <w:ind w:firstLine="480" w:firstLineChars="200"/>
        <w:rPr>
          <w:rFonts w:hint="eastAsia" w:ascii="宋体" w:hAnsi="宋体" w:eastAsia="宋体" w:cs="宋体"/>
          <w:color w:val="auto"/>
          <w:spacing w:val="0"/>
          <w:w w:val="100"/>
          <w:kern w:val="0"/>
          <w:sz w:val="24"/>
          <w:szCs w:val="24"/>
          <w:highlight w:val="none"/>
          <w:u w:val="single"/>
        </w:rPr>
      </w:pPr>
      <w:r>
        <w:rPr>
          <w:rFonts w:hint="eastAsia" w:ascii="宋体" w:hAnsi="宋体" w:eastAsia="宋体" w:cs="宋体"/>
          <w:color w:val="auto"/>
          <w:spacing w:val="0"/>
          <w:w w:val="100"/>
          <w:kern w:val="0"/>
          <w:sz w:val="24"/>
          <w:szCs w:val="24"/>
          <w:highlight w:val="none"/>
        </w:rPr>
        <w:t>相关供应商：</w:t>
      </w:r>
      <w:r>
        <w:rPr>
          <w:rFonts w:hint="eastAsia" w:ascii="宋体" w:hAnsi="宋体" w:eastAsia="宋体" w:cs="宋体"/>
          <w:color w:val="auto"/>
          <w:spacing w:val="0"/>
          <w:w w:val="100"/>
          <w:kern w:val="0"/>
          <w:sz w:val="24"/>
          <w:szCs w:val="24"/>
          <w:highlight w:val="none"/>
          <w:u w:val="single"/>
        </w:rPr>
        <w:t xml:space="preserve">                                                                       </w:t>
      </w:r>
    </w:p>
    <w:p w14:paraId="0073CBFF">
      <w:pPr>
        <w:snapToGrid w:val="0"/>
        <w:spacing w:beforeLines="0" w:afterLines="0" w:line="360" w:lineRule="auto"/>
        <w:ind w:firstLine="480" w:firstLineChars="200"/>
        <w:rPr>
          <w:rFonts w:hint="eastAsia" w:ascii="宋体" w:hAnsi="宋体" w:eastAsia="宋体" w:cs="宋体"/>
          <w:color w:val="auto"/>
          <w:spacing w:val="0"/>
          <w:w w:val="100"/>
          <w:kern w:val="0"/>
          <w:sz w:val="24"/>
          <w:szCs w:val="24"/>
          <w:highlight w:val="none"/>
          <w:u w:val="single"/>
        </w:rPr>
      </w:pPr>
      <w:r>
        <w:rPr>
          <w:rFonts w:hint="eastAsia" w:ascii="宋体" w:hAnsi="宋体" w:eastAsia="宋体" w:cs="宋体"/>
          <w:color w:val="auto"/>
          <w:spacing w:val="0"/>
          <w:w w:val="100"/>
          <w:kern w:val="0"/>
          <w:sz w:val="24"/>
          <w:szCs w:val="24"/>
          <w:highlight w:val="none"/>
        </w:rPr>
        <w:t>地址：</w:t>
      </w:r>
      <w:r>
        <w:rPr>
          <w:rFonts w:hint="eastAsia" w:ascii="宋体" w:hAnsi="宋体" w:eastAsia="宋体" w:cs="宋体"/>
          <w:color w:val="auto"/>
          <w:spacing w:val="0"/>
          <w:w w:val="100"/>
          <w:kern w:val="0"/>
          <w:sz w:val="24"/>
          <w:szCs w:val="24"/>
          <w:highlight w:val="none"/>
          <w:u w:val="single"/>
        </w:rPr>
        <w:t xml:space="preserve">                                              </w:t>
      </w:r>
      <w:r>
        <w:rPr>
          <w:rFonts w:hint="eastAsia" w:ascii="宋体" w:hAnsi="宋体" w:eastAsia="宋体" w:cs="宋体"/>
          <w:color w:val="auto"/>
          <w:spacing w:val="0"/>
          <w:w w:val="100"/>
          <w:kern w:val="0"/>
          <w:sz w:val="24"/>
          <w:szCs w:val="24"/>
          <w:highlight w:val="none"/>
        </w:rPr>
        <w:t>邮编：</w:t>
      </w:r>
      <w:r>
        <w:rPr>
          <w:rFonts w:hint="eastAsia" w:ascii="宋体" w:hAnsi="宋体" w:eastAsia="宋体" w:cs="宋体"/>
          <w:color w:val="auto"/>
          <w:spacing w:val="0"/>
          <w:w w:val="100"/>
          <w:kern w:val="0"/>
          <w:sz w:val="24"/>
          <w:szCs w:val="24"/>
          <w:highlight w:val="none"/>
          <w:u w:val="single"/>
        </w:rPr>
        <w:t xml:space="preserve">                         </w:t>
      </w:r>
    </w:p>
    <w:p w14:paraId="27FB35E4">
      <w:pPr>
        <w:snapToGrid w:val="0"/>
        <w:spacing w:beforeLines="0" w:afterLines="0" w:line="360" w:lineRule="auto"/>
        <w:ind w:firstLine="480" w:firstLineChars="200"/>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rPr>
        <w:t>联系人：</w:t>
      </w:r>
      <w:r>
        <w:rPr>
          <w:rFonts w:hint="eastAsia" w:ascii="宋体" w:hAnsi="宋体" w:eastAsia="宋体" w:cs="宋体"/>
          <w:color w:val="auto"/>
          <w:spacing w:val="0"/>
          <w:w w:val="100"/>
          <w:kern w:val="0"/>
          <w:sz w:val="24"/>
          <w:szCs w:val="24"/>
          <w:highlight w:val="none"/>
          <w:u w:val="single"/>
        </w:rPr>
        <w:t xml:space="preserve">                                            </w:t>
      </w:r>
      <w:r>
        <w:rPr>
          <w:rFonts w:hint="eastAsia" w:ascii="宋体" w:hAnsi="宋体" w:eastAsia="宋体" w:cs="宋体"/>
          <w:color w:val="auto"/>
          <w:spacing w:val="0"/>
          <w:w w:val="100"/>
          <w:kern w:val="0"/>
          <w:sz w:val="24"/>
          <w:szCs w:val="24"/>
          <w:highlight w:val="none"/>
        </w:rPr>
        <w:t>联系电话：</w:t>
      </w:r>
      <w:r>
        <w:rPr>
          <w:rFonts w:hint="eastAsia" w:ascii="宋体" w:hAnsi="宋体" w:eastAsia="宋体" w:cs="宋体"/>
          <w:color w:val="auto"/>
          <w:spacing w:val="0"/>
          <w:w w:val="100"/>
          <w:kern w:val="0"/>
          <w:sz w:val="24"/>
          <w:szCs w:val="24"/>
          <w:highlight w:val="none"/>
          <w:u w:val="single"/>
        </w:rPr>
        <w:t xml:space="preserve">                     </w:t>
      </w:r>
      <w:r>
        <w:rPr>
          <w:rFonts w:hint="eastAsia" w:ascii="宋体" w:hAnsi="宋体" w:eastAsia="宋体" w:cs="宋体"/>
          <w:color w:val="auto"/>
          <w:spacing w:val="0"/>
          <w:w w:val="100"/>
          <w:kern w:val="0"/>
          <w:sz w:val="24"/>
          <w:szCs w:val="24"/>
          <w:highlight w:val="none"/>
        </w:rPr>
        <w:t xml:space="preserve">                </w:t>
      </w:r>
    </w:p>
    <w:p w14:paraId="09773F06">
      <w:pPr>
        <w:snapToGrid w:val="0"/>
        <w:spacing w:beforeLines="0" w:afterLines="0" w:line="360" w:lineRule="auto"/>
        <w:ind w:firstLine="482" w:firstLineChars="200"/>
        <w:outlineLvl w:val="2"/>
        <w:rPr>
          <w:rFonts w:hint="eastAsia" w:ascii="宋体" w:hAnsi="宋体" w:eastAsia="宋体" w:cs="宋体"/>
          <w:b/>
          <w:color w:val="auto"/>
          <w:spacing w:val="0"/>
          <w:w w:val="100"/>
          <w:kern w:val="0"/>
          <w:sz w:val="24"/>
          <w:szCs w:val="24"/>
          <w:highlight w:val="none"/>
        </w:rPr>
      </w:pPr>
      <w:r>
        <w:rPr>
          <w:rFonts w:hint="eastAsia" w:ascii="宋体" w:hAnsi="宋体" w:eastAsia="宋体" w:cs="宋体"/>
          <w:b/>
          <w:color w:val="auto"/>
          <w:spacing w:val="0"/>
          <w:w w:val="100"/>
          <w:kern w:val="0"/>
          <w:sz w:val="24"/>
          <w:szCs w:val="24"/>
          <w:highlight w:val="none"/>
        </w:rPr>
        <w:t>二、投诉项目基本情况：</w:t>
      </w:r>
    </w:p>
    <w:p w14:paraId="59F50200">
      <w:pPr>
        <w:spacing w:beforeLines="0" w:afterLines="0" w:line="360" w:lineRule="auto"/>
        <w:ind w:left="25" w:leftChars="12" w:firstLine="472" w:firstLineChars="197"/>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rPr>
        <w:t>采购项目的名称：</w:t>
      </w:r>
      <w:r>
        <w:rPr>
          <w:rFonts w:hint="eastAsia" w:ascii="宋体" w:hAnsi="宋体" w:eastAsia="宋体" w:cs="宋体"/>
          <w:color w:val="auto"/>
          <w:spacing w:val="0"/>
          <w:w w:val="100"/>
          <w:kern w:val="0"/>
          <w:sz w:val="24"/>
          <w:szCs w:val="24"/>
          <w:highlight w:val="none"/>
          <w:u w:val="single"/>
        </w:rPr>
        <w:t xml:space="preserve">                                                                   </w:t>
      </w:r>
    </w:p>
    <w:p w14:paraId="409CA0B3">
      <w:pPr>
        <w:spacing w:beforeLines="0" w:afterLines="0" w:line="360" w:lineRule="auto"/>
        <w:ind w:left="25" w:leftChars="12" w:firstLine="472" w:firstLineChars="197"/>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rPr>
        <w:t>采购项目的编号：</w:t>
      </w:r>
      <w:r>
        <w:rPr>
          <w:rFonts w:hint="eastAsia" w:ascii="宋体" w:hAnsi="宋体" w:eastAsia="宋体" w:cs="宋体"/>
          <w:color w:val="auto"/>
          <w:spacing w:val="0"/>
          <w:w w:val="100"/>
          <w:kern w:val="0"/>
          <w:sz w:val="24"/>
          <w:szCs w:val="24"/>
          <w:highlight w:val="none"/>
          <w:u w:val="single"/>
        </w:rPr>
        <w:t xml:space="preserve">                                          </w:t>
      </w:r>
    </w:p>
    <w:p w14:paraId="50D74C57">
      <w:pPr>
        <w:spacing w:beforeLines="0" w:afterLines="0" w:line="360" w:lineRule="auto"/>
        <w:ind w:left="25" w:leftChars="12" w:firstLine="472" w:firstLineChars="197"/>
        <w:rPr>
          <w:rFonts w:hint="eastAsia" w:ascii="宋体" w:hAnsi="宋体" w:eastAsia="宋体" w:cs="宋体"/>
          <w:color w:val="auto"/>
          <w:spacing w:val="0"/>
          <w:w w:val="100"/>
          <w:kern w:val="0"/>
          <w:sz w:val="24"/>
          <w:szCs w:val="24"/>
          <w:highlight w:val="none"/>
          <w:u w:val="single"/>
        </w:rPr>
      </w:pPr>
      <w:r>
        <w:rPr>
          <w:rFonts w:hint="eastAsia" w:ascii="宋体" w:hAnsi="宋体" w:eastAsia="宋体" w:cs="宋体"/>
          <w:color w:val="auto"/>
          <w:spacing w:val="0"/>
          <w:w w:val="100"/>
          <w:kern w:val="0"/>
          <w:sz w:val="24"/>
          <w:szCs w:val="24"/>
          <w:highlight w:val="none"/>
        </w:rPr>
        <w:t>采购人名称：</w:t>
      </w:r>
      <w:r>
        <w:rPr>
          <w:rFonts w:hint="eastAsia" w:ascii="宋体" w:hAnsi="宋体" w:eastAsia="宋体" w:cs="宋体"/>
          <w:color w:val="auto"/>
          <w:spacing w:val="0"/>
          <w:w w:val="100"/>
          <w:kern w:val="0"/>
          <w:sz w:val="24"/>
          <w:szCs w:val="24"/>
          <w:highlight w:val="none"/>
          <w:u w:val="single"/>
        </w:rPr>
        <w:t xml:space="preserve">                                                                        </w:t>
      </w:r>
    </w:p>
    <w:p w14:paraId="68C89466">
      <w:pPr>
        <w:spacing w:beforeLines="0" w:afterLines="0" w:line="360" w:lineRule="auto"/>
        <w:ind w:left="25" w:leftChars="12" w:firstLine="472" w:firstLineChars="197"/>
        <w:rPr>
          <w:rFonts w:hint="eastAsia" w:ascii="宋体" w:hAnsi="宋体" w:eastAsia="宋体" w:cs="宋体"/>
          <w:color w:val="auto"/>
          <w:spacing w:val="0"/>
          <w:w w:val="100"/>
          <w:kern w:val="0"/>
          <w:sz w:val="24"/>
          <w:szCs w:val="24"/>
          <w:highlight w:val="none"/>
          <w:u w:val="single"/>
        </w:rPr>
      </w:pPr>
      <w:r>
        <w:rPr>
          <w:rFonts w:hint="eastAsia" w:ascii="宋体" w:hAnsi="宋体" w:eastAsia="宋体" w:cs="宋体"/>
          <w:color w:val="auto"/>
          <w:spacing w:val="0"/>
          <w:w w:val="100"/>
          <w:kern w:val="0"/>
          <w:sz w:val="24"/>
          <w:szCs w:val="24"/>
          <w:highlight w:val="none"/>
        </w:rPr>
        <w:t>代理机构名称：</w:t>
      </w:r>
      <w:r>
        <w:rPr>
          <w:rFonts w:hint="eastAsia" w:ascii="宋体" w:hAnsi="宋体" w:eastAsia="宋体" w:cs="宋体"/>
          <w:color w:val="auto"/>
          <w:spacing w:val="0"/>
          <w:w w:val="100"/>
          <w:kern w:val="0"/>
          <w:sz w:val="24"/>
          <w:szCs w:val="24"/>
          <w:highlight w:val="none"/>
          <w:u w:val="single"/>
        </w:rPr>
        <w:t xml:space="preserve">                                                                      </w:t>
      </w:r>
    </w:p>
    <w:p w14:paraId="5D4E88CC">
      <w:pPr>
        <w:spacing w:beforeLines="0" w:afterLines="0" w:line="360" w:lineRule="auto"/>
        <w:ind w:left="25" w:leftChars="12" w:firstLine="472" w:firstLineChars="197"/>
        <w:rPr>
          <w:rFonts w:hint="eastAsia" w:ascii="宋体" w:hAnsi="宋体" w:eastAsia="宋体" w:cs="宋体"/>
          <w:color w:val="auto"/>
          <w:spacing w:val="0"/>
          <w:w w:val="100"/>
          <w:kern w:val="0"/>
          <w:sz w:val="24"/>
          <w:szCs w:val="24"/>
          <w:highlight w:val="none"/>
          <w:u w:val="single"/>
        </w:rPr>
      </w:pPr>
      <w:r>
        <w:rPr>
          <w:rFonts w:hint="eastAsia" w:ascii="宋体" w:hAnsi="宋体" w:eastAsia="宋体" w:cs="宋体"/>
          <w:color w:val="auto"/>
          <w:spacing w:val="0"/>
          <w:w w:val="100"/>
          <w:kern w:val="0"/>
          <w:sz w:val="24"/>
          <w:szCs w:val="24"/>
          <w:highlight w:val="none"/>
        </w:rPr>
        <w:t>招标文件公告：</w:t>
      </w:r>
      <w:r>
        <w:rPr>
          <w:rFonts w:hint="eastAsia" w:ascii="宋体" w:hAnsi="宋体" w:eastAsia="宋体" w:cs="宋体"/>
          <w:color w:val="auto"/>
          <w:spacing w:val="0"/>
          <w:w w:val="100"/>
          <w:kern w:val="0"/>
          <w:sz w:val="24"/>
          <w:szCs w:val="24"/>
          <w:highlight w:val="none"/>
          <w:u w:val="single"/>
        </w:rPr>
        <w:t>是/否</w:t>
      </w:r>
      <w:r>
        <w:rPr>
          <w:rFonts w:hint="eastAsia" w:ascii="宋体" w:hAnsi="宋体" w:eastAsia="宋体" w:cs="宋体"/>
          <w:color w:val="auto"/>
          <w:spacing w:val="0"/>
          <w:w w:val="100"/>
          <w:kern w:val="0"/>
          <w:sz w:val="24"/>
          <w:szCs w:val="24"/>
          <w:highlight w:val="none"/>
        </w:rPr>
        <w:t>公告期限：</w:t>
      </w:r>
      <w:r>
        <w:rPr>
          <w:rFonts w:hint="eastAsia" w:ascii="宋体" w:hAnsi="宋体" w:eastAsia="宋体" w:cs="宋体"/>
          <w:color w:val="auto"/>
          <w:spacing w:val="0"/>
          <w:w w:val="100"/>
          <w:kern w:val="0"/>
          <w:sz w:val="24"/>
          <w:szCs w:val="24"/>
          <w:highlight w:val="none"/>
          <w:u w:val="single"/>
        </w:rPr>
        <w:t xml:space="preserve">                                                       </w:t>
      </w:r>
    </w:p>
    <w:p w14:paraId="24FD5143">
      <w:pPr>
        <w:spacing w:beforeLines="0" w:afterLines="0" w:line="360" w:lineRule="auto"/>
        <w:ind w:left="25" w:leftChars="12" w:firstLine="472" w:firstLineChars="197"/>
        <w:rPr>
          <w:rFonts w:hint="eastAsia" w:ascii="宋体" w:hAnsi="宋体" w:eastAsia="宋体" w:cs="宋体"/>
          <w:b/>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rPr>
        <w:t>采购结果公告：</w:t>
      </w:r>
      <w:r>
        <w:rPr>
          <w:rFonts w:hint="eastAsia" w:ascii="宋体" w:hAnsi="宋体" w:eastAsia="宋体" w:cs="宋体"/>
          <w:color w:val="auto"/>
          <w:spacing w:val="0"/>
          <w:w w:val="100"/>
          <w:kern w:val="0"/>
          <w:sz w:val="24"/>
          <w:szCs w:val="24"/>
          <w:highlight w:val="none"/>
          <w:u w:val="single"/>
        </w:rPr>
        <w:t>是/否</w:t>
      </w:r>
      <w:r>
        <w:rPr>
          <w:rFonts w:hint="eastAsia" w:ascii="宋体" w:hAnsi="宋体" w:eastAsia="宋体" w:cs="宋体"/>
          <w:color w:val="auto"/>
          <w:spacing w:val="0"/>
          <w:w w:val="100"/>
          <w:kern w:val="0"/>
          <w:sz w:val="24"/>
          <w:szCs w:val="24"/>
          <w:highlight w:val="none"/>
        </w:rPr>
        <w:t>公告期限：</w:t>
      </w:r>
      <w:r>
        <w:rPr>
          <w:rFonts w:hint="eastAsia" w:ascii="宋体" w:hAnsi="宋体" w:eastAsia="宋体" w:cs="宋体"/>
          <w:color w:val="auto"/>
          <w:spacing w:val="0"/>
          <w:w w:val="100"/>
          <w:kern w:val="0"/>
          <w:sz w:val="24"/>
          <w:szCs w:val="24"/>
          <w:highlight w:val="none"/>
          <w:u w:val="single"/>
        </w:rPr>
        <w:t xml:space="preserve">                                                       </w:t>
      </w:r>
    </w:p>
    <w:p w14:paraId="0DCEEAD3">
      <w:pPr>
        <w:spacing w:beforeLines="0" w:afterLines="0" w:line="360" w:lineRule="auto"/>
        <w:ind w:left="25" w:leftChars="12" w:firstLine="472" w:firstLineChars="196"/>
        <w:outlineLvl w:val="2"/>
        <w:rPr>
          <w:rFonts w:hint="eastAsia" w:ascii="宋体" w:hAnsi="宋体" w:eastAsia="宋体" w:cs="宋体"/>
          <w:b/>
          <w:color w:val="auto"/>
          <w:spacing w:val="0"/>
          <w:w w:val="100"/>
          <w:kern w:val="0"/>
          <w:sz w:val="24"/>
          <w:szCs w:val="24"/>
          <w:highlight w:val="none"/>
        </w:rPr>
      </w:pPr>
      <w:r>
        <w:rPr>
          <w:rFonts w:hint="eastAsia" w:ascii="宋体" w:hAnsi="宋体" w:eastAsia="宋体" w:cs="宋体"/>
          <w:b/>
          <w:color w:val="auto"/>
          <w:spacing w:val="0"/>
          <w:w w:val="100"/>
          <w:kern w:val="0"/>
          <w:sz w:val="24"/>
          <w:szCs w:val="24"/>
          <w:highlight w:val="none"/>
        </w:rPr>
        <w:t>三、质疑基本情况</w:t>
      </w:r>
    </w:p>
    <w:p w14:paraId="5537609A">
      <w:pPr>
        <w:spacing w:beforeLines="0" w:afterLines="0" w:line="360" w:lineRule="auto"/>
        <w:ind w:firstLine="480" w:firstLineChars="200"/>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rPr>
        <w:t>投诉人于</w:t>
      </w:r>
      <w:r>
        <w:rPr>
          <w:rFonts w:hint="eastAsia" w:ascii="宋体" w:hAnsi="宋体" w:eastAsia="宋体" w:cs="宋体"/>
          <w:color w:val="auto"/>
          <w:spacing w:val="0"/>
          <w:w w:val="100"/>
          <w:kern w:val="0"/>
          <w:sz w:val="24"/>
          <w:szCs w:val="24"/>
          <w:highlight w:val="none"/>
          <w:u w:val="single"/>
        </w:rPr>
        <w:t xml:space="preserve">      </w:t>
      </w:r>
      <w:r>
        <w:rPr>
          <w:rFonts w:hint="eastAsia" w:ascii="宋体" w:hAnsi="宋体" w:eastAsia="宋体" w:cs="宋体"/>
          <w:color w:val="auto"/>
          <w:spacing w:val="0"/>
          <w:w w:val="100"/>
          <w:kern w:val="0"/>
          <w:sz w:val="24"/>
          <w:szCs w:val="24"/>
          <w:highlight w:val="none"/>
        </w:rPr>
        <w:t>年</w:t>
      </w:r>
      <w:r>
        <w:rPr>
          <w:rFonts w:hint="eastAsia" w:ascii="宋体" w:hAnsi="宋体" w:eastAsia="宋体" w:cs="宋体"/>
          <w:color w:val="auto"/>
          <w:spacing w:val="0"/>
          <w:w w:val="100"/>
          <w:kern w:val="0"/>
          <w:sz w:val="24"/>
          <w:szCs w:val="24"/>
          <w:highlight w:val="none"/>
          <w:u w:val="single"/>
        </w:rPr>
        <w:t xml:space="preserve">   </w:t>
      </w:r>
      <w:r>
        <w:rPr>
          <w:rFonts w:hint="eastAsia" w:ascii="宋体" w:hAnsi="宋体" w:eastAsia="宋体" w:cs="宋体"/>
          <w:color w:val="auto"/>
          <w:spacing w:val="0"/>
          <w:w w:val="100"/>
          <w:kern w:val="0"/>
          <w:sz w:val="24"/>
          <w:szCs w:val="24"/>
          <w:highlight w:val="none"/>
        </w:rPr>
        <w:t>月</w:t>
      </w:r>
      <w:r>
        <w:rPr>
          <w:rFonts w:hint="eastAsia" w:ascii="宋体" w:hAnsi="宋体" w:eastAsia="宋体" w:cs="宋体"/>
          <w:color w:val="auto"/>
          <w:spacing w:val="0"/>
          <w:w w:val="100"/>
          <w:kern w:val="0"/>
          <w:sz w:val="24"/>
          <w:szCs w:val="24"/>
          <w:highlight w:val="none"/>
          <w:u w:val="single"/>
        </w:rPr>
        <w:t xml:space="preserve">   </w:t>
      </w:r>
      <w:r>
        <w:rPr>
          <w:rFonts w:hint="eastAsia" w:ascii="宋体" w:hAnsi="宋体" w:eastAsia="宋体" w:cs="宋体"/>
          <w:color w:val="auto"/>
          <w:spacing w:val="0"/>
          <w:w w:val="100"/>
          <w:kern w:val="0"/>
          <w:sz w:val="24"/>
          <w:szCs w:val="24"/>
          <w:highlight w:val="none"/>
        </w:rPr>
        <w:t>日，向</w:t>
      </w:r>
      <w:r>
        <w:rPr>
          <w:rFonts w:hint="eastAsia" w:ascii="宋体" w:hAnsi="宋体" w:eastAsia="宋体" w:cs="宋体"/>
          <w:color w:val="auto"/>
          <w:spacing w:val="0"/>
          <w:w w:val="100"/>
          <w:kern w:val="0"/>
          <w:sz w:val="24"/>
          <w:szCs w:val="24"/>
          <w:highlight w:val="none"/>
          <w:u w:val="single"/>
        </w:rPr>
        <w:t xml:space="preserve">                                </w:t>
      </w:r>
      <w:r>
        <w:rPr>
          <w:rFonts w:hint="eastAsia" w:ascii="宋体" w:hAnsi="宋体" w:eastAsia="宋体" w:cs="宋体"/>
          <w:color w:val="auto"/>
          <w:spacing w:val="0"/>
          <w:w w:val="100"/>
          <w:kern w:val="0"/>
          <w:sz w:val="24"/>
          <w:szCs w:val="24"/>
          <w:highlight w:val="none"/>
        </w:rPr>
        <w:t>提出质疑，质疑事项为：</w:t>
      </w:r>
    </w:p>
    <w:p w14:paraId="627BC195">
      <w:pPr>
        <w:spacing w:beforeLines="0" w:afterLines="0" w:line="360" w:lineRule="auto"/>
        <w:ind w:firstLine="241"/>
        <w:rPr>
          <w:rFonts w:hint="eastAsia" w:ascii="宋体" w:hAnsi="宋体" w:eastAsia="宋体" w:cs="宋体"/>
          <w:color w:val="auto"/>
          <w:spacing w:val="0"/>
          <w:w w:val="100"/>
          <w:kern w:val="0"/>
          <w:sz w:val="24"/>
          <w:szCs w:val="24"/>
          <w:highlight w:val="none"/>
          <w:u w:val="single"/>
        </w:rPr>
      </w:pPr>
      <w:r>
        <w:rPr>
          <w:rFonts w:hint="eastAsia" w:ascii="宋体" w:hAnsi="宋体" w:eastAsia="宋体" w:cs="宋体"/>
          <w:color w:val="auto"/>
          <w:spacing w:val="0"/>
          <w:w w:val="100"/>
          <w:kern w:val="0"/>
          <w:sz w:val="24"/>
          <w:szCs w:val="24"/>
          <w:highlight w:val="none"/>
        </w:rPr>
        <w:t xml:space="preserve">    </w:t>
      </w:r>
      <w:r>
        <w:rPr>
          <w:rFonts w:hint="eastAsia" w:ascii="宋体" w:hAnsi="宋体" w:eastAsia="宋体" w:cs="宋体"/>
          <w:color w:val="auto"/>
          <w:spacing w:val="0"/>
          <w:w w:val="100"/>
          <w:kern w:val="0"/>
          <w:sz w:val="24"/>
          <w:szCs w:val="24"/>
          <w:highlight w:val="none"/>
          <w:u w:val="single"/>
        </w:rPr>
        <w:t xml:space="preserve">                                                                                      </w:t>
      </w:r>
    </w:p>
    <w:p w14:paraId="6A0C980E">
      <w:pPr>
        <w:spacing w:beforeLines="0" w:afterLines="0" w:line="360" w:lineRule="auto"/>
        <w:ind w:firstLine="241"/>
        <w:rPr>
          <w:rFonts w:hint="eastAsia" w:ascii="宋体" w:hAnsi="宋体" w:eastAsia="宋体" w:cs="宋体"/>
          <w:color w:val="auto"/>
          <w:spacing w:val="0"/>
          <w:w w:val="100"/>
          <w:kern w:val="0"/>
          <w:sz w:val="24"/>
          <w:szCs w:val="24"/>
          <w:highlight w:val="none"/>
          <w:u w:val="single"/>
        </w:rPr>
      </w:pPr>
      <w:r>
        <w:rPr>
          <w:rFonts w:hint="eastAsia" w:ascii="宋体" w:hAnsi="宋体" w:eastAsia="宋体" w:cs="宋体"/>
          <w:color w:val="auto"/>
          <w:spacing w:val="0"/>
          <w:w w:val="100"/>
          <w:kern w:val="0"/>
          <w:sz w:val="24"/>
          <w:szCs w:val="24"/>
          <w:highlight w:val="none"/>
        </w:rPr>
        <w:t xml:space="preserve">    </w:t>
      </w:r>
      <w:r>
        <w:rPr>
          <w:rFonts w:hint="eastAsia" w:ascii="宋体" w:hAnsi="宋体" w:eastAsia="宋体" w:cs="宋体"/>
          <w:color w:val="auto"/>
          <w:spacing w:val="0"/>
          <w:w w:val="100"/>
          <w:kern w:val="0"/>
          <w:sz w:val="24"/>
          <w:szCs w:val="24"/>
          <w:highlight w:val="none"/>
          <w:u w:val="single"/>
        </w:rPr>
        <w:t xml:space="preserve">                                                                                      </w:t>
      </w:r>
    </w:p>
    <w:p w14:paraId="70625B9B">
      <w:pPr>
        <w:spacing w:beforeLines="0" w:afterLines="0" w:line="360" w:lineRule="auto"/>
        <w:ind w:firstLine="480" w:firstLineChars="200"/>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u w:val="single"/>
        </w:rPr>
        <w:t>采购人/代理机构</w:t>
      </w:r>
      <w:r>
        <w:rPr>
          <w:rFonts w:hint="eastAsia" w:ascii="宋体" w:hAnsi="宋体" w:eastAsia="宋体" w:cs="宋体"/>
          <w:color w:val="auto"/>
          <w:spacing w:val="0"/>
          <w:w w:val="100"/>
          <w:kern w:val="0"/>
          <w:sz w:val="24"/>
          <w:szCs w:val="24"/>
          <w:highlight w:val="none"/>
        </w:rPr>
        <w:t>于</w:t>
      </w:r>
      <w:r>
        <w:rPr>
          <w:rFonts w:hint="eastAsia" w:ascii="宋体" w:hAnsi="宋体" w:eastAsia="宋体" w:cs="宋体"/>
          <w:color w:val="auto"/>
          <w:spacing w:val="0"/>
          <w:w w:val="100"/>
          <w:kern w:val="0"/>
          <w:sz w:val="24"/>
          <w:szCs w:val="24"/>
          <w:highlight w:val="none"/>
          <w:u w:val="single"/>
        </w:rPr>
        <w:t xml:space="preserve">      </w:t>
      </w:r>
      <w:r>
        <w:rPr>
          <w:rFonts w:hint="eastAsia" w:ascii="宋体" w:hAnsi="宋体" w:eastAsia="宋体" w:cs="宋体"/>
          <w:color w:val="auto"/>
          <w:spacing w:val="0"/>
          <w:w w:val="100"/>
          <w:kern w:val="0"/>
          <w:sz w:val="24"/>
          <w:szCs w:val="24"/>
          <w:highlight w:val="none"/>
        </w:rPr>
        <w:t>年</w:t>
      </w:r>
      <w:r>
        <w:rPr>
          <w:rFonts w:hint="eastAsia" w:ascii="宋体" w:hAnsi="宋体" w:eastAsia="宋体" w:cs="宋体"/>
          <w:color w:val="auto"/>
          <w:spacing w:val="0"/>
          <w:w w:val="100"/>
          <w:kern w:val="0"/>
          <w:sz w:val="24"/>
          <w:szCs w:val="24"/>
          <w:highlight w:val="none"/>
          <w:u w:val="single"/>
        </w:rPr>
        <w:t xml:space="preserve">   </w:t>
      </w:r>
      <w:r>
        <w:rPr>
          <w:rFonts w:hint="eastAsia" w:ascii="宋体" w:hAnsi="宋体" w:eastAsia="宋体" w:cs="宋体"/>
          <w:color w:val="auto"/>
          <w:spacing w:val="0"/>
          <w:w w:val="100"/>
          <w:kern w:val="0"/>
          <w:sz w:val="24"/>
          <w:szCs w:val="24"/>
          <w:highlight w:val="none"/>
        </w:rPr>
        <w:t>月</w:t>
      </w:r>
      <w:r>
        <w:rPr>
          <w:rFonts w:hint="eastAsia" w:ascii="宋体" w:hAnsi="宋体" w:eastAsia="宋体" w:cs="宋体"/>
          <w:color w:val="auto"/>
          <w:spacing w:val="0"/>
          <w:w w:val="100"/>
          <w:kern w:val="0"/>
          <w:sz w:val="24"/>
          <w:szCs w:val="24"/>
          <w:highlight w:val="none"/>
          <w:u w:val="single"/>
        </w:rPr>
        <w:t xml:space="preserve">   </w:t>
      </w:r>
      <w:r>
        <w:rPr>
          <w:rFonts w:hint="eastAsia" w:ascii="宋体" w:hAnsi="宋体" w:eastAsia="宋体" w:cs="宋体"/>
          <w:color w:val="auto"/>
          <w:spacing w:val="0"/>
          <w:w w:val="100"/>
          <w:kern w:val="0"/>
          <w:sz w:val="24"/>
          <w:szCs w:val="24"/>
          <w:highlight w:val="none"/>
        </w:rPr>
        <w:t xml:space="preserve">日，就质疑事项作出了答复/没有在法定期限内作出答复。                                                                                             </w:t>
      </w:r>
    </w:p>
    <w:p w14:paraId="59C750E5">
      <w:pPr>
        <w:spacing w:beforeLines="0" w:afterLines="0" w:line="360" w:lineRule="auto"/>
        <w:ind w:left="25" w:leftChars="12" w:firstLine="472" w:firstLineChars="196"/>
        <w:outlineLvl w:val="2"/>
        <w:rPr>
          <w:rFonts w:hint="eastAsia" w:ascii="宋体" w:hAnsi="宋体" w:eastAsia="宋体" w:cs="宋体"/>
          <w:b/>
          <w:color w:val="auto"/>
          <w:spacing w:val="0"/>
          <w:w w:val="100"/>
          <w:kern w:val="0"/>
          <w:sz w:val="24"/>
          <w:szCs w:val="24"/>
          <w:highlight w:val="none"/>
        </w:rPr>
      </w:pPr>
      <w:r>
        <w:rPr>
          <w:rFonts w:hint="eastAsia" w:ascii="宋体" w:hAnsi="宋体" w:eastAsia="宋体" w:cs="宋体"/>
          <w:b/>
          <w:color w:val="auto"/>
          <w:spacing w:val="0"/>
          <w:w w:val="100"/>
          <w:kern w:val="0"/>
          <w:sz w:val="24"/>
          <w:szCs w:val="24"/>
          <w:highlight w:val="none"/>
        </w:rPr>
        <w:t>四、投诉事项具体内容</w:t>
      </w:r>
    </w:p>
    <w:p w14:paraId="5C71E48B">
      <w:pPr>
        <w:spacing w:beforeLines="0" w:afterLines="0" w:line="360" w:lineRule="auto"/>
        <w:ind w:left="25" w:leftChars="12" w:firstLine="472" w:firstLineChars="197"/>
        <w:rPr>
          <w:rFonts w:hint="eastAsia" w:ascii="宋体" w:hAnsi="宋体" w:eastAsia="宋体" w:cs="宋体"/>
          <w:color w:val="auto"/>
          <w:spacing w:val="0"/>
          <w:w w:val="100"/>
          <w:kern w:val="0"/>
          <w:sz w:val="24"/>
          <w:szCs w:val="24"/>
          <w:highlight w:val="none"/>
          <w:u w:val="single"/>
        </w:rPr>
      </w:pPr>
      <w:r>
        <w:rPr>
          <w:rFonts w:hint="eastAsia" w:ascii="宋体" w:hAnsi="宋体" w:eastAsia="宋体" w:cs="宋体"/>
          <w:color w:val="auto"/>
          <w:spacing w:val="0"/>
          <w:w w:val="100"/>
          <w:kern w:val="0"/>
          <w:sz w:val="24"/>
          <w:szCs w:val="24"/>
          <w:highlight w:val="none"/>
        </w:rPr>
        <w:t>投诉事项1：</w:t>
      </w:r>
      <w:r>
        <w:rPr>
          <w:rFonts w:hint="eastAsia" w:ascii="宋体" w:hAnsi="宋体" w:eastAsia="宋体" w:cs="宋体"/>
          <w:color w:val="auto"/>
          <w:spacing w:val="0"/>
          <w:w w:val="100"/>
          <w:kern w:val="0"/>
          <w:sz w:val="24"/>
          <w:szCs w:val="24"/>
          <w:highlight w:val="none"/>
          <w:u w:val="single"/>
        </w:rPr>
        <w:t xml:space="preserve">                                                                           </w:t>
      </w:r>
    </w:p>
    <w:p w14:paraId="7EDF9356">
      <w:pPr>
        <w:spacing w:beforeLines="0" w:afterLines="0" w:line="360" w:lineRule="auto"/>
        <w:ind w:firstLine="480" w:firstLineChars="200"/>
        <w:rPr>
          <w:rFonts w:hint="eastAsia" w:ascii="宋体" w:hAnsi="宋体" w:eastAsia="宋体" w:cs="宋体"/>
          <w:color w:val="auto"/>
          <w:spacing w:val="0"/>
          <w:w w:val="100"/>
          <w:kern w:val="0"/>
          <w:sz w:val="24"/>
          <w:szCs w:val="24"/>
          <w:highlight w:val="none"/>
          <w:u w:val="single"/>
        </w:rPr>
      </w:pPr>
      <w:r>
        <w:rPr>
          <w:rFonts w:hint="eastAsia" w:ascii="宋体" w:hAnsi="宋体" w:eastAsia="宋体" w:cs="宋体"/>
          <w:color w:val="auto"/>
          <w:spacing w:val="0"/>
          <w:w w:val="100"/>
          <w:kern w:val="0"/>
          <w:sz w:val="24"/>
          <w:szCs w:val="24"/>
          <w:highlight w:val="none"/>
        </w:rPr>
        <w:t xml:space="preserve">事实依据： </w:t>
      </w:r>
      <w:r>
        <w:rPr>
          <w:rFonts w:hint="eastAsia" w:ascii="宋体" w:hAnsi="宋体" w:eastAsia="宋体" w:cs="宋体"/>
          <w:color w:val="auto"/>
          <w:spacing w:val="0"/>
          <w:w w:val="100"/>
          <w:kern w:val="0"/>
          <w:sz w:val="24"/>
          <w:szCs w:val="24"/>
          <w:highlight w:val="none"/>
          <w:u w:val="single"/>
        </w:rPr>
        <w:t xml:space="preserve">                                                                                      </w:t>
      </w:r>
    </w:p>
    <w:p w14:paraId="5077E204">
      <w:pPr>
        <w:spacing w:beforeLines="0" w:afterLines="0" w:line="360" w:lineRule="auto"/>
        <w:ind w:left="25" w:leftChars="12" w:firstLine="472" w:firstLineChars="197"/>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u w:val="single"/>
        </w:rPr>
        <w:t xml:space="preserve">                                                                                        </w:t>
      </w:r>
    </w:p>
    <w:p w14:paraId="725DC4DA">
      <w:pPr>
        <w:spacing w:beforeLines="0" w:afterLines="0" w:line="360" w:lineRule="auto"/>
        <w:ind w:firstLine="480" w:firstLineChars="200"/>
        <w:rPr>
          <w:rFonts w:hint="eastAsia" w:ascii="宋体" w:hAnsi="宋体" w:eastAsia="宋体" w:cs="宋体"/>
          <w:color w:val="auto"/>
          <w:spacing w:val="0"/>
          <w:w w:val="100"/>
          <w:kern w:val="0"/>
          <w:sz w:val="24"/>
          <w:szCs w:val="24"/>
          <w:highlight w:val="none"/>
          <w:u w:val="single"/>
        </w:rPr>
      </w:pPr>
      <w:r>
        <w:rPr>
          <w:rFonts w:hint="eastAsia" w:ascii="宋体" w:hAnsi="宋体" w:eastAsia="宋体" w:cs="宋体"/>
          <w:color w:val="auto"/>
          <w:spacing w:val="0"/>
          <w:w w:val="100"/>
          <w:kern w:val="0"/>
          <w:sz w:val="24"/>
          <w:szCs w:val="24"/>
          <w:highlight w:val="none"/>
        </w:rPr>
        <w:t xml:space="preserve">法律依据： </w:t>
      </w:r>
      <w:r>
        <w:rPr>
          <w:rFonts w:hint="eastAsia" w:ascii="宋体" w:hAnsi="宋体" w:eastAsia="宋体" w:cs="宋体"/>
          <w:color w:val="auto"/>
          <w:spacing w:val="0"/>
          <w:w w:val="100"/>
          <w:kern w:val="0"/>
          <w:sz w:val="24"/>
          <w:szCs w:val="24"/>
          <w:highlight w:val="none"/>
          <w:u w:val="single"/>
        </w:rPr>
        <w:t xml:space="preserve">                                                                                      </w:t>
      </w:r>
    </w:p>
    <w:p w14:paraId="246C5C00">
      <w:pPr>
        <w:spacing w:beforeLines="0" w:afterLines="0" w:line="360" w:lineRule="auto"/>
        <w:ind w:left="25" w:leftChars="12" w:firstLine="352" w:firstLineChars="147"/>
        <w:rPr>
          <w:rFonts w:hint="eastAsia" w:ascii="宋体" w:hAnsi="宋体" w:eastAsia="宋体" w:cs="宋体"/>
          <w:color w:val="auto"/>
          <w:spacing w:val="0"/>
          <w:w w:val="100"/>
          <w:kern w:val="0"/>
          <w:sz w:val="24"/>
          <w:szCs w:val="24"/>
          <w:highlight w:val="none"/>
          <w:u w:val="single"/>
        </w:rPr>
      </w:pPr>
      <w:r>
        <w:rPr>
          <w:rFonts w:hint="eastAsia" w:ascii="宋体" w:hAnsi="宋体" w:eastAsia="宋体" w:cs="宋体"/>
          <w:color w:val="auto"/>
          <w:spacing w:val="0"/>
          <w:w w:val="100"/>
          <w:kern w:val="0"/>
          <w:sz w:val="24"/>
          <w:szCs w:val="24"/>
          <w:highlight w:val="none"/>
        </w:rPr>
        <w:t xml:space="preserve"> </w:t>
      </w:r>
      <w:r>
        <w:rPr>
          <w:rFonts w:hint="eastAsia" w:ascii="宋体" w:hAnsi="宋体" w:eastAsia="宋体" w:cs="宋体"/>
          <w:color w:val="auto"/>
          <w:spacing w:val="0"/>
          <w:w w:val="100"/>
          <w:kern w:val="0"/>
          <w:sz w:val="24"/>
          <w:szCs w:val="24"/>
          <w:highlight w:val="none"/>
          <w:u w:val="single"/>
        </w:rPr>
        <w:t xml:space="preserve">                                                                                        </w:t>
      </w:r>
    </w:p>
    <w:p w14:paraId="32642D1C">
      <w:pPr>
        <w:spacing w:beforeLines="0" w:afterLines="0" w:line="360" w:lineRule="auto"/>
        <w:ind w:left="25" w:leftChars="12" w:firstLine="472" w:firstLineChars="197"/>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rPr>
        <w:t xml:space="preserve">投诉事项2     </w:t>
      </w:r>
    </w:p>
    <w:p w14:paraId="385FFF73">
      <w:pPr>
        <w:spacing w:beforeLines="0" w:afterLines="0" w:line="360" w:lineRule="auto"/>
        <w:ind w:left="25" w:leftChars="12" w:firstLine="472" w:firstLineChars="197"/>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rPr>
        <w:t>……</w:t>
      </w:r>
    </w:p>
    <w:p w14:paraId="6F4CAFB3">
      <w:pPr>
        <w:spacing w:beforeLines="0" w:afterLines="0" w:line="360" w:lineRule="auto"/>
        <w:ind w:left="25" w:leftChars="12" w:firstLine="472" w:firstLineChars="196"/>
        <w:outlineLvl w:val="2"/>
        <w:rPr>
          <w:rFonts w:hint="eastAsia" w:ascii="宋体" w:hAnsi="宋体" w:eastAsia="宋体" w:cs="宋体"/>
          <w:b/>
          <w:color w:val="auto"/>
          <w:spacing w:val="0"/>
          <w:w w:val="100"/>
          <w:kern w:val="0"/>
          <w:sz w:val="24"/>
          <w:szCs w:val="24"/>
          <w:highlight w:val="none"/>
        </w:rPr>
      </w:pPr>
      <w:r>
        <w:rPr>
          <w:rFonts w:hint="eastAsia" w:ascii="宋体" w:hAnsi="宋体" w:eastAsia="宋体" w:cs="宋体"/>
          <w:b/>
          <w:color w:val="auto"/>
          <w:spacing w:val="0"/>
          <w:w w:val="100"/>
          <w:kern w:val="0"/>
          <w:sz w:val="24"/>
          <w:szCs w:val="24"/>
          <w:highlight w:val="none"/>
        </w:rPr>
        <w:t>五、与投诉事项相关的投诉请求：</w:t>
      </w:r>
    </w:p>
    <w:p w14:paraId="1425801C">
      <w:pPr>
        <w:spacing w:beforeLines="0" w:afterLines="0" w:line="360" w:lineRule="auto"/>
        <w:ind w:left="25" w:leftChars="12" w:firstLine="472" w:firstLineChars="197"/>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rPr>
        <w:t>请求：</w:t>
      </w:r>
      <w:r>
        <w:rPr>
          <w:rFonts w:hint="eastAsia" w:ascii="宋体" w:hAnsi="宋体" w:eastAsia="宋体" w:cs="宋体"/>
          <w:color w:val="auto"/>
          <w:spacing w:val="0"/>
          <w:w w:val="100"/>
          <w:kern w:val="0"/>
          <w:sz w:val="24"/>
          <w:szCs w:val="24"/>
          <w:highlight w:val="none"/>
          <w:u w:val="single"/>
        </w:rPr>
        <w:t xml:space="preserve">                                                                                 </w:t>
      </w:r>
    </w:p>
    <w:p w14:paraId="481DE5A1">
      <w:pPr>
        <w:spacing w:beforeLines="0" w:afterLines="0" w:line="360" w:lineRule="auto"/>
        <w:ind w:left="25" w:leftChars="12" w:firstLine="352" w:firstLineChars="147"/>
        <w:rPr>
          <w:rFonts w:hint="eastAsia" w:ascii="宋体" w:hAnsi="宋体" w:eastAsia="宋体" w:cs="宋体"/>
          <w:color w:val="auto"/>
          <w:spacing w:val="0"/>
          <w:w w:val="100"/>
          <w:kern w:val="0"/>
          <w:sz w:val="24"/>
          <w:szCs w:val="24"/>
          <w:highlight w:val="none"/>
        </w:rPr>
      </w:pPr>
    </w:p>
    <w:p w14:paraId="54AB1B98">
      <w:pPr>
        <w:spacing w:beforeLines="0" w:afterLines="0" w:line="360" w:lineRule="auto"/>
        <w:ind w:left="25" w:leftChars="12" w:firstLine="472" w:firstLineChars="197"/>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rPr>
        <w:t>签字（签章）：                                       公章：</w:t>
      </w:r>
    </w:p>
    <w:p w14:paraId="46E3CFFD">
      <w:pPr>
        <w:spacing w:beforeLines="0" w:afterLines="0" w:line="360" w:lineRule="auto"/>
        <w:rPr>
          <w:rFonts w:hint="eastAsia" w:ascii="宋体" w:hAnsi="宋体" w:eastAsia="宋体" w:cs="宋体"/>
          <w:color w:val="auto"/>
          <w:spacing w:val="0"/>
          <w:w w:val="100"/>
          <w:kern w:val="0"/>
          <w:sz w:val="24"/>
          <w:szCs w:val="24"/>
          <w:highlight w:val="none"/>
        </w:rPr>
      </w:pPr>
    </w:p>
    <w:p w14:paraId="0124FF37">
      <w:pPr>
        <w:spacing w:beforeLines="0" w:afterLines="0" w:line="360" w:lineRule="auto"/>
        <w:ind w:left="25" w:leftChars="12" w:firstLine="472" w:firstLineChars="197"/>
        <w:rPr>
          <w:rFonts w:hint="eastAsia" w:ascii="宋体" w:hAnsi="宋体" w:eastAsia="宋体" w:cs="宋体"/>
          <w:color w:val="auto"/>
          <w:spacing w:val="0"/>
          <w:w w:val="100"/>
          <w:kern w:val="0"/>
          <w:sz w:val="24"/>
          <w:szCs w:val="24"/>
          <w:highlight w:val="none"/>
        </w:rPr>
      </w:pPr>
      <w:r>
        <w:rPr>
          <w:rFonts w:hint="eastAsia" w:ascii="宋体" w:hAnsi="宋体" w:eastAsia="宋体" w:cs="宋体"/>
          <w:color w:val="auto"/>
          <w:spacing w:val="0"/>
          <w:w w:val="100"/>
          <w:kern w:val="0"/>
          <w:sz w:val="24"/>
          <w:szCs w:val="24"/>
          <w:highlight w:val="none"/>
        </w:rPr>
        <w:t xml:space="preserve">日期：                                                                               </w:t>
      </w:r>
    </w:p>
    <w:p w14:paraId="7C14DEFC">
      <w:pPr>
        <w:snapToGrid w:val="0"/>
        <w:spacing w:beforeLines="0" w:afterLines="0" w:line="360" w:lineRule="auto"/>
        <w:rPr>
          <w:rFonts w:hint="eastAsia" w:ascii="宋体" w:hAnsi="宋体" w:eastAsia="宋体" w:cs="宋体"/>
          <w:b/>
          <w:color w:val="auto"/>
          <w:spacing w:val="0"/>
          <w:w w:val="100"/>
          <w:kern w:val="0"/>
          <w:sz w:val="24"/>
          <w:szCs w:val="24"/>
          <w:highlight w:val="none"/>
        </w:rPr>
      </w:pPr>
    </w:p>
    <w:p w14:paraId="6F737CD4">
      <w:pPr>
        <w:snapToGrid w:val="0"/>
        <w:spacing w:beforeLines="0" w:afterLines="0" w:line="360" w:lineRule="auto"/>
        <w:rPr>
          <w:rFonts w:hint="eastAsia" w:ascii="宋体" w:hAnsi="宋体" w:eastAsia="宋体" w:cs="宋体"/>
          <w:b/>
          <w:color w:val="auto"/>
          <w:spacing w:val="0"/>
          <w:w w:val="100"/>
          <w:kern w:val="0"/>
          <w:sz w:val="24"/>
          <w:szCs w:val="24"/>
          <w:highlight w:val="none"/>
        </w:rPr>
      </w:pPr>
      <w:r>
        <w:rPr>
          <w:rFonts w:hint="eastAsia" w:ascii="宋体" w:hAnsi="宋体" w:eastAsia="宋体" w:cs="宋体"/>
          <w:b/>
          <w:color w:val="auto"/>
          <w:spacing w:val="0"/>
          <w:w w:val="100"/>
          <w:kern w:val="0"/>
          <w:sz w:val="24"/>
          <w:szCs w:val="24"/>
          <w:highlight w:val="none"/>
        </w:rPr>
        <w:t>说明：</w:t>
      </w:r>
    </w:p>
    <w:p w14:paraId="4FB202A9">
      <w:pPr>
        <w:spacing w:beforeLines="0" w:afterLines="0" w:line="360" w:lineRule="auto"/>
        <w:ind w:left="25" w:leftChars="12" w:firstLine="354" w:firstLineChars="147"/>
        <w:rPr>
          <w:rFonts w:hint="eastAsia" w:ascii="宋体" w:hAnsi="宋体" w:eastAsia="宋体" w:cs="宋体"/>
          <w:b/>
          <w:color w:val="auto"/>
          <w:spacing w:val="0"/>
          <w:w w:val="100"/>
          <w:kern w:val="0"/>
          <w:sz w:val="24"/>
          <w:szCs w:val="24"/>
          <w:highlight w:val="none"/>
        </w:rPr>
      </w:pPr>
      <w:r>
        <w:rPr>
          <w:rFonts w:hint="eastAsia" w:ascii="宋体" w:hAnsi="宋体" w:eastAsia="宋体" w:cs="宋体"/>
          <w:b/>
          <w:color w:val="auto"/>
          <w:spacing w:val="0"/>
          <w:w w:val="100"/>
          <w:kern w:val="0"/>
          <w:sz w:val="24"/>
          <w:szCs w:val="24"/>
          <w:highlight w:val="none"/>
        </w:rPr>
        <w:t>1.投诉人提起投诉时，应当提交投诉书和必要的证明材料，并按照被投诉人和与投诉事项有关的供应商数量提供投诉书副本。</w:t>
      </w:r>
    </w:p>
    <w:p w14:paraId="22FAB2C2">
      <w:pPr>
        <w:spacing w:beforeLines="0" w:afterLines="0" w:line="360" w:lineRule="auto"/>
        <w:ind w:left="25" w:leftChars="12" w:firstLine="354" w:firstLineChars="147"/>
        <w:rPr>
          <w:rFonts w:hint="eastAsia" w:ascii="宋体" w:hAnsi="宋体" w:eastAsia="宋体" w:cs="宋体"/>
          <w:b/>
          <w:color w:val="auto"/>
          <w:spacing w:val="0"/>
          <w:w w:val="100"/>
          <w:kern w:val="0"/>
          <w:sz w:val="24"/>
          <w:szCs w:val="24"/>
          <w:highlight w:val="none"/>
        </w:rPr>
      </w:pPr>
      <w:r>
        <w:rPr>
          <w:rFonts w:hint="eastAsia" w:ascii="宋体" w:hAnsi="宋体" w:eastAsia="宋体" w:cs="宋体"/>
          <w:b/>
          <w:color w:val="auto"/>
          <w:spacing w:val="0"/>
          <w:w w:val="100"/>
          <w:kern w:val="0"/>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0D53B32E">
      <w:pPr>
        <w:spacing w:beforeLines="0" w:afterLines="0" w:line="360" w:lineRule="auto"/>
        <w:ind w:left="25" w:leftChars="12" w:firstLine="354" w:firstLineChars="147"/>
        <w:rPr>
          <w:rFonts w:hint="eastAsia" w:ascii="宋体" w:hAnsi="宋体" w:eastAsia="宋体" w:cs="宋体"/>
          <w:b/>
          <w:color w:val="auto"/>
          <w:spacing w:val="0"/>
          <w:w w:val="100"/>
          <w:kern w:val="0"/>
          <w:sz w:val="24"/>
          <w:szCs w:val="24"/>
          <w:highlight w:val="none"/>
        </w:rPr>
      </w:pPr>
      <w:r>
        <w:rPr>
          <w:rFonts w:hint="eastAsia" w:ascii="宋体" w:hAnsi="宋体" w:eastAsia="宋体" w:cs="宋体"/>
          <w:b/>
          <w:color w:val="auto"/>
          <w:spacing w:val="0"/>
          <w:w w:val="100"/>
          <w:kern w:val="0"/>
          <w:sz w:val="24"/>
          <w:szCs w:val="24"/>
          <w:highlight w:val="none"/>
        </w:rPr>
        <w:t>3.投诉书应简要列明质疑事项，质疑函、质疑答复等作为附件材料提供。</w:t>
      </w:r>
    </w:p>
    <w:p w14:paraId="44940EF5">
      <w:pPr>
        <w:spacing w:beforeLines="0" w:afterLines="0" w:line="360" w:lineRule="auto"/>
        <w:ind w:left="25" w:leftChars="12" w:firstLine="354" w:firstLineChars="147"/>
        <w:rPr>
          <w:rFonts w:hint="eastAsia" w:ascii="宋体" w:hAnsi="宋体" w:eastAsia="宋体" w:cs="宋体"/>
          <w:b/>
          <w:color w:val="auto"/>
          <w:spacing w:val="0"/>
          <w:w w:val="100"/>
          <w:kern w:val="0"/>
          <w:sz w:val="24"/>
          <w:szCs w:val="24"/>
          <w:highlight w:val="none"/>
        </w:rPr>
      </w:pPr>
      <w:r>
        <w:rPr>
          <w:rFonts w:hint="eastAsia" w:ascii="宋体" w:hAnsi="宋体" w:eastAsia="宋体" w:cs="宋体"/>
          <w:b/>
          <w:color w:val="auto"/>
          <w:spacing w:val="0"/>
          <w:w w:val="100"/>
          <w:kern w:val="0"/>
          <w:sz w:val="24"/>
          <w:szCs w:val="24"/>
          <w:highlight w:val="none"/>
        </w:rPr>
        <w:t>4.投诉书的投诉事项应具体、明确，并有必要的事实依据和法律依据。</w:t>
      </w:r>
    </w:p>
    <w:p w14:paraId="1514B108">
      <w:pPr>
        <w:spacing w:beforeLines="0" w:afterLines="0" w:line="360" w:lineRule="auto"/>
        <w:ind w:left="25" w:leftChars="12" w:firstLine="354" w:firstLineChars="147"/>
        <w:rPr>
          <w:rFonts w:hint="eastAsia" w:ascii="宋体" w:hAnsi="宋体" w:eastAsia="宋体" w:cs="宋体"/>
          <w:b/>
          <w:color w:val="auto"/>
          <w:spacing w:val="0"/>
          <w:w w:val="100"/>
          <w:kern w:val="0"/>
          <w:sz w:val="24"/>
          <w:szCs w:val="24"/>
          <w:highlight w:val="none"/>
        </w:rPr>
      </w:pPr>
      <w:r>
        <w:rPr>
          <w:rFonts w:hint="eastAsia" w:ascii="宋体" w:hAnsi="宋体" w:eastAsia="宋体" w:cs="宋体"/>
          <w:b/>
          <w:color w:val="auto"/>
          <w:spacing w:val="0"/>
          <w:w w:val="100"/>
          <w:kern w:val="0"/>
          <w:sz w:val="24"/>
          <w:szCs w:val="24"/>
          <w:highlight w:val="none"/>
        </w:rPr>
        <w:t>5.投诉书的投诉请求应与投诉事项相关。</w:t>
      </w:r>
    </w:p>
    <w:p w14:paraId="5856FDF1">
      <w:pPr>
        <w:spacing w:beforeLines="0" w:afterLines="0" w:line="360" w:lineRule="auto"/>
        <w:ind w:left="25" w:leftChars="12" w:firstLine="354" w:firstLineChars="147"/>
        <w:rPr>
          <w:rFonts w:hint="eastAsia" w:ascii="宋体" w:hAnsi="宋体" w:eastAsia="宋体" w:cs="宋体"/>
          <w:b/>
          <w:bCs w:val="0"/>
          <w:color w:val="auto"/>
          <w:spacing w:val="0"/>
          <w:w w:val="100"/>
          <w:kern w:val="0"/>
          <w:sz w:val="24"/>
          <w:szCs w:val="24"/>
          <w:highlight w:val="none"/>
          <w:lang w:val="en-US" w:eastAsia="zh-CN" w:bidi="ar-SA"/>
        </w:rPr>
      </w:pPr>
      <w:r>
        <w:rPr>
          <w:rFonts w:hint="eastAsia" w:ascii="宋体" w:hAnsi="宋体" w:eastAsia="宋体" w:cs="宋体"/>
          <w:b/>
          <w:bCs w:val="0"/>
          <w:color w:val="auto"/>
          <w:spacing w:val="0"/>
          <w:w w:val="100"/>
          <w:kern w:val="0"/>
          <w:sz w:val="24"/>
          <w:szCs w:val="24"/>
          <w:highlight w:val="none"/>
          <w:lang w:val="en-US" w:eastAsia="zh-CN" w:bidi="ar-SA"/>
        </w:rPr>
        <w:t>6.投诉人为法人或者其他组织的，投诉书应由法定代表人、主要负责人，或者其授权代表签字或者盖章，并加盖公章。</w:t>
      </w:r>
    </w:p>
    <w:p w14:paraId="2FE1357A">
      <w:pPr>
        <w:pStyle w:val="3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宋体" w:hAnsi="宋体" w:cs="宋体"/>
          <w:color w:val="auto"/>
          <w:spacing w:val="0"/>
          <w:kern w:val="0"/>
          <w:position w:val="0"/>
          <w:szCs w:val="21"/>
          <w:highlight w:val="none"/>
          <w:lang w:eastAsia="zh-CN"/>
        </w:rPr>
        <w:sectPr>
          <w:pgSz w:w="11906" w:h="16838"/>
          <w:pgMar w:top="1247" w:right="1417" w:bottom="1247" w:left="1417" w:header="851" w:footer="992" w:gutter="0"/>
          <w:cols w:space="0" w:num="1"/>
          <w:docGrid w:type="lines" w:linePitch="312" w:charSpace="0"/>
        </w:sectPr>
      </w:pPr>
    </w:p>
    <w:p w14:paraId="25EF4F9B">
      <w:pPr>
        <w:pStyle w:val="39"/>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both"/>
        <w:textAlignment w:val="auto"/>
        <w:rPr>
          <w:rFonts w:hint="eastAsia" w:ascii="宋体" w:hAnsi="宋体" w:eastAsia="宋体" w:cs="宋体"/>
          <w:b/>
          <w:bCs/>
          <w:color w:val="auto"/>
          <w:spacing w:val="0"/>
          <w:position w:val="0"/>
          <w:sz w:val="21"/>
          <w:szCs w:val="24"/>
          <w:highlight w:val="none"/>
        </w:rPr>
      </w:pPr>
    </w:p>
    <w:p w14:paraId="08812182">
      <w:pPr>
        <w:pStyle w:val="2"/>
        <w:numPr>
          <w:ilvl w:val="0"/>
          <w:numId w:val="2"/>
        </w:numPr>
        <w:spacing w:line="560" w:lineRule="exact"/>
        <w:jc w:val="center"/>
        <w:rPr>
          <w:rFonts w:hint="eastAsia" w:ascii="宋体" w:hAnsi="宋体" w:cs="宋体"/>
          <w:color w:val="auto"/>
          <w:spacing w:val="0"/>
          <w:kern w:val="0"/>
          <w:position w:val="0"/>
          <w:sz w:val="36"/>
          <w:szCs w:val="36"/>
          <w:highlight w:val="none"/>
        </w:rPr>
      </w:pPr>
      <w:r>
        <w:rPr>
          <w:rFonts w:hint="eastAsia" w:ascii="宋体" w:hAnsi="宋体" w:cs="宋体"/>
          <w:color w:val="auto"/>
          <w:spacing w:val="0"/>
          <w:kern w:val="0"/>
          <w:position w:val="0"/>
          <w:sz w:val="36"/>
          <w:szCs w:val="36"/>
          <w:highlight w:val="none"/>
        </w:rPr>
        <w:t xml:space="preserve">   </w:t>
      </w:r>
      <w:bookmarkStart w:id="76" w:name="_Toc3612"/>
      <w:r>
        <w:rPr>
          <w:rFonts w:hint="eastAsia" w:ascii="宋体" w:hAnsi="宋体" w:cs="宋体"/>
          <w:color w:val="auto"/>
          <w:spacing w:val="0"/>
          <w:kern w:val="0"/>
          <w:position w:val="0"/>
          <w:sz w:val="36"/>
          <w:szCs w:val="36"/>
          <w:highlight w:val="none"/>
        </w:rPr>
        <w:t>合同主要条款</w:t>
      </w:r>
      <w:r>
        <w:rPr>
          <w:rFonts w:hint="eastAsia" w:ascii="宋体" w:hAnsi="宋体" w:cs="宋体"/>
          <w:color w:val="auto"/>
          <w:spacing w:val="0"/>
          <w:kern w:val="0"/>
          <w:position w:val="0"/>
          <w:sz w:val="36"/>
          <w:szCs w:val="36"/>
          <w:highlight w:val="none"/>
          <w:lang w:eastAsia="zh-CN"/>
        </w:rPr>
        <w:t>（</w:t>
      </w:r>
      <w:r>
        <w:rPr>
          <w:rFonts w:hint="eastAsia" w:ascii="宋体" w:hAnsi="宋体" w:cs="宋体"/>
          <w:color w:val="auto"/>
          <w:spacing w:val="0"/>
          <w:kern w:val="0"/>
          <w:position w:val="0"/>
          <w:sz w:val="36"/>
          <w:szCs w:val="36"/>
          <w:highlight w:val="none"/>
        </w:rPr>
        <w:t>参考格式</w:t>
      </w:r>
      <w:bookmarkEnd w:id="76"/>
      <w:r>
        <w:rPr>
          <w:rFonts w:hint="eastAsia" w:ascii="宋体" w:hAnsi="宋体" w:cs="宋体"/>
          <w:color w:val="auto"/>
          <w:spacing w:val="0"/>
          <w:kern w:val="0"/>
          <w:position w:val="0"/>
          <w:sz w:val="36"/>
          <w:szCs w:val="36"/>
          <w:highlight w:val="none"/>
          <w:lang w:eastAsia="zh-CN"/>
        </w:rPr>
        <w:t>）</w:t>
      </w:r>
    </w:p>
    <w:p w14:paraId="5E7CA605">
      <w:pPr>
        <w:pStyle w:val="2"/>
        <w:numPr>
          <w:ilvl w:val="0"/>
          <w:numId w:val="0"/>
        </w:numPr>
        <w:spacing w:line="560" w:lineRule="exact"/>
        <w:jc w:val="center"/>
        <w:rPr>
          <w:rFonts w:hint="eastAsia" w:ascii="宋体" w:hAnsi="宋体" w:eastAsia="宋体" w:cs="宋体"/>
          <w:color w:val="auto"/>
          <w:spacing w:val="0"/>
          <w:kern w:val="0"/>
          <w:position w:val="0"/>
          <w:sz w:val="32"/>
          <w:szCs w:val="32"/>
          <w:highlight w:val="none"/>
          <w:lang w:eastAsia="zh-CN"/>
        </w:rPr>
      </w:pPr>
      <w:bookmarkStart w:id="77" w:name="_Toc31567"/>
      <w:r>
        <w:rPr>
          <w:rFonts w:hint="eastAsia" w:ascii="宋体" w:hAnsi="宋体" w:cs="宋体"/>
          <w:color w:val="auto"/>
          <w:spacing w:val="0"/>
          <w:kern w:val="0"/>
          <w:position w:val="0"/>
          <w:sz w:val="32"/>
          <w:szCs w:val="32"/>
          <w:highlight w:val="none"/>
          <w:lang w:eastAsia="zh-CN"/>
        </w:rPr>
        <w:t>（</w:t>
      </w:r>
      <w:r>
        <w:rPr>
          <w:rFonts w:hint="eastAsia" w:ascii="宋体" w:hAnsi="宋体" w:cs="宋体"/>
          <w:color w:val="auto"/>
          <w:spacing w:val="0"/>
          <w:kern w:val="0"/>
          <w:position w:val="0"/>
          <w:sz w:val="32"/>
          <w:szCs w:val="32"/>
          <w:highlight w:val="none"/>
        </w:rPr>
        <w:t>仅供参考，由双方按实际情况调整</w:t>
      </w:r>
      <w:bookmarkEnd w:id="77"/>
      <w:r>
        <w:rPr>
          <w:rFonts w:hint="eastAsia" w:ascii="宋体" w:hAnsi="宋体" w:cs="宋体"/>
          <w:color w:val="auto"/>
          <w:spacing w:val="0"/>
          <w:kern w:val="0"/>
          <w:position w:val="0"/>
          <w:sz w:val="32"/>
          <w:szCs w:val="32"/>
          <w:highlight w:val="none"/>
          <w:lang w:eastAsia="zh-CN"/>
        </w:rPr>
        <w:t>）</w:t>
      </w:r>
    </w:p>
    <w:p w14:paraId="55182CD2">
      <w:pPr>
        <w:shd w:val="clear"/>
        <w:jc w:val="center"/>
        <w:rPr>
          <w:rFonts w:hint="eastAsia" w:ascii="宋体" w:hAnsi="宋体" w:eastAsia="宋体" w:cs="宋体"/>
          <w:b/>
          <w:bCs/>
          <w:color w:val="auto"/>
          <w:spacing w:val="0"/>
          <w:position w:val="0"/>
          <w:sz w:val="72"/>
          <w:szCs w:val="144"/>
          <w:highlight w:val="none"/>
        </w:rPr>
      </w:pPr>
    </w:p>
    <w:p w14:paraId="660F0D38">
      <w:pPr>
        <w:jc w:val="center"/>
        <w:rPr>
          <w:rFonts w:ascii="宋体" w:hAnsi="宋体" w:eastAsia="宋体" w:cs="宋体"/>
          <w:b/>
          <w:bCs/>
          <w:color w:val="auto"/>
          <w:spacing w:val="20"/>
          <w:sz w:val="56"/>
          <w:szCs w:val="96"/>
          <w:highlight w:val="none"/>
        </w:rPr>
      </w:pPr>
      <w:r>
        <w:rPr>
          <w:rFonts w:hint="eastAsia" w:ascii="宋体" w:hAnsi="宋体" w:eastAsia="宋体" w:cs="宋体"/>
          <w:b/>
          <w:bCs/>
          <w:color w:val="auto"/>
          <w:spacing w:val="20"/>
          <w:sz w:val="56"/>
          <w:szCs w:val="96"/>
          <w:highlight w:val="none"/>
        </w:rPr>
        <w:t xml:space="preserve">                      </w:t>
      </w:r>
      <w:r>
        <w:rPr>
          <w:rFonts w:hint="eastAsia" w:ascii="宋体" w:hAnsi="宋体" w:eastAsia="宋体" w:cs="宋体"/>
          <w:b/>
          <w:bCs/>
          <w:color w:val="auto"/>
          <w:spacing w:val="20"/>
          <w:sz w:val="56"/>
          <w:szCs w:val="96"/>
          <w:highlight w:val="none"/>
          <w:lang w:eastAsia="zh-CN"/>
        </w:rPr>
        <w:t>副</w:t>
      </w:r>
      <w:r>
        <w:rPr>
          <w:rFonts w:hint="eastAsia" w:ascii="宋体" w:hAnsi="宋体" w:eastAsia="宋体" w:cs="宋体"/>
          <w:b/>
          <w:bCs/>
          <w:color w:val="auto"/>
          <w:spacing w:val="20"/>
          <w:sz w:val="56"/>
          <w:szCs w:val="96"/>
          <w:highlight w:val="none"/>
        </w:rPr>
        <w:t>本</w:t>
      </w:r>
    </w:p>
    <w:p w14:paraId="593C9407">
      <w:pPr>
        <w:jc w:val="center"/>
        <w:rPr>
          <w:rFonts w:ascii="宋体" w:hAnsi="宋体" w:eastAsia="宋体" w:cs="宋体"/>
          <w:b/>
          <w:bCs/>
          <w:color w:val="auto"/>
          <w:spacing w:val="20"/>
          <w:sz w:val="56"/>
          <w:szCs w:val="96"/>
          <w:highlight w:val="none"/>
        </w:rPr>
      </w:pPr>
      <w:r>
        <w:rPr>
          <w:rFonts w:hint="eastAsia" w:ascii="宋体" w:hAnsi="宋体" w:eastAsia="宋体" w:cs="宋体"/>
          <w:b/>
          <w:bCs/>
          <w:color w:val="auto"/>
          <w:spacing w:val="20"/>
          <w:sz w:val="48"/>
          <w:szCs w:val="56"/>
          <w:highlight w:val="none"/>
        </w:rPr>
        <w:t xml:space="preserve">                         </w:t>
      </w:r>
      <w:r>
        <w:rPr>
          <w:rFonts w:hint="eastAsia" w:ascii="宋体" w:hAnsi="宋体" w:eastAsia="宋体" w:cs="宋体"/>
          <w:b/>
          <w:bCs/>
          <w:color w:val="auto"/>
          <w:spacing w:val="20"/>
          <w:sz w:val="56"/>
          <w:szCs w:val="96"/>
          <w:highlight w:val="none"/>
        </w:rPr>
        <w:t xml:space="preserve"> </w:t>
      </w:r>
    </w:p>
    <w:p w14:paraId="09779FF3">
      <w:pPr>
        <w:rPr>
          <w:rFonts w:ascii="宋体" w:hAnsi="宋体" w:eastAsia="宋体" w:cs="宋体"/>
          <w:b/>
          <w:bCs/>
          <w:color w:val="auto"/>
          <w:spacing w:val="20"/>
          <w:sz w:val="48"/>
          <w:szCs w:val="56"/>
          <w:highlight w:val="none"/>
        </w:rPr>
      </w:pPr>
    </w:p>
    <w:p w14:paraId="6B19F1E4">
      <w:pPr>
        <w:jc w:val="center"/>
        <w:rPr>
          <w:rFonts w:ascii="宋体" w:hAnsi="宋体" w:eastAsia="宋体" w:cs="宋体"/>
          <w:b/>
          <w:bCs/>
          <w:color w:val="auto"/>
          <w:spacing w:val="20"/>
          <w:sz w:val="96"/>
          <w:szCs w:val="160"/>
          <w:highlight w:val="none"/>
        </w:rPr>
      </w:pPr>
      <w:r>
        <w:rPr>
          <w:rFonts w:hint="eastAsia" w:ascii="宋体" w:hAnsi="宋体" w:eastAsia="宋体" w:cs="宋体"/>
          <w:b/>
          <w:bCs/>
          <w:color w:val="auto"/>
          <w:spacing w:val="20"/>
          <w:sz w:val="72"/>
          <w:szCs w:val="144"/>
          <w:highlight w:val="none"/>
        </w:rPr>
        <w:t>施 工 承 包 合 同 书</w:t>
      </w:r>
    </w:p>
    <w:p w14:paraId="1F967289">
      <w:pPr>
        <w:jc w:val="center"/>
        <w:rPr>
          <w:rFonts w:ascii="宋体" w:hAnsi="宋体" w:eastAsia="宋体" w:cs="宋体"/>
          <w:color w:val="auto"/>
          <w:spacing w:val="20"/>
          <w:sz w:val="32"/>
          <w:szCs w:val="40"/>
          <w:highlight w:val="none"/>
        </w:rPr>
      </w:pPr>
    </w:p>
    <w:p w14:paraId="628EEBCB">
      <w:pPr>
        <w:jc w:val="center"/>
        <w:rPr>
          <w:rFonts w:ascii="宋体" w:hAnsi="宋体" w:eastAsia="宋体" w:cs="宋体"/>
          <w:color w:val="auto"/>
          <w:spacing w:val="20"/>
          <w:sz w:val="32"/>
          <w:szCs w:val="40"/>
          <w:highlight w:val="none"/>
        </w:rPr>
      </w:pPr>
    </w:p>
    <w:p w14:paraId="6E9A6FAB">
      <w:pPr>
        <w:jc w:val="center"/>
        <w:rPr>
          <w:rFonts w:ascii="宋体" w:hAnsi="宋体" w:eastAsia="宋体" w:cs="宋体"/>
          <w:color w:val="auto"/>
          <w:spacing w:val="20"/>
          <w:sz w:val="32"/>
          <w:szCs w:val="40"/>
          <w:highlight w:val="none"/>
        </w:rPr>
      </w:pPr>
    </w:p>
    <w:p w14:paraId="0B0E36DE">
      <w:pPr>
        <w:jc w:val="center"/>
        <w:rPr>
          <w:rFonts w:ascii="宋体" w:hAnsi="宋体" w:eastAsia="宋体" w:cs="宋体"/>
          <w:color w:val="auto"/>
          <w:spacing w:val="20"/>
          <w:sz w:val="32"/>
          <w:szCs w:val="40"/>
          <w:highlight w:val="none"/>
        </w:rPr>
      </w:pPr>
    </w:p>
    <w:p w14:paraId="66E87BDB">
      <w:pPr>
        <w:jc w:val="both"/>
        <w:rPr>
          <w:rFonts w:hint="default" w:ascii="宋体" w:hAnsi="宋体" w:eastAsia="宋体" w:cs="宋体"/>
          <w:b/>
          <w:bCs/>
          <w:color w:val="auto"/>
          <w:spacing w:val="20"/>
          <w:sz w:val="48"/>
          <w:szCs w:val="56"/>
          <w:highlight w:val="none"/>
          <w:lang w:val="en-US" w:eastAsia="zh-CN"/>
        </w:rPr>
      </w:pPr>
      <w:r>
        <w:rPr>
          <w:rFonts w:hint="eastAsia" w:ascii="宋体" w:hAnsi="宋体" w:eastAsia="宋体" w:cs="宋体"/>
          <w:color w:val="auto"/>
          <w:spacing w:val="20"/>
          <w:sz w:val="28"/>
          <w:szCs w:val="28"/>
          <w:highlight w:val="none"/>
        </w:rPr>
        <w:t>工程名称：</w:t>
      </w:r>
      <w:r>
        <w:rPr>
          <w:rFonts w:hint="eastAsia" w:ascii="宋体" w:hAnsi="宋体" w:cs="宋体"/>
          <w:color w:val="auto"/>
          <w:spacing w:val="0"/>
          <w:sz w:val="28"/>
          <w:szCs w:val="28"/>
          <w:highlight w:val="none"/>
          <w:u w:val="single"/>
          <w:lang w:val="en-US" w:eastAsia="zh-CN"/>
        </w:rPr>
        <w:t xml:space="preserve">                       </w:t>
      </w:r>
    </w:p>
    <w:p w14:paraId="5EC3B6D6">
      <w:pPr>
        <w:rPr>
          <w:rFonts w:ascii="宋体" w:hAnsi="宋体" w:eastAsia="宋体" w:cs="宋体"/>
          <w:color w:val="auto"/>
          <w:spacing w:val="20"/>
          <w:sz w:val="28"/>
          <w:szCs w:val="36"/>
          <w:highlight w:val="none"/>
        </w:rPr>
      </w:pPr>
    </w:p>
    <w:p w14:paraId="02AF50CC">
      <w:pPr>
        <w:rPr>
          <w:rFonts w:ascii="宋体" w:hAnsi="宋体" w:eastAsia="宋体" w:cs="宋体"/>
          <w:color w:val="auto"/>
          <w:spacing w:val="20"/>
          <w:sz w:val="28"/>
          <w:szCs w:val="36"/>
          <w:highlight w:val="none"/>
          <w:u w:val="single"/>
        </w:rPr>
      </w:pPr>
      <w:r>
        <w:rPr>
          <w:rFonts w:hint="eastAsia" w:ascii="宋体" w:hAnsi="宋体" w:eastAsia="宋体" w:cs="宋体"/>
          <w:color w:val="auto"/>
          <w:spacing w:val="20"/>
          <w:sz w:val="28"/>
          <w:szCs w:val="36"/>
          <w:highlight w:val="none"/>
        </w:rPr>
        <w:t>发包人（甲方）：</w:t>
      </w:r>
      <w:r>
        <w:rPr>
          <w:rFonts w:hint="eastAsia" w:ascii="宋体" w:hAnsi="宋体" w:eastAsia="宋体" w:cs="宋体"/>
          <w:color w:val="auto"/>
          <w:spacing w:val="20"/>
          <w:sz w:val="28"/>
          <w:szCs w:val="36"/>
          <w:highlight w:val="none"/>
          <w:u w:val="single"/>
        </w:rPr>
        <w:t xml:space="preserve"> </w:t>
      </w:r>
      <w:r>
        <w:rPr>
          <w:rFonts w:hint="eastAsia" w:ascii="宋体" w:hAnsi="宋体" w:cs="宋体"/>
          <w:color w:val="auto"/>
          <w:spacing w:val="20"/>
          <w:sz w:val="28"/>
          <w:szCs w:val="36"/>
          <w:highlight w:val="none"/>
          <w:u w:val="single"/>
          <w:lang w:val="en-US" w:eastAsia="zh-CN"/>
        </w:rPr>
        <w:t xml:space="preserve">             </w:t>
      </w:r>
      <w:r>
        <w:rPr>
          <w:rFonts w:hint="eastAsia" w:ascii="宋体" w:hAnsi="宋体" w:eastAsia="宋体" w:cs="宋体"/>
          <w:color w:val="auto"/>
          <w:spacing w:val="20"/>
          <w:sz w:val="28"/>
          <w:szCs w:val="36"/>
          <w:highlight w:val="none"/>
          <w:u w:val="single"/>
        </w:rPr>
        <w:t xml:space="preserve"> </w:t>
      </w:r>
    </w:p>
    <w:p w14:paraId="7C0FD11C">
      <w:pPr>
        <w:rPr>
          <w:rFonts w:ascii="宋体" w:hAnsi="宋体" w:eastAsia="宋体" w:cs="宋体"/>
          <w:color w:val="auto"/>
          <w:spacing w:val="20"/>
          <w:sz w:val="28"/>
          <w:szCs w:val="36"/>
          <w:highlight w:val="none"/>
        </w:rPr>
      </w:pPr>
    </w:p>
    <w:p w14:paraId="5DC01E78">
      <w:pPr>
        <w:rPr>
          <w:rFonts w:ascii="宋体" w:hAnsi="宋体" w:eastAsia="宋体" w:cs="宋体"/>
          <w:color w:val="auto"/>
          <w:spacing w:val="20"/>
          <w:sz w:val="28"/>
          <w:szCs w:val="36"/>
          <w:highlight w:val="none"/>
          <w:u w:val="single"/>
        </w:rPr>
      </w:pPr>
      <w:r>
        <w:rPr>
          <w:rFonts w:hint="eastAsia" w:ascii="宋体" w:hAnsi="宋体" w:eastAsia="宋体" w:cs="宋体"/>
          <w:color w:val="auto"/>
          <w:spacing w:val="20"/>
          <w:sz w:val="28"/>
          <w:szCs w:val="36"/>
          <w:highlight w:val="none"/>
        </w:rPr>
        <w:t>承包人（乙方）：</w:t>
      </w:r>
      <w:r>
        <w:rPr>
          <w:rFonts w:hint="eastAsia" w:ascii="宋体" w:hAnsi="宋体" w:eastAsia="宋体" w:cs="宋体"/>
          <w:color w:val="auto"/>
          <w:spacing w:val="20"/>
          <w:sz w:val="28"/>
          <w:szCs w:val="36"/>
          <w:highlight w:val="none"/>
          <w:u w:val="single"/>
        </w:rPr>
        <w:t xml:space="preserve">  </w:t>
      </w:r>
      <w:r>
        <w:rPr>
          <w:rFonts w:hint="eastAsia" w:ascii="宋体" w:hAnsi="宋体" w:eastAsia="宋体" w:cs="宋体"/>
          <w:color w:val="auto"/>
          <w:spacing w:val="20"/>
          <w:sz w:val="28"/>
          <w:szCs w:val="36"/>
          <w:highlight w:val="none"/>
          <w:u w:val="single"/>
          <w:lang w:eastAsia="zh-CN"/>
        </w:rPr>
        <w:t xml:space="preserve">                      </w:t>
      </w:r>
      <w:r>
        <w:rPr>
          <w:rFonts w:hint="eastAsia" w:ascii="宋体" w:hAnsi="宋体" w:eastAsia="宋体" w:cs="宋体"/>
          <w:color w:val="auto"/>
          <w:spacing w:val="20"/>
          <w:sz w:val="28"/>
          <w:szCs w:val="36"/>
          <w:highlight w:val="none"/>
          <w:u w:val="single"/>
        </w:rPr>
        <w:t xml:space="preserve"> </w:t>
      </w:r>
    </w:p>
    <w:p w14:paraId="299F06E0">
      <w:pPr>
        <w:rPr>
          <w:rFonts w:ascii="宋体" w:hAnsi="宋体" w:eastAsia="宋体" w:cs="宋体"/>
          <w:color w:val="auto"/>
          <w:spacing w:val="20"/>
          <w:sz w:val="28"/>
          <w:szCs w:val="36"/>
          <w:highlight w:val="none"/>
        </w:rPr>
      </w:pPr>
    </w:p>
    <w:p w14:paraId="44F1F6EE">
      <w:pPr>
        <w:rPr>
          <w:rFonts w:ascii="宋体" w:hAnsi="宋体" w:eastAsia="宋体" w:cs="宋体"/>
          <w:color w:val="auto"/>
          <w:spacing w:val="20"/>
          <w:sz w:val="32"/>
          <w:szCs w:val="40"/>
          <w:highlight w:val="none"/>
        </w:rPr>
      </w:pPr>
      <w:r>
        <w:rPr>
          <w:rFonts w:hint="eastAsia" w:ascii="宋体" w:hAnsi="宋体" w:eastAsia="宋体" w:cs="宋体"/>
          <w:color w:val="auto"/>
          <w:spacing w:val="20"/>
          <w:sz w:val="28"/>
          <w:szCs w:val="28"/>
          <w:highlight w:val="none"/>
        </w:rPr>
        <w:t>日      期：</w:t>
      </w:r>
      <w:r>
        <w:rPr>
          <w:rFonts w:hint="eastAsia" w:ascii="宋体" w:hAnsi="宋体" w:eastAsia="宋体" w:cs="宋体"/>
          <w:color w:val="auto"/>
          <w:spacing w:val="20"/>
          <w:sz w:val="28"/>
          <w:szCs w:val="28"/>
          <w:highlight w:val="none"/>
          <w:u w:val="single"/>
          <w:lang w:val="en-US" w:eastAsia="zh-CN"/>
        </w:rPr>
        <w:t xml:space="preserve">    </w:t>
      </w:r>
      <w:r>
        <w:rPr>
          <w:rFonts w:hint="eastAsia" w:ascii="宋体" w:hAnsi="宋体" w:eastAsia="宋体" w:cs="宋体"/>
          <w:color w:val="auto"/>
          <w:spacing w:val="20"/>
          <w:sz w:val="28"/>
          <w:szCs w:val="28"/>
          <w:highlight w:val="none"/>
          <w:u w:val="single"/>
        </w:rPr>
        <w:t xml:space="preserve"> 年</w:t>
      </w:r>
      <w:r>
        <w:rPr>
          <w:rFonts w:hint="eastAsia" w:ascii="宋体" w:hAnsi="宋体" w:eastAsia="宋体" w:cs="宋体"/>
          <w:color w:val="auto"/>
          <w:spacing w:val="20"/>
          <w:sz w:val="28"/>
          <w:szCs w:val="28"/>
          <w:highlight w:val="none"/>
          <w:u w:val="single"/>
          <w:lang w:val="en-US" w:eastAsia="zh-CN"/>
        </w:rPr>
        <w:t xml:space="preserve">   </w:t>
      </w:r>
      <w:r>
        <w:rPr>
          <w:rFonts w:hint="eastAsia" w:ascii="宋体" w:hAnsi="宋体" w:eastAsia="宋体" w:cs="宋体"/>
          <w:color w:val="auto"/>
          <w:spacing w:val="20"/>
          <w:sz w:val="28"/>
          <w:szCs w:val="28"/>
          <w:highlight w:val="none"/>
          <w:u w:val="single"/>
        </w:rPr>
        <w:t xml:space="preserve">月 </w:t>
      </w:r>
      <w:r>
        <w:rPr>
          <w:rFonts w:hint="eastAsia" w:ascii="宋体" w:hAnsi="宋体" w:eastAsia="宋体" w:cs="宋体"/>
          <w:color w:val="auto"/>
          <w:spacing w:val="20"/>
          <w:sz w:val="28"/>
          <w:szCs w:val="28"/>
          <w:highlight w:val="none"/>
          <w:u w:val="single"/>
          <w:lang w:val="en-US" w:eastAsia="zh-CN"/>
        </w:rPr>
        <w:t xml:space="preserve">  </w:t>
      </w:r>
      <w:r>
        <w:rPr>
          <w:rFonts w:hint="eastAsia" w:ascii="宋体" w:hAnsi="宋体" w:eastAsia="宋体" w:cs="宋体"/>
          <w:color w:val="auto"/>
          <w:spacing w:val="20"/>
          <w:sz w:val="28"/>
          <w:szCs w:val="28"/>
          <w:highlight w:val="none"/>
          <w:u w:val="single"/>
        </w:rPr>
        <w:t>日</w:t>
      </w:r>
    </w:p>
    <w:p w14:paraId="0E058557">
      <w:pPr>
        <w:pStyle w:val="2"/>
        <w:numPr>
          <w:ilvl w:val="0"/>
          <w:numId w:val="0"/>
        </w:numPr>
        <w:jc w:val="both"/>
        <w:rPr>
          <w:rFonts w:ascii="宋体" w:hAnsi="宋体" w:eastAsia="宋体" w:cs="宋体"/>
          <w:color w:val="auto"/>
          <w:spacing w:val="20"/>
          <w:sz w:val="40"/>
          <w:szCs w:val="52"/>
          <w:highlight w:val="none"/>
        </w:rPr>
        <w:sectPr>
          <w:pgSz w:w="11906" w:h="16838"/>
          <w:pgMar w:top="1190" w:right="1453" w:bottom="1368" w:left="1633" w:header="851" w:footer="992" w:gutter="0"/>
          <w:cols w:space="0" w:num="1"/>
          <w:docGrid w:type="lines" w:linePitch="312" w:charSpace="0"/>
        </w:sectPr>
      </w:pPr>
      <w:bookmarkStart w:id="78" w:name="_Toc12680"/>
      <w:bookmarkStart w:id="79" w:name="_Toc373478199"/>
      <w:bookmarkStart w:id="80" w:name="_Toc373227552"/>
      <w:bookmarkStart w:id="81" w:name="_Toc26265"/>
      <w:bookmarkStart w:id="82" w:name="_Toc296890982"/>
      <w:bookmarkStart w:id="83" w:name="_Toc389065255"/>
      <w:bookmarkStart w:id="84" w:name="_Toc351203480"/>
      <w:bookmarkStart w:id="85" w:name="_Toc296503025"/>
    </w:p>
    <w:bookmarkEnd w:id="78"/>
    <w:bookmarkEnd w:id="79"/>
    <w:bookmarkEnd w:id="80"/>
    <w:bookmarkEnd w:id="81"/>
    <w:bookmarkEnd w:id="82"/>
    <w:bookmarkEnd w:id="83"/>
    <w:bookmarkEnd w:id="84"/>
    <w:bookmarkEnd w:id="85"/>
    <w:p w14:paraId="7A11B71D">
      <w:pPr>
        <w:pStyle w:val="2"/>
        <w:numPr>
          <w:ilvl w:val="0"/>
          <w:numId w:val="3"/>
        </w:numPr>
        <w:jc w:val="center"/>
        <w:rPr>
          <w:color w:val="auto"/>
          <w:highlight w:val="none"/>
        </w:rPr>
      </w:pPr>
      <w:r>
        <w:rPr>
          <w:rFonts w:hint="eastAsia" w:ascii="宋体" w:hAnsi="宋体" w:eastAsia="宋体" w:cs="宋体"/>
          <w:color w:val="auto"/>
          <w:spacing w:val="20"/>
          <w:sz w:val="36"/>
          <w:szCs w:val="48"/>
          <w:highlight w:val="none"/>
        </w:rPr>
        <w:t>合同协议书</w:t>
      </w:r>
    </w:p>
    <w:p w14:paraId="42611328">
      <w:pPr>
        <w:rPr>
          <w:color w:val="auto"/>
          <w:highlight w:val="none"/>
        </w:rPr>
      </w:pPr>
    </w:p>
    <w:p w14:paraId="2574BFE2">
      <w:pPr>
        <w:adjustRightInd w:val="0"/>
        <w:snapToGrid w:val="0"/>
        <w:spacing w:line="360" w:lineRule="auto"/>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rPr>
        <w:t>发包人（全称）：</w:t>
      </w:r>
      <w:r>
        <w:rPr>
          <w:rFonts w:hint="eastAsia" w:ascii="宋体" w:hAnsi="宋体" w:eastAsia="宋体" w:cs="宋体"/>
          <w:color w:val="auto"/>
          <w:spacing w:val="20"/>
          <w:sz w:val="24"/>
          <w:highlight w:val="none"/>
          <w:u w:val="single"/>
        </w:rPr>
        <w:t xml:space="preserve"> </w:t>
      </w:r>
      <w:r>
        <w:rPr>
          <w:rFonts w:hint="eastAsia" w:ascii="宋体" w:hAnsi="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p>
    <w:p w14:paraId="12688127">
      <w:pPr>
        <w:adjustRightInd w:val="0"/>
        <w:snapToGrid w:val="0"/>
        <w:spacing w:line="360" w:lineRule="auto"/>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rPr>
        <w:t>承包人（全称）：</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eastAsia="zh-CN"/>
        </w:rPr>
        <w:t xml:space="preserve">                                  </w:t>
      </w:r>
      <w:r>
        <w:rPr>
          <w:rFonts w:hint="eastAsia" w:ascii="宋体" w:hAnsi="宋体" w:eastAsia="宋体" w:cs="宋体"/>
          <w:color w:val="auto"/>
          <w:spacing w:val="20"/>
          <w:sz w:val="24"/>
          <w:highlight w:val="none"/>
          <w:u w:val="single"/>
        </w:rPr>
        <w:t xml:space="preserve">   </w:t>
      </w:r>
    </w:p>
    <w:p w14:paraId="5A741457">
      <w:pPr>
        <w:adjustRightInd w:val="0"/>
        <w:snapToGrid w:val="0"/>
        <w:spacing w:line="360" w:lineRule="auto"/>
        <w:ind w:firstLine="560" w:firstLineChars="20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为实施</w:t>
      </w:r>
      <w:r>
        <w:rPr>
          <w:rFonts w:hint="eastAsia" w:ascii="宋体" w:hAnsi="宋体" w:eastAsia="宋体" w:cs="宋体"/>
          <w:color w:val="auto"/>
          <w:spacing w:val="20"/>
          <w:sz w:val="24"/>
          <w:highlight w:val="none"/>
          <w:u w:val="single"/>
        </w:rPr>
        <w:t xml:space="preserve"> </w:t>
      </w:r>
      <w:r>
        <w:rPr>
          <w:rFonts w:hint="eastAsia" w:ascii="宋体" w:hAnsi="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，根据《中华人民共和国</w:t>
      </w:r>
      <w:r>
        <w:rPr>
          <w:rFonts w:hint="eastAsia" w:ascii="宋体" w:hAnsi="宋体" w:cs="宋体"/>
          <w:color w:val="auto"/>
          <w:spacing w:val="20"/>
          <w:sz w:val="24"/>
          <w:highlight w:val="none"/>
          <w:lang w:eastAsia="zh-CN"/>
        </w:rPr>
        <w:t>民法典</w:t>
      </w:r>
      <w:r>
        <w:rPr>
          <w:rFonts w:hint="eastAsia" w:ascii="宋体" w:hAnsi="宋体" w:eastAsia="宋体" w:cs="宋体"/>
          <w:color w:val="auto"/>
          <w:spacing w:val="20"/>
          <w:sz w:val="24"/>
          <w:highlight w:val="none"/>
        </w:rPr>
        <w:t>》、《中华人民共和国建筑法》及有关法律规定，遵循平等、自愿、公平和诚实信用的原则，双方就</w:t>
      </w:r>
      <w:r>
        <w:rPr>
          <w:rFonts w:hint="eastAsia" w:ascii="宋体" w:hAnsi="宋体" w:eastAsia="宋体" w:cs="宋体"/>
          <w:color w:val="auto"/>
          <w:spacing w:val="20"/>
          <w:sz w:val="24"/>
          <w:highlight w:val="none"/>
          <w:u w:val="single"/>
        </w:rPr>
        <w:t xml:space="preserve"> </w:t>
      </w:r>
      <w:r>
        <w:rPr>
          <w:rFonts w:hint="eastAsia" w:ascii="宋体" w:hAnsi="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工程施工及有关事项协商一致，共同达成如下协议：</w:t>
      </w:r>
      <w:bookmarkStart w:id="86" w:name="_Toc351203481"/>
    </w:p>
    <w:p w14:paraId="137333F7">
      <w:pPr>
        <w:adjustRightInd w:val="0"/>
        <w:snapToGrid w:val="0"/>
        <w:spacing w:line="360" w:lineRule="auto"/>
        <w:ind w:firstLine="562" w:firstLineChars="200"/>
        <w:outlineLvl w:val="0"/>
        <w:rPr>
          <w:rFonts w:ascii="宋体" w:hAnsi="宋体" w:eastAsia="宋体" w:cs="宋体"/>
          <w:b/>
          <w:bCs/>
          <w:color w:val="auto"/>
          <w:spacing w:val="20"/>
          <w:sz w:val="24"/>
          <w:highlight w:val="none"/>
        </w:rPr>
      </w:pPr>
      <w:r>
        <w:rPr>
          <w:rFonts w:hint="eastAsia" w:ascii="宋体" w:hAnsi="宋体" w:eastAsia="宋体" w:cs="宋体"/>
          <w:b/>
          <w:bCs/>
          <w:color w:val="auto"/>
          <w:spacing w:val="20"/>
          <w:sz w:val="24"/>
          <w:highlight w:val="none"/>
        </w:rPr>
        <w:t>一、工程概况</w:t>
      </w:r>
      <w:bookmarkEnd w:id="86"/>
    </w:p>
    <w:p w14:paraId="181ED2C3">
      <w:pPr>
        <w:adjustRightInd w:val="0"/>
        <w:snapToGrid w:val="0"/>
        <w:spacing w:line="360" w:lineRule="auto"/>
        <w:ind w:firstLine="548" w:firstLineChars="196"/>
        <w:rPr>
          <w:rFonts w:ascii="宋体" w:hAnsi="宋体" w:eastAsia="宋体" w:cs="宋体"/>
          <w:color w:val="auto"/>
          <w:spacing w:val="20"/>
          <w:sz w:val="24"/>
          <w:highlight w:val="none"/>
          <w:u w:val="single"/>
        </w:rPr>
      </w:pPr>
      <w:r>
        <w:rPr>
          <w:rFonts w:hint="eastAsia" w:ascii="宋体" w:hAnsi="宋体" w:eastAsia="宋体" w:cs="宋体"/>
          <w:bCs/>
          <w:color w:val="auto"/>
          <w:spacing w:val="20"/>
          <w:sz w:val="24"/>
          <w:highlight w:val="none"/>
        </w:rPr>
        <w:t>1. 工程名称</w:t>
      </w:r>
      <w:r>
        <w:rPr>
          <w:rFonts w:hint="eastAsia" w:ascii="宋体" w:hAnsi="宋体" w:eastAsia="宋体" w:cs="宋体"/>
          <w:color w:val="auto"/>
          <w:spacing w:val="20"/>
          <w:sz w:val="24"/>
          <w:highlight w:val="none"/>
        </w:rPr>
        <w:t>：</w:t>
      </w:r>
      <w:r>
        <w:rPr>
          <w:rFonts w:hint="eastAsia" w:ascii="宋体" w:hAnsi="宋体" w:eastAsia="宋体" w:cs="宋体"/>
          <w:color w:val="auto"/>
          <w:spacing w:val="20"/>
          <w:sz w:val="24"/>
          <w:highlight w:val="none"/>
          <w:u w:val="single"/>
        </w:rPr>
        <w:t xml:space="preserve"> </w:t>
      </w:r>
      <w:r>
        <w:rPr>
          <w:rFonts w:hint="eastAsia" w:ascii="宋体" w:hAnsi="宋体" w:cs="宋体"/>
          <w:color w:val="auto"/>
          <w:spacing w:val="20"/>
          <w:sz w:val="24"/>
          <w:highlight w:val="none"/>
          <w:u w:val="single"/>
          <w:lang w:val="en-US" w:eastAsia="zh-CN"/>
        </w:rPr>
        <w:t xml:space="preserve">             </w:t>
      </w:r>
      <w:r>
        <w:rPr>
          <w:rFonts w:hint="eastAsia" w:ascii="宋体" w:hAnsi="宋体" w:eastAsia="宋体" w:cs="宋体"/>
          <w:b/>
          <w:bCs/>
          <w:color w:val="auto"/>
          <w:spacing w:val="20"/>
          <w:sz w:val="24"/>
          <w:highlight w:val="none"/>
          <w:u w:val="single"/>
        </w:rPr>
        <w:t xml:space="preserve"> </w:t>
      </w:r>
      <w:r>
        <w:rPr>
          <w:rFonts w:hint="eastAsia" w:ascii="宋体" w:hAnsi="宋体" w:eastAsia="宋体" w:cs="宋体"/>
          <w:color w:val="auto"/>
          <w:spacing w:val="20"/>
          <w:sz w:val="24"/>
          <w:highlight w:val="none"/>
        </w:rPr>
        <w:t>。</w:t>
      </w:r>
    </w:p>
    <w:p w14:paraId="103F5B96">
      <w:pPr>
        <w:adjustRightInd w:val="0"/>
        <w:snapToGrid w:val="0"/>
        <w:spacing w:line="360" w:lineRule="auto"/>
        <w:ind w:firstLine="548" w:firstLineChars="196"/>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2. 工程地点：</w:t>
      </w:r>
      <w:r>
        <w:rPr>
          <w:rFonts w:hint="eastAsia" w:ascii="宋体" w:hAnsi="宋体" w:eastAsia="宋体" w:cs="宋体"/>
          <w:color w:val="auto"/>
          <w:spacing w:val="20"/>
          <w:sz w:val="24"/>
          <w:highlight w:val="none"/>
          <w:u w:val="single"/>
        </w:rPr>
        <w:t xml:space="preserve"> </w:t>
      </w:r>
      <w:r>
        <w:rPr>
          <w:rFonts w:hint="eastAsia" w:ascii="宋体" w:hAnsi="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lang w:eastAsia="zh-CN"/>
        </w:rPr>
        <w:t xml:space="preserve"> </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w:t>
      </w:r>
    </w:p>
    <w:p w14:paraId="0210EE73">
      <w:pPr>
        <w:adjustRightInd w:val="0"/>
        <w:snapToGrid w:val="0"/>
        <w:spacing w:line="360" w:lineRule="auto"/>
        <w:ind w:firstLine="548" w:firstLineChars="196"/>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3. 工程立项批准文号：</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r>
        <w:rPr>
          <w:rFonts w:hint="eastAsia" w:ascii="宋体" w:hAnsi="宋体" w:eastAsia="宋体" w:cs="宋体"/>
          <w:bCs/>
          <w:color w:val="auto"/>
          <w:spacing w:val="20"/>
          <w:sz w:val="24"/>
          <w:highlight w:val="none"/>
        </w:rPr>
        <w:t>。</w:t>
      </w:r>
    </w:p>
    <w:p w14:paraId="6EC440EE">
      <w:pPr>
        <w:adjustRightInd w:val="0"/>
        <w:snapToGrid w:val="0"/>
        <w:spacing w:line="360" w:lineRule="auto"/>
        <w:ind w:firstLine="548" w:firstLineChars="196"/>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4. 资金来源：</w:t>
      </w:r>
      <w:r>
        <w:rPr>
          <w:rFonts w:hint="eastAsia" w:ascii="宋体" w:hAnsi="宋体" w:eastAsia="宋体" w:cs="宋体"/>
          <w:color w:val="auto"/>
          <w:spacing w:val="20"/>
          <w:sz w:val="24"/>
          <w:highlight w:val="none"/>
          <w:u w:val="single"/>
        </w:rPr>
        <w:t xml:space="preserve">  </w:t>
      </w:r>
      <w:r>
        <w:rPr>
          <w:rFonts w:hint="eastAsia" w:ascii="宋体" w:hAnsi="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r>
        <w:rPr>
          <w:rFonts w:hint="eastAsia" w:ascii="宋体" w:hAnsi="宋体" w:eastAsia="宋体" w:cs="宋体"/>
          <w:bCs/>
          <w:color w:val="auto"/>
          <w:spacing w:val="20"/>
          <w:sz w:val="24"/>
          <w:highlight w:val="none"/>
        </w:rPr>
        <w:t>。</w:t>
      </w:r>
    </w:p>
    <w:p w14:paraId="74A95224">
      <w:pPr>
        <w:adjustRightInd w:val="0"/>
        <w:snapToGrid w:val="0"/>
        <w:spacing w:line="360" w:lineRule="auto"/>
        <w:ind w:firstLine="548" w:firstLineChars="196"/>
        <w:rPr>
          <w:rFonts w:hint="eastAsia" w:ascii="宋体" w:hAnsi="宋体" w:eastAsia="宋体" w:cs="宋体"/>
          <w:color w:val="auto"/>
          <w:spacing w:val="20"/>
          <w:sz w:val="24"/>
          <w:highlight w:val="none"/>
          <w:u w:val="single"/>
          <w:lang w:eastAsia="zh-CN"/>
        </w:rPr>
      </w:pPr>
      <w:r>
        <w:rPr>
          <w:rFonts w:hint="eastAsia" w:ascii="宋体" w:hAnsi="宋体" w:eastAsia="宋体" w:cs="宋体"/>
          <w:bCs/>
          <w:color w:val="auto"/>
          <w:spacing w:val="20"/>
          <w:sz w:val="24"/>
          <w:highlight w:val="none"/>
        </w:rPr>
        <w:t>5. 工程内容：</w:t>
      </w:r>
      <w:r>
        <w:rPr>
          <w:rFonts w:hint="eastAsia" w:ascii="宋体" w:hAnsi="宋体" w:eastAsia="宋体" w:cs="宋体"/>
          <w:bCs/>
          <w:color w:val="auto"/>
          <w:spacing w:val="20"/>
          <w:sz w:val="24"/>
          <w:highlight w:val="none"/>
          <w:u w:val="single"/>
          <w:lang w:val="en-US" w:eastAsia="zh-CN"/>
        </w:rPr>
        <w:t xml:space="preserve">                                     </w:t>
      </w:r>
      <w:r>
        <w:rPr>
          <w:rFonts w:hint="eastAsia" w:ascii="宋体" w:hAnsi="宋体" w:eastAsia="宋体" w:cs="宋体"/>
          <w:bCs/>
          <w:color w:val="auto"/>
          <w:spacing w:val="20"/>
          <w:sz w:val="24"/>
          <w:highlight w:val="none"/>
          <w:u w:val="none"/>
          <w:lang w:val="en-US" w:eastAsia="zh-CN"/>
        </w:rPr>
        <w:t xml:space="preserve"> </w:t>
      </w:r>
      <w:r>
        <w:rPr>
          <w:rFonts w:hint="eastAsia" w:ascii="宋体" w:hAnsi="宋体" w:eastAsia="宋体" w:cs="宋体"/>
          <w:color w:val="auto"/>
          <w:spacing w:val="20"/>
          <w:sz w:val="24"/>
          <w:highlight w:val="none"/>
          <w:u w:val="none"/>
          <w:lang w:val="zh-CN" w:eastAsia="zh-CN"/>
        </w:rPr>
        <w:t>等</w:t>
      </w:r>
      <w:r>
        <w:rPr>
          <w:rFonts w:hint="eastAsia" w:ascii="宋体" w:hAnsi="宋体" w:eastAsia="宋体" w:cs="宋体"/>
          <w:color w:val="auto"/>
          <w:spacing w:val="20"/>
          <w:sz w:val="24"/>
          <w:highlight w:val="none"/>
          <w:u w:val="none"/>
          <w:lang w:eastAsia="zh-CN"/>
        </w:rPr>
        <w:t>。</w:t>
      </w:r>
    </w:p>
    <w:p w14:paraId="6E9F5A10">
      <w:pPr>
        <w:adjustRightInd w:val="0"/>
        <w:snapToGrid w:val="0"/>
        <w:spacing w:line="360" w:lineRule="auto"/>
        <w:ind w:firstLine="548" w:firstLineChars="196"/>
        <w:outlineLvl w:val="0"/>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6. 工程承包范围：</w:t>
      </w:r>
      <w:r>
        <w:rPr>
          <w:rFonts w:hint="eastAsia" w:ascii="宋体" w:hAnsi="宋体" w:eastAsia="宋体" w:cs="宋体"/>
          <w:color w:val="auto"/>
          <w:spacing w:val="20"/>
          <w:sz w:val="24"/>
          <w:highlight w:val="none"/>
          <w:u w:val="single"/>
        </w:rPr>
        <w:t xml:space="preserve"> 详见工程量清单所包含内容 </w:t>
      </w:r>
      <w:r>
        <w:rPr>
          <w:rFonts w:hint="eastAsia" w:ascii="宋体" w:hAnsi="宋体" w:eastAsia="宋体" w:cs="宋体"/>
          <w:color w:val="auto"/>
          <w:spacing w:val="20"/>
          <w:sz w:val="24"/>
          <w:highlight w:val="none"/>
        </w:rPr>
        <w:t>。</w:t>
      </w:r>
    </w:p>
    <w:p w14:paraId="3B2954F1">
      <w:pPr>
        <w:adjustRightInd w:val="0"/>
        <w:snapToGrid w:val="0"/>
        <w:spacing w:line="360" w:lineRule="auto"/>
        <w:ind w:firstLine="542" w:firstLineChars="193"/>
        <w:outlineLvl w:val="0"/>
        <w:rPr>
          <w:rFonts w:ascii="宋体" w:hAnsi="宋体" w:eastAsia="宋体" w:cs="宋体"/>
          <w:b/>
          <w:bCs/>
          <w:color w:val="auto"/>
          <w:spacing w:val="20"/>
          <w:sz w:val="24"/>
          <w:highlight w:val="none"/>
        </w:rPr>
      </w:pPr>
      <w:bookmarkStart w:id="87" w:name="_Toc351203482"/>
      <w:r>
        <w:rPr>
          <w:rFonts w:hint="eastAsia" w:ascii="宋体" w:hAnsi="宋体" w:eastAsia="宋体" w:cs="宋体"/>
          <w:b/>
          <w:bCs/>
          <w:color w:val="auto"/>
          <w:spacing w:val="20"/>
          <w:sz w:val="24"/>
          <w:highlight w:val="none"/>
        </w:rPr>
        <w:t>二、合同工期</w:t>
      </w:r>
      <w:bookmarkEnd w:id="87"/>
    </w:p>
    <w:p w14:paraId="738C7510">
      <w:pPr>
        <w:adjustRightInd w:val="0"/>
        <w:snapToGrid w:val="0"/>
        <w:spacing w:line="360" w:lineRule="auto"/>
        <w:ind w:firstLine="459"/>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计划开工日期：</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rPr>
        <w:t>年</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月</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日。（具体以开工令为准）</w:t>
      </w:r>
    </w:p>
    <w:p w14:paraId="47AA8552">
      <w:pPr>
        <w:adjustRightInd w:val="0"/>
        <w:snapToGrid w:val="0"/>
        <w:spacing w:line="360" w:lineRule="auto"/>
        <w:ind w:firstLine="459"/>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计划竣工日期：</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rPr>
        <w:t>年</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rPr>
        <w:t>月</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日。</w:t>
      </w:r>
    </w:p>
    <w:p w14:paraId="6DBD903A">
      <w:pPr>
        <w:adjustRightInd w:val="0"/>
        <w:snapToGrid w:val="0"/>
        <w:spacing w:line="360" w:lineRule="auto"/>
        <w:ind w:firstLine="459"/>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工期总日历天数：</w:t>
      </w:r>
      <w:r>
        <w:rPr>
          <w:rFonts w:hint="eastAsia" w:ascii="宋体" w:hAnsi="宋体" w:eastAsia="宋体" w:cs="宋体"/>
          <w:b/>
          <w:bCs/>
          <w:color w:val="auto"/>
          <w:spacing w:val="20"/>
          <w:sz w:val="24"/>
          <w:highlight w:val="none"/>
          <w:u w:val="single"/>
        </w:rPr>
        <w:t xml:space="preserve"> </w:t>
      </w:r>
      <w:r>
        <w:rPr>
          <w:rFonts w:hint="eastAsia" w:ascii="宋体" w:hAnsi="宋体" w:eastAsia="宋体" w:cs="宋体"/>
          <w:b/>
          <w:bCs/>
          <w:color w:val="auto"/>
          <w:spacing w:val="20"/>
          <w:sz w:val="24"/>
          <w:highlight w:val="none"/>
          <w:u w:val="single"/>
          <w:lang w:val="en-US" w:eastAsia="zh-CN"/>
        </w:rPr>
        <w:t xml:space="preserve">   </w:t>
      </w:r>
      <w:r>
        <w:rPr>
          <w:rFonts w:hint="eastAsia" w:ascii="宋体" w:hAnsi="宋体" w:eastAsia="宋体" w:cs="宋体"/>
          <w:b/>
          <w:bCs/>
          <w:color w:val="auto"/>
          <w:spacing w:val="20"/>
          <w:sz w:val="24"/>
          <w:highlight w:val="none"/>
          <w:u w:val="single"/>
        </w:rPr>
        <w:t xml:space="preserve"> </w:t>
      </w:r>
      <w:r>
        <w:rPr>
          <w:rFonts w:hint="eastAsia" w:ascii="宋体" w:hAnsi="宋体" w:eastAsia="宋体" w:cs="宋体"/>
          <w:color w:val="auto"/>
          <w:spacing w:val="20"/>
          <w:sz w:val="24"/>
          <w:highlight w:val="none"/>
        </w:rPr>
        <w:t>天。工期总日历天数与根据前述计划开竣工日期计算的工期天数不一致的，以工期总日历天数为准。</w:t>
      </w:r>
    </w:p>
    <w:p w14:paraId="4C15079F">
      <w:pPr>
        <w:adjustRightInd w:val="0"/>
        <w:snapToGrid w:val="0"/>
        <w:spacing w:line="360" w:lineRule="auto"/>
        <w:ind w:firstLine="459"/>
        <w:outlineLvl w:val="0"/>
        <w:rPr>
          <w:rFonts w:ascii="宋体" w:hAnsi="宋体" w:eastAsia="宋体" w:cs="宋体"/>
          <w:b/>
          <w:bCs/>
          <w:color w:val="auto"/>
          <w:spacing w:val="20"/>
          <w:sz w:val="24"/>
          <w:highlight w:val="none"/>
        </w:rPr>
      </w:pPr>
      <w:bookmarkStart w:id="88" w:name="_Toc351203483"/>
      <w:r>
        <w:rPr>
          <w:rFonts w:hint="eastAsia" w:ascii="宋体" w:hAnsi="宋体" w:eastAsia="宋体" w:cs="宋体"/>
          <w:b/>
          <w:bCs/>
          <w:color w:val="auto"/>
          <w:spacing w:val="20"/>
          <w:sz w:val="24"/>
          <w:highlight w:val="none"/>
        </w:rPr>
        <w:t>三、质量标准</w:t>
      </w:r>
      <w:bookmarkEnd w:id="88"/>
    </w:p>
    <w:p w14:paraId="4535262F">
      <w:pPr>
        <w:adjustRightInd w:val="0"/>
        <w:snapToGrid w:val="0"/>
        <w:spacing w:line="360" w:lineRule="auto"/>
        <w:ind w:firstLine="459"/>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工程质量符合</w:t>
      </w:r>
      <w:r>
        <w:rPr>
          <w:rFonts w:hint="eastAsia" w:ascii="宋体" w:hAnsi="宋体" w:eastAsia="宋体" w:cs="宋体"/>
          <w:color w:val="auto"/>
          <w:spacing w:val="20"/>
          <w:sz w:val="24"/>
          <w:highlight w:val="none"/>
          <w:u w:val="single"/>
        </w:rPr>
        <w:t>《工程施工质量验收规范》合格</w:t>
      </w:r>
      <w:r>
        <w:rPr>
          <w:rFonts w:hint="eastAsia" w:ascii="宋体" w:hAnsi="宋体" w:eastAsia="宋体" w:cs="宋体"/>
          <w:color w:val="auto"/>
          <w:spacing w:val="20"/>
          <w:sz w:val="24"/>
          <w:highlight w:val="none"/>
        </w:rPr>
        <w:t>标准。</w:t>
      </w:r>
    </w:p>
    <w:p w14:paraId="1C33C502">
      <w:pPr>
        <w:adjustRightInd w:val="0"/>
        <w:snapToGrid w:val="0"/>
        <w:spacing w:line="360" w:lineRule="auto"/>
        <w:ind w:firstLine="459"/>
        <w:outlineLvl w:val="0"/>
        <w:rPr>
          <w:rFonts w:ascii="宋体" w:hAnsi="宋体" w:eastAsia="宋体" w:cs="宋体"/>
          <w:b/>
          <w:bCs/>
          <w:color w:val="auto"/>
          <w:spacing w:val="20"/>
          <w:sz w:val="24"/>
          <w:highlight w:val="none"/>
        </w:rPr>
      </w:pPr>
      <w:bookmarkStart w:id="89" w:name="_Toc351203484"/>
      <w:r>
        <w:rPr>
          <w:rFonts w:hint="eastAsia" w:ascii="宋体" w:hAnsi="宋体" w:eastAsia="宋体" w:cs="宋体"/>
          <w:b/>
          <w:bCs/>
          <w:color w:val="auto"/>
          <w:spacing w:val="20"/>
          <w:sz w:val="24"/>
          <w:highlight w:val="none"/>
        </w:rPr>
        <w:t>四、签约合同价与合同价格形式</w:t>
      </w:r>
      <w:bookmarkEnd w:id="89"/>
    </w:p>
    <w:p w14:paraId="3206A81C">
      <w:pPr>
        <w:adjustRightInd w:val="0"/>
        <w:snapToGrid w:val="0"/>
        <w:spacing w:line="360" w:lineRule="auto"/>
        <w:ind w:firstLine="459"/>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1. 签约合同价为：</w:t>
      </w:r>
    </w:p>
    <w:p w14:paraId="0C9FA163">
      <w:pPr>
        <w:adjustRightInd w:val="0"/>
        <w:snapToGrid w:val="0"/>
        <w:spacing w:line="360" w:lineRule="auto"/>
        <w:ind w:firstLine="560" w:firstLineChars="20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人民币（大写</w:t>
      </w:r>
      <w:r>
        <w:rPr>
          <w:rFonts w:hint="eastAsia" w:ascii="宋体" w:hAnsi="宋体" w:eastAsia="宋体" w:cs="宋体"/>
          <w:color w:val="auto"/>
          <w:spacing w:val="20"/>
          <w:sz w:val="24"/>
          <w:highlight w:val="none"/>
          <w:lang w:eastAsia="zh-CN"/>
        </w:rPr>
        <w:t>：</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rPr>
        <w:t>）；</w:t>
      </w:r>
    </w:p>
    <w:p w14:paraId="5F58B564">
      <w:pPr>
        <w:adjustRightInd w:val="0"/>
        <w:snapToGrid w:val="0"/>
        <w:spacing w:line="360" w:lineRule="auto"/>
        <w:ind w:firstLine="560" w:firstLineChars="20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2. 合同价格形式：</w:t>
      </w:r>
      <w:r>
        <w:rPr>
          <w:rFonts w:hint="eastAsia" w:ascii="宋体" w:hAnsi="宋体" w:eastAsia="宋体" w:cs="宋体"/>
          <w:color w:val="auto"/>
          <w:spacing w:val="20"/>
          <w:sz w:val="24"/>
          <w:highlight w:val="none"/>
          <w:u w:val="single"/>
        </w:rPr>
        <w:t xml:space="preserve"> </w:t>
      </w:r>
      <w:r>
        <w:rPr>
          <w:rFonts w:hint="eastAsia" w:ascii="宋体" w:hAnsi="宋体" w:cs="宋体"/>
          <w:color w:val="auto"/>
          <w:spacing w:val="20"/>
          <w:sz w:val="24"/>
          <w:highlight w:val="none"/>
          <w:u w:val="single"/>
          <w:lang w:val="en-US" w:eastAsia="zh-CN"/>
        </w:rPr>
        <w:t xml:space="preserve"> 固定综合单价    </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w:t>
      </w:r>
    </w:p>
    <w:p w14:paraId="3490C627">
      <w:pPr>
        <w:adjustRightInd w:val="0"/>
        <w:snapToGrid w:val="0"/>
        <w:spacing w:line="360" w:lineRule="auto"/>
        <w:ind w:firstLine="562" w:firstLineChars="200"/>
        <w:outlineLvl w:val="0"/>
        <w:rPr>
          <w:rFonts w:ascii="宋体" w:hAnsi="宋体" w:eastAsia="宋体" w:cs="宋体"/>
          <w:b/>
          <w:bCs/>
          <w:color w:val="auto"/>
          <w:spacing w:val="20"/>
          <w:sz w:val="24"/>
          <w:highlight w:val="none"/>
        </w:rPr>
      </w:pPr>
      <w:bookmarkStart w:id="90" w:name="_Toc351203485"/>
      <w:r>
        <w:rPr>
          <w:rFonts w:hint="eastAsia" w:ascii="宋体" w:hAnsi="宋体" w:eastAsia="宋体" w:cs="宋体"/>
          <w:b/>
          <w:bCs/>
          <w:color w:val="auto"/>
          <w:spacing w:val="20"/>
          <w:sz w:val="24"/>
          <w:highlight w:val="none"/>
        </w:rPr>
        <w:t>五、</w:t>
      </w:r>
      <w:bookmarkEnd w:id="90"/>
      <w:r>
        <w:rPr>
          <w:rFonts w:hint="eastAsia" w:ascii="宋体" w:hAnsi="宋体" w:eastAsia="宋体" w:cs="宋体"/>
          <w:b/>
          <w:bCs/>
          <w:color w:val="auto"/>
          <w:spacing w:val="20"/>
          <w:sz w:val="24"/>
          <w:highlight w:val="none"/>
        </w:rPr>
        <w:t>项目经理</w:t>
      </w:r>
    </w:p>
    <w:p w14:paraId="0B145251">
      <w:pPr>
        <w:adjustRightInd w:val="0"/>
        <w:snapToGrid w:val="0"/>
        <w:spacing w:line="360" w:lineRule="auto"/>
        <w:ind w:firstLine="560" w:firstLineChars="20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承包人项目经理：</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w:t>
      </w:r>
    </w:p>
    <w:p w14:paraId="48F47F09">
      <w:pPr>
        <w:adjustRightInd w:val="0"/>
        <w:snapToGrid w:val="0"/>
        <w:spacing w:line="360" w:lineRule="auto"/>
        <w:ind w:firstLine="562" w:firstLineChars="200"/>
        <w:outlineLvl w:val="0"/>
        <w:rPr>
          <w:rFonts w:ascii="宋体" w:hAnsi="宋体" w:eastAsia="宋体" w:cs="宋体"/>
          <w:b/>
          <w:bCs/>
          <w:color w:val="auto"/>
          <w:spacing w:val="20"/>
          <w:sz w:val="24"/>
          <w:highlight w:val="none"/>
        </w:rPr>
      </w:pPr>
      <w:bookmarkStart w:id="91" w:name="_Toc351203486"/>
      <w:r>
        <w:rPr>
          <w:rFonts w:hint="eastAsia" w:ascii="宋体" w:hAnsi="宋体" w:eastAsia="宋体" w:cs="宋体"/>
          <w:b/>
          <w:bCs/>
          <w:color w:val="auto"/>
          <w:spacing w:val="20"/>
          <w:sz w:val="24"/>
          <w:highlight w:val="none"/>
        </w:rPr>
        <w:t>六、合同文件构成</w:t>
      </w:r>
      <w:bookmarkEnd w:id="91"/>
    </w:p>
    <w:p w14:paraId="4A1D430B">
      <w:pPr>
        <w:adjustRightInd w:val="0"/>
        <w:snapToGrid w:val="0"/>
        <w:spacing w:line="360" w:lineRule="auto"/>
        <w:ind w:firstLine="560" w:firstLineChars="200"/>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1.本协议书与下列文件一起构成合同文件：</w:t>
      </w:r>
    </w:p>
    <w:p w14:paraId="13839D91">
      <w:pPr>
        <w:autoSpaceDE w:val="0"/>
        <w:autoSpaceDN w:val="0"/>
        <w:adjustRightInd w:val="0"/>
        <w:snapToGrid w:val="0"/>
        <w:spacing w:line="360" w:lineRule="auto"/>
        <w:ind w:firstLine="560" w:firstLineChars="200"/>
        <w:jc w:val="left"/>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（1）中标通知书（如有）；</w:t>
      </w:r>
    </w:p>
    <w:p w14:paraId="01A4F676">
      <w:pPr>
        <w:autoSpaceDE w:val="0"/>
        <w:autoSpaceDN w:val="0"/>
        <w:adjustRightInd w:val="0"/>
        <w:snapToGrid w:val="0"/>
        <w:spacing w:line="360" w:lineRule="auto"/>
        <w:ind w:firstLine="560" w:firstLineChars="200"/>
        <w:jc w:val="left"/>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 xml:space="preserve">（2）投标函及其附录（如有）； </w:t>
      </w:r>
    </w:p>
    <w:p w14:paraId="4633CE40">
      <w:pPr>
        <w:autoSpaceDE w:val="0"/>
        <w:autoSpaceDN w:val="0"/>
        <w:adjustRightInd w:val="0"/>
        <w:snapToGrid w:val="0"/>
        <w:spacing w:line="360" w:lineRule="auto"/>
        <w:ind w:firstLine="560" w:firstLineChars="200"/>
        <w:jc w:val="left"/>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（3）专用合同条款及其附件；</w:t>
      </w:r>
    </w:p>
    <w:p w14:paraId="2205B667">
      <w:pPr>
        <w:autoSpaceDE w:val="0"/>
        <w:autoSpaceDN w:val="0"/>
        <w:adjustRightInd w:val="0"/>
        <w:snapToGrid w:val="0"/>
        <w:spacing w:line="360" w:lineRule="auto"/>
        <w:ind w:firstLine="560" w:firstLineChars="200"/>
        <w:jc w:val="left"/>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（4）通用合同条款；</w:t>
      </w:r>
    </w:p>
    <w:p w14:paraId="74B654D6">
      <w:pPr>
        <w:autoSpaceDE w:val="0"/>
        <w:autoSpaceDN w:val="0"/>
        <w:adjustRightInd w:val="0"/>
        <w:snapToGrid w:val="0"/>
        <w:spacing w:line="360" w:lineRule="auto"/>
        <w:ind w:firstLine="560" w:firstLineChars="200"/>
        <w:jc w:val="left"/>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（5）技术标准和要求；</w:t>
      </w:r>
    </w:p>
    <w:p w14:paraId="73F4EAB3">
      <w:pPr>
        <w:autoSpaceDE w:val="0"/>
        <w:autoSpaceDN w:val="0"/>
        <w:adjustRightInd w:val="0"/>
        <w:snapToGrid w:val="0"/>
        <w:spacing w:line="360" w:lineRule="auto"/>
        <w:ind w:firstLine="560" w:firstLineChars="200"/>
        <w:jc w:val="left"/>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 xml:space="preserve">（6）已标价工程量清单或预算书； </w:t>
      </w:r>
    </w:p>
    <w:p w14:paraId="6F60F27F">
      <w:pPr>
        <w:autoSpaceDE w:val="0"/>
        <w:autoSpaceDN w:val="0"/>
        <w:adjustRightInd w:val="0"/>
        <w:snapToGrid w:val="0"/>
        <w:spacing w:line="360" w:lineRule="auto"/>
        <w:ind w:firstLine="560" w:firstLineChars="200"/>
        <w:jc w:val="left"/>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（7）图纸；</w:t>
      </w:r>
    </w:p>
    <w:p w14:paraId="5C6A9525">
      <w:pPr>
        <w:autoSpaceDE w:val="0"/>
        <w:autoSpaceDN w:val="0"/>
        <w:adjustRightInd w:val="0"/>
        <w:snapToGrid w:val="0"/>
        <w:spacing w:line="360" w:lineRule="auto"/>
        <w:ind w:firstLine="560" w:firstLineChars="200"/>
        <w:jc w:val="left"/>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（8）其他合同文件。</w:t>
      </w:r>
    </w:p>
    <w:p w14:paraId="3E91A41F">
      <w:pPr>
        <w:autoSpaceDE w:val="0"/>
        <w:autoSpaceDN w:val="0"/>
        <w:adjustRightInd w:val="0"/>
        <w:snapToGrid w:val="0"/>
        <w:spacing w:line="360" w:lineRule="auto"/>
        <w:ind w:firstLine="560" w:firstLineChars="200"/>
        <w:jc w:val="left"/>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2.双方有关工程的洽商、变更等书面协议或文件视为本合同的组成部分。</w:t>
      </w:r>
    </w:p>
    <w:p w14:paraId="39C427AC">
      <w:pPr>
        <w:autoSpaceDE w:val="0"/>
        <w:autoSpaceDN w:val="0"/>
        <w:adjustRightInd w:val="0"/>
        <w:snapToGrid w:val="0"/>
        <w:spacing w:line="360" w:lineRule="auto"/>
        <w:ind w:firstLine="560" w:firstLineChars="200"/>
        <w:jc w:val="left"/>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上述各项合同文件包括合同当事人就该项合同文件所作出的补充和修改，属于同一类内容的文件，应以最新签署的为准。专用合同条款及其附件须经合同当事人签字或盖章。</w:t>
      </w:r>
    </w:p>
    <w:p w14:paraId="099413BB">
      <w:pPr>
        <w:autoSpaceDE w:val="0"/>
        <w:autoSpaceDN w:val="0"/>
        <w:adjustRightInd w:val="0"/>
        <w:snapToGrid w:val="0"/>
        <w:spacing w:line="360" w:lineRule="auto"/>
        <w:ind w:firstLine="562" w:firstLineChars="200"/>
        <w:jc w:val="left"/>
        <w:outlineLvl w:val="0"/>
        <w:rPr>
          <w:rFonts w:ascii="宋体" w:hAnsi="宋体" w:eastAsia="宋体" w:cs="宋体"/>
          <w:b/>
          <w:bCs/>
          <w:color w:val="auto"/>
          <w:spacing w:val="20"/>
          <w:sz w:val="24"/>
          <w:highlight w:val="none"/>
        </w:rPr>
      </w:pPr>
      <w:bookmarkStart w:id="92" w:name="_Toc351203487"/>
      <w:r>
        <w:rPr>
          <w:rFonts w:hint="eastAsia" w:ascii="宋体" w:hAnsi="宋体" w:eastAsia="宋体" w:cs="宋体"/>
          <w:b/>
          <w:bCs/>
          <w:color w:val="auto"/>
          <w:spacing w:val="20"/>
          <w:sz w:val="24"/>
          <w:highlight w:val="none"/>
        </w:rPr>
        <w:t>七、承诺</w:t>
      </w:r>
      <w:bookmarkEnd w:id="92"/>
    </w:p>
    <w:p w14:paraId="270CDED5">
      <w:pPr>
        <w:adjustRightInd w:val="0"/>
        <w:snapToGrid w:val="0"/>
        <w:spacing w:line="360" w:lineRule="auto"/>
        <w:ind w:firstLine="560" w:firstLineChars="200"/>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1. 发包人承诺按照法律规定履行项目审批手续、筹集工程建设资金并按照合同约定的期限和方式支付合同价款。</w:t>
      </w:r>
    </w:p>
    <w:p w14:paraId="1675BAAC">
      <w:pPr>
        <w:adjustRightInd w:val="0"/>
        <w:snapToGrid w:val="0"/>
        <w:spacing w:line="360" w:lineRule="auto"/>
        <w:ind w:firstLine="560" w:firstLineChars="200"/>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2. 承包人承诺按照法律规定及合同约定组织完成工程施工，确保工程质量和安全，不进行转包及违法分包，并在缺陷责任期及保修期内承担相应的工程维修责任。</w:t>
      </w:r>
    </w:p>
    <w:p w14:paraId="4D905045">
      <w:pPr>
        <w:adjustRightInd w:val="0"/>
        <w:snapToGrid w:val="0"/>
        <w:spacing w:line="360" w:lineRule="auto"/>
        <w:ind w:firstLine="560" w:firstLineChars="200"/>
        <w:rPr>
          <w:rFonts w:hint="eastAsia" w:ascii="宋体" w:hAnsi="宋体" w:eastAsia="宋体" w:cs="宋体"/>
          <w:bCs/>
          <w:color w:val="auto"/>
          <w:spacing w:val="20"/>
          <w:sz w:val="24"/>
          <w:highlight w:val="none"/>
          <w:lang w:val="en-US" w:eastAsia="zh-CN"/>
        </w:rPr>
      </w:pPr>
      <w:r>
        <w:rPr>
          <w:rFonts w:hint="eastAsia" w:ascii="宋体" w:hAnsi="宋体" w:eastAsia="宋体" w:cs="宋体"/>
          <w:bCs/>
          <w:color w:val="auto"/>
          <w:spacing w:val="20"/>
          <w:sz w:val="24"/>
          <w:highlight w:val="none"/>
        </w:rPr>
        <w:t>3. 发包人和承包人签订</w:t>
      </w:r>
      <w:r>
        <w:rPr>
          <w:rFonts w:hint="eastAsia" w:ascii="宋体" w:hAnsi="宋体" w:eastAsia="宋体" w:cs="宋体"/>
          <w:bCs/>
          <w:color w:val="auto"/>
          <w:spacing w:val="20"/>
          <w:sz w:val="24"/>
          <w:highlight w:val="none"/>
          <w:lang w:eastAsia="zh-CN"/>
        </w:rPr>
        <w:t>的</w:t>
      </w:r>
      <w:r>
        <w:rPr>
          <w:rFonts w:hint="eastAsia" w:ascii="宋体" w:hAnsi="宋体" w:eastAsia="宋体" w:cs="宋体"/>
          <w:bCs/>
          <w:color w:val="auto"/>
          <w:spacing w:val="20"/>
          <w:sz w:val="24"/>
          <w:highlight w:val="none"/>
        </w:rPr>
        <w:t>合同，双方理解并承诺不再就同一工程另行签订与合同实质性内容相背离的协议。</w:t>
      </w:r>
      <w:bookmarkStart w:id="93" w:name="_Toc351203488"/>
      <w:r>
        <w:rPr>
          <w:rFonts w:hint="eastAsia" w:ascii="宋体" w:hAnsi="宋体" w:eastAsia="宋体" w:cs="宋体"/>
          <w:bCs/>
          <w:color w:val="auto"/>
          <w:spacing w:val="20"/>
          <w:sz w:val="24"/>
          <w:highlight w:val="none"/>
          <w:lang w:eastAsia="zh-CN"/>
        </w:rPr>
        <w:t>其他未说明的有关管理办法严格按浦政规〔</w:t>
      </w:r>
      <w:r>
        <w:rPr>
          <w:rFonts w:hint="eastAsia" w:ascii="宋体" w:hAnsi="宋体" w:eastAsia="宋体" w:cs="宋体"/>
          <w:bCs/>
          <w:color w:val="auto"/>
          <w:spacing w:val="20"/>
          <w:sz w:val="24"/>
          <w:highlight w:val="none"/>
          <w:lang w:val="en-US" w:eastAsia="zh-CN"/>
        </w:rPr>
        <w:t>2020</w:t>
      </w:r>
      <w:r>
        <w:rPr>
          <w:rFonts w:hint="eastAsia" w:ascii="宋体" w:hAnsi="宋体" w:eastAsia="宋体" w:cs="宋体"/>
          <w:bCs/>
          <w:color w:val="auto"/>
          <w:spacing w:val="20"/>
          <w:sz w:val="24"/>
          <w:highlight w:val="none"/>
          <w:lang w:eastAsia="zh-CN"/>
        </w:rPr>
        <w:t>〕</w:t>
      </w:r>
      <w:r>
        <w:rPr>
          <w:rFonts w:hint="eastAsia" w:ascii="宋体" w:hAnsi="宋体" w:eastAsia="宋体" w:cs="宋体"/>
          <w:bCs/>
          <w:color w:val="auto"/>
          <w:spacing w:val="20"/>
          <w:sz w:val="24"/>
          <w:highlight w:val="none"/>
          <w:lang w:val="en-US" w:eastAsia="zh-CN"/>
        </w:rPr>
        <w:t>1号及相关规范执行。</w:t>
      </w:r>
    </w:p>
    <w:p w14:paraId="18927BB7">
      <w:pPr>
        <w:adjustRightInd w:val="0"/>
        <w:snapToGrid w:val="0"/>
        <w:spacing w:line="360" w:lineRule="auto"/>
        <w:ind w:firstLine="562" w:firstLineChars="200"/>
        <w:outlineLvl w:val="0"/>
        <w:rPr>
          <w:rFonts w:ascii="宋体" w:hAnsi="宋体" w:eastAsia="宋体" w:cs="宋体"/>
          <w:b/>
          <w:bCs/>
          <w:color w:val="auto"/>
          <w:spacing w:val="20"/>
          <w:sz w:val="24"/>
          <w:highlight w:val="none"/>
        </w:rPr>
      </w:pPr>
      <w:r>
        <w:rPr>
          <w:rFonts w:hint="eastAsia" w:ascii="宋体" w:hAnsi="宋体" w:eastAsia="宋体" w:cs="宋体"/>
          <w:b/>
          <w:bCs/>
          <w:color w:val="auto"/>
          <w:spacing w:val="20"/>
          <w:sz w:val="24"/>
          <w:highlight w:val="none"/>
        </w:rPr>
        <w:t>八、词语含义</w:t>
      </w:r>
      <w:bookmarkEnd w:id="93"/>
    </w:p>
    <w:p w14:paraId="2C2AFA2F">
      <w:pPr>
        <w:adjustRightInd w:val="0"/>
        <w:snapToGrid w:val="0"/>
        <w:spacing w:line="360" w:lineRule="auto"/>
        <w:ind w:firstLine="560" w:firstLineChars="200"/>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本协议书中词语含义与第二部分通用合同条款中赋予的含义相同。</w:t>
      </w:r>
    </w:p>
    <w:p w14:paraId="66296675">
      <w:pPr>
        <w:adjustRightInd w:val="0"/>
        <w:snapToGrid w:val="0"/>
        <w:spacing w:line="360" w:lineRule="auto"/>
        <w:ind w:firstLine="562" w:firstLineChars="200"/>
        <w:outlineLvl w:val="0"/>
        <w:rPr>
          <w:rFonts w:ascii="宋体" w:hAnsi="宋体" w:eastAsia="宋体" w:cs="宋体"/>
          <w:b/>
          <w:bCs/>
          <w:color w:val="auto"/>
          <w:spacing w:val="20"/>
          <w:sz w:val="24"/>
          <w:highlight w:val="none"/>
        </w:rPr>
      </w:pPr>
      <w:bookmarkStart w:id="94" w:name="_Toc351203489"/>
      <w:r>
        <w:rPr>
          <w:rFonts w:hint="eastAsia" w:ascii="宋体" w:hAnsi="宋体" w:eastAsia="宋体" w:cs="宋体"/>
          <w:b/>
          <w:bCs/>
          <w:color w:val="auto"/>
          <w:spacing w:val="20"/>
          <w:sz w:val="24"/>
          <w:highlight w:val="none"/>
        </w:rPr>
        <w:t>九、签订时间</w:t>
      </w:r>
      <w:bookmarkEnd w:id="94"/>
    </w:p>
    <w:p w14:paraId="654982A0">
      <w:pPr>
        <w:adjustRightInd w:val="0"/>
        <w:snapToGrid w:val="0"/>
        <w:spacing w:line="360" w:lineRule="auto"/>
        <w:ind w:firstLine="560" w:firstLineChars="200"/>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本合同于</w:t>
      </w:r>
      <w:r>
        <w:rPr>
          <w:rFonts w:hint="eastAsia" w:ascii="宋体" w:hAnsi="宋体" w:eastAsia="宋体" w:cs="宋体"/>
          <w:bCs/>
          <w:color w:val="auto"/>
          <w:spacing w:val="20"/>
          <w:sz w:val="24"/>
          <w:highlight w:val="none"/>
          <w:u w:val="single"/>
        </w:rPr>
        <w:t xml:space="preserve"> </w:t>
      </w:r>
      <w:r>
        <w:rPr>
          <w:rFonts w:hint="eastAsia" w:ascii="宋体" w:hAnsi="宋体" w:eastAsia="宋体" w:cs="宋体"/>
          <w:bCs/>
          <w:color w:val="auto"/>
          <w:spacing w:val="20"/>
          <w:sz w:val="24"/>
          <w:highlight w:val="none"/>
          <w:u w:val="single"/>
          <w:lang w:val="en-US" w:eastAsia="zh-CN"/>
        </w:rPr>
        <w:t xml:space="preserve">   </w:t>
      </w:r>
      <w:r>
        <w:rPr>
          <w:rFonts w:hint="eastAsia" w:ascii="宋体" w:hAnsi="宋体" w:eastAsia="宋体" w:cs="宋体"/>
          <w:bCs/>
          <w:color w:val="auto"/>
          <w:spacing w:val="20"/>
          <w:sz w:val="24"/>
          <w:highlight w:val="none"/>
          <w:u w:val="single"/>
        </w:rPr>
        <w:t xml:space="preserve">  </w:t>
      </w:r>
      <w:r>
        <w:rPr>
          <w:rFonts w:hint="eastAsia" w:ascii="宋体" w:hAnsi="宋体" w:eastAsia="宋体" w:cs="宋体"/>
          <w:bCs/>
          <w:color w:val="auto"/>
          <w:spacing w:val="20"/>
          <w:sz w:val="24"/>
          <w:highlight w:val="none"/>
        </w:rPr>
        <w:t>年</w:t>
      </w:r>
      <w:r>
        <w:rPr>
          <w:rFonts w:hint="eastAsia" w:ascii="宋体" w:hAnsi="宋体" w:eastAsia="宋体" w:cs="宋体"/>
          <w:bCs/>
          <w:color w:val="auto"/>
          <w:spacing w:val="20"/>
          <w:sz w:val="24"/>
          <w:highlight w:val="none"/>
          <w:u w:val="single"/>
        </w:rPr>
        <w:t xml:space="preserve">    </w:t>
      </w:r>
      <w:r>
        <w:rPr>
          <w:rFonts w:hint="eastAsia" w:ascii="宋体" w:hAnsi="宋体" w:eastAsia="宋体" w:cs="宋体"/>
          <w:bCs/>
          <w:color w:val="auto"/>
          <w:spacing w:val="20"/>
          <w:sz w:val="24"/>
          <w:highlight w:val="none"/>
        </w:rPr>
        <w:t>月</w:t>
      </w:r>
      <w:r>
        <w:rPr>
          <w:rFonts w:hint="eastAsia" w:ascii="宋体" w:hAnsi="宋体" w:eastAsia="宋体" w:cs="宋体"/>
          <w:bCs/>
          <w:color w:val="auto"/>
          <w:spacing w:val="20"/>
          <w:sz w:val="24"/>
          <w:highlight w:val="none"/>
          <w:u w:val="single"/>
        </w:rPr>
        <w:t xml:space="preserve">  </w:t>
      </w:r>
      <w:r>
        <w:rPr>
          <w:rFonts w:hint="eastAsia" w:ascii="宋体" w:hAnsi="宋体" w:eastAsia="宋体" w:cs="宋体"/>
          <w:bCs/>
          <w:color w:val="auto"/>
          <w:spacing w:val="20"/>
          <w:sz w:val="24"/>
          <w:highlight w:val="none"/>
          <w:u w:val="single"/>
          <w:lang w:val="en-US" w:eastAsia="zh-CN"/>
        </w:rPr>
        <w:t xml:space="preserve"> </w:t>
      </w:r>
      <w:r>
        <w:rPr>
          <w:rFonts w:hint="eastAsia" w:ascii="宋体" w:hAnsi="宋体" w:eastAsia="宋体" w:cs="宋体"/>
          <w:bCs/>
          <w:color w:val="auto"/>
          <w:spacing w:val="20"/>
          <w:sz w:val="24"/>
          <w:highlight w:val="none"/>
          <w:u w:val="single"/>
        </w:rPr>
        <w:t xml:space="preserve"> </w:t>
      </w:r>
      <w:r>
        <w:rPr>
          <w:rFonts w:hint="eastAsia" w:ascii="宋体" w:hAnsi="宋体" w:eastAsia="宋体" w:cs="宋体"/>
          <w:bCs/>
          <w:color w:val="auto"/>
          <w:spacing w:val="20"/>
          <w:sz w:val="24"/>
          <w:highlight w:val="none"/>
        </w:rPr>
        <w:t>日签订。</w:t>
      </w:r>
    </w:p>
    <w:p w14:paraId="4CB38F4E">
      <w:pPr>
        <w:adjustRightInd w:val="0"/>
        <w:snapToGrid w:val="0"/>
        <w:spacing w:line="360" w:lineRule="auto"/>
        <w:ind w:firstLine="562" w:firstLineChars="200"/>
        <w:outlineLvl w:val="0"/>
        <w:rPr>
          <w:rFonts w:ascii="宋体" w:hAnsi="宋体" w:eastAsia="宋体" w:cs="宋体"/>
          <w:b/>
          <w:bCs/>
          <w:color w:val="auto"/>
          <w:spacing w:val="20"/>
          <w:sz w:val="24"/>
          <w:highlight w:val="none"/>
        </w:rPr>
      </w:pPr>
      <w:bookmarkStart w:id="95" w:name="_Toc351203490"/>
      <w:r>
        <w:rPr>
          <w:rFonts w:hint="eastAsia" w:ascii="宋体" w:hAnsi="宋体" w:eastAsia="宋体" w:cs="宋体"/>
          <w:b/>
          <w:bCs/>
          <w:color w:val="auto"/>
          <w:spacing w:val="20"/>
          <w:sz w:val="24"/>
          <w:highlight w:val="none"/>
        </w:rPr>
        <w:t>十、签订地点</w:t>
      </w:r>
      <w:bookmarkEnd w:id="95"/>
    </w:p>
    <w:p w14:paraId="375027AC">
      <w:pPr>
        <w:adjustRightInd w:val="0"/>
        <w:snapToGrid w:val="0"/>
        <w:spacing w:line="360" w:lineRule="auto"/>
        <w:ind w:firstLine="560" w:firstLineChars="200"/>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本合同在</w:t>
      </w:r>
      <w:r>
        <w:rPr>
          <w:rFonts w:hint="eastAsia" w:ascii="宋体" w:hAnsi="宋体" w:eastAsia="宋体" w:cs="宋体"/>
          <w:bCs/>
          <w:color w:val="auto"/>
          <w:spacing w:val="20"/>
          <w:sz w:val="24"/>
          <w:highlight w:val="none"/>
          <w:u w:val="single"/>
        </w:rPr>
        <w:t xml:space="preserve">     </w:t>
      </w:r>
      <w:r>
        <w:rPr>
          <w:rFonts w:hint="eastAsia" w:ascii="宋体" w:hAnsi="宋体" w:cs="宋体"/>
          <w:bCs/>
          <w:color w:val="auto"/>
          <w:spacing w:val="20"/>
          <w:sz w:val="24"/>
          <w:highlight w:val="none"/>
          <w:u w:val="single"/>
          <w:lang w:val="en-US" w:eastAsia="zh-CN"/>
        </w:rPr>
        <w:t xml:space="preserve">      </w:t>
      </w:r>
      <w:r>
        <w:rPr>
          <w:rFonts w:hint="eastAsia" w:ascii="宋体" w:hAnsi="宋体" w:eastAsia="宋体" w:cs="宋体"/>
          <w:bCs/>
          <w:color w:val="auto"/>
          <w:spacing w:val="20"/>
          <w:sz w:val="24"/>
          <w:highlight w:val="none"/>
          <w:u w:val="single"/>
        </w:rPr>
        <w:t xml:space="preserve">   </w:t>
      </w:r>
      <w:r>
        <w:rPr>
          <w:rFonts w:hint="eastAsia" w:ascii="宋体" w:hAnsi="宋体" w:eastAsia="宋体" w:cs="宋体"/>
          <w:bCs/>
          <w:color w:val="auto"/>
          <w:spacing w:val="20"/>
          <w:sz w:val="24"/>
          <w:highlight w:val="none"/>
        </w:rPr>
        <w:t>签订。</w:t>
      </w:r>
    </w:p>
    <w:p w14:paraId="691021E0">
      <w:pPr>
        <w:adjustRightInd w:val="0"/>
        <w:snapToGrid w:val="0"/>
        <w:spacing w:line="360" w:lineRule="auto"/>
        <w:ind w:firstLine="562" w:firstLineChars="200"/>
        <w:outlineLvl w:val="0"/>
        <w:rPr>
          <w:rFonts w:ascii="宋体" w:hAnsi="宋体" w:eastAsia="宋体" w:cs="宋体"/>
          <w:b/>
          <w:bCs/>
          <w:color w:val="auto"/>
          <w:spacing w:val="20"/>
          <w:sz w:val="24"/>
          <w:highlight w:val="none"/>
        </w:rPr>
      </w:pPr>
      <w:bookmarkStart w:id="96" w:name="_Toc351203491"/>
      <w:r>
        <w:rPr>
          <w:rFonts w:hint="eastAsia" w:ascii="宋体" w:hAnsi="宋体" w:eastAsia="宋体" w:cs="宋体"/>
          <w:b/>
          <w:bCs/>
          <w:color w:val="auto"/>
          <w:spacing w:val="20"/>
          <w:sz w:val="24"/>
          <w:highlight w:val="none"/>
        </w:rPr>
        <w:t>十一、补充协议</w:t>
      </w:r>
      <w:bookmarkEnd w:id="96"/>
    </w:p>
    <w:p w14:paraId="1A95B197">
      <w:pPr>
        <w:adjustRightInd w:val="0"/>
        <w:snapToGrid w:val="0"/>
        <w:spacing w:line="360" w:lineRule="auto"/>
        <w:ind w:firstLine="560" w:firstLineChars="200"/>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合同未尽事宜，合同当事人另行签订补充协议，补充协议是合同的组成部分。</w:t>
      </w:r>
    </w:p>
    <w:p w14:paraId="19521649">
      <w:pPr>
        <w:adjustRightInd w:val="0"/>
        <w:snapToGrid w:val="0"/>
        <w:spacing w:line="360" w:lineRule="auto"/>
        <w:ind w:firstLine="562" w:firstLineChars="200"/>
        <w:outlineLvl w:val="0"/>
        <w:rPr>
          <w:rFonts w:ascii="宋体" w:hAnsi="宋体" w:eastAsia="宋体" w:cs="宋体"/>
          <w:b/>
          <w:bCs/>
          <w:color w:val="auto"/>
          <w:spacing w:val="20"/>
          <w:sz w:val="24"/>
          <w:highlight w:val="none"/>
        </w:rPr>
      </w:pPr>
      <w:bookmarkStart w:id="97" w:name="_Toc351203492"/>
      <w:r>
        <w:rPr>
          <w:rFonts w:hint="eastAsia" w:ascii="宋体" w:hAnsi="宋体" w:eastAsia="宋体" w:cs="宋体"/>
          <w:b/>
          <w:bCs/>
          <w:color w:val="auto"/>
          <w:spacing w:val="20"/>
          <w:sz w:val="24"/>
          <w:highlight w:val="none"/>
        </w:rPr>
        <w:t>十二、合同生效</w:t>
      </w:r>
      <w:bookmarkEnd w:id="97"/>
    </w:p>
    <w:p w14:paraId="267DAA1F">
      <w:pPr>
        <w:adjustRightInd w:val="0"/>
        <w:snapToGrid w:val="0"/>
        <w:spacing w:line="360" w:lineRule="auto"/>
        <w:ind w:firstLine="560" w:firstLineChars="200"/>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本合同自</w:t>
      </w:r>
      <w:r>
        <w:rPr>
          <w:rFonts w:hint="eastAsia" w:ascii="宋体" w:hAnsi="宋体" w:eastAsia="宋体" w:cs="宋体"/>
          <w:bCs/>
          <w:color w:val="auto"/>
          <w:spacing w:val="20"/>
          <w:sz w:val="24"/>
          <w:highlight w:val="none"/>
          <w:u w:val="single"/>
        </w:rPr>
        <w:t xml:space="preserve"> 双方法定代表人或其授权代理人签字并加盖单位公章之日起 </w:t>
      </w:r>
      <w:r>
        <w:rPr>
          <w:rFonts w:hint="eastAsia" w:ascii="宋体" w:hAnsi="宋体" w:eastAsia="宋体" w:cs="宋体"/>
          <w:bCs/>
          <w:color w:val="auto"/>
          <w:spacing w:val="20"/>
          <w:sz w:val="24"/>
          <w:highlight w:val="none"/>
        </w:rPr>
        <w:t>生效。</w:t>
      </w:r>
    </w:p>
    <w:p w14:paraId="1E55C4EC">
      <w:pPr>
        <w:adjustRightInd w:val="0"/>
        <w:snapToGrid w:val="0"/>
        <w:spacing w:line="360" w:lineRule="auto"/>
        <w:ind w:firstLine="562" w:firstLineChars="200"/>
        <w:outlineLvl w:val="0"/>
        <w:rPr>
          <w:rFonts w:ascii="宋体" w:hAnsi="宋体" w:eastAsia="宋体" w:cs="宋体"/>
          <w:b/>
          <w:bCs/>
          <w:color w:val="auto"/>
          <w:spacing w:val="20"/>
          <w:sz w:val="24"/>
          <w:highlight w:val="none"/>
        </w:rPr>
      </w:pPr>
      <w:bookmarkStart w:id="98" w:name="_Toc351203493"/>
      <w:r>
        <w:rPr>
          <w:rFonts w:hint="eastAsia" w:ascii="宋体" w:hAnsi="宋体" w:eastAsia="宋体" w:cs="宋体"/>
          <w:b/>
          <w:bCs/>
          <w:color w:val="auto"/>
          <w:spacing w:val="20"/>
          <w:sz w:val="24"/>
          <w:highlight w:val="none"/>
        </w:rPr>
        <w:t>十三、合同份数</w:t>
      </w:r>
      <w:bookmarkEnd w:id="98"/>
    </w:p>
    <w:p w14:paraId="09F5DD89">
      <w:pPr>
        <w:adjustRightInd w:val="0"/>
        <w:snapToGrid w:val="0"/>
        <w:spacing w:line="360" w:lineRule="auto"/>
        <w:ind w:firstLine="560" w:firstLineChars="200"/>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本合同一式</w:t>
      </w:r>
      <w:r>
        <w:rPr>
          <w:rFonts w:hint="eastAsia" w:ascii="宋体" w:hAnsi="宋体" w:eastAsia="宋体" w:cs="宋体"/>
          <w:bCs/>
          <w:color w:val="auto"/>
          <w:spacing w:val="20"/>
          <w:sz w:val="24"/>
          <w:highlight w:val="none"/>
          <w:u w:val="single"/>
        </w:rPr>
        <w:t xml:space="preserve"> </w:t>
      </w:r>
      <w:r>
        <w:rPr>
          <w:rFonts w:hint="eastAsia" w:ascii="宋体" w:hAnsi="宋体" w:cs="宋体"/>
          <w:bCs/>
          <w:color w:val="auto"/>
          <w:spacing w:val="20"/>
          <w:sz w:val="24"/>
          <w:highlight w:val="none"/>
          <w:u w:val="single"/>
          <w:lang w:eastAsia="zh-CN"/>
        </w:rPr>
        <w:t>陆</w:t>
      </w:r>
      <w:r>
        <w:rPr>
          <w:rFonts w:hint="eastAsia" w:ascii="宋体" w:hAnsi="宋体" w:eastAsia="宋体" w:cs="宋体"/>
          <w:bCs/>
          <w:color w:val="auto"/>
          <w:spacing w:val="20"/>
          <w:sz w:val="24"/>
          <w:highlight w:val="none"/>
          <w:u w:val="single"/>
        </w:rPr>
        <w:t xml:space="preserve"> </w:t>
      </w:r>
      <w:r>
        <w:rPr>
          <w:rFonts w:hint="eastAsia" w:ascii="宋体" w:hAnsi="宋体" w:eastAsia="宋体" w:cs="宋体"/>
          <w:bCs/>
          <w:color w:val="auto"/>
          <w:spacing w:val="20"/>
          <w:sz w:val="24"/>
          <w:highlight w:val="none"/>
        </w:rPr>
        <w:t>份，均具有同等法律效力，发包人执</w:t>
      </w:r>
      <w:r>
        <w:rPr>
          <w:rFonts w:hint="eastAsia" w:ascii="宋体" w:hAnsi="宋体" w:eastAsia="宋体" w:cs="宋体"/>
          <w:bCs/>
          <w:color w:val="auto"/>
          <w:spacing w:val="20"/>
          <w:sz w:val="24"/>
          <w:highlight w:val="none"/>
          <w:u w:val="single"/>
        </w:rPr>
        <w:t xml:space="preserve"> </w:t>
      </w:r>
      <w:r>
        <w:rPr>
          <w:rFonts w:hint="eastAsia" w:ascii="宋体" w:hAnsi="宋体" w:cs="宋体"/>
          <w:bCs/>
          <w:color w:val="auto"/>
          <w:spacing w:val="20"/>
          <w:sz w:val="24"/>
          <w:highlight w:val="none"/>
          <w:u w:val="single"/>
          <w:lang w:eastAsia="zh-CN"/>
        </w:rPr>
        <w:t>叁</w:t>
      </w:r>
      <w:r>
        <w:rPr>
          <w:rFonts w:hint="eastAsia" w:ascii="宋体" w:hAnsi="宋体" w:eastAsia="宋体" w:cs="宋体"/>
          <w:bCs/>
          <w:color w:val="auto"/>
          <w:spacing w:val="20"/>
          <w:sz w:val="24"/>
          <w:highlight w:val="none"/>
          <w:u w:val="single"/>
        </w:rPr>
        <w:t xml:space="preserve"> </w:t>
      </w:r>
      <w:r>
        <w:rPr>
          <w:rFonts w:hint="eastAsia" w:ascii="宋体" w:hAnsi="宋体" w:eastAsia="宋体" w:cs="宋体"/>
          <w:bCs/>
          <w:color w:val="auto"/>
          <w:spacing w:val="20"/>
          <w:sz w:val="24"/>
          <w:highlight w:val="none"/>
        </w:rPr>
        <w:t>份，承包人执</w:t>
      </w:r>
      <w:r>
        <w:rPr>
          <w:rFonts w:hint="eastAsia" w:ascii="宋体" w:hAnsi="宋体" w:eastAsia="宋体" w:cs="宋体"/>
          <w:bCs/>
          <w:color w:val="auto"/>
          <w:spacing w:val="20"/>
          <w:sz w:val="24"/>
          <w:highlight w:val="none"/>
          <w:u w:val="single"/>
        </w:rPr>
        <w:t xml:space="preserve"> </w:t>
      </w:r>
      <w:r>
        <w:rPr>
          <w:rFonts w:hint="eastAsia" w:ascii="宋体" w:hAnsi="宋体" w:cs="宋体"/>
          <w:bCs/>
          <w:color w:val="auto"/>
          <w:spacing w:val="20"/>
          <w:sz w:val="24"/>
          <w:highlight w:val="none"/>
          <w:u w:val="single"/>
          <w:lang w:eastAsia="zh-CN"/>
        </w:rPr>
        <w:t>叁</w:t>
      </w:r>
      <w:r>
        <w:rPr>
          <w:rFonts w:hint="eastAsia" w:ascii="宋体" w:hAnsi="宋体" w:eastAsia="宋体" w:cs="宋体"/>
          <w:bCs/>
          <w:color w:val="auto"/>
          <w:spacing w:val="20"/>
          <w:sz w:val="24"/>
          <w:highlight w:val="none"/>
          <w:u w:val="single"/>
        </w:rPr>
        <w:t xml:space="preserve"> </w:t>
      </w:r>
      <w:r>
        <w:rPr>
          <w:rFonts w:hint="eastAsia" w:ascii="宋体" w:hAnsi="宋体" w:eastAsia="宋体" w:cs="宋体"/>
          <w:bCs/>
          <w:color w:val="auto"/>
          <w:spacing w:val="20"/>
          <w:sz w:val="24"/>
          <w:highlight w:val="none"/>
        </w:rPr>
        <w:t>份。</w:t>
      </w:r>
    </w:p>
    <w:p w14:paraId="438441AE">
      <w:pPr>
        <w:adjustRightInd w:val="0"/>
        <w:snapToGrid w:val="0"/>
        <w:spacing w:line="360" w:lineRule="auto"/>
        <w:rPr>
          <w:rFonts w:ascii="宋体" w:hAnsi="宋体" w:eastAsia="宋体" w:cs="宋体"/>
          <w:bCs/>
          <w:color w:val="auto"/>
          <w:spacing w:val="20"/>
          <w:sz w:val="24"/>
          <w:highlight w:val="none"/>
        </w:rPr>
      </w:pPr>
    </w:p>
    <w:p w14:paraId="6B8215FD">
      <w:pPr>
        <w:adjustRightInd w:val="0"/>
        <w:snapToGrid w:val="0"/>
        <w:spacing w:line="420" w:lineRule="exact"/>
        <w:rPr>
          <w:rFonts w:ascii="宋体" w:hAnsi="宋体" w:cs="宋体"/>
          <w:color w:val="auto"/>
          <w:spacing w:val="20"/>
          <w:sz w:val="24"/>
          <w:highlight w:val="none"/>
        </w:rPr>
      </w:pPr>
      <w:bookmarkStart w:id="99" w:name="_Toc389065256"/>
      <w:bookmarkStart w:id="100" w:name="_Toc461982824"/>
      <w:bookmarkStart w:id="101" w:name="_Toc439779029"/>
      <w:bookmarkStart w:id="102" w:name="_Toc16007"/>
      <w:bookmarkStart w:id="103" w:name="_Toc425437329"/>
      <w:bookmarkStart w:id="104" w:name="_Toc21285"/>
      <w:bookmarkStart w:id="105" w:name="_Toc373478338"/>
      <w:bookmarkStart w:id="106" w:name="_Toc373227691"/>
      <w:bookmarkStart w:id="107" w:name="_Toc351203632"/>
      <w:r>
        <w:rPr>
          <w:rFonts w:hint="eastAsia" w:ascii="宋体" w:hAnsi="宋体" w:cs="宋体"/>
          <w:color w:val="auto"/>
          <w:spacing w:val="20"/>
          <w:sz w:val="24"/>
          <w:highlight w:val="none"/>
        </w:rPr>
        <w:t>发包人：  （公章）              承包人：  （公章）</w:t>
      </w:r>
    </w:p>
    <w:p w14:paraId="18E97EA0">
      <w:pPr>
        <w:adjustRightInd w:val="0"/>
        <w:snapToGrid w:val="0"/>
        <w:spacing w:line="420" w:lineRule="exact"/>
        <w:rPr>
          <w:rFonts w:ascii="宋体" w:hAnsi="宋体" w:cs="宋体"/>
          <w:color w:val="auto"/>
          <w:spacing w:val="20"/>
          <w:sz w:val="24"/>
          <w:highlight w:val="none"/>
          <w:u w:val="single"/>
        </w:rPr>
      </w:pPr>
      <w:r>
        <w:rPr>
          <w:rFonts w:hint="eastAsia" w:ascii="宋体" w:hAnsi="宋体" w:cs="宋体"/>
          <w:color w:val="auto"/>
          <w:spacing w:val="20"/>
          <w:sz w:val="24"/>
          <w:highlight w:val="none"/>
        </w:rPr>
        <w:t xml:space="preserve">       </w:t>
      </w:r>
      <w:r>
        <w:rPr>
          <w:rFonts w:hint="eastAsia" w:ascii="宋体" w:hAnsi="宋体" w:cs="宋体"/>
          <w:color w:val="auto"/>
          <w:spacing w:val="20"/>
          <w:sz w:val="24"/>
          <w:highlight w:val="none"/>
          <w:lang w:eastAsia="zh-CN"/>
        </w:rPr>
        <w:t xml:space="preserve">                                  </w:t>
      </w:r>
      <w:r>
        <w:rPr>
          <w:rFonts w:hint="eastAsia" w:ascii="宋体" w:hAnsi="宋体" w:cs="宋体"/>
          <w:color w:val="auto"/>
          <w:spacing w:val="20"/>
          <w:sz w:val="24"/>
          <w:highlight w:val="none"/>
        </w:rPr>
        <w:t xml:space="preserve">                                                       </w:t>
      </w:r>
    </w:p>
    <w:p w14:paraId="330BCE2F">
      <w:pPr>
        <w:adjustRightInd w:val="0"/>
        <w:snapToGrid w:val="0"/>
        <w:spacing w:line="420" w:lineRule="exact"/>
        <w:rPr>
          <w:rFonts w:ascii="宋体" w:hAnsi="宋体" w:cs="宋体"/>
          <w:color w:val="auto"/>
          <w:spacing w:val="20"/>
          <w:sz w:val="24"/>
          <w:highlight w:val="none"/>
        </w:rPr>
      </w:pPr>
      <w:r>
        <w:rPr>
          <w:rFonts w:hint="eastAsia" w:ascii="宋体" w:hAnsi="宋体" w:cs="宋体"/>
          <w:color w:val="auto"/>
          <w:spacing w:val="20"/>
          <w:sz w:val="24"/>
          <w:highlight w:val="none"/>
        </w:rPr>
        <w:t>法定代表人：                   法定代表人：</w:t>
      </w:r>
    </w:p>
    <w:p w14:paraId="7868B7D4">
      <w:pPr>
        <w:adjustRightInd w:val="0"/>
        <w:snapToGrid w:val="0"/>
        <w:spacing w:line="420" w:lineRule="exact"/>
        <w:rPr>
          <w:rFonts w:ascii="宋体" w:hAnsi="宋体" w:cs="宋体"/>
          <w:color w:val="auto"/>
          <w:spacing w:val="20"/>
          <w:sz w:val="24"/>
          <w:highlight w:val="none"/>
        </w:rPr>
      </w:pPr>
      <w:r>
        <w:rPr>
          <w:rFonts w:hint="eastAsia" w:ascii="宋体" w:hAnsi="宋体" w:cs="宋体"/>
          <w:color w:val="auto"/>
          <w:spacing w:val="20"/>
          <w:sz w:val="24"/>
          <w:highlight w:val="none"/>
        </w:rPr>
        <w:t>或其委托代理人：               或其委托代理人：</w:t>
      </w:r>
    </w:p>
    <w:p w14:paraId="52610851">
      <w:pPr>
        <w:adjustRightInd w:val="0"/>
        <w:snapToGrid w:val="0"/>
        <w:spacing w:line="420" w:lineRule="exact"/>
        <w:rPr>
          <w:rFonts w:hint="default" w:ascii="宋体" w:hAnsi="宋体" w:eastAsia="宋体" w:cs="宋体"/>
          <w:color w:val="auto"/>
          <w:spacing w:val="20"/>
          <w:sz w:val="24"/>
          <w:highlight w:val="none"/>
          <w:lang w:val="en-US" w:eastAsia="zh-CN"/>
        </w:rPr>
      </w:pPr>
      <w:r>
        <w:rPr>
          <w:rFonts w:hint="eastAsia" w:ascii="宋体" w:hAnsi="宋体" w:cs="宋体"/>
          <w:color w:val="auto"/>
          <w:spacing w:val="20"/>
          <w:sz w:val="24"/>
          <w:highlight w:val="none"/>
        </w:rPr>
        <w:t>地址：</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地址：</w:t>
      </w:r>
      <w:r>
        <w:rPr>
          <w:rFonts w:hint="eastAsia" w:asciiTheme="minorEastAsia" w:hAnsiTheme="minorEastAsia"/>
          <w:color w:val="auto"/>
          <w:sz w:val="24"/>
          <w:highlight w:val="none"/>
          <w:u w:val="single"/>
          <w:lang w:val="en-US" w:eastAsia="zh-CN"/>
        </w:rPr>
        <w:t xml:space="preserve">                       </w:t>
      </w:r>
    </w:p>
    <w:p w14:paraId="3EC096A5">
      <w:pPr>
        <w:adjustRightInd w:val="0"/>
        <w:snapToGrid w:val="0"/>
        <w:spacing w:line="420" w:lineRule="exact"/>
        <w:rPr>
          <w:rFonts w:ascii="宋体" w:hAnsi="宋体" w:cs="宋体"/>
          <w:color w:val="auto"/>
          <w:spacing w:val="20"/>
          <w:sz w:val="24"/>
          <w:highlight w:val="none"/>
        </w:rPr>
      </w:pPr>
      <w:r>
        <w:rPr>
          <w:rFonts w:hint="eastAsia" w:ascii="宋体" w:hAnsi="宋体" w:cs="宋体"/>
          <w:color w:val="auto"/>
          <w:spacing w:val="20"/>
          <w:sz w:val="24"/>
          <w:highlight w:val="none"/>
        </w:rPr>
        <w:t>邮政编码：</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邮政编码：</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u w:val="single"/>
          <w:lang w:val="en-US" w:eastAsia="zh-CN"/>
        </w:rPr>
        <w:t xml:space="preserve"> </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u w:val="single"/>
          <w:lang w:val="en-US" w:eastAsia="zh-CN"/>
        </w:rPr>
        <w:t xml:space="preserve">          </w:t>
      </w:r>
      <w:r>
        <w:rPr>
          <w:rFonts w:hint="eastAsia" w:ascii="宋体" w:hAnsi="宋体" w:cs="宋体"/>
          <w:color w:val="auto"/>
          <w:spacing w:val="20"/>
          <w:sz w:val="24"/>
          <w:highlight w:val="none"/>
          <w:u w:val="single"/>
        </w:rPr>
        <w:t xml:space="preserve"> </w:t>
      </w:r>
    </w:p>
    <w:p w14:paraId="781EDC12">
      <w:pPr>
        <w:adjustRightInd w:val="0"/>
        <w:snapToGrid w:val="0"/>
        <w:spacing w:line="420" w:lineRule="exact"/>
        <w:rPr>
          <w:rFonts w:hint="default" w:ascii="宋体" w:hAnsi="宋体" w:eastAsia="宋体" w:cs="宋体"/>
          <w:color w:val="auto"/>
          <w:spacing w:val="20"/>
          <w:sz w:val="24"/>
          <w:highlight w:val="none"/>
          <w:lang w:val="en-US" w:eastAsia="zh-CN"/>
        </w:rPr>
      </w:pPr>
      <w:r>
        <w:rPr>
          <w:rFonts w:hint="eastAsia" w:ascii="宋体" w:hAnsi="宋体" w:cs="宋体"/>
          <w:color w:val="auto"/>
          <w:spacing w:val="20"/>
          <w:sz w:val="24"/>
          <w:highlight w:val="none"/>
        </w:rPr>
        <w:t>电话（传真）：</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电话（传真）：</w:t>
      </w:r>
      <w:r>
        <w:rPr>
          <w:rFonts w:hint="eastAsia" w:ascii="宋体" w:hAnsi="宋体" w:cs="宋体"/>
          <w:color w:val="auto"/>
          <w:spacing w:val="20"/>
          <w:sz w:val="24"/>
          <w:highlight w:val="none"/>
          <w:u w:val="single"/>
          <w:lang w:val="en-US" w:eastAsia="zh-CN"/>
        </w:rPr>
        <w:t xml:space="preserve">             </w:t>
      </w:r>
    </w:p>
    <w:p w14:paraId="33C4E785">
      <w:pPr>
        <w:adjustRightInd w:val="0"/>
        <w:snapToGrid w:val="0"/>
        <w:spacing w:line="420" w:lineRule="exact"/>
        <w:rPr>
          <w:rFonts w:hint="default" w:ascii="宋体" w:hAnsi="宋体" w:cs="宋体"/>
          <w:color w:val="auto"/>
          <w:spacing w:val="20"/>
          <w:sz w:val="24"/>
          <w:highlight w:val="none"/>
          <w:lang w:val="en-US"/>
        </w:rPr>
      </w:pPr>
      <w:r>
        <w:rPr>
          <w:rFonts w:hint="eastAsia" w:ascii="宋体" w:hAnsi="宋体" w:cs="宋体"/>
          <w:color w:val="auto"/>
          <w:spacing w:val="20"/>
          <w:sz w:val="24"/>
          <w:highlight w:val="none"/>
        </w:rPr>
        <w:t>开户银行：</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开户银行：</w:t>
      </w:r>
      <w:r>
        <w:rPr>
          <w:rFonts w:hint="eastAsia" w:asciiTheme="minorEastAsia" w:hAnsiTheme="minorEastAsia"/>
          <w:color w:val="auto"/>
          <w:sz w:val="24"/>
          <w:highlight w:val="none"/>
          <w:u w:val="single"/>
          <w:lang w:val="en-US" w:eastAsia="zh-CN"/>
        </w:rPr>
        <w:t xml:space="preserve">                      </w:t>
      </w:r>
    </w:p>
    <w:p w14:paraId="7E2BDCEE">
      <w:pPr>
        <w:adjustRightInd w:val="0"/>
        <w:snapToGrid w:val="0"/>
        <w:spacing w:line="420" w:lineRule="exact"/>
        <w:rPr>
          <w:rFonts w:ascii="宋体" w:hAnsi="宋体" w:cs="宋体"/>
          <w:color w:val="auto"/>
          <w:spacing w:val="20"/>
          <w:sz w:val="24"/>
          <w:highlight w:val="none"/>
          <w:u w:val="single"/>
        </w:rPr>
      </w:pPr>
      <w:r>
        <w:rPr>
          <w:rFonts w:hint="eastAsia" w:ascii="宋体" w:hAnsi="宋体" w:cs="宋体"/>
          <w:color w:val="auto"/>
          <w:spacing w:val="20"/>
          <w:sz w:val="24"/>
          <w:highlight w:val="none"/>
        </w:rPr>
        <w:t>账 号：</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账 号：</w:t>
      </w:r>
      <w:r>
        <w:rPr>
          <w:rFonts w:hint="eastAsia" w:asciiTheme="minorEastAsia" w:hAnsiTheme="minorEastAsia"/>
          <w:color w:val="auto"/>
          <w:sz w:val="24"/>
          <w:highlight w:val="none"/>
          <w:u w:val="single"/>
          <w:lang w:eastAsia="zh-CN"/>
        </w:rPr>
        <w:t xml:space="preserve"> </w:t>
      </w:r>
      <w:r>
        <w:rPr>
          <w:rFonts w:hint="eastAsia" w:asciiTheme="minorEastAsia" w:hAnsiTheme="minorEastAsia"/>
          <w:color w:val="auto"/>
          <w:sz w:val="24"/>
          <w:highlight w:val="none"/>
          <w:u w:val="single"/>
          <w:lang w:val="en-US" w:eastAsia="zh-CN"/>
        </w:rPr>
        <w:t xml:space="preserve">                    </w:t>
      </w:r>
      <w:r>
        <w:rPr>
          <w:rFonts w:hint="eastAsia" w:ascii="宋体" w:hAnsi="宋体" w:cs="宋体"/>
          <w:color w:val="auto"/>
          <w:spacing w:val="20"/>
          <w:szCs w:val="21"/>
          <w:highlight w:val="none"/>
          <w:u w:val="single"/>
        </w:rPr>
        <w:t xml:space="preserve"> </w:t>
      </w:r>
      <w:r>
        <w:rPr>
          <w:rFonts w:hint="eastAsia" w:ascii="宋体" w:hAnsi="宋体" w:cs="宋体"/>
          <w:color w:val="auto"/>
          <w:spacing w:val="20"/>
          <w:sz w:val="24"/>
          <w:highlight w:val="none"/>
          <w:u w:val="single"/>
        </w:rPr>
        <w:t xml:space="preserve"> </w:t>
      </w:r>
    </w:p>
    <w:p w14:paraId="5B13F4F8">
      <w:pPr>
        <w:pStyle w:val="2"/>
        <w:keepNext w:val="0"/>
        <w:keepLines w:val="0"/>
        <w:spacing w:line="312" w:lineRule="auto"/>
        <w:jc w:val="center"/>
        <w:rPr>
          <w:rFonts w:ascii="宋体" w:hAnsi="宋体" w:eastAsia="宋体" w:cs="宋体"/>
          <w:color w:val="auto"/>
          <w:spacing w:val="20"/>
          <w:szCs w:val="32"/>
          <w:highlight w:val="none"/>
        </w:rPr>
      </w:pPr>
    </w:p>
    <w:p w14:paraId="44E5B3FB">
      <w:pPr>
        <w:rPr>
          <w:rFonts w:ascii="宋体" w:hAnsi="宋体" w:eastAsia="宋体" w:cs="宋体"/>
          <w:color w:val="auto"/>
          <w:spacing w:val="20"/>
          <w:szCs w:val="32"/>
          <w:highlight w:val="none"/>
        </w:rPr>
      </w:pPr>
    </w:p>
    <w:p w14:paraId="7265F0DF">
      <w:pPr>
        <w:rPr>
          <w:rFonts w:ascii="宋体" w:hAnsi="宋体" w:eastAsia="宋体" w:cs="宋体"/>
          <w:color w:val="auto"/>
          <w:spacing w:val="20"/>
          <w:szCs w:val="32"/>
          <w:highlight w:val="none"/>
        </w:rPr>
      </w:pPr>
    </w:p>
    <w:p w14:paraId="2622B247">
      <w:pPr>
        <w:rPr>
          <w:rFonts w:ascii="宋体" w:hAnsi="宋体" w:eastAsia="宋体" w:cs="宋体"/>
          <w:color w:val="auto"/>
          <w:spacing w:val="20"/>
          <w:szCs w:val="32"/>
          <w:highlight w:val="none"/>
        </w:rPr>
      </w:pPr>
    </w:p>
    <w:p w14:paraId="7ECB7865">
      <w:pPr>
        <w:rPr>
          <w:rFonts w:ascii="宋体" w:hAnsi="宋体" w:eastAsia="宋体" w:cs="宋体"/>
          <w:color w:val="auto"/>
          <w:spacing w:val="20"/>
          <w:szCs w:val="32"/>
          <w:highlight w:val="none"/>
        </w:rPr>
      </w:pPr>
    </w:p>
    <w:p w14:paraId="4582F479">
      <w:pPr>
        <w:rPr>
          <w:rFonts w:ascii="宋体" w:hAnsi="宋体" w:eastAsia="宋体" w:cs="宋体"/>
          <w:color w:val="auto"/>
          <w:spacing w:val="20"/>
          <w:szCs w:val="32"/>
          <w:highlight w:val="none"/>
        </w:rPr>
      </w:pPr>
    </w:p>
    <w:p w14:paraId="0CE47438">
      <w:pPr>
        <w:pStyle w:val="2"/>
        <w:keepNext w:val="0"/>
        <w:keepLines w:val="0"/>
        <w:spacing w:line="312" w:lineRule="auto"/>
        <w:jc w:val="center"/>
        <w:rPr>
          <w:rFonts w:hint="eastAsia" w:ascii="宋体" w:hAnsi="宋体" w:eastAsia="宋体" w:cs="宋体"/>
          <w:color w:val="auto"/>
          <w:spacing w:val="20"/>
          <w:szCs w:val="32"/>
          <w:highlight w:val="none"/>
        </w:rPr>
        <w:sectPr>
          <w:headerReference r:id="rId5" w:type="default"/>
          <w:footerReference r:id="rId6" w:type="default"/>
          <w:pgSz w:w="11906" w:h="16838"/>
          <w:pgMar w:top="1440" w:right="1080" w:bottom="1440" w:left="1080" w:header="567" w:footer="567" w:gutter="567"/>
          <w:pgNumType w:fmt="decimal"/>
          <w:cols w:space="0" w:num="1"/>
          <w:docGrid w:type="lines" w:linePitch="312" w:charSpace="0"/>
        </w:sectPr>
      </w:pPr>
    </w:p>
    <w:p w14:paraId="5900C00C">
      <w:pPr>
        <w:pStyle w:val="2"/>
        <w:keepNext w:val="0"/>
        <w:keepLines w:val="0"/>
        <w:spacing w:line="312" w:lineRule="auto"/>
        <w:jc w:val="center"/>
        <w:rPr>
          <w:rFonts w:ascii="宋体" w:hAnsi="宋体" w:eastAsia="宋体" w:cs="宋体"/>
          <w:color w:val="auto"/>
          <w:spacing w:val="20"/>
          <w:szCs w:val="32"/>
          <w:highlight w:val="none"/>
        </w:rPr>
      </w:pPr>
      <w:r>
        <w:rPr>
          <w:rFonts w:hint="eastAsia" w:ascii="宋体" w:hAnsi="宋体" w:eastAsia="宋体" w:cs="宋体"/>
          <w:color w:val="auto"/>
          <w:spacing w:val="20"/>
          <w:szCs w:val="32"/>
          <w:highlight w:val="none"/>
        </w:rPr>
        <w:t>第二部分 通用合同条款</w:t>
      </w:r>
      <w:bookmarkEnd w:id="99"/>
      <w:bookmarkEnd w:id="100"/>
      <w:bookmarkEnd w:id="101"/>
      <w:bookmarkEnd w:id="102"/>
      <w:bookmarkEnd w:id="103"/>
      <w:bookmarkEnd w:id="104"/>
    </w:p>
    <w:p w14:paraId="30A309E7">
      <w:pPr>
        <w:pStyle w:val="5"/>
        <w:spacing w:before="120" w:after="120" w:line="312" w:lineRule="auto"/>
        <w:rPr>
          <w:rFonts w:ascii="宋体" w:hAnsi="宋体" w:eastAsia="宋体" w:cs="宋体"/>
          <w:b w:val="0"/>
          <w:color w:val="auto"/>
          <w:sz w:val="24"/>
          <w:szCs w:val="24"/>
          <w:highlight w:val="none"/>
        </w:rPr>
      </w:pPr>
      <w:bookmarkStart w:id="108" w:name="_Toc351203495"/>
      <w:bookmarkStart w:id="109" w:name="_Toc1320"/>
      <w:bookmarkStart w:id="110" w:name="_Toc389065257"/>
      <w:bookmarkStart w:id="111" w:name="_Toc25546"/>
      <w:bookmarkStart w:id="112" w:name="_Toc439779030"/>
      <w:bookmarkStart w:id="113" w:name="_Toc425437330"/>
      <w:bookmarkStart w:id="114" w:name="_Toc461982825"/>
      <w:r>
        <w:rPr>
          <w:rFonts w:hint="eastAsia" w:ascii="宋体" w:hAnsi="宋体" w:eastAsia="宋体" w:cs="宋体"/>
          <w:b w:val="0"/>
          <w:color w:val="auto"/>
          <w:sz w:val="24"/>
          <w:szCs w:val="24"/>
          <w:highlight w:val="none"/>
        </w:rPr>
        <w:t>1.</w:t>
      </w:r>
      <w:bookmarkStart w:id="115" w:name="_Toc303538973"/>
      <w:bookmarkEnd w:id="115"/>
      <w:bookmarkStart w:id="116" w:name="_Toc303538972"/>
      <w:bookmarkEnd w:id="116"/>
      <w:bookmarkStart w:id="117" w:name="_Toc303538976"/>
      <w:bookmarkEnd w:id="117"/>
      <w:bookmarkStart w:id="118" w:name="_Toc303538974"/>
      <w:bookmarkEnd w:id="118"/>
      <w:bookmarkStart w:id="119" w:name="_Toc303538975"/>
      <w:bookmarkEnd w:id="119"/>
      <w:bookmarkStart w:id="120" w:name="_Toc296503027"/>
      <w:bookmarkStart w:id="121" w:name="_Toc296346528"/>
      <w:r>
        <w:rPr>
          <w:rFonts w:hint="eastAsia" w:ascii="宋体" w:hAnsi="宋体" w:eastAsia="宋体" w:cs="宋体"/>
          <w:b w:val="0"/>
          <w:color w:val="auto"/>
          <w:sz w:val="24"/>
          <w:szCs w:val="24"/>
          <w:highlight w:val="none"/>
        </w:rPr>
        <w:t xml:space="preserve"> 一般约定</w:t>
      </w:r>
      <w:bookmarkEnd w:id="108"/>
      <w:bookmarkEnd w:id="120"/>
      <w:bookmarkEnd w:id="121"/>
    </w:p>
    <w:p w14:paraId="25F9F3F9">
      <w:pPr>
        <w:pStyle w:val="6"/>
        <w:spacing w:before="120" w:after="120" w:line="312" w:lineRule="auto"/>
        <w:ind w:firstLine="480" w:firstLineChars="200"/>
        <w:rPr>
          <w:rFonts w:ascii="宋体" w:hAnsi="宋体" w:eastAsia="宋体" w:cs="宋体"/>
          <w:b w:val="0"/>
          <w:color w:val="auto"/>
          <w:sz w:val="24"/>
          <w:szCs w:val="24"/>
          <w:highlight w:val="none"/>
        </w:rPr>
      </w:pPr>
      <w:bookmarkStart w:id="122" w:name="_Toc296503028"/>
      <w:bookmarkStart w:id="123" w:name="_Toc296346529"/>
      <w:bookmarkStart w:id="124" w:name="_Toc337558728"/>
      <w:bookmarkStart w:id="125" w:name="_Toc351203496"/>
      <w:r>
        <w:rPr>
          <w:rFonts w:hint="eastAsia" w:ascii="宋体" w:hAnsi="宋体" w:eastAsia="宋体" w:cs="宋体"/>
          <w:b w:val="0"/>
          <w:color w:val="auto"/>
          <w:sz w:val="24"/>
          <w:szCs w:val="24"/>
          <w:highlight w:val="none"/>
        </w:rPr>
        <w:t>1.1词语定义</w:t>
      </w:r>
      <w:bookmarkEnd w:id="122"/>
      <w:bookmarkEnd w:id="123"/>
      <w:bookmarkEnd w:id="124"/>
      <w:r>
        <w:rPr>
          <w:rFonts w:hint="eastAsia" w:ascii="宋体" w:hAnsi="宋体" w:eastAsia="宋体" w:cs="宋体"/>
          <w:b w:val="0"/>
          <w:color w:val="auto"/>
          <w:sz w:val="24"/>
          <w:szCs w:val="24"/>
          <w:highlight w:val="none"/>
        </w:rPr>
        <w:t>与解释</w:t>
      </w:r>
      <w:bookmarkEnd w:id="125"/>
    </w:p>
    <w:p w14:paraId="13167A9A">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合同协议书、通用合同条款、专用合同条款中的下列词语具有本款所赋予的含义：</w:t>
      </w:r>
    </w:p>
    <w:p w14:paraId="0961EB3F">
      <w:pPr>
        <w:autoSpaceDE w:val="0"/>
        <w:autoSpaceDN w:val="0"/>
        <w:adjustRightInd w:val="0"/>
        <w:spacing w:line="312" w:lineRule="auto"/>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1.1.1 合同</w:t>
      </w:r>
    </w:p>
    <w:p w14:paraId="2852231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1.1.1.1 合同：是指根据法律规定和合同当事人约定具有约束力的文件，构成合同的文件包括合同协议书、中标通知书（如果有）、投标函及其附录（如果有）、专用合同条款</w:t>
      </w:r>
      <w:r>
        <w:rPr>
          <w:rFonts w:hint="eastAsia" w:ascii="宋体" w:hAnsi="宋体" w:eastAsia="宋体" w:cs="宋体"/>
          <w:color w:val="auto"/>
          <w:sz w:val="24"/>
          <w:highlight w:val="none"/>
        </w:rPr>
        <w:t>及其附件</w:t>
      </w:r>
      <w:r>
        <w:rPr>
          <w:rFonts w:hint="eastAsia" w:ascii="宋体" w:hAnsi="宋体" w:eastAsia="宋体" w:cs="宋体"/>
          <w:color w:val="auto"/>
          <w:kern w:val="0"/>
          <w:sz w:val="24"/>
          <w:highlight w:val="none"/>
        </w:rPr>
        <w:t>、通用合同条款、技术标准和要求、图纸、已标价工程量清单或预算书以及其他合同文件。</w:t>
      </w:r>
    </w:p>
    <w:p w14:paraId="18781B0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1.1.1.2 合同协议书：是指构成合同的由发包人和承包人共同签署的称为“合同协议书”的书面文件。</w:t>
      </w:r>
    </w:p>
    <w:p w14:paraId="34F954B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1.1.1.3 中标通知书：是指构成合同的由发包人通知承包人中标的书面文件。</w:t>
      </w:r>
    </w:p>
    <w:p w14:paraId="7827A27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1.1.1.4 投标函：是指构成合同的由承包人填写并签署的用于投标的称为“投标函”的文件。</w:t>
      </w:r>
    </w:p>
    <w:p w14:paraId="3A96EEA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1.1.1.5 投标函附录：是指构成合同的附在投标函后的称为“投标函附录”的文件。</w:t>
      </w:r>
    </w:p>
    <w:p w14:paraId="2963726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1.1.1.6 技术标准和要求：是指构成合同的施工应当遵守的或指导施工的国家、行业或地方的技术标准和要求，以及合同约定的技术标准和要求。</w:t>
      </w:r>
    </w:p>
    <w:p w14:paraId="2745005B">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1.1.1.7 图纸：是指构成合同的图纸，包括由发包人按照合同约定提供或经发包人批准的设计文件、施工图、鸟瞰图及模型等，以及在合同履行过程中形成的图纸文件。图纸应当按照法律规定审查合格。</w:t>
      </w:r>
    </w:p>
    <w:p w14:paraId="1FB0F8C4">
      <w:pPr>
        <w:autoSpaceDE w:val="0"/>
        <w:autoSpaceDN w:val="0"/>
        <w:adjustRightInd w:val="0"/>
        <w:spacing w:line="312" w:lineRule="auto"/>
        <w:ind w:firstLine="468" w:firstLineChars="195"/>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1.1.1.8 已标价工程量清单：是指构成合同的由承包人按照规定的格式和要求填写并标明价格的工程量清单，包括说明和表格。</w:t>
      </w:r>
    </w:p>
    <w:p w14:paraId="5CB316DF">
      <w:pPr>
        <w:autoSpaceDE w:val="0"/>
        <w:autoSpaceDN w:val="0"/>
        <w:adjustRightInd w:val="0"/>
        <w:spacing w:line="312" w:lineRule="auto"/>
        <w:ind w:firstLine="468" w:firstLineChars="195"/>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1.1.1.9 预算书：是指构成合同的由承包人按照发包人规定的格式和要求编制的工程预算文件。</w:t>
      </w:r>
    </w:p>
    <w:p w14:paraId="3D1D3F2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1.1.1.10 其他合同文件：是指经合同当事人约定的与工程施工有关的具有合同约束力的文件或书面协议。合同当事人可以在专用合同条款中进行约定。</w:t>
      </w:r>
    </w:p>
    <w:p w14:paraId="32F0EB25">
      <w:pPr>
        <w:autoSpaceDE w:val="0"/>
        <w:autoSpaceDN w:val="0"/>
        <w:adjustRightInd w:val="0"/>
        <w:spacing w:line="312" w:lineRule="auto"/>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1.1.2 合同当事人及其他相关方</w:t>
      </w:r>
    </w:p>
    <w:p w14:paraId="7E4FD4F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1.1.2.1 合同当事人：是指发包人和（或）承包人。</w:t>
      </w:r>
    </w:p>
    <w:p w14:paraId="52A8B76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1.1.2.2 发包人：是指与承包人签订合同协议书的当事人及取得该当事人资格的合法继承人。</w:t>
      </w:r>
    </w:p>
    <w:p w14:paraId="698FD6C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1.1.2.3 承包人：是指与发包人签订合同协议书的，具有相应工程施工承包资质的当事人及取得该当事人资格的合法继承人。</w:t>
      </w:r>
    </w:p>
    <w:p w14:paraId="2C673767">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1.1.2.4 监理人：是指在专用合同条款中指明的，受发包人委托按照法律规定进行工程监督管理的法人或其他组织。</w:t>
      </w:r>
    </w:p>
    <w:p w14:paraId="41F4E63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1.1.2.5 设计人：是指在专用合同条款中指明的，受发包人委托负责工程设计并具备相应工程设计资质的法人或其他组织。</w:t>
      </w:r>
    </w:p>
    <w:p w14:paraId="2469D685">
      <w:pPr>
        <w:spacing w:line="312" w:lineRule="auto"/>
        <w:ind w:firstLine="468" w:firstLineChars="195"/>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1.1.2.6 分包人：</w:t>
      </w:r>
      <w:bookmarkStart w:id="126" w:name="#go5"/>
      <w:bookmarkEnd w:id="126"/>
      <w:r>
        <w:rPr>
          <w:rFonts w:hint="eastAsia" w:ascii="宋体" w:hAnsi="宋体" w:eastAsia="宋体" w:cs="宋体"/>
          <w:color w:val="auto"/>
          <w:kern w:val="0"/>
          <w:sz w:val="24"/>
          <w:highlight w:val="none"/>
        </w:rPr>
        <w:t>是指按照法律规定和合同约定，分包部分工程或工作，并与承包人签订分包合同的具有相应资质的法人。</w:t>
      </w:r>
    </w:p>
    <w:p w14:paraId="6871A7E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1.1.2.7 发包人代表：是指由发包人任命并派驻施工现场在发包人授权范围内行使发包人权利的人。</w:t>
      </w:r>
    </w:p>
    <w:p w14:paraId="1C0BE42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1.1.2.8 项目经理：是指由承包人任命并派驻施工现场，在承包人授权范围内负责合同履行，且按照法律规定具有相应资格的项目负责人。</w:t>
      </w:r>
    </w:p>
    <w:p w14:paraId="7B095B2C">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1.1.2.9 总监理工程师：是指由监理人任命并派驻施工现场进行工程监理的总负责人。</w:t>
      </w:r>
    </w:p>
    <w:p w14:paraId="6B26CEC0">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 工程和设备</w:t>
      </w:r>
    </w:p>
    <w:p w14:paraId="1764EEAA">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1.1.3.1 工程：是指与合同协议书中工程承包范围对应的永久工程和（或）临时工程。</w:t>
      </w:r>
    </w:p>
    <w:p w14:paraId="4C05C26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1.1.3.2 永久工程：是指按合同约定建造并移交给发包人的工程，包括工程设备。</w:t>
      </w:r>
    </w:p>
    <w:p w14:paraId="3BF2C54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1.1.3.3 临时工程：是指为完成合同约定的永久工程所修建的各类临时性工程，不包括施工设备。</w:t>
      </w:r>
    </w:p>
    <w:p w14:paraId="545201B0">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1.1.3.4 单位工程：是指在合同协议书中指明的，具备独立施工条件并能形成独立使用功能的永久工程。</w:t>
      </w:r>
    </w:p>
    <w:p w14:paraId="38F1668B">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1.1.3.5 工程设备：是指构成永久工程的机电设备、金属结构设备、仪器及其他类似的设备和装置。</w:t>
      </w:r>
    </w:p>
    <w:p w14:paraId="0C437240">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1.1.3.6 施工设备：是指为完成合同约定的各项工作所需的设备、器具和其他物品，但不包括工程设备、临时工程和材料。</w:t>
      </w:r>
    </w:p>
    <w:p w14:paraId="786E6417">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1.1.3.7 施工现场：是指用于工程施工的场所，以及在专用合同条款中指明作为施工场所组成部分的其他场所，包括永久占地和临时占地。</w:t>
      </w:r>
    </w:p>
    <w:p w14:paraId="7761348E">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1.1.3.8临时设施：是指为完成合同约定的各项工作所服务的临时性生产和生活设施。</w:t>
      </w:r>
    </w:p>
    <w:p w14:paraId="15A815B8">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1.1.3.9 永久占地：是指专用合同条款中指明为实施工程需永久占用的土地。</w:t>
      </w:r>
    </w:p>
    <w:p w14:paraId="62D51FEC">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1.1.3.10 临时占地：是指专用合同条款中指明为实施工程需要临时占用的土地。</w:t>
      </w:r>
    </w:p>
    <w:p w14:paraId="0A48AC35">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1.1.4 日期和期限</w:t>
      </w:r>
    </w:p>
    <w:p w14:paraId="25B4CC72">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1.1.4.1 开工日期：包括计划开工日期和实际开工日期。计划开工日期是指合同协议书约定的开工日期；实际开工日期是指监理人按照第7.3.2项〔开工通知〕约定发出的符合法律规定的开工通知中载明的开工日期。</w:t>
      </w:r>
    </w:p>
    <w:p w14:paraId="6F22A08E">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1.1.4.2 竣工日期：包括计划竣工日期和实际竣工日期。计划竣工日期是指合同协议书约定的竣工日期；实际竣工日期按照第13.2.3项〔竣工日期〕的约定确定。 </w:t>
      </w:r>
    </w:p>
    <w:p w14:paraId="5B0D9F70">
      <w:pPr>
        <w:spacing w:line="312" w:lineRule="auto"/>
        <w:ind w:firstLine="487" w:firstLineChars="203"/>
        <w:rPr>
          <w:rFonts w:ascii="宋体" w:hAnsi="宋体" w:eastAsia="宋体" w:cs="宋体"/>
          <w:color w:val="auto"/>
          <w:sz w:val="24"/>
          <w:highlight w:val="none"/>
        </w:rPr>
      </w:pPr>
      <w:r>
        <w:rPr>
          <w:rFonts w:hint="eastAsia" w:ascii="宋体" w:hAnsi="宋体" w:eastAsia="宋体" w:cs="宋体"/>
          <w:color w:val="auto"/>
          <w:kern w:val="0"/>
          <w:sz w:val="24"/>
          <w:highlight w:val="none"/>
        </w:rPr>
        <w:t>1.1.4.3 工期：是指在合同协议书约定的承包人完成工程所需的期限，包括按照合同约定所作的期限变更。</w:t>
      </w:r>
    </w:p>
    <w:p w14:paraId="7541F495">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1.1.4.4 缺陷责任期：是指承包人按照合同约定承担缺陷修复义务，且发包人预留质量保证金的期限，自工程实际竣工日期起计算。</w:t>
      </w:r>
    </w:p>
    <w:p w14:paraId="7282C8F0">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1.1.4.5 保修期：是指承包人按照合同约定对工程承担保修责任的期限，从工程竣工验收合格之日起计算。</w:t>
      </w:r>
    </w:p>
    <w:p w14:paraId="56F17AAC">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1.1.4.6 基准日期：招标发包的工程以投标截止日前28天的日期为基准日期，直接发包的工程以合同签订日前28天的日期为基准日期。</w:t>
      </w:r>
    </w:p>
    <w:p w14:paraId="02566780">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1.1.4.7 天：除特别指明外，均指日历天。合同中按天计算时间的，开始当天不计入，从次日开始计算，期限最后一天的截止时间为当天24</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rPr>
        <w:t>00时。</w:t>
      </w:r>
    </w:p>
    <w:p w14:paraId="04273C75">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1.1.5 合同价格和费用</w:t>
      </w:r>
    </w:p>
    <w:p w14:paraId="001DE1F8">
      <w:pP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1.1.5.1 签约合同价：是指</w:t>
      </w:r>
      <w:r>
        <w:rPr>
          <w:rFonts w:hint="eastAsia" w:ascii="宋体" w:hAnsi="宋体" w:eastAsia="宋体" w:cs="宋体"/>
          <w:color w:val="auto"/>
          <w:sz w:val="24"/>
          <w:highlight w:val="none"/>
        </w:rPr>
        <w:t>发包人和承包人在合同协议书中确定的总金额，包括安全文明施工费、暂估价及暂列金额等。</w:t>
      </w:r>
    </w:p>
    <w:p w14:paraId="08BCD25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1.1.5.2 合同价格：是指发包人用于支付承包人按照合同约定完成承包范围内全部工作的金额，包括合同履行过程中按合同约定发生的价格变化。</w:t>
      </w:r>
    </w:p>
    <w:p w14:paraId="3623EE38">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1.1.5.3 费用：是指为履行合同所发生的或将要发生的所有必需的开支，包括管理费和应分摊的其他费用，但不包括利润。</w:t>
      </w:r>
    </w:p>
    <w:p w14:paraId="69AA4E0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1.1.5.4 暂估价：是指发包人在工程量清单或预算书中提供的用于支付必然发生但暂时不能确定价格的材料、工程设备的单价、专业工程以及服务工作的金额。</w:t>
      </w:r>
    </w:p>
    <w:p w14:paraId="5B03E290">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1.1.5.5 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59C24E4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1.1.5.6 计日工：是指合同履行过程中，承包人完成发包人提出的零星工作或需要采用计日工计价的变更工作时，按合同中约定的单价计价的一种方式。</w:t>
      </w:r>
    </w:p>
    <w:p w14:paraId="1F26040C">
      <w:pP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1.1.5.7 质量保证金</w:t>
      </w:r>
      <w:bookmarkStart w:id="127" w:name="#go2"/>
      <w:bookmarkEnd w:id="127"/>
      <w:r>
        <w:rPr>
          <w:rFonts w:hint="eastAsia" w:ascii="宋体" w:hAnsi="宋体" w:eastAsia="宋体" w:cs="宋体"/>
          <w:color w:val="auto"/>
          <w:kern w:val="0"/>
          <w:sz w:val="24"/>
          <w:highlight w:val="none"/>
        </w:rPr>
        <w:t>：是指按照第15.3款〔质量保证金〕约定承包人用于保证其在缺陷责任期内履行缺陷修补义务的担保</w:t>
      </w:r>
      <w:r>
        <w:rPr>
          <w:rFonts w:hint="eastAsia" w:ascii="宋体" w:hAnsi="宋体" w:eastAsia="宋体" w:cs="宋体"/>
          <w:color w:val="auto"/>
          <w:sz w:val="24"/>
          <w:highlight w:val="none"/>
        </w:rPr>
        <w:t>。</w:t>
      </w:r>
    </w:p>
    <w:p w14:paraId="070FB25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1.1.5.8 总价项目：是指在现行国家、行业以及地方的计量规则中无工程量计算规则，在已标价工程量清单或预算书中以总价或以费率形式计算的项目。</w:t>
      </w:r>
    </w:p>
    <w:p w14:paraId="1563B8A8">
      <w:pP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1.1.6 其他</w:t>
      </w:r>
    </w:p>
    <w:p w14:paraId="7CD9DEAA">
      <w:pP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1.1.6.1 书面形式：是指合同文件、信函、电报、传真等可以有形地表现所载内容的形式。</w:t>
      </w:r>
    </w:p>
    <w:p w14:paraId="06534758">
      <w:pPr>
        <w:pStyle w:val="6"/>
        <w:spacing w:before="120" w:after="120" w:line="312" w:lineRule="auto"/>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w:t>
      </w:r>
      <w:bookmarkStart w:id="128" w:name="_Toc337558729"/>
      <w:bookmarkStart w:id="129" w:name="_Toc296503029"/>
      <w:bookmarkStart w:id="130" w:name="_Toc351203497"/>
      <w:bookmarkStart w:id="131" w:name="_Toc296346530"/>
      <w:r>
        <w:rPr>
          <w:rFonts w:hint="eastAsia" w:ascii="宋体" w:hAnsi="宋体" w:eastAsia="宋体" w:cs="宋体"/>
          <w:b w:val="0"/>
          <w:color w:val="auto"/>
          <w:sz w:val="24"/>
          <w:szCs w:val="24"/>
          <w:highlight w:val="none"/>
        </w:rPr>
        <w:t>1.2语言文字</w:t>
      </w:r>
      <w:bookmarkEnd w:id="128"/>
      <w:bookmarkEnd w:id="129"/>
      <w:bookmarkEnd w:id="130"/>
      <w:bookmarkEnd w:id="131"/>
    </w:p>
    <w:p w14:paraId="187F810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合同以中国的汉语简体文字编写、解释和说明。合同当事人在专用合同条款中约定使用两种以上语言时，汉语为优先解释和说明合同的语言。</w:t>
      </w:r>
    </w:p>
    <w:p w14:paraId="57325EE6">
      <w:pPr>
        <w:pStyle w:val="6"/>
        <w:spacing w:before="120" w:after="120" w:line="312" w:lineRule="auto"/>
        <w:ind w:firstLine="480" w:firstLineChars="200"/>
        <w:rPr>
          <w:rFonts w:ascii="宋体" w:hAnsi="宋体" w:eastAsia="宋体" w:cs="宋体"/>
          <w:b w:val="0"/>
          <w:color w:val="auto"/>
          <w:sz w:val="24"/>
          <w:szCs w:val="24"/>
          <w:highlight w:val="none"/>
        </w:rPr>
      </w:pPr>
      <w:bookmarkStart w:id="132" w:name="_Toc296503030"/>
      <w:bookmarkStart w:id="133" w:name="_Toc296346531"/>
      <w:bookmarkStart w:id="134" w:name="_Toc351203498"/>
      <w:bookmarkStart w:id="135" w:name="_Toc337558730"/>
      <w:r>
        <w:rPr>
          <w:rFonts w:hint="eastAsia" w:ascii="宋体" w:hAnsi="宋体" w:eastAsia="宋体" w:cs="宋体"/>
          <w:b w:val="0"/>
          <w:color w:val="auto"/>
          <w:sz w:val="24"/>
          <w:szCs w:val="24"/>
          <w:highlight w:val="none"/>
        </w:rPr>
        <w:t>1.3法律</w:t>
      </w:r>
      <w:bookmarkEnd w:id="132"/>
      <w:bookmarkEnd w:id="133"/>
      <w:bookmarkEnd w:id="134"/>
      <w:bookmarkEnd w:id="135"/>
    </w:p>
    <w:p w14:paraId="597761E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合同所称法律是指中华人民共和国法律、行政法规、部门规章，以及工程所在地的地方性法规、自治条例、单行条例和地方政府规章等。</w:t>
      </w:r>
    </w:p>
    <w:p w14:paraId="2FC00AE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合同当事人可以在专用合同条款中约定合同适用的其他规范性文件。</w:t>
      </w:r>
    </w:p>
    <w:p w14:paraId="7DC227CA">
      <w:pPr>
        <w:pStyle w:val="6"/>
        <w:spacing w:before="120" w:after="120" w:line="312" w:lineRule="auto"/>
        <w:ind w:firstLine="480" w:firstLineChars="200"/>
        <w:rPr>
          <w:rFonts w:ascii="宋体" w:hAnsi="宋体" w:eastAsia="宋体" w:cs="宋体"/>
          <w:b w:val="0"/>
          <w:color w:val="auto"/>
          <w:sz w:val="24"/>
          <w:szCs w:val="24"/>
          <w:highlight w:val="none"/>
        </w:rPr>
      </w:pPr>
      <w:bookmarkStart w:id="136" w:name="_Toc351203499"/>
      <w:r>
        <w:rPr>
          <w:rFonts w:hint="eastAsia" w:ascii="宋体" w:hAnsi="宋体" w:eastAsia="宋体" w:cs="宋体"/>
          <w:b w:val="0"/>
          <w:color w:val="auto"/>
          <w:sz w:val="24"/>
          <w:szCs w:val="24"/>
          <w:highlight w:val="none"/>
        </w:rPr>
        <w:t>1.4 标准和规范</w:t>
      </w:r>
      <w:bookmarkEnd w:id="136"/>
    </w:p>
    <w:p w14:paraId="61DE79A3">
      <w:pPr>
        <w:autoSpaceDE w:val="0"/>
        <w:autoSpaceDN w:val="0"/>
        <w:adjustRightInd w:val="0"/>
        <w:spacing w:line="312" w:lineRule="auto"/>
        <w:ind w:firstLine="64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1.4.1 适用于工程的国家标准、行业标准、工程所在地的地方性标准，以及相应的规范、规程等，合同当事人有特别要求的，应在专用合同条款中约定。</w:t>
      </w:r>
    </w:p>
    <w:p w14:paraId="69EE077E">
      <w:pPr>
        <w:autoSpaceDE w:val="0"/>
        <w:autoSpaceDN w:val="0"/>
        <w:adjustRightInd w:val="0"/>
        <w:spacing w:line="312" w:lineRule="auto"/>
        <w:ind w:firstLine="64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1.4.2 发包人要求使用国外标准、规范的，发包人负责提供原文版本和中文译本，并在专用合同条款中约定提供标准规范的名称、份数和时间。</w:t>
      </w:r>
    </w:p>
    <w:p w14:paraId="6285AEDA">
      <w:pPr>
        <w:autoSpaceDE w:val="0"/>
        <w:autoSpaceDN w:val="0"/>
        <w:adjustRightInd w:val="0"/>
        <w:spacing w:line="312" w:lineRule="auto"/>
        <w:ind w:firstLine="64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1.4.3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1039EAB6">
      <w:pPr>
        <w:pStyle w:val="6"/>
        <w:spacing w:before="120" w:after="120" w:line="312" w:lineRule="auto"/>
        <w:ind w:firstLine="480" w:firstLineChars="200"/>
        <w:rPr>
          <w:rFonts w:ascii="宋体" w:hAnsi="宋体" w:eastAsia="宋体" w:cs="宋体"/>
          <w:b w:val="0"/>
          <w:color w:val="auto"/>
          <w:sz w:val="24"/>
          <w:szCs w:val="24"/>
          <w:highlight w:val="none"/>
        </w:rPr>
      </w:pPr>
      <w:bookmarkStart w:id="137" w:name="_Toc351203500"/>
      <w:r>
        <w:rPr>
          <w:rFonts w:hint="eastAsia" w:ascii="宋体" w:hAnsi="宋体" w:eastAsia="宋体" w:cs="宋体"/>
          <w:b w:val="0"/>
          <w:color w:val="auto"/>
          <w:sz w:val="24"/>
          <w:szCs w:val="24"/>
          <w:highlight w:val="none"/>
        </w:rPr>
        <w:t>1</w:t>
      </w:r>
      <w:bookmarkStart w:id="138" w:name="_Toc296503031"/>
      <w:bookmarkStart w:id="139" w:name="_Toc296346532"/>
      <w:bookmarkStart w:id="140" w:name="_Toc337558731"/>
      <w:r>
        <w:rPr>
          <w:rFonts w:hint="eastAsia" w:ascii="宋体" w:hAnsi="宋体" w:eastAsia="宋体" w:cs="宋体"/>
          <w:b w:val="0"/>
          <w:color w:val="auto"/>
          <w:sz w:val="24"/>
          <w:szCs w:val="24"/>
          <w:highlight w:val="none"/>
        </w:rPr>
        <w:t>.5 合同文件的优先顺序</w:t>
      </w:r>
      <w:bookmarkEnd w:id="137"/>
    </w:p>
    <w:bookmarkEnd w:id="138"/>
    <w:bookmarkEnd w:id="139"/>
    <w:bookmarkEnd w:id="140"/>
    <w:p w14:paraId="3DA7EFF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组成合同的各项文件应互相解释，互为说明。除专用合同条款另有约定外，解释合同文件的优先顺序如下：</w:t>
      </w:r>
    </w:p>
    <w:p w14:paraId="05954F87">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（1）合同协议书；</w:t>
      </w:r>
    </w:p>
    <w:p w14:paraId="0BDEC69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（2）中标通知书（如果有）；</w:t>
      </w:r>
    </w:p>
    <w:p w14:paraId="50D40FC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（3）投标函及其附录（如果有）；</w:t>
      </w:r>
    </w:p>
    <w:p w14:paraId="5939535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（4）专用合同条款</w:t>
      </w:r>
      <w:r>
        <w:rPr>
          <w:rFonts w:hint="eastAsia" w:ascii="宋体" w:hAnsi="宋体" w:eastAsia="宋体" w:cs="宋体"/>
          <w:color w:val="auto"/>
          <w:sz w:val="24"/>
          <w:highlight w:val="none"/>
        </w:rPr>
        <w:t>及其附件</w:t>
      </w:r>
      <w:r>
        <w:rPr>
          <w:rFonts w:hint="eastAsia" w:ascii="宋体" w:hAnsi="宋体" w:eastAsia="宋体" w:cs="宋体"/>
          <w:color w:val="auto"/>
          <w:kern w:val="0"/>
          <w:sz w:val="24"/>
          <w:highlight w:val="none"/>
        </w:rPr>
        <w:t>；</w:t>
      </w:r>
    </w:p>
    <w:p w14:paraId="25C8DA2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（5）通用合同条款；</w:t>
      </w:r>
    </w:p>
    <w:p w14:paraId="4A07B12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（6）技术标准和要求；</w:t>
      </w:r>
    </w:p>
    <w:p w14:paraId="6CD64FC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（7）图纸；</w:t>
      </w:r>
    </w:p>
    <w:p w14:paraId="662D3DF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（8）已标价工程量清单或预算书；</w:t>
      </w:r>
    </w:p>
    <w:p w14:paraId="34BA1CF7">
      <w:pP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（9）其他合同文件。</w:t>
      </w:r>
    </w:p>
    <w:p w14:paraId="38411FE1">
      <w:pPr>
        <w:spacing w:line="312" w:lineRule="auto"/>
        <w:ind w:firstLine="511" w:firstLineChars="213"/>
        <w:rPr>
          <w:rFonts w:ascii="宋体" w:hAnsi="宋体" w:eastAsia="宋体" w:cs="宋体"/>
          <w:color w:val="auto"/>
          <w:sz w:val="24"/>
          <w:highlight w:val="none"/>
        </w:rPr>
      </w:pPr>
      <w:r>
        <w:rPr>
          <w:rFonts w:hint="eastAsia" w:ascii="宋体" w:hAnsi="宋体" w:eastAsia="宋体" w:cs="宋体"/>
          <w:color w:val="auto"/>
          <w:sz w:val="24"/>
          <w:highlight w:val="none"/>
        </w:rPr>
        <w:t>上述各项合同文件包括合同当事人就该项合同文件所作出的补充和修改，属于同一类内容的文件，应以最新签署的为准。</w:t>
      </w:r>
    </w:p>
    <w:p w14:paraId="6BBAFA9C">
      <w:pPr>
        <w:spacing w:line="312" w:lineRule="auto"/>
        <w:ind w:firstLine="511" w:firstLineChars="213"/>
        <w:rPr>
          <w:rFonts w:ascii="宋体" w:hAnsi="宋体" w:eastAsia="宋体" w:cs="宋体"/>
          <w:color w:val="auto"/>
          <w:sz w:val="24"/>
          <w:highlight w:val="none"/>
        </w:rPr>
      </w:pPr>
      <w:r>
        <w:rPr>
          <w:rFonts w:hint="eastAsia" w:ascii="宋体" w:hAnsi="宋体" w:eastAsia="宋体" w:cs="宋体"/>
          <w:color w:val="auto"/>
          <w:sz w:val="24"/>
          <w:highlight w:val="none"/>
        </w:rPr>
        <w:t>在合同订立及履行过程中形成的与合同有关的文件均构成合同文件组成部分，并根据其性质确定优先解释顺序。</w:t>
      </w:r>
    </w:p>
    <w:p w14:paraId="02C7B0E1">
      <w:pPr>
        <w:pStyle w:val="6"/>
        <w:spacing w:before="120" w:after="120" w:line="312" w:lineRule="auto"/>
        <w:ind w:firstLine="480" w:firstLineChars="200"/>
        <w:rPr>
          <w:rFonts w:ascii="宋体" w:hAnsi="宋体" w:eastAsia="宋体" w:cs="宋体"/>
          <w:b w:val="0"/>
          <w:color w:val="auto"/>
          <w:sz w:val="24"/>
          <w:szCs w:val="24"/>
          <w:highlight w:val="none"/>
        </w:rPr>
      </w:pPr>
      <w:bookmarkStart w:id="141" w:name="_Toc351203501"/>
      <w:r>
        <w:rPr>
          <w:rFonts w:hint="eastAsia" w:ascii="宋体" w:hAnsi="宋体" w:eastAsia="宋体" w:cs="宋体"/>
          <w:b w:val="0"/>
          <w:color w:val="auto"/>
          <w:sz w:val="24"/>
          <w:szCs w:val="24"/>
          <w:highlight w:val="none"/>
        </w:rPr>
        <w:t>1</w:t>
      </w:r>
      <w:bookmarkStart w:id="142" w:name="_Toc337558732"/>
      <w:bookmarkStart w:id="143" w:name="_Toc296503032"/>
      <w:bookmarkStart w:id="144" w:name="_Toc296346533"/>
      <w:r>
        <w:rPr>
          <w:rFonts w:hint="eastAsia" w:ascii="宋体" w:hAnsi="宋体" w:eastAsia="宋体" w:cs="宋体"/>
          <w:b w:val="0"/>
          <w:color w:val="auto"/>
          <w:sz w:val="24"/>
          <w:szCs w:val="24"/>
          <w:highlight w:val="none"/>
        </w:rPr>
        <w:t>.6图纸和承包人文件</w:t>
      </w:r>
      <w:bookmarkEnd w:id="141"/>
    </w:p>
    <w:bookmarkEnd w:id="142"/>
    <w:bookmarkEnd w:id="143"/>
    <w:bookmarkEnd w:id="144"/>
    <w:p w14:paraId="647696BB">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1.6.1 图纸的提供和交底</w:t>
      </w:r>
    </w:p>
    <w:p w14:paraId="2859827D">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按照专用合同条款约定的期限、数量和内容向承包人免费提供图纸，并组织承包人、监理人和设计人进行图纸会审和设计交底。发包人至迟不得晚于第7.3.2项〔开工通知〕载明的开工日期前14天向承包人提供图纸。</w:t>
      </w:r>
    </w:p>
    <w:p w14:paraId="5F195E50">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因发包人未按合同约定提供图纸导致承包人费用增加和（或）工期延误的，按照第7.5.1项〔因发包人原因导致工期延误〕约定办理。</w:t>
      </w:r>
    </w:p>
    <w:p w14:paraId="0EA8659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1.6.2 图纸的错误</w:t>
      </w:r>
    </w:p>
    <w:p w14:paraId="051557C8">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18F507B4">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1.6.3 图纸的修改和补充</w:t>
      </w:r>
    </w:p>
    <w:p w14:paraId="0089AD19">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图纸需要修改和补充的，应经图纸原设计人及审批部门同意，并由监理人在工程或工程相应部位施工前将修改后的图纸或补充图纸提交给承包人，承包人应按修改或补充后的图纸施工。</w:t>
      </w:r>
    </w:p>
    <w:p w14:paraId="438A1AF7">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1.6.4 承包人文件</w:t>
      </w:r>
    </w:p>
    <w:p w14:paraId="23CC59E4">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承包人应按照专用合同条款的约定提供应当由其编制的与工程施工有关的文件，并按照专用合同条款约定的期限、数量和形式提交监理人，并由监理人报送发包人。</w:t>
      </w:r>
    </w:p>
    <w:p w14:paraId="2BE4CA28">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6E7DC69B">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1.6.5 图纸和承包人文件的保管</w:t>
      </w:r>
    </w:p>
    <w:p w14:paraId="31656D3A">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除专用合同条款另有约定外，承包人应在施工现场另外保存一套完整的图纸和承包人文件，供发包人、监理人及有关人员进行工程检查时使用。</w:t>
      </w:r>
    </w:p>
    <w:p w14:paraId="1DE0BF97">
      <w:pPr>
        <w:pStyle w:val="6"/>
        <w:spacing w:before="120" w:after="120" w:line="312" w:lineRule="auto"/>
        <w:ind w:firstLine="480" w:firstLineChars="200"/>
        <w:rPr>
          <w:rFonts w:ascii="宋体" w:hAnsi="宋体" w:eastAsia="宋体" w:cs="宋体"/>
          <w:b w:val="0"/>
          <w:color w:val="auto"/>
          <w:sz w:val="24"/>
          <w:szCs w:val="24"/>
          <w:highlight w:val="none"/>
        </w:rPr>
      </w:pPr>
      <w:bookmarkStart w:id="145" w:name="_Toc351203502"/>
      <w:r>
        <w:rPr>
          <w:rFonts w:hint="eastAsia" w:ascii="宋体" w:hAnsi="宋体" w:eastAsia="宋体" w:cs="宋体"/>
          <w:b w:val="0"/>
          <w:color w:val="auto"/>
          <w:sz w:val="24"/>
          <w:szCs w:val="24"/>
          <w:highlight w:val="none"/>
        </w:rPr>
        <w:t>1</w:t>
      </w:r>
      <w:bookmarkStart w:id="146" w:name="_Toc296503033"/>
      <w:bookmarkStart w:id="147" w:name="_Toc337558733"/>
      <w:bookmarkStart w:id="148" w:name="_Toc296346534"/>
      <w:r>
        <w:rPr>
          <w:rFonts w:hint="eastAsia" w:ascii="宋体" w:hAnsi="宋体" w:eastAsia="宋体" w:cs="宋体"/>
          <w:b w:val="0"/>
          <w:color w:val="auto"/>
          <w:sz w:val="24"/>
          <w:szCs w:val="24"/>
          <w:highlight w:val="none"/>
        </w:rPr>
        <w:t>.7联络</w:t>
      </w:r>
      <w:bookmarkEnd w:id="145"/>
    </w:p>
    <w:bookmarkEnd w:id="146"/>
    <w:bookmarkEnd w:id="147"/>
    <w:bookmarkEnd w:id="148"/>
    <w:p w14:paraId="03CE861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1.7.1 与合同有关的通知、批准、证明、证书、指示、指令、要求、请求、同意、意见、确定和决定等，均应采用书面形式，并应在合同约定的期限内送达接收人和送达地点。</w:t>
      </w:r>
    </w:p>
    <w:p w14:paraId="6A66BE1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1.7.2 发包人和承包人应在专用合同条款中约定各自的送达接收人和送达地点。任何一方合同当事人指定的接收人或送达地点发生变动的，应提前3天以书面形式通知对方。</w:t>
      </w:r>
    </w:p>
    <w:p w14:paraId="1AE0FA4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1.7.3 发包人和承包人应当及时签收另一方送达至送达地点和指定接收人的来往信函。拒不签收的，由此增加的费用和（或）延误的工期由拒绝接收一方承担。</w:t>
      </w:r>
    </w:p>
    <w:p w14:paraId="6F8D7177">
      <w:pPr>
        <w:pStyle w:val="6"/>
        <w:spacing w:before="120" w:after="120" w:line="312" w:lineRule="auto"/>
        <w:ind w:firstLine="480" w:firstLineChars="200"/>
        <w:rPr>
          <w:rFonts w:ascii="宋体" w:hAnsi="宋体" w:eastAsia="宋体" w:cs="宋体"/>
          <w:b w:val="0"/>
          <w:color w:val="auto"/>
          <w:sz w:val="24"/>
          <w:szCs w:val="24"/>
          <w:highlight w:val="none"/>
        </w:rPr>
      </w:pPr>
      <w:bookmarkStart w:id="149" w:name="_Toc351203503"/>
      <w:r>
        <w:rPr>
          <w:rFonts w:hint="eastAsia" w:ascii="宋体" w:hAnsi="宋体" w:eastAsia="宋体" w:cs="宋体"/>
          <w:b w:val="0"/>
          <w:color w:val="auto"/>
          <w:sz w:val="24"/>
          <w:szCs w:val="24"/>
          <w:highlight w:val="none"/>
        </w:rPr>
        <w:t>1</w:t>
      </w:r>
      <w:bookmarkStart w:id="150" w:name="_Toc296503035"/>
      <w:bookmarkStart w:id="151" w:name="_Toc296346536"/>
      <w:bookmarkStart w:id="152" w:name="_Toc337558734"/>
      <w:r>
        <w:rPr>
          <w:rFonts w:hint="eastAsia" w:ascii="宋体" w:hAnsi="宋体" w:eastAsia="宋体" w:cs="宋体"/>
          <w:b w:val="0"/>
          <w:color w:val="auto"/>
          <w:sz w:val="24"/>
          <w:szCs w:val="24"/>
          <w:highlight w:val="none"/>
        </w:rPr>
        <w:t>.8严禁贿赂</w:t>
      </w:r>
      <w:bookmarkEnd w:id="149"/>
    </w:p>
    <w:bookmarkEnd w:id="150"/>
    <w:bookmarkEnd w:id="151"/>
    <w:bookmarkEnd w:id="152"/>
    <w:p w14:paraId="1489A9B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合同当事人不得以贿赂或变相贿赂的方式，谋取非法利益或损害对方权益。因一方合同当事人的贿赂造成对方损失的，应赔偿损失，并承担相应的法律责任。</w:t>
      </w:r>
    </w:p>
    <w:p w14:paraId="57A9874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承包人不得与监理人或发包人聘请的第三方串通损害发包人利益。未经发包人书面同意，承包人不得为监理人提供合同约定以外的通讯设备、交通工具及其他任何形式的利益，不得向监理人支付报酬。</w:t>
      </w:r>
    </w:p>
    <w:p w14:paraId="6BC177FC">
      <w:pPr>
        <w:pStyle w:val="6"/>
        <w:spacing w:before="120" w:after="120" w:line="312" w:lineRule="auto"/>
        <w:ind w:firstLine="480" w:firstLineChars="200"/>
        <w:rPr>
          <w:rFonts w:ascii="宋体" w:hAnsi="宋体" w:eastAsia="宋体" w:cs="宋体"/>
          <w:b w:val="0"/>
          <w:color w:val="auto"/>
          <w:sz w:val="24"/>
          <w:szCs w:val="24"/>
          <w:highlight w:val="none"/>
        </w:rPr>
      </w:pPr>
      <w:bookmarkStart w:id="153" w:name="_Toc351203504"/>
      <w:r>
        <w:rPr>
          <w:rFonts w:hint="eastAsia" w:ascii="宋体" w:hAnsi="宋体" w:eastAsia="宋体" w:cs="宋体"/>
          <w:b w:val="0"/>
          <w:color w:val="auto"/>
          <w:sz w:val="24"/>
          <w:szCs w:val="24"/>
          <w:highlight w:val="none"/>
        </w:rPr>
        <w:t>1</w:t>
      </w:r>
      <w:bookmarkStart w:id="154" w:name="_Toc296346537"/>
      <w:bookmarkStart w:id="155" w:name="_Toc296503036"/>
      <w:bookmarkStart w:id="156" w:name="_Toc337558735"/>
      <w:r>
        <w:rPr>
          <w:rFonts w:hint="eastAsia" w:ascii="宋体" w:hAnsi="宋体" w:eastAsia="宋体" w:cs="宋体"/>
          <w:b w:val="0"/>
          <w:color w:val="auto"/>
          <w:sz w:val="24"/>
          <w:szCs w:val="24"/>
          <w:highlight w:val="none"/>
        </w:rPr>
        <w:t>.9化石、文物</w:t>
      </w:r>
      <w:bookmarkEnd w:id="153"/>
    </w:p>
    <w:bookmarkEnd w:id="154"/>
    <w:bookmarkEnd w:id="155"/>
    <w:bookmarkEnd w:id="156"/>
    <w:p w14:paraId="70249AC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359AF938">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发包人、监理人和承包人应按有关政府行政管理部门要求采取妥善的保护措施，由此增加的费用和（或）延误的工期由发包人承担。</w:t>
      </w:r>
    </w:p>
    <w:p w14:paraId="05A7879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承包人发现文物后不及时报告或隐瞒不报，致使文物丢失或损坏的，应赔偿损失，并承担相应的法律责任。</w:t>
      </w:r>
    </w:p>
    <w:p w14:paraId="0C7F5394">
      <w:pPr>
        <w:pStyle w:val="6"/>
        <w:spacing w:before="120" w:after="120" w:line="312" w:lineRule="auto"/>
        <w:ind w:firstLine="480" w:firstLineChars="200"/>
        <w:rPr>
          <w:rFonts w:ascii="宋体" w:hAnsi="宋体" w:eastAsia="宋体" w:cs="宋体"/>
          <w:b w:val="0"/>
          <w:color w:val="auto"/>
          <w:sz w:val="24"/>
          <w:szCs w:val="24"/>
          <w:highlight w:val="none"/>
        </w:rPr>
      </w:pPr>
      <w:bookmarkStart w:id="157" w:name="_Toc351203505"/>
      <w:r>
        <w:rPr>
          <w:rFonts w:hint="eastAsia" w:ascii="宋体" w:hAnsi="宋体" w:eastAsia="宋体" w:cs="宋体"/>
          <w:b w:val="0"/>
          <w:color w:val="auto"/>
          <w:sz w:val="24"/>
          <w:szCs w:val="24"/>
          <w:highlight w:val="none"/>
        </w:rPr>
        <w:t>1</w:t>
      </w:r>
      <w:bookmarkStart w:id="158" w:name="_Toc337558736"/>
      <w:r>
        <w:rPr>
          <w:rFonts w:hint="eastAsia" w:ascii="宋体" w:hAnsi="宋体" w:eastAsia="宋体" w:cs="宋体"/>
          <w:b w:val="0"/>
          <w:color w:val="auto"/>
          <w:sz w:val="24"/>
          <w:szCs w:val="24"/>
          <w:highlight w:val="none"/>
        </w:rPr>
        <w:t>.10交通运输</w:t>
      </w:r>
      <w:bookmarkEnd w:id="157"/>
    </w:p>
    <w:bookmarkEnd w:id="158"/>
    <w:p w14:paraId="1EFA39F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1.10.1 出入现场的权利</w:t>
      </w:r>
    </w:p>
    <w:p w14:paraId="4EFC063A">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0B14D7BD">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承包人应在订立合同前查勘施工现场，并根据工程规模及技术参数合理预见工程施工所需的进出施工现场的方式、手段、路径等。因承包人未合理预见所增加的费用和（或）延误的工期由承包人承担。</w:t>
      </w:r>
    </w:p>
    <w:p w14:paraId="18DB6FC4">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1.10.2 场外交通</w:t>
      </w:r>
    </w:p>
    <w:p w14:paraId="5010BEE5">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3EC3E3A1">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1.10.3场内交通</w:t>
      </w:r>
    </w:p>
    <w:p w14:paraId="08F36A0E">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55F28389">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2EA00BFC">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场外交通和场内交通的边界由合同当事人在专用合同条款中约定。</w:t>
      </w:r>
    </w:p>
    <w:p w14:paraId="712F78F9">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1.10.4 超大件和超重件的运输</w:t>
      </w:r>
    </w:p>
    <w:p w14:paraId="0CDD9DB0">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2E462C51">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1.10.5 道路和桥梁的损坏责任</w:t>
      </w:r>
    </w:p>
    <w:p w14:paraId="495AA375">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因承包人运输造成施工场地内外公共道路和桥梁损坏的，由承包人承担修复损坏的全部费用和可能引起的赔偿。</w:t>
      </w:r>
    </w:p>
    <w:p w14:paraId="27258438">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1.10.6 水路和航空运输</w:t>
      </w:r>
    </w:p>
    <w:p w14:paraId="0A5DA21C">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本款前述各项的内容适用于水路运输和航空运输，其中“道路”一词的涵义包括河道、航线、船闸、机场、码头、堤防以及水路或航空运输中其他相似结构物；“车辆”一词的涵义包括船舶和飞机等。</w:t>
      </w:r>
    </w:p>
    <w:p w14:paraId="59BFA3CD">
      <w:pPr>
        <w:pStyle w:val="6"/>
        <w:spacing w:before="120" w:after="120" w:line="312" w:lineRule="auto"/>
        <w:ind w:firstLine="480" w:firstLineChars="200"/>
        <w:rPr>
          <w:rFonts w:ascii="宋体" w:hAnsi="宋体" w:eastAsia="宋体" w:cs="宋体"/>
          <w:b w:val="0"/>
          <w:color w:val="auto"/>
          <w:sz w:val="24"/>
          <w:szCs w:val="24"/>
          <w:highlight w:val="none"/>
        </w:rPr>
      </w:pPr>
      <w:bookmarkStart w:id="159" w:name="_Toc351203506"/>
      <w:r>
        <w:rPr>
          <w:rFonts w:hint="eastAsia" w:ascii="宋体" w:hAnsi="宋体" w:eastAsia="宋体" w:cs="宋体"/>
          <w:b w:val="0"/>
          <w:color w:val="auto"/>
          <w:sz w:val="24"/>
          <w:szCs w:val="24"/>
          <w:highlight w:val="none"/>
        </w:rPr>
        <w:t>1</w:t>
      </w:r>
      <w:bookmarkStart w:id="160" w:name="_Toc337558737"/>
      <w:bookmarkStart w:id="161" w:name="_Toc296346538"/>
      <w:bookmarkStart w:id="162" w:name="_Toc296503037"/>
      <w:r>
        <w:rPr>
          <w:rFonts w:hint="eastAsia" w:ascii="宋体" w:hAnsi="宋体" w:eastAsia="宋体" w:cs="宋体"/>
          <w:b w:val="0"/>
          <w:color w:val="auto"/>
          <w:sz w:val="24"/>
          <w:szCs w:val="24"/>
          <w:highlight w:val="none"/>
        </w:rPr>
        <w:t>.11知识产权</w:t>
      </w:r>
      <w:bookmarkEnd w:id="159"/>
      <w:r>
        <w:rPr>
          <w:rFonts w:hint="eastAsia" w:ascii="宋体" w:hAnsi="宋体" w:eastAsia="宋体" w:cs="宋体"/>
          <w:b w:val="0"/>
          <w:color w:val="auto"/>
          <w:sz w:val="24"/>
          <w:szCs w:val="24"/>
          <w:highlight w:val="none"/>
        </w:rPr>
        <w:t xml:space="preserve"> </w:t>
      </w:r>
      <w:bookmarkEnd w:id="160"/>
    </w:p>
    <w:bookmarkEnd w:id="161"/>
    <w:bookmarkEnd w:id="162"/>
    <w:p w14:paraId="2A6E4FE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076D3F7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75E090C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404F2578">
      <w:pPr>
        <w:spacing w:line="312" w:lineRule="auto"/>
        <w:rPr>
          <w:rFonts w:ascii="宋体" w:hAnsi="宋体" w:eastAsia="宋体" w:cs="宋体"/>
          <w:color w:val="auto"/>
          <w:sz w:val="24"/>
          <w:highlight w:val="none"/>
        </w:rPr>
      </w:pPr>
      <w:r>
        <w:rPr>
          <w:rFonts w:hint="eastAsia" w:ascii="宋体" w:hAnsi="宋体" w:eastAsia="宋体" w:cs="宋体"/>
          <w:color w:val="auto"/>
          <w:kern w:val="0"/>
          <w:sz w:val="24"/>
          <w:highlight w:val="none"/>
        </w:rPr>
        <w:t xml:space="preserve">    </w:t>
      </w:r>
      <w:r>
        <w:rPr>
          <w:rFonts w:hint="eastAsia" w:ascii="宋体" w:hAnsi="宋体" w:eastAsia="宋体" w:cs="宋体"/>
          <w:color w:val="auto"/>
          <w:sz w:val="24"/>
          <w:highlight w:val="none"/>
        </w:rPr>
        <w:t>1.11.4 除专用合同条款另有约定外，承包人在合同签订前和签订时已确定采用的专利、专有技术、技术秘密的使用费已包含在签约合同价中。</w:t>
      </w:r>
    </w:p>
    <w:p w14:paraId="7AF800A3">
      <w:pPr>
        <w:pStyle w:val="6"/>
        <w:spacing w:before="120" w:after="120" w:line="312" w:lineRule="auto"/>
        <w:ind w:firstLine="480" w:firstLineChars="200"/>
        <w:rPr>
          <w:rFonts w:ascii="宋体" w:hAnsi="宋体" w:eastAsia="宋体" w:cs="宋体"/>
          <w:b w:val="0"/>
          <w:color w:val="auto"/>
          <w:sz w:val="24"/>
          <w:szCs w:val="24"/>
          <w:highlight w:val="none"/>
        </w:rPr>
      </w:pPr>
      <w:bookmarkStart w:id="163" w:name="_Toc351203507"/>
      <w:r>
        <w:rPr>
          <w:rFonts w:hint="eastAsia" w:ascii="宋体" w:hAnsi="宋体" w:eastAsia="宋体" w:cs="宋体"/>
          <w:b w:val="0"/>
          <w:color w:val="auto"/>
          <w:sz w:val="24"/>
          <w:szCs w:val="24"/>
          <w:highlight w:val="none"/>
        </w:rPr>
        <w:t>1</w:t>
      </w:r>
      <w:bookmarkStart w:id="164" w:name="_Toc337558738"/>
      <w:r>
        <w:rPr>
          <w:rFonts w:hint="eastAsia" w:ascii="宋体" w:hAnsi="宋体" w:eastAsia="宋体" w:cs="宋体"/>
          <w:b w:val="0"/>
          <w:color w:val="auto"/>
          <w:sz w:val="24"/>
          <w:szCs w:val="24"/>
          <w:highlight w:val="none"/>
        </w:rPr>
        <w:t>.12保密</w:t>
      </w:r>
      <w:bookmarkEnd w:id="163"/>
    </w:p>
    <w:bookmarkEnd w:id="164"/>
    <w:p w14:paraId="47BC5E9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除法律规定或合同另有约定外，未经发包人同意，承包人不得将发包人提供的图纸、文件以及声明需要保密的资料信息等商业秘密泄露给第三方。</w:t>
      </w:r>
    </w:p>
    <w:p w14:paraId="6373B64A">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除法律规定或合同另有约定外，未经承包人同意，发包人不得将承包人提供的技术秘密及声明需要保密的资料信息等商业秘密泄露给第三方。</w:t>
      </w:r>
    </w:p>
    <w:p w14:paraId="78F40504">
      <w:pPr>
        <w:pStyle w:val="6"/>
        <w:spacing w:before="120" w:after="120" w:line="312" w:lineRule="auto"/>
        <w:ind w:firstLine="480" w:firstLineChars="200"/>
        <w:rPr>
          <w:rFonts w:ascii="宋体" w:hAnsi="宋体" w:eastAsia="宋体" w:cs="宋体"/>
          <w:b w:val="0"/>
          <w:color w:val="auto"/>
          <w:sz w:val="24"/>
          <w:szCs w:val="24"/>
          <w:highlight w:val="none"/>
        </w:rPr>
      </w:pPr>
      <w:bookmarkStart w:id="165" w:name="_Toc351203508"/>
      <w:r>
        <w:rPr>
          <w:rFonts w:hint="eastAsia" w:ascii="宋体" w:hAnsi="宋体" w:eastAsia="宋体" w:cs="宋体"/>
          <w:b w:val="0"/>
          <w:color w:val="auto"/>
          <w:sz w:val="24"/>
          <w:szCs w:val="24"/>
          <w:highlight w:val="none"/>
        </w:rPr>
        <w:t>1.13工程量清单错误的修正</w:t>
      </w:r>
      <w:bookmarkEnd w:id="165"/>
    </w:p>
    <w:p w14:paraId="100E61C8">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除专用合同条款另有约定外，发包人提供的工程量清单，应被认为是准确的和完整的。出现下列情形之一时，发包人应予以修正，并相应调整合同价格：</w:t>
      </w:r>
    </w:p>
    <w:p w14:paraId="0165859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（1）工程量清单存在缺项、漏项的；</w:t>
      </w:r>
    </w:p>
    <w:p w14:paraId="6801FFA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（2）工程量清单偏差超出专用合同条款约定的工程量偏差范围的；</w:t>
      </w:r>
    </w:p>
    <w:p w14:paraId="71C2485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（3）未按照国家现行计量规范强制性规定计量的。</w:t>
      </w:r>
    </w:p>
    <w:p w14:paraId="1D913C84">
      <w:pPr>
        <w:pStyle w:val="5"/>
        <w:spacing w:before="120" w:after="120" w:line="312" w:lineRule="auto"/>
        <w:rPr>
          <w:rFonts w:ascii="宋体" w:hAnsi="宋体" w:eastAsia="宋体" w:cs="宋体"/>
          <w:b w:val="0"/>
          <w:color w:val="auto"/>
          <w:sz w:val="24"/>
          <w:szCs w:val="24"/>
          <w:highlight w:val="none"/>
        </w:rPr>
      </w:pPr>
      <w:bookmarkStart w:id="166" w:name="_Toc351203509"/>
      <w:r>
        <w:rPr>
          <w:rFonts w:hint="eastAsia" w:ascii="宋体" w:hAnsi="宋体" w:eastAsia="宋体" w:cs="宋体"/>
          <w:b w:val="0"/>
          <w:color w:val="auto"/>
          <w:sz w:val="24"/>
          <w:szCs w:val="24"/>
          <w:highlight w:val="none"/>
        </w:rPr>
        <w:t>2</w:t>
      </w:r>
      <w:bookmarkStart w:id="167" w:name="_Toc296346539"/>
      <w:bookmarkStart w:id="168" w:name="_Toc337558739"/>
      <w:bookmarkStart w:id="169" w:name="_Toc296503038"/>
      <w:bookmarkStart w:id="170" w:name="OLE_LINK1"/>
      <w:bookmarkStart w:id="171" w:name="OLE_LINK2"/>
      <w:r>
        <w:rPr>
          <w:rFonts w:hint="eastAsia" w:ascii="宋体" w:hAnsi="宋体" w:eastAsia="宋体" w:cs="宋体"/>
          <w:b w:val="0"/>
          <w:color w:val="auto"/>
          <w:sz w:val="24"/>
          <w:szCs w:val="24"/>
          <w:highlight w:val="none"/>
        </w:rPr>
        <w:t>. 发包人</w:t>
      </w:r>
      <w:bookmarkEnd w:id="166"/>
    </w:p>
    <w:bookmarkEnd w:id="167"/>
    <w:bookmarkEnd w:id="168"/>
    <w:bookmarkEnd w:id="169"/>
    <w:p w14:paraId="77B29891">
      <w:pPr>
        <w:pStyle w:val="6"/>
        <w:spacing w:before="120" w:after="120" w:line="312" w:lineRule="auto"/>
        <w:ind w:firstLine="480" w:firstLineChars="200"/>
        <w:rPr>
          <w:rFonts w:ascii="宋体" w:hAnsi="宋体" w:eastAsia="宋体" w:cs="宋体"/>
          <w:b w:val="0"/>
          <w:color w:val="auto"/>
          <w:sz w:val="24"/>
          <w:szCs w:val="24"/>
          <w:highlight w:val="none"/>
        </w:rPr>
      </w:pPr>
      <w:bookmarkStart w:id="172" w:name="_Toc351203510"/>
      <w:r>
        <w:rPr>
          <w:rFonts w:hint="eastAsia" w:ascii="宋体" w:hAnsi="宋体" w:eastAsia="宋体" w:cs="宋体"/>
          <w:b w:val="0"/>
          <w:color w:val="auto"/>
          <w:sz w:val="24"/>
          <w:szCs w:val="24"/>
          <w:highlight w:val="none"/>
        </w:rPr>
        <w:t>2</w:t>
      </w:r>
      <w:bookmarkStart w:id="173" w:name="_Toc337558740"/>
      <w:bookmarkStart w:id="174" w:name="_Toc296503039"/>
      <w:bookmarkStart w:id="175" w:name="_Toc296346540"/>
      <w:r>
        <w:rPr>
          <w:rFonts w:hint="eastAsia" w:ascii="宋体" w:hAnsi="宋体" w:eastAsia="宋体" w:cs="宋体"/>
          <w:b w:val="0"/>
          <w:color w:val="auto"/>
          <w:sz w:val="24"/>
          <w:szCs w:val="24"/>
          <w:highlight w:val="none"/>
        </w:rPr>
        <w:t>.1 许可或批准</w:t>
      </w:r>
      <w:bookmarkEnd w:id="172"/>
    </w:p>
    <w:p w14:paraId="2D8A2B8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5D15FD98">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因发包人原因未能及时办理完毕前述许可、批准或备案，由发包人承担由此增加的费用和（或）延误的工期，并支付承包人合理的利润。</w:t>
      </w:r>
    </w:p>
    <w:p w14:paraId="1095F048">
      <w:pPr>
        <w:pStyle w:val="6"/>
        <w:spacing w:before="120" w:after="120" w:line="312" w:lineRule="auto"/>
        <w:ind w:firstLine="480" w:firstLineChars="200"/>
        <w:rPr>
          <w:rFonts w:ascii="宋体" w:hAnsi="宋体" w:eastAsia="宋体" w:cs="宋体"/>
          <w:b w:val="0"/>
          <w:color w:val="auto"/>
          <w:sz w:val="24"/>
          <w:szCs w:val="24"/>
          <w:highlight w:val="none"/>
        </w:rPr>
      </w:pPr>
      <w:bookmarkStart w:id="176" w:name="_Toc351203511"/>
      <w:r>
        <w:rPr>
          <w:rFonts w:hint="eastAsia" w:ascii="宋体" w:hAnsi="宋体" w:eastAsia="宋体" w:cs="宋体"/>
          <w:b w:val="0"/>
          <w:color w:val="auto"/>
          <w:sz w:val="24"/>
          <w:szCs w:val="24"/>
          <w:highlight w:val="none"/>
        </w:rPr>
        <w:t>2.2 发包人代表</w:t>
      </w:r>
      <w:bookmarkEnd w:id="176"/>
    </w:p>
    <w:p w14:paraId="512181BA">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663E013F">
      <w:pPr>
        <w:spacing w:line="312" w:lineRule="auto"/>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发包人代表不能按照合同约定履行其职责及义务，并导致合同无法继续正常履行的，承包人可以要求发包人撤换发包人代表。</w:t>
      </w:r>
    </w:p>
    <w:p w14:paraId="68DCF9CE">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kern w:val="0"/>
          <w:sz w:val="24"/>
          <w:highlight w:val="none"/>
        </w:rPr>
        <w:t>不属于法定必须监理的工程，监理人的职权可以由发包人代表或发包人指定的其他人员行使。</w:t>
      </w:r>
    </w:p>
    <w:p w14:paraId="74C1DC7C">
      <w:pPr>
        <w:pStyle w:val="6"/>
        <w:spacing w:before="120" w:after="120" w:line="312" w:lineRule="auto"/>
        <w:ind w:firstLine="480" w:firstLineChars="200"/>
        <w:rPr>
          <w:rFonts w:ascii="宋体" w:hAnsi="宋体" w:eastAsia="宋体" w:cs="宋体"/>
          <w:b w:val="0"/>
          <w:color w:val="auto"/>
          <w:sz w:val="24"/>
          <w:szCs w:val="24"/>
          <w:highlight w:val="none"/>
        </w:rPr>
      </w:pPr>
      <w:bookmarkStart w:id="177" w:name="_Toc351203512"/>
      <w:r>
        <w:rPr>
          <w:rFonts w:hint="eastAsia" w:ascii="宋体" w:hAnsi="宋体" w:eastAsia="宋体" w:cs="宋体"/>
          <w:b w:val="0"/>
          <w:color w:val="auto"/>
          <w:sz w:val="24"/>
          <w:szCs w:val="24"/>
          <w:highlight w:val="none"/>
        </w:rPr>
        <w:t>2.3 发包人人员</w:t>
      </w:r>
      <w:bookmarkEnd w:id="177"/>
    </w:p>
    <w:p w14:paraId="2585802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发包人应要求在施工现场的发包人人员遵守法律及有关安全、质量、环境保护、文明施工等规定，并保障承包人免于承受因发包人人员未遵守上述要求给承包人造成的损失和责任。</w:t>
      </w:r>
    </w:p>
    <w:p w14:paraId="47D2DA00">
      <w:pPr>
        <w:spacing w:line="312" w:lineRule="auto"/>
        <w:ind w:firstLine="64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发包人人员包括发包人代表及其他由发包人派驻施工现场的人员。</w:t>
      </w:r>
      <w:bookmarkEnd w:id="173"/>
      <w:bookmarkEnd w:id="174"/>
      <w:bookmarkEnd w:id="175"/>
    </w:p>
    <w:p w14:paraId="2A41E5ED">
      <w:pPr>
        <w:pStyle w:val="6"/>
        <w:spacing w:before="120" w:after="120" w:line="312" w:lineRule="auto"/>
        <w:ind w:firstLine="480" w:firstLineChars="200"/>
        <w:rPr>
          <w:rFonts w:ascii="宋体" w:hAnsi="宋体" w:eastAsia="宋体" w:cs="宋体"/>
          <w:b w:val="0"/>
          <w:color w:val="auto"/>
          <w:sz w:val="24"/>
          <w:szCs w:val="24"/>
          <w:highlight w:val="none"/>
        </w:rPr>
      </w:pPr>
      <w:bookmarkStart w:id="178" w:name="_Toc351203513"/>
      <w:r>
        <w:rPr>
          <w:rFonts w:hint="eastAsia" w:ascii="宋体" w:hAnsi="宋体" w:eastAsia="宋体" w:cs="宋体"/>
          <w:b w:val="0"/>
          <w:color w:val="auto"/>
          <w:sz w:val="24"/>
          <w:szCs w:val="24"/>
          <w:highlight w:val="none"/>
        </w:rPr>
        <w:t>2</w:t>
      </w:r>
      <w:bookmarkStart w:id="179" w:name="_Toc296346541"/>
      <w:bookmarkStart w:id="180" w:name="_Toc337558741"/>
      <w:bookmarkStart w:id="181" w:name="_Toc296503040"/>
      <w:r>
        <w:rPr>
          <w:rFonts w:hint="eastAsia" w:ascii="宋体" w:hAnsi="宋体" w:eastAsia="宋体" w:cs="宋体"/>
          <w:b w:val="0"/>
          <w:color w:val="auto"/>
          <w:sz w:val="24"/>
          <w:szCs w:val="24"/>
          <w:highlight w:val="none"/>
        </w:rPr>
        <w:t>.4 施工现场、施工条件和基础资料的提供</w:t>
      </w:r>
      <w:bookmarkEnd w:id="178"/>
      <w:r>
        <w:rPr>
          <w:rFonts w:hint="eastAsia" w:ascii="宋体" w:hAnsi="宋体" w:eastAsia="宋体" w:cs="宋体"/>
          <w:b w:val="0"/>
          <w:color w:val="auto"/>
          <w:sz w:val="24"/>
          <w:szCs w:val="24"/>
          <w:highlight w:val="none"/>
        </w:rPr>
        <w:t xml:space="preserve"> </w:t>
      </w:r>
      <w:bookmarkEnd w:id="179"/>
      <w:bookmarkEnd w:id="180"/>
      <w:bookmarkEnd w:id="181"/>
      <w:r>
        <w:rPr>
          <w:rFonts w:hint="eastAsia" w:ascii="宋体" w:hAnsi="宋体" w:eastAsia="宋体" w:cs="宋体"/>
          <w:b w:val="0"/>
          <w:color w:val="auto"/>
          <w:sz w:val="24"/>
          <w:szCs w:val="24"/>
          <w:highlight w:val="none"/>
        </w:rPr>
        <w:t xml:space="preserve"> </w:t>
      </w:r>
    </w:p>
    <w:p w14:paraId="5324AE8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2.4.1 提供施工现场</w:t>
      </w:r>
    </w:p>
    <w:p w14:paraId="0D2F494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w:t>
      </w:r>
      <w:bookmarkEnd w:id="170"/>
      <w:bookmarkEnd w:id="171"/>
      <w:r>
        <w:rPr>
          <w:rFonts w:hint="eastAsia" w:ascii="宋体" w:hAnsi="宋体" w:eastAsia="宋体" w:cs="宋体"/>
          <w:color w:val="auto"/>
          <w:kern w:val="0"/>
          <w:sz w:val="24"/>
          <w:highlight w:val="none"/>
        </w:rPr>
        <w:t>专用合同条款另有约定外，发包人应最迟于开工日期7天前向承包人移交施工现场。</w:t>
      </w:r>
    </w:p>
    <w:p w14:paraId="0FC7C90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2.4.2 提供施工条件</w:t>
      </w:r>
    </w:p>
    <w:p w14:paraId="423E8F0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除专用合同条款另有约定外，发包人应负责提供施工所需要的条件，包括：</w:t>
      </w:r>
    </w:p>
    <w:p w14:paraId="37EB6CE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（1）将施工用水、电力、通讯线路等施工所必需的条件接至施工现场内；</w:t>
      </w:r>
    </w:p>
    <w:p w14:paraId="153A4D7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（2）保证向承包人提供正常施工所需要的进入施工现场的交通条件；</w:t>
      </w:r>
    </w:p>
    <w:p w14:paraId="1CC4983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（3）协调处理施工现场周围地下管线和邻近建筑物、构筑物、古树名木的保护工作，并承担相关费用；</w:t>
      </w:r>
    </w:p>
    <w:p w14:paraId="1137CCB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（4）按照专用合同条款约定应提供的其他设施和条件。</w:t>
      </w:r>
    </w:p>
    <w:p w14:paraId="429BFACD">
      <w:pP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2.4.3 提供基础资料</w:t>
      </w:r>
    </w:p>
    <w:p w14:paraId="6279CB5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240676C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按照法律规定确需在开工后方能提供的基础资料，发包人应尽其努力及时地在相应工程施工前的合理期限内提供，合理期限应以不影响承包人的正常施工为限。</w:t>
      </w:r>
    </w:p>
    <w:p w14:paraId="0F4ABC3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2.4.4 逾期提供的责任</w:t>
      </w:r>
    </w:p>
    <w:p w14:paraId="098456AD">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因发包人原因未能按合同约定及时向承包人提供施工现场、施工条件、基础资料的，由发包人承担由此增加的费用和（或）延误的工期。</w:t>
      </w:r>
    </w:p>
    <w:p w14:paraId="7DF1AB88">
      <w:pPr>
        <w:pStyle w:val="6"/>
        <w:spacing w:before="120" w:after="120" w:line="312" w:lineRule="auto"/>
        <w:ind w:firstLine="480" w:firstLineChars="200"/>
        <w:rPr>
          <w:rFonts w:ascii="宋体" w:hAnsi="宋体" w:eastAsia="宋体" w:cs="宋体"/>
          <w:b w:val="0"/>
          <w:color w:val="auto"/>
          <w:sz w:val="24"/>
          <w:szCs w:val="24"/>
          <w:highlight w:val="none"/>
        </w:rPr>
      </w:pPr>
      <w:bookmarkStart w:id="182" w:name="_Toc351203514"/>
      <w:r>
        <w:rPr>
          <w:rFonts w:hint="eastAsia" w:ascii="宋体" w:hAnsi="宋体" w:eastAsia="宋体" w:cs="宋体"/>
          <w:b w:val="0"/>
          <w:color w:val="auto"/>
          <w:sz w:val="24"/>
          <w:szCs w:val="24"/>
          <w:highlight w:val="none"/>
        </w:rPr>
        <w:t>2</w:t>
      </w:r>
      <w:bookmarkStart w:id="183" w:name="_Toc337558745"/>
      <w:bookmarkStart w:id="184" w:name="_Toc296503042"/>
      <w:bookmarkStart w:id="185" w:name="_Toc296346543"/>
      <w:r>
        <w:rPr>
          <w:rFonts w:hint="eastAsia" w:ascii="宋体" w:hAnsi="宋体" w:eastAsia="宋体" w:cs="宋体"/>
          <w:b w:val="0"/>
          <w:color w:val="auto"/>
          <w:sz w:val="24"/>
          <w:szCs w:val="24"/>
          <w:highlight w:val="none"/>
        </w:rPr>
        <w:t>.5 资</w:t>
      </w:r>
      <w:bookmarkEnd w:id="183"/>
      <w:bookmarkEnd w:id="184"/>
      <w:bookmarkEnd w:id="185"/>
      <w:r>
        <w:rPr>
          <w:rFonts w:hint="eastAsia" w:ascii="宋体" w:hAnsi="宋体" w:eastAsia="宋体" w:cs="宋体"/>
          <w:b w:val="0"/>
          <w:color w:val="auto"/>
          <w:sz w:val="24"/>
          <w:szCs w:val="24"/>
          <w:highlight w:val="none"/>
        </w:rPr>
        <w:t>金来源证明及支付担保</w:t>
      </w:r>
      <w:bookmarkEnd w:id="182"/>
    </w:p>
    <w:p w14:paraId="08D40547">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除专用合同条款另有约定外，发包人应在收到承包人要求提供资金来源证明的书面通知后28天内，向承包人提供能够按照合同约定支付合同价款的相应资金来源证明。</w:t>
      </w:r>
    </w:p>
    <w:p w14:paraId="56DE6075">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除专用合同条款另有约定外，发包人要求承包人提供履约担保的，发包人应当向承包人提供支付担保。支付担保可以采用银行保函或担保公司担保等形式，具体由合同当事人在专用合同条款中约定。</w:t>
      </w:r>
    </w:p>
    <w:p w14:paraId="08CD0509">
      <w:pPr>
        <w:pStyle w:val="6"/>
        <w:spacing w:before="120" w:after="120" w:line="312" w:lineRule="auto"/>
        <w:ind w:firstLine="480" w:firstLineChars="200"/>
        <w:rPr>
          <w:rFonts w:ascii="宋体" w:hAnsi="宋体" w:eastAsia="宋体" w:cs="宋体"/>
          <w:b w:val="0"/>
          <w:color w:val="auto"/>
          <w:sz w:val="24"/>
          <w:szCs w:val="24"/>
          <w:highlight w:val="none"/>
        </w:rPr>
      </w:pPr>
      <w:bookmarkStart w:id="186" w:name="_Toc351203515"/>
      <w:r>
        <w:rPr>
          <w:rFonts w:hint="eastAsia" w:ascii="宋体" w:hAnsi="宋体" w:eastAsia="宋体" w:cs="宋体"/>
          <w:b w:val="0"/>
          <w:color w:val="auto"/>
          <w:sz w:val="24"/>
          <w:szCs w:val="24"/>
          <w:highlight w:val="none"/>
        </w:rPr>
        <w:t>2.6 支付合同价款</w:t>
      </w:r>
      <w:bookmarkEnd w:id="186"/>
    </w:p>
    <w:p w14:paraId="547B25F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发包人应按合同约定向承包人及时支付合同价款。</w:t>
      </w:r>
    </w:p>
    <w:p w14:paraId="6BC94BB2">
      <w:pPr>
        <w:pStyle w:val="6"/>
        <w:spacing w:before="120" w:after="120" w:line="312" w:lineRule="auto"/>
        <w:ind w:firstLine="480" w:firstLineChars="200"/>
        <w:rPr>
          <w:rFonts w:ascii="宋体" w:hAnsi="宋体" w:eastAsia="宋体" w:cs="宋体"/>
          <w:b w:val="0"/>
          <w:color w:val="auto"/>
          <w:sz w:val="24"/>
          <w:szCs w:val="24"/>
          <w:highlight w:val="none"/>
        </w:rPr>
      </w:pPr>
      <w:bookmarkStart w:id="187" w:name="_Toc351203516"/>
      <w:r>
        <w:rPr>
          <w:rFonts w:hint="eastAsia" w:ascii="宋体" w:hAnsi="宋体" w:eastAsia="宋体" w:cs="宋体"/>
          <w:b w:val="0"/>
          <w:color w:val="auto"/>
          <w:sz w:val="24"/>
          <w:szCs w:val="24"/>
          <w:highlight w:val="none"/>
        </w:rPr>
        <w:t>2.7 组织竣工验收</w:t>
      </w:r>
      <w:bookmarkEnd w:id="187"/>
    </w:p>
    <w:p w14:paraId="38360E0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发包人应按合同约定及时组织竣工验收。</w:t>
      </w:r>
    </w:p>
    <w:p w14:paraId="187BB775">
      <w:pPr>
        <w:pStyle w:val="6"/>
        <w:spacing w:before="120" w:after="120" w:line="312" w:lineRule="auto"/>
        <w:ind w:firstLine="480" w:firstLineChars="200"/>
        <w:rPr>
          <w:rFonts w:ascii="宋体" w:hAnsi="宋体" w:eastAsia="宋体" w:cs="宋体"/>
          <w:b w:val="0"/>
          <w:color w:val="auto"/>
          <w:sz w:val="24"/>
          <w:szCs w:val="24"/>
          <w:highlight w:val="none"/>
        </w:rPr>
      </w:pPr>
      <w:bookmarkStart w:id="188" w:name="_Toc351203517"/>
      <w:r>
        <w:rPr>
          <w:rFonts w:hint="eastAsia" w:ascii="宋体" w:hAnsi="宋体" w:eastAsia="宋体" w:cs="宋体"/>
          <w:b w:val="0"/>
          <w:color w:val="auto"/>
          <w:sz w:val="24"/>
          <w:szCs w:val="24"/>
          <w:highlight w:val="none"/>
        </w:rPr>
        <w:t>2.8 现场统一管理协议</w:t>
      </w:r>
      <w:bookmarkEnd w:id="188"/>
    </w:p>
    <w:p w14:paraId="14FDC6FD">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发包人应与承包人、由发包人直接发包的专业工程的承包人签订施工现场统一管理协议，明确各方的权利义务。施工现场统一管理协议作为专用合同条款的附件。</w:t>
      </w:r>
    </w:p>
    <w:p w14:paraId="3F50003D">
      <w:pPr>
        <w:pStyle w:val="5"/>
        <w:spacing w:before="120" w:after="120" w:line="312" w:lineRule="auto"/>
        <w:rPr>
          <w:rFonts w:ascii="宋体" w:hAnsi="宋体" w:eastAsia="宋体" w:cs="宋体"/>
          <w:b w:val="0"/>
          <w:color w:val="auto"/>
          <w:sz w:val="24"/>
          <w:szCs w:val="24"/>
          <w:highlight w:val="none"/>
        </w:rPr>
      </w:pPr>
      <w:bookmarkStart w:id="189" w:name="_Toc351203518"/>
      <w:r>
        <w:rPr>
          <w:rFonts w:hint="eastAsia" w:ascii="宋体" w:hAnsi="宋体" w:eastAsia="宋体" w:cs="宋体"/>
          <w:b w:val="0"/>
          <w:color w:val="auto"/>
          <w:sz w:val="24"/>
          <w:szCs w:val="24"/>
          <w:highlight w:val="none"/>
        </w:rPr>
        <w:t>3</w:t>
      </w:r>
      <w:bookmarkStart w:id="190" w:name="_Toc337558746"/>
      <w:bookmarkStart w:id="191" w:name="_Toc296503045"/>
      <w:bookmarkStart w:id="192" w:name="_Toc296346546"/>
      <w:r>
        <w:rPr>
          <w:rFonts w:hint="eastAsia" w:ascii="宋体" w:hAnsi="宋体" w:eastAsia="宋体" w:cs="宋体"/>
          <w:b w:val="0"/>
          <w:color w:val="auto"/>
          <w:sz w:val="24"/>
          <w:szCs w:val="24"/>
          <w:highlight w:val="none"/>
        </w:rPr>
        <w:t>. 承包人</w:t>
      </w:r>
      <w:bookmarkEnd w:id="189"/>
    </w:p>
    <w:bookmarkEnd w:id="190"/>
    <w:bookmarkEnd w:id="191"/>
    <w:bookmarkEnd w:id="192"/>
    <w:p w14:paraId="7FA930CF">
      <w:pPr>
        <w:pStyle w:val="6"/>
        <w:spacing w:before="120" w:after="120" w:line="312" w:lineRule="auto"/>
        <w:ind w:firstLine="480" w:firstLineChars="200"/>
        <w:rPr>
          <w:rFonts w:ascii="宋体" w:hAnsi="宋体" w:eastAsia="宋体" w:cs="宋体"/>
          <w:b w:val="0"/>
          <w:color w:val="auto"/>
          <w:sz w:val="24"/>
          <w:szCs w:val="24"/>
          <w:highlight w:val="none"/>
        </w:rPr>
      </w:pPr>
      <w:bookmarkStart w:id="193" w:name="_Toc351203519"/>
      <w:r>
        <w:rPr>
          <w:rFonts w:hint="eastAsia" w:ascii="宋体" w:hAnsi="宋体" w:eastAsia="宋体" w:cs="宋体"/>
          <w:b w:val="0"/>
          <w:color w:val="auto"/>
          <w:sz w:val="24"/>
          <w:szCs w:val="24"/>
          <w:highlight w:val="none"/>
        </w:rPr>
        <w:t>3</w:t>
      </w:r>
      <w:bookmarkStart w:id="194" w:name="_Toc296503046"/>
      <w:bookmarkStart w:id="195" w:name="_Toc337558747"/>
      <w:bookmarkStart w:id="196" w:name="_Toc296346547"/>
      <w:r>
        <w:rPr>
          <w:rFonts w:hint="eastAsia" w:ascii="宋体" w:hAnsi="宋体" w:eastAsia="宋体" w:cs="宋体"/>
          <w:b w:val="0"/>
          <w:color w:val="auto"/>
          <w:sz w:val="24"/>
          <w:szCs w:val="24"/>
          <w:highlight w:val="none"/>
        </w:rPr>
        <w:t>.1 承包人的一般义务</w:t>
      </w:r>
      <w:bookmarkEnd w:id="193"/>
    </w:p>
    <w:bookmarkEnd w:id="194"/>
    <w:bookmarkEnd w:id="195"/>
    <w:bookmarkEnd w:id="196"/>
    <w:p w14:paraId="39C9732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承包人在履行合同过程中应遵守法律和工程建设标准规范，并履行以下义务：</w:t>
      </w:r>
    </w:p>
    <w:p w14:paraId="66E446C2">
      <w:pPr>
        <w:numPr>
          <w:ilvl w:val="0"/>
          <w:numId w:val="4"/>
        </w:num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办理法律规定应由承包人办理的许可和批准，并将办理结果书面报送发包人留存；</w:t>
      </w:r>
    </w:p>
    <w:p w14:paraId="724D841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（2）按法律规定和合同约定完成工程，并在保修期内承担保修义务；</w:t>
      </w:r>
    </w:p>
    <w:p w14:paraId="5E80E78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（3）按法律规定和合同约定采取施工安全和环境保护措施，办理工伤保险，确保工程及人员、材料、设备和设施的安全；</w:t>
      </w:r>
    </w:p>
    <w:p w14:paraId="3C8A8D9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（4）按合同约定的工作内容和施工进度要求，编制施工组织设计和施工措施计划，并对所有施工作业和施工方法的完备性和安全可靠性负责；</w:t>
      </w:r>
    </w:p>
    <w:p w14:paraId="2594118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300ACA0A">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（6）按照第6.3款〔环境保护〕约定负责施工场地及其周边环境与生态的保护工作；</w:t>
      </w:r>
    </w:p>
    <w:p w14:paraId="0BB2A2E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（7）按第6.1款〔安全文明施工〕约定采取施工安全措施，确保工程及其人员、材料、设备和设施的安全，防止因工程施工造成的人身伤害和财产损失；</w:t>
      </w:r>
    </w:p>
    <w:p w14:paraId="3D6EAD1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（8）将发包人按合同约定支付的各项价款专用于合同工程，且应及时支付其雇用人员工资，并及时向分包人支付合同价款；</w:t>
      </w:r>
    </w:p>
    <w:p w14:paraId="12416BF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（9）按照法律规定和合同约定编制竣工资料，完成竣工资料立卷及归档，并按专用合同条款约定的竣工资料的套数、内容、时间等要求移交发包人；</w:t>
      </w:r>
    </w:p>
    <w:p w14:paraId="3B444AA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（10）应履行的其他义务。</w:t>
      </w:r>
    </w:p>
    <w:p w14:paraId="1C41E8D6">
      <w:pPr>
        <w:pStyle w:val="6"/>
        <w:spacing w:before="120" w:after="120" w:line="312" w:lineRule="auto"/>
        <w:ind w:firstLine="480" w:firstLineChars="200"/>
        <w:rPr>
          <w:rFonts w:ascii="宋体" w:hAnsi="宋体" w:eastAsia="宋体" w:cs="宋体"/>
          <w:b w:val="0"/>
          <w:color w:val="auto"/>
          <w:sz w:val="24"/>
          <w:szCs w:val="24"/>
          <w:highlight w:val="none"/>
        </w:rPr>
      </w:pPr>
      <w:bookmarkStart w:id="197" w:name="_Toc351203520"/>
      <w:r>
        <w:rPr>
          <w:rFonts w:hint="eastAsia" w:ascii="宋体" w:hAnsi="宋体" w:eastAsia="宋体" w:cs="宋体"/>
          <w:b w:val="0"/>
          <w:color w:val="auto"/>
          <w:sz w:val="24"/>
          <w:szCs w:val="24"/>
          <w:highlight w:val="none"/>
        </w:rPr>
        <w:t>3</w:t>
      </w:r>
      <w:bookmarkStart w:id="198" w:name="_Toc296346548"/>
      <w:bookmarkStart w:id="199" w:name="_Toc296503047"/>
      <w:bookmarkStart w:id="200" w:name="_Toc337558748"/>
      <w:r>
        <w:rPr>
          <w:rFonts w:hint="eastAsia" w:ascii="宋体" w:hAnsi="宋体" w:eastAsia="宋体" w:cs="宋体"/>
          <w:b w:val="0"/>
          <w:color w:val="auto"/>
          <w:sz w:val="24"/>
          <w:szCs w:val="24"/>
          <w:highlight w:val="none"/>
        </w:rPr>
        <w:t xml:space="preserve">.2 </w:t>
      </w:r>
      <w:bookmarkEnd w:id="197"/>
      <w:r>
        <w:rPr>
          <w:rFonts w:hint="eastAsia" w:ascii="宋体" w:hAnsi="宋体" w:eastAsia="宋体" w:cs="宋体"/>
          <w:b w:val="0"/>
          <w:color w:val="auto"/>
          <w:sz w:val="24"/>
          <w:szCs w:val="24"/>
          <w:highlight w:val="none"/>
        </w:rPr>
        <w:t>项目经理</w:t>
      </w:r>
    </w:p>
    <w:bookmarkEnd w:id="198"/>
    <w:bookmarkEnd w:id="199"/>
    <w:bookmarkEnd w:id="200"/>
    <w:p w14:paraId="6C7DA32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6BC0ADE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4E442C4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承包人违反上述约定的，应按照专用合同条款的约定，承担违约责任。</w:t>
      </w:r>
    </w:p>
    <w:p w14:paraId="77308CF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3.2.2 项目经理按合同约定组织工程实施。在紧急情况下为确保施工安全和人员安全，在无法与发包人代表和总监理工程师及时取得联系时，项目经理有权采取必要的措施保证与工程有关的人身、财产和工程的安全，但应在48小时内向发包人代表和总监理工程师提交书面报告。</w:t>
      </w:r>
    </w:p>
    <w:p w14:paraId="35FE746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3F520D6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继任项目经理继续履行第3.2.1项约定的职责。承包人无正当理由拒绝更换项目经理的，应按照专用合同条款的约定承担违约责任。</w:t>
      </w:r>
    </w:p>
    <w:p w14:paraId="6A9F67E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3.2.5 项目经理因特殊情况授权其下属人员履行其某项工作职责的，该下属人员应具备履行相应职责的能力，并应提前7天将上述人员的姓名和授权范围书面通知监理人，并征得发包人书面同意。</w:t>
      </w:r>
    </w:p>
    <w:p w14:paraId="0B248752">
      <w:pPr>
        <w:pStyle w:val="6"/>
        <w:spacing w:before="120" w:after="120" w:line="312" w:lineRule="auto"/>
        <w:ind w:firstLine="480" w:firstLineChars="200"/>
        <w:rPr>
          <w:rFonts w:ascii="宋体" w:hAnsi="宋体" w:eastAsia="宋体" w:cs="宋体"/>
          <w:b w:val="0"/>
          <w:color w:val="auto"/>
          <w:sz w:val="24"/>
          <w:szCs w:val="24"/>
          <w:highlight w:val="none"/>
        </w:rPr>
      </w:pPr>
      <w:bookmarkStart w:id="201" w:name="_Toc351203521"/>
      <w:r>
        <w:rPr>
          <w:rFonts w:hint="eastAsia" w:ascii="宋体" w:hAnsi="宋体" w:eastAsia="宋体" w:cs="宋体"/>
          <w:b w:val="0"/>
          <w:color w:val="auto"/>
          <w:sz w:val="24"/>
          <w:szCs w:val="24"/>
          <w:highlight w:val="none"/>
        </w:rPr>
        <w:t>3</w:t>
      </w:r>
      <w:bookmarkStart w:id="202" w:name="_Toc296346549"/>
      <w:bookmarkStart w:id="203" w:name="_Toc296503048"/>
      <w:bookmarkStart w:id="204" w:name="_Toc337558749"/>
      <w:r>
        <w:rPr>
          <w:rFonts w:hint="eastAsia" w:ascii="宋体" w:hAnsi="宋体" w:eastAsia="宋体" w:cs="宋体"/>
          <w:b w:val="0"/>
          <w:color w:val="auto"/>
          <w:sz w:val="24"/>
          <w:szCs w:val="24"/>
          <w:highlight w:val="none"/>
        </w:rPr>
        <w:t xml:space="preserve">.3 </w:t>
      </w:r>
      <w:bookmarkEnd w:id="202"/>
      <w:bookmarkEnd w:id="203"/>
      <w:r>
        <w:rPr>
          <w:rFonts w:hint="eastAsia" w:ascii="宋体" w:hAnsi="宋体" w:eastAsia="宋体" w:cs="宋体"/>
          <w:b w:val="0"/>
          <w:color w:val="auto"/>
          <w:sz w:val="24"/>
          <w:szCs w:val="24"/>
          <w:highlight w:val="none"/>
        </w:rPr>
        <w:t>承包人人员</w:t>
      </w:r>
      <w:bookmarkEnd w:id="201"/>
    </w:p>
    <w:bookmarkEnd w:id="204"/>
    <w:p w14:paraId="2A6C59C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4C232BD7">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3.3.2 承包人派驻到施工现场的主要施工管理人员应相对稳定。施工过程中如有变动，承包人应及时向监理人提交施工现场人员变动情况的报告。承包人更换主要施工管理人员时，应提前7天书面通知监理人，并征得发包人书面同意。通知中应当载明继任人员的注册执业资格、管理经验等资料。</w:t>
      </w:r>
    </w:p>
    <w:p w14:paraId="14C1334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特殊工种作业人员均应持有相应的资格证明，监理人可以随时检查。</w:t>
      </w:r>
    </w:p>
    <w:p w14:paraId="16794AF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3.3.3 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6BF93A9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1639322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3.3.5 承包人擅自更换主要施工管理人员，或前述人员未经监理人或发包人同意擅自离开施工现场的，应按照专用合同条款约定承担违约责任。</w:t>
      </w:r>
    </w:p>
    <w:p w14:paraId="13B32909">
      <w:pPr>
        <w:pStyle w:val="6"/>
        <w:spacing w:before="120" w:after="120" w:line="312" w:lineRule="auto"/>
        <w:ind w:firstLine="480" w:firstLineChars="200"/>
        <w:rPr>
          <w:rFonts w:ascii="宋体" w:hAnsi="宋体" w:eastAsia="宋体" w:cs="宋体"/>
          <w:b w:val="0"/>
          <w:color w:val="auto"/>
          <w:sz w:val="24"/>
          <w:szCs w:val="24"/>
          <w:highlight w:val="none"/>
        </w:rPr>
      </w:pPr>
      <w:bookmarkStart w:id="205" w:name="_Toc351203522"/>
      <w:r>
        <w:rPr>
          <w:rFonts w:hint="eastAsia" w:ascii="宋体" w:hAnsi="宋体" w:eastAsia="宋体" w:cs="宋体"/>
          <w:b w:val="0"/>
          <w:color w:val="auto"/>
          <w:sz w:val="24"/>
          <w:szCs w:val="24"/>
          <w:highlight w:val="none"/>
        </w:rPr>
        <w:t>3</w:t>
      </w:r>
      <w:bookmarkStart w:id="206" w:name="_Toc296503050"/>
      <w:bookmarkStart w:id="207" w:name="_Toc337558750"/>
      <w:bookmarkStart w:id="208" w:name="_Toc296346551"/>
      <w:r>
        <w:rPr>
          <w:rFonts w:hint="eastAsia" w:ascii="宋体" w:hAnsi="宋体" w:eastAsia="宋体" w:cs="宋体"/>
          <w:b w:val="0"/>
          <w:color w:val="auto"/>
          <w:sz w:val="24"/>
          <w:szCs w:val="24"/>
          <w:highlight w:val="none"/>
        </w:rPr>
        <w:t>.4 承包人现场查勘</w:t>
      </w:r>
      <w:bookmarkEnd w:id="205"/>
    </w:p>
    <w:bookmarkEnd w:id="206"/>
    <w:bookmarkEnd w:id="207"/>
    <w:bookmarkEnd w:id="208"/>
    <w:p w14:paraId="081FFC20">
      <w:pP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承包人应对基于发包人按照第2.4.3项〔提供基础资料〕提交的基础资料所做出的解释和推断负责，但因基础资料存在错误、遗漏导致承包人解释或推断失实的，由发包人承担责任。</w:t>
      </w:r>
    </w:p>
    <w:p w14:paraId="45ADD28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0948C75A">
      <w:pPr>
        <w:pStyle w:val="6"/>
        <w:spacing w:before="120" w:after="120" w:line="312" w:lineRule="auto"/>
        <w:ind w:firstLine="480" w:firstLineChars="200"/>
        <w:rPr>
          <w:rFonts w:ascii="宋体" w:hAnsi="宋体" w:eastAsia="宋体" w:cs="宋体"/>
          <w:b w:val="0"/>
          <w:color w:val="auto"/>
          <w:sz w:val="24"/>
          <w:szCs w:val="24"/>
          <w:highlight w:val="none"/>
        </w:rPr>
      </w:pPr>
      <w:bookmarkStart w:id="209" w:name="_Toc351203523"/>
      <w:r>
        <w:rPr>
          <w:rFonts w:hint="eastAsia" w:ascii="宋体" w:hAnsi="宋体" w:eastAsia="宋体" w:cs="宋体"/>
          <w:b w:val="0"/>
          <w:color w:val="auto"/>
          <w:sz w:val="24"/>
          <w:szCs w:val="24"/>
          <w:highlight w:val="none"/>
        </w:rPr>
        <w:t>3</w:t>
      </w:r>
      <w:bookmarkStart w:id="210" w:name="_Toc296503051"/>
      <w:bookmarkStart w:id="211" w:name="_Toc337558751"/>
      <w:bookmarkStart w:id="212" w:name="_Toc296346552"/>
      <w:r>
        <w:rPr>
          <w:rFonts w:hint="eastAsia" w:ascii="宋体" w:hAnsi="宋体" w:eastAsia="宋体" w:cs="宋体"/>
          <w:b w:val="0"/>
          <w:color w:val="auto"/>
          <w:sz w:val="24"/>
          <w:szCs w:val="24"/>
          <w:highlight w:val="none"/>
        </w:rPr>
        <w:t>.5 分包</w:t>
      </w:r>
      <w:bookmarkEnd w:id="209"/>
    </w:p>
    <w:bookmarkEnd w:id="210"/>
    <w:bookmarkEnd w:id="211"/>
    <w:bookmarkEnd w:id="212"/>
    <w:p w14:paraId="25FFB8F5">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3.5.1 分包的一般约定</w:t>
      </w:r>
    </w:p>
    <w:p w14:paraId="6C224FD2">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419D76A1">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承包人不得以劳务分包的名义转包或违法分包工程。</w:t>
      </w:r>
    </w:p>
    <w:p w14:paraId="0ABDDC6A">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3.5.2 分包的确定</w:t>
      </w:r>
    </w:p>
    <w:p w14:paraId="6E90AB58">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专用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6E5CA7F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3.5.3 分包管理</w:t>
      </w:r>
    </w:p>
    <w:p w14:paraId="79D693B7">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承包人应向监理人提交分包人的主要施工管理人员表，并对分包人的施工人员进行实名制管理，包括但不限于进出场管理、登记造册以及各种证照的办理。</w:t>
      </w:r>
    </w:p>
    <w:p w14:paraId="4C5C0010">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3.5.4 分包合同价款</w:t>
      </w:r>
    </w:p>
    <w:p w14:paraId="4D1461AB">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（1）除本项第（2）目约定的情况或专用合同条款另有约定外，分包合同价款由承包人与分包人结算，未经承包人同意，发包人不得向分包人支付分包工程价款；</w:t>
      </w:r>
    </w:p>
    <w:p w14:paraId="70B4C3E4">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（2）生效法律文书要求发包人向分包人支付分包合同价款的，发包人有权从应付承包人工程款中扣除该部分款项。</w:t>
      </w:r>
    </w:p>
    <w:p w14:paraId="55971D87">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3.5.5 分包合同权益的转让</w:t>
      </w:r>
    </w:p>
    <w:p w14:paraId="252D7F41">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213" w:name="_Toc351203524"/>
    </w:p>
    <w:p w14:paraId="7769C57A">
      <w:pPr>
        <w:pStyle w:val="6"/>
        <w:spacing w:before="120" w:after="120" w:line="312" w:lineRule="auto"/>
        <w:ind w:firstLine="480" w:firstLineChars="200"/>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3.6 工程照管与成品、半成品保护</w:t>
      </w:r>
      <w:bookmarkEnd w:id="213"/>
    </w:p>
    <w:p w14:paraId="50AFDEFD">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（1）除专用合同条款另有约定外，自发包人向承包人移交施工现场之日起，承包人应负责照管工程及工程相关的材料、工程设备，直到颁发工程接收证书之日止。</w:t>
      </w:r>
    </w:p>
    <w:p w14:paraId="0B02F388">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（2）在承包人负责照管期间，因承包人原因造成工程、材料、工程设备损坏的，由承包人负责修复或更换，并承担由此增加的费用和（或）延误的工期。</w:t>
      </w:r>
    </w:p>
    <w:p w14:paraId="73DDCAC8">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（3）对合同内分期完成的成品和半成品，在工程接收证书颁发前，由承包人承担保护责任。因承包人原因造成成品或半成品损坏的，由承包人负责修复或更换，并承担由此增加的费用和（或）延误的工期。</w:t>
      </w:r>
    </w:p>
    <w:p w14:paraId="6404C268">
      <w:pPr>
        <w:pStyle w:val="6"/>
        <w:spacing w:before="120" w:after="120" w:line="312" w:lineRule="auto"/>
        <w:ind w:firstLine="480" w:firstLineChars="200"/>
        <w:rPr>
          <w:rFonts w:ascii="宋体" w:hAnsi="宋体" w:eastAsia="宋体" w:cs="宋体"/>
          <w:b w:val="0"/>
          <w:color w:val="auto"/>
          <w:sz w:val="24"/>
          <w:szCs w:val="24"/>
          <w:highlight w:val="none"/>
        </w:rPr>
      </w:pPr>
      <w:bookmarkStart w:id="214" w:name="_Toc351203525"/>
      <w:r>
        <w:rPr>
          <w:rFonts w:hint="eastAsia" w:ascii="宋体" w:hAnsi="宋体" w:eastAsia="宋体" w:cs="宋体"/>
          <w:b w:val="0"/>
          <w:color w:val="auto"/>
          <w:sz w:val="24"/>
          <w:szCs w:val="24"/>
          <w:highlight w:val="none"/>
        </w:rPr>
        <w:t>3</w:t>
      </w:r>
      <w:bookmarkStart w:id="215" w:name="_Toc296346553"/>
      <w:bookmarkStart w:id="216" w:name="_Toc296503052"/>
      <w:bookmarkStart w:id="217" w:name="_Toc337558752"/>
      <w:r>
        <w:rPr>
          <w:rFonts w:hint="eastAsia" w:ascii="宋体" w:hAnsi="宋体" w:eastAsia="宋体" w:cs="宋体"/>
          <w:b w:val="0"/>
          <w:color w:val="auto"/>
          <w:sz w:val="24"/>
          <w:szCs w:val="24"/>
          <w:highlight w:val="none"/>
        </w:rPr>
        <w:t>.7 履约担保</w:t>
      </w:r>
      <w:bookmarkEnd w:id="214"/>
    </w:p>
    <w:bookmarkEnd w:id="215"/>
    <w:bookmarkEnd w:id="216"/>
    <w:bookmarkEnd w:id="217"/>
    <w:p w14:paraId="34E411A8">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2291777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因承包人原因导致工期延长的，继续提供履约担保所增加的费用由承包人承担；非因承包人原因导致工期延长的，继续提供履约担保所增加的费用由发包人承担。</w:t>
      </w:r>
    </w:p>
    <w:p w14:paraId="16478E24">
      <w:pPr>
        <w:pStyle w:val="6"/>
        <w:spacing w:before="120" w:after="120" w:line="312" w:lineRule="auto"/>
        <w:ind w:firstLine="480" w:firstLineChars="200"/>
        <w:rPr>
          <w:rFonts w:ascii="宋体" w:hAnsi="宋体" w:eastAsia="宋体" w:cs="宋体"/>
          <w:b w:val="0"/>
          <w:color w:val="auto"/>
          <w:sz w:val="24"/>
          <w:szCs w:val="24"/>
          <w:highlight w:val="none"/>
        </w:rPr>
      </w:pPr>
      <w:bookmarkStart w:id="218" w:name="_Toc351203526"/>
      <w:r>
        <w:rPr>
          <w:rFonts w:hint="eastAsia" w:ascii="宋体" w:hAnsi="宋体" w:eastAsia="宋体" w:cs="宋体"/>
          <w:b w:val="0"/>
          <w:color w:val="auto"/>
          <w:sz w:val="24"/>
          <w:szCs w:val="24"/>
          <w:highlight w:val="none"/>
        </w:rPr>
        <w:t>3.8 联合体</w:t>
      </w:r>
      <w:bookmarkEnd w:id="218"/>
    </w:p>
    <w:p w14:paraId="24200087">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3.8.1 联合体各方应共同与发包人签订合同协议书。联合体各方应为履行合同向发包人承担连带责任。</w:t>
      </w:r>
    </w:p>
    <w:p w14:paraId="0382C01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3.8.2 联合体协议经发包人确认后作为合同附件。在履行合同过程中，未经发包人同意，不得修改联合体协议。</w:t>
      </w:r>
    </w:p>
    <w:p w14:paraId="4940E72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3.8.3 联合体牵头人负责与发包人和监理人联系，并接受指示，负责组织联合体各成员全面履行合同。</w:t>
      </w:r>
    </w:p>
    <w:p w14:paraId="18507F12">
      <w:pPr>
        <w:pStyle w:val="5"/>
        <w:spacing w:before="120" w:after="120" w:line="312" w:lineRule="auto"/>
        <w:rPr>
          <w:rFonts w:ascii="宋体" w:hAnsi="宋体" w:eastAsia="宋体" w:cs="宋体"/>
          <w:b w:val="0"/>
          <w:color w:val="auto"/>
          <w:sz w:val="24"/>
          <w:szCs w:val="24"/>
          <w:highlight w:val="none"/>
        </w:rPr>
      </w:pPr>
      <w:bookmarkStart w:id="219" w:name="_Toc351203527"/>
      <w:r>
        <w:rPr>
          <w:rFonts w:hint="eastAsia" w:ascii="宋体" w:hAnsi="宋体" w:eastAsia="宋体" w:cs="宋体"/>
          <w:b w:val="0"/>
          <w:color w:val="auto"/>
          <w:sz w:val="24"/>
          <w:szCs w:val="24"/>
          <w:highlight w:val="none"/>
        </w:rPr>
        <w:t>4</w:t>
      </w:r>
      <w:bookmarkStart w:id="220" w:name="_Toc296503053"/>
      <w:bookmarkStart w:id="221" w:name="_Toc296346554"/>
      <w:bookmarkStart w:id="222" w:name="_Toc337558753"/>
      <w:r>
        <w:rPr>
          <w:rFonts w:hint="eastAsia" w:ascii="宋体" w:hAnsi="宋体" w:eastAsia="宋体" w:cs="宋体"/>
          <w:b w:val="0"/>
          <w:color w:val="auto"/>
          <w:sz w:val="24"/>
          <w:szCs w:val="24"/>
          <w:highlight w:val="none"/>
        </w:rPr>
        <w:t>. 监</w:t>
      </w:r>
      <w:bookmarkEnd w:id="220"/>
      <w:bookmarkEnd w:id="221"/>
      <w:r>
        <w:rPr>
          <w:rFonts w:hint="eastAsia" w:ascii="宋体" w:hAnsi="宋体" w:eastAsia="宋体" w:cs="宋体"/>
          <w:b w:val="0"/>
          <w:color w:val="auto"/>
          <w:sz w:val="24"/>
          <w:szCs w:val="24"/>
          <w:highlight w:val="none"/>
        </w:rPr>
        <w:t>理人</w:t>
      </w:r>
      <w:bookmarkEnd w:id="219"/>
    </w:p>
    <w:bookmarkEnd w:id="222"/>
    <w:p w14:paraId="76899015">
      <w:pPr>
        <w:pStyle w:val="6"/>
        <w:spacing w:before="120" w:after="120" w:line="312" w:lineRule="auto"/>
        <w:ind w:firstLine="480" w:firstLineChars="200"/>
        <w:rPr>
          <w:rFonts w:ascii="宋体" w:hAnsi="宋体" w:eastAsia="宋体" w:cs="宋体"/>
          <w:b w:val="0"/>
          <w:color w:val="auto"/>
          <w:sz w:val="24"/>
          <w:szCs w:val="24"/>
          <w:highlight w:val="none"/>
        </w:rPr>
      </w:pPr>
      <w:bookmarkStart w:id="223" w:name="_Toc351203528"/>
      <w:r>
        <w:rPr>
          <w:rFonts w:hint="eastAsia" w:ascii="宋体" w:hAnsi="宋体" w:eastAsia="宋体" w:cs="宋体"/>
          <w:b w:val="0"/>
          <w:color w:val="auto"/>
          <w:sz w:val="24"/>
          <w:szCs w:val="24"/>
          <w:highlight w:val="none"/>
        </w:rPr>
        <w:t>4</w:t>
      </w:r>
      <w:bookmarkStart w:id="224" w:name="_Toc296503054"/>
      <w:bookmarkStart w:id="225" w:name="_Toc296346555"/>
      <w:bookmarkStart w:id="226" w:name="_Toc337558754"/>
      <w:r>
        <w:rPr>
          <w:rFonts w:hint="eastAsia" w:ascii="宋体" w:hAnsi="宋体" w:eastAsia="宋体" w:cs="宋体"/>
          <w:b w:val="0"/>
          <w:color w:val="auto"/>
          <w:sz w:val="24"/>
          <w:szCs w:val="24"/>
          <w:highlight w:val="none"/>
        </w:rPr>
        <w:t>.1监理人的一般规定</w:t>
      </w:r>
      <w:bookmarkEnd w:id="223"/>
    </w:p>
    <w:bookmarkEnd w:id="224"/>
    <w:bookmarkEnd w:id="225"/>
    <w:bookmarkEnd w:id="226"/>
    <w:p w14:paraId="1F3EF0C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794811B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除专用合同条款另有约定外，监理人在施工现场的办公场所、生活场所由承包人提供，所发生的费用由发包人承担。</w:t>
      </w:r>
    </w:p>
    <w:p w14:paraId="54A03AA3">
      <w:pPr>
        <w:pStyle w:val="6"/>
        <w:spacing w:before="120" w:after="120" w:line="312" w:lineRule="auto"/>
        <w:ind w:firstLine="480" w:firstLineChars="200"/>
        <w:rPr>
          <w:rFonts w:ascii="宋体" w:hAnsi="宋体" w:eastAsia="宋体" w:cs="宋体"/>
          <w:b w:val="0"/>
          <w:color w:val="auto"/>
          <w:sz w:val="24"/>
          <w:szCs w:val="24"/>
          <w:highlight w:val="none"/>
        </w:rPr>
      </w:pPr>
      <w:bookmarkStart w:id="227" w:name="_Toc351203529"/>
      <w:r>
        <w:rPr>
          <w:rFonts w:hint="eastAsia" w:ascii="宋体" w:hAnsi="宋体" w:eastAsia="宋体" w:cs="宋体"/>
          <w:b w:val="0"/>
          <w:color w:val="auto"/>
          <w:sz w:val="24"/>
          <w:szCs w:val="24"/>
          <w:highlight w:val="none"/>
        </w:rPr>
        <w:t>4</w:t>
      </w:r>
      <w:bookmarkStart w:id="228" w:name="_Toc337558755"/>
      <w:r>
        <w:rPr>
          <w:rFonts w:hint="eastAsia" w:ascii="宋体" w:hAnsi="宋体" w:eastAsia="宋体" w:cs="宋体"/>
          <w:b w:val="0"/>
          <w:color w:val="auto"/>
          <w:sz w:val="24"/>
          <w:szCs w:val="24"/>
          <w:highlight w:val="none"/>
        </w:rPr>
        <w:t>.2监理人员</w:t>
      </w:r>
      <w:bookmarkEnd w:id="227"/>
    </w:p>
    <w:bookmarkEnd w:id="228"/>
    <w:p w14:paraId="54F3C12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56E4FEF6">
      <w:pPr>
        <w:pStyle w:val="6"/>
        <w:spacing w:before="120" w:after="120" w:line="312" w:lineRule="auto"/>
        <w:ind w:firstLine="480" w:firstLineChars="200"/>
        <w:rPr>
          <w:rFonts w:ascii="宋体" w:hAnsi="宋体" w:eastAsia="宋体" w:cs="宋体"/>
          <w:b w:val="0"/>
          <w:color w:val="auto"/>
          <w:sz w:val="24"/>
          <w:szCs w:val="24"/>
          <w:highlight w:val="none"/>
        </w:rPr>
      </w:pPr>
      <w:bookmarkStart w:id="229" w:name="_Toc351203530"/>
      <w:r>
        <w:rPr>
          <w:rFonts w:hint="eastAsia" w:ascii="宋体" w:hAnsi="宋体" w:eastAsia="宋体" w:cs="宋体"/>
          <w:b w:val="0"/>
          <w:color w:val="auto"/>
          <w:sz w:val="24"/>
          <w:szCs w:val="24"/>
          <w:highlight w:val="none"/>
        </w:rPr>
        <w:t>4</w:t>
      </w:r>
      <w:bookmarkStart w:id="230" w:name="_Toc296503055"/>
      <w:bookmarkStart w:id="231" w:name="_Toc296346556"/>
      <w:bookmarkStart w:id="232" w:name="_Toc337558756"/>
      <w:r>
        <w:rPr>
          <w:rFonts w:hint="eastAsia" w:ascii="宋体" w:hAnsi="宋体" w:eastAsia="宋体" w:cs="宋体"/>
          <w:b w:val="0"/>
          <w:color w:val="auto"/>
          <w:sz w:val="24"/>
          <w:szCs w:val="24"/>
          <w:highlight w:val="none"/>
        </w:rPr>
        <w:t>.3</w:t>
      </w:r>
      <w:bookmarkEnd w:id="230"/>
      <w:bookmarkEnd w:id="231"/>
      <w:r>
        <w:rPr>
          <w:rFonts w:hint="eastAsia" w:ascii="宋体" w:hAnsi="宋体" w:eastAsia="宋体" w:cs="宋体"/>
          <w:b w:val="0"/>
          <w:color w:val="auto"/>
          <w:sz w:val="24"/>
          <w:szCs w:val="24"/>
          <w:highlight w:val="none"/>
        </w:rPr>
        <w:t>监理人的指</w:t>
      </w:r>
      <w:bookmarkEnd w:id="232"/>
      <w:r>
        <w:rPr>
          <w:rFonts w:hint="eastAsia" w:ascii="宋体" w:hAnsi="宋体" w:eastAsia="宋体" w:cs="宋体"/>
          <w:b w:val="0"/>
          <w:color w:val="auto"/>
          <w:sz w:val="24"/>
          <w:szCs w:val="24"/>
          <w:highlight w:val="none"/>
        </w:rPr>
        <w:t>示</w:t>
      </w:r>
      <w:bookmarkEnd w:id="229"/>
    </w:p>
    <w:p w14:paraId="4FF9634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28E7D9D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4.4款〔商定或确定〕约定应由总监理工程师作出确定的权力授权或委托给其他监理人员。</w:t>
      </w:r>
    </w:p>
    <w:p w14:paraId="024AEF9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承包人对监理人发出的指示有疑问的，应向监理人提出书面异议，监理人应在48小时内对该指示予以确认、更改或撤销，监理人逾期未回复的，承包人有权拒绝执行上述指示。</w:t>
      </w:r>
    </w:p>
    <w:p w14:paraId="6158AB2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监理人对承包人的任何工作、工程或其采用的材料和工程设备未在约定的或合理期限内提出意见的，视为批准，但不免除或减轻承包人对该工作、工程、材料、工程设备等应承担的责任和义务。</w:t>
      </w:r>
    </w:p>
    <w:p w14:paraId="384266E2">
      <w:pPr>
        <w:pStyle w:val="5"/>
        <w:spacing w:before="120" w:after="120" w:line="312" w:lineRule="auto"/>
        <w:ind w:firstLine="480" w:firstLineChars="200"/>
        <w:rPr>
          <w:rFonts w:ascii="宋体" w:hAnsi="宋体" w:eastAsia="宋体" w:cs="宋体"/>
          <w:b w:val="0"/>
          <w:color w:val="auto"/>
          <w:sz w:val="24"/>
          <w:szCs w:val="24"/>
          <w:highlight w:val="none"/>
        </w:rPr>
      </w:pPr>
      <w:bookmarkStart w:id="233" w:name="_Toc351203531"/>
      <w:r>
        <w:rPr>
          <w:rFonts w:hint="eastAsia" w:ascii="宋体" w:hAnsi="宋体" w:eastAsia="宋体" w:cs="宋体"/>
          <w:b w:val="0"/>
          <w:color w:val="auto"/>
          <w:sz w:val="24"/>
          <w:szCs w:val="24"/>
          <w:highlight w:val="none"/>
        </w:rPr>
        <w:t>4</w:t>
      </w:r>
      <w:bookmarkStart w:id="234" w:name="_Toc296503057"/>
      <w:bookmarkStart w:id="235" w:name="_Toc337558757"/>
      <w:bookmarkStart w:id="236" w:name="_Toc296346558"/>
      <w:r>
        <w:rPr>
          <w:rFonts w:hint="eastAsia" w:ascii="宋体" w:hAnsi="宋体" w:eastAsia="宋体" w:cs="宋体"/>
          <w:b w:val="0"/>
          <w:color w:val="auto"/>
          <w:sz w:val="24"/>
          <w:szCs w:val="24"/>
          <w:highlight w:val="none"/>
        </w:rPr>
        <w:t>.4 商定或确定</w:t>
      </w:r>
      <w:bookmarkEnd w:id="233"/>
    </w:p>
    <w:bookmarkEnd w:id="234"/>
    <w:bookmarkEnd w:id="235"/>
    <w:bookmarkEnd w:id="236"/>
    <w:p w14:paraId="5ECCADD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合同当事人进行商定或确定时，总监理工程师应当会同合同当事人尽量通过协商达成一致，不能达成一致的，由总监理工程师按照合同约定审慎做出公正的确定。</w:t>
      </w:r>
    </w:p>
    <w:p w14:paraId="16D93A8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总监理工程师应将确定以书面形式通知发包人和承包人，并附详细依据。合同当事人对总监理工程师的确定没有异议的，按照总监理工程师的确定执行。任何一方合同当事人有异议，按照第20条〔争议解决〕约定处理。争议解决前，合同当事人暂按总监理工程师的确定执行；争议解决后，争议解决的结果与总监理工程师的确定不一致的，按照争议解决的结果执行，由此造成的损失由责任人承担。</w:t>
      </w:r>
    </w:p>
    <w:p w14:paraId="57D62D3A">
      <w:pPr>
        <w:pStyle w:val="5"/>
        <w:spacing w:before="120" w:after="120" w:line="312" w:lineRule="auto"/>
        <w:rPr>
          <w:rFonts w:ascii="宋体" w:hAnsi="宋体" w:eastAsia="宋体" w:cs="宋体"/>
          <w:b w:val="0"/>
          <w:color w:val="auto"/>
          <w:sz w:val="24"/>
          <w:szCs w:val="24"/>
          <w:highlight w:val="none"/>
        </w:rPr>
      </w:pPr>
      <w:bookmarkStart w:id="237" w:name="_Toc351203532"/>
      <w:r>
        <w:rPr>
          <w:rFonts w:hint="eastAsia" w:ascii="宋体" w:hAnsi="宋体" w:eastAsia="宋体" w:cs="宋体"/>
          <w:b w:val="0"/>
          <w:color w:val="auto"/>
          <w:sz w:val="24"/>
          <w:szCs w:val="24"/>
          <w:highlight w:val="none"/>
        </w:rPr>
        <w:t>5</w:t>
      </w:r>
      <w:bookmarkStart w:id="238" w:name="_Toc337558758"/>
      <w:r>
        <w:rPr>
          <w:rFonts w:hint="eastAsia" w:ascii="宋体" w:hAnsi="宋体" w:eastAsia="宋体" w:cs="宋体"/>
          <w:b w:val="0"/>
          <w:color w:val="auto"/>
          <w:sz w:val="24"/>
          <w:szCs w:val="24"/>
          <w:highlight w:val="none"/>
        </w:rPr>
        <w:t>. 工程质量</w:t>
      </w:r>
      <w:bookmarkEnd w:id="237"/>
    </w:p>
    <w:bookmarkEnd w:id="238"/>
    <w:p w14:paraId="4300323D">
      <w:pPr>
        <w:pStyle w:val="6"/>
        <w:spacing w:before="120" w:after="120" w:line="312" w:lineRule="auto"/>
        <w:ind w:firstLine="480" w:firstLineChars="200"/>
        <w:rPr>
          <w:rFonts w:ascii="宋体" w:hAnsi="宋体" w:eastAsia="宋体" w:cs="宋体"/>
          <w:b w:val="0"/>
          <w:color w:val="auto"/>
          <w:sz w:val="24"/>
          <w:szCs w:val="24"/>
          <w:highlight w:val="none"/>
        </w:rPr>
      </w:pPr>
      <w:bookmarkStart w:id="239" w:name="_Toc351203533"/>
      <w:r>
        <w:rPr>
          <w:rFonts w:hint="eastAsia" w:ascii="宋体" w:hAnsi="宋体" w:eastAsia="宋体" w:cs="宋体"/>
          <w:b w:val="0"/>
          <w:color w:val="auto"/>
          <w:sz w:val="24"/>
          <w:szCs w:val="24"/>
          <w:highlight w:val="none"/>
        </w:rPr>
        <w:t>5</w:t>
      </w:r>
      <w:bookmarkStart w:id="240" w:name="_Toc337558759"/>
      <w:r>
        <w:rPr>
          <w:rFonts w:hint="eastAsia" w:ascii="宋体" w:hAnsi="宋体" w:eastAsia="宋体" w:cs="宋体"/>
          <w:b w:val="0"/>
          <w:color w:val="auto"/>
          <w:sz w:val="24"/>
          <w:szCs w:val="24"/>
          <w:highlight w:val="none"/>
        </w:rPr>
        <w:t>.1质量要求</w:t>
      </w:r>
      <w:bookmarkEnd w:id="239"/>
    </w:p>
    <w:bookmarkEnd w:id="240"/>
    <w:p w14:paraId="7F8601A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5.1.1 工程质量标准必须符合现行国家有关工程施工质量验收规范和标准的要求。有关工程质量的特殊标准或要求由合同当事人在专用合同条款中约定。</w:t>
      </w:r>
    </w:p>
    <w:p w14:paraId="56BEAC9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5.1.2 因发包人原因造成工程质量未达到合同约定标准的，由发包人承担由此增加的费用和（或）延误的工期，并支付承包人合理的利润。</w:t>
      </w:r>
    </w:p>
    <w:p w14:paraId="2261956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5.1.3 因承包人原因造成工程质量未达到合同约定标准的，发包人有权要求承包人返工直至工程质量达到合同约定的标准为止，并由承包人承担由此增加的费用和（或）延误的工期。</w:t>
      </w:r>
    </w:p>
    <w:p w14:paraId="1581D5B5">
      <w:pPr>
        <w:pStyle w:val="6"/>
        <w:spacing w:before="120" w:after="120" w:line="312" w:lineRule="auto"/>
        <w:ind w:firstLine="480" w:firstLineChars="200"/>
        <w:rPr>
          <w:rFonts w:ascii="宋体" w:hAnsi="宋体" w:eastAsia="宋体" w:cs="宋体"/>
          <w:b w:val="0"/>
          <w:color w:val="auto"/>
          <w:sz w:val="24"/>
          <w:szCs w:val="24"/>
          <w:highlight w:val="none"/>
        </w:rPr>
      </w:pPr>
      <w:bookmarkStart w:id="241" w:name="_Toc351203534"/>
      <w:r>
        <w:rPr>
          <w:rFonts w:hint="eastAsia" w:ascii="宋体" w:hAnsi="宋体" w:eastAsia="宋体" w:cs="宋体"/>
          <w:b w:val="0"/>
          <w:color w:val="auto"/>
          <w:sz w:val="24"/>
          <w:szCs w:val="24"/>
          <w:highlight w:val="none"/>
        </w:rPr>
        <w:t>5</w:t>
      </w:r>
      <w:bookmarkStart w:id="242" w:name="_Toc337558760"/>
      <w:r>
        <w:rPr>
          <w:rFonts w:hint="eastAsia" w:ascii="宋体" w:hAnsi="宋体" w:eastAsia="宋体" w:cs="宋体"/>
          <w:b w:val="0"/>
          <w:color w:val="auto"/>
          <w:sz w:val="24"/>
          <w:szCs w:val="24"/>
          <w:highlight w:val="none"/>
        </w:rPr>
        <w:t>.2质量保证措施</w:t>
      </w:r>
      <w:bookmarkEnd w:id="241"/>
    </w:p>
    <w:bookmarkEnd w:id="242"/>
    <w:p w14:paraId="43D7E8F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5.2.1 发包人的质量管理</w:t>
      </w:r>
    </w:p>
    <w:p w14:paraId="0EBFF4F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发包人应按照法律规定及合同约定完成与工程质量有关的各项工作。</w:t>
      </w:r>
    </w:p>
    <w:p w14:paraId="687538C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5.2.2 承包人的质量管理</w:t>
      </w:r>
    </w:p>
    <w:p w14:paraId="2622F0A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按照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5D448C2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承包人应对施工人员进行质量教育和技术培训，定期考核施工人员的劳动技能，严格执行施工规范和操作规程。</w:t>
      </w:r>
    </w:p>
    <w:p w14:paraId="648B1F97">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241F648A">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5.2.3 监理人的质量检查和检验</w:t>
      </w:r>
    </w:p>
    <w:p w14:paraId="5EEA091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2BEE5B6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6CB6F0E5">
      <w:pPr>
        <w:pStyle w:val="6"/>
        <w:spacing w:before="120" w:after="120" w:line="312" w:lineRule="auto"/>
        <w:ind w:firstLine="480" w:firstLineChars="200"/>
        <w:rPr>
          <w:rFonts w:ascii="宋体" w:hAnsi="宋体" w:eastAsia="宋体" w:cs="宋体"/>
          <w:b w:val="0"/>
          <w:color w:val="auto"/>
          <w:sz w:val="24"/>
          <w:szCs w:val="24"/>
          <w:highlight w:val="none"/>
        </w:rPr>
      </w:pPr>
      <w:bookmarkStart w:id="243" w:name="_Toc351203535"/>
      <w:r>
        <w:rPr>
          <w:rFonts w:hint="eastAsia" w:ascii="宋体" w:hAnsi="宋体" w:eastAsia="宋体" w:cs="宋体"/>
          <w:b w:val="0"/>
          <w:color w:val="auto"/>
          <w:sz w:val="24"/>
          <w:szCs w:val="24"/>
          <w:highlight w:val="none"/>
        </w:rPr>
        <w:t>5</w:t>
      </w:r>
      <w:bookmarkStart w:id="244" w:name="_Toc337558761"/>
      <w:r>
        <w:rPr>
          <w:rFonts w:hint="eastAsia" w:ascii="宋体" w:hAnsi="宋体" w:eastAsia="宋体" w:cs="宋体"/>
          <w:b w:val="0"/>
          <w:color w:val="auto"/>
          <w:sz w:val="24"/>
          <w:szCs w:val="24"/>
          <w:highlight w:val="none"/>
        </w:rPr>
        <w:t>.3 隐蔽工程检查</w:t>
      </w:r>
      <w:bookmarkEnd w:id="243"/>
    </w:p>
    <w:bookmarkEnd w:id="244"/>
    <w:p w14:paraId="4136450E">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5.3.1承包人自检</w:t>
      </w:r>
    </w:p>
    <w:p w14:paraId="622DC9AD">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承包人应当对工程隐蔽部位进行自检，并经自检确认是否具备覆盖条件。</w:t>
      </w:r>
    </w:p>
    <w:p w14:paraId="7050DC0E">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5.3.2检查程序</w:t>
      </w:r>
    </w:p>
    <w:p w14:paraId="133ABC0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14:paraId="50793D2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4AB796B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重新检查〕的约定重新检查。</w:t>
      </w:r>
    </w:p>
    <w:p w14:paraId="7B575ABE">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5.3.3 重新检查</w:t>
      </w:r>
    </w:p>
    <w:p w14:paraId="68C63BD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7DC11060">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5.3.4 承包人私自覆盖</w:t>
      </w:r>
    </w:p>
    <w:p w14:paraId="0F62C607">
      <w:pP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承包人未通知监理人到场检查，私自将工程隐蔽部位覆盖的，监理人有权指示承包人钻孔探测或揭开检查，无论工程隐蔽部位质量是否合格，由此增加的费用和（或）延误的工期均由承包人承担。</w:t>
      </w:r>
    </w:p>
    <w:p w14:paraId="3E5A71C9">
      <w:pPr>
        <w:pStyle w:val="6"/>
        <w:spacing w:before="120" w:after="120" w:line="312" w:lineRule="auto"/>
        <w:ind w:firstLine="480" w:firstLineChars="200"/>
        <w:rPr>
          <w:rFonts w:ascii="宋体" w:hAnsi="宋体" w:eastAsia="宋体" w:cs="宋体"/>
          <w:b w:val="0"/>
          <w:color w:val="auto"/>
          <w:sz w:val="24"/>
          <w:szCs w:val="24"/>
          <w:highlight w:val="none"/>
        </w:rPr>
      </w:pPr>
      <w:bookmarkStart w:id="245" w:name="_Toc351203536"/>
      <w:r>
        <w:rPr>
          <w:rFonts w:hint="eastAsia" w:ascii="宋体" w:hAnsi="宋体" w:eastAsia="宋体" w:cs="宋体"/>
          <w:b w:val="0"/>
          <w:color w:val="auto"/>
          <w:sz w:val="24"/>
          <w:szCs w:val="24"/>
          <w:highlight w:val="none"/>
        </w:rPr>
        <w:t>5</w:t>
      </w:r>
      <w:bookmarkStart w:id="246" w:name="_Toc337558762"/>
      <w:r>
        <w:rPr>
          <w:rFonts w:hint="eastAsia" w:ascii="宋体" w:hAnsi="宋体" w:eastAsia="宋体" w:cs="宋体"/>
          <w:b w:val="0"/>
          <w:color w:val="auto"/>
          <w:sz w:val="24"/>
          <w:szCs w:val="24"/>
          <w:highlight w:val="none"/>
        </w:rPr>
        <w:t>.4不合格工程的处理</w:t>
      </w:r>
      <w:bookmarkEnd w:id="245"/>
    </w:p>
    <w:bookmarkEnd w:id="246"/>
    <w:p w14:paraId="10713FEE">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14:paraId="14E7AAD2">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5.4.2 因发包人原因造成工程不合格的，由此增加的费用和（或）延误的工期由发包人承担，并支付承包人合理的利润。</w:t>
      </w:r>
    </w:p>
    <w:p w14:paraId="2E36E0D1">
      <w:pPr>
        <w:pStyle w:val="6"/>
        <w:spacing w:before="120" w:after="120" w:line="312" w:lineRule="auto"/>
        <w:ind w:firstLine="480" w:firstLineChars="200"/>
        <w:rPr>
          <w:rFonts w:ascii="宋体" w:hAnsi="宋体" w:eastAsia="宋体" w:cs="宋体"/>
          <w:b w:val="0"/>
          <w:color w:val="auto"/>
          <w:sz w:val="24"/>
          <w:szCs w:val="24"/>
          <w:highlight w:val="none"/>
        </w:rPr>
      </w:pPr>
      <w:bookmarkStart w:id="247" w:name="_Toc351203537"/>
      <w:r>
        <w:rPr>
          <w:rFonts w:hint="eastAsia" w:ascii="宋体" w:hAnsi="宋体" w:eastAsia="宋体" w:cs="宋体"/>
          <w:b w:val="0"/>
          <w:color w:val="auto"/>
          <w:sz w:val="24"/>
          <w:szCs w:val="24"/>
          <w:highlight w:val="none"/>
        </w:rPr>
        <w:t>5.5 质量争议检测</w:t>
      </w:r>
      <w:bookmarkEnd w:id="247"/>
    </w:p>
    <w:p w14:paraId="6BB97FE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合同当事人对工程质量有争议的，由双方协商确定的工程质量检测机构鉴定，由此产生的费用及因此造成的损失，由责任方承担。</w:t>
      </w:r>
    </w:p>
    <w:p w14:paraId="5AC7796D">
      <w:pPr>
        <w:autoSpaceDE w:val="0"/>
        <w:autoSpaceDN w:val="0"/>
        <w:adjustRightInd w:val="0"/>
        <w:spacing w:line="312" w:lineRule="auto"/>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合同当事人均有责任的，由双方根据其责任分别承担。合同当事人无法达成一致的，按照第4.4款〔商定或确定〕执行。</w:t>
      </w:r>
    </w:p>
    <w:p w14:paraId="5FC304CC">
      <w:pPr>
        <w:pStyle w:val="5"/>
        <w:spacing w:before="120" w:after="120" w:line="312" w:lineRule="auto"/>
        <w:rPr>
          <w:rFonts w:ascii="宋体" w:hAnsi="宋体" w:eastAsia="宋体" w:cs="宋体"/>
          <w:b w:val="0"/>
          <w:color w:val="auto"/>
          <w:sz w:val="24"/>
          <w:szCs w:val="24"/>
          <w:highlight w:val="none"/>
        </w:rPr>
      </w:pPr>
      <w:bookmarkStart w:id="248" w:name="_Toc351203538"/>
      <w:r>
        <w:rPr>
          <w:rFonts w:hint="eastAsia" w:ascii="宋体" w:hAnsi="宋体" w:eastAsia="宋体" w:cs="宋体"/>
          <w:b w:val="0"/>
          <w:color w:val="auto"/>
          <w:sz w:val="24"/>
          <w:szCs w:val="24"/>
          <w:highlight w:val="none"/>
        </w:rPr>
        <w:t>6</w:t>
      </w:r>
      <w:bookmarkStart w:id="249" w:name="_Toc337558763"/>
      <w:r>
        <w:rPr>
          <w:rFonts w:hint="eastAsia" w:ascii="宋体" w:hAnsi="宋体" w:eastAsia="宋体" w:cs="宋体"/>
          <w:b w:val="0"/>
          <w:color w:val="auto"/>
          <w:sz w:val="24"/>
          <w:szCs w:val="24"/>
          <w:highlight w:val="none"/>
        </w:rPr>
        <w:t>. 安全文明施工与环境保护</w:t>
      </w:r>
      <w:bookmarkEnd w:id="248"/>
    </w:p>
    <w:bookmarkEnd w:id="249"/>
    <w:p w14:paraId="3C71F234">
      <w:pPr>
        <w:pStyle w:val="6"/>
        <w:spacing w:before="120" w:after="120" w:line="312" w:lineRule="auto"/>
        <w:ind w:firstLine="480" w:firstLineChars="200"/>
        <w:rPr>
          <w:rFonts w:ascii="宋体" w:hAnsi="宋体" w:eastAsia="宋体" w:cs="宋体"/>
          <w:b w:val="0"/>
          <w:color w:val="auto"/>
          <w:sz w:val="24"/>
          <w:szCs w:val="24"/>
          <w:highlight w:val="none"/>
        </w:rPr>
      </w:pPr>
      <w:bookmarkStart w:id="250" w:name="_Toc351203539"/>
      <w:r>
        <w:rPr>
          <w:rFonts w:hint="eastAsia" w:ascii="宋体" w:hAnsi="宋体" w:eastAsia="宋体" w:cs="宋体"/>
          <w:b w:val="0"/>
          <w:color w:val="auto"/>
          <w:sz w:val="24"/>
          <w:szCs w:val="24"/>
          <w:highlight w:val="none"/>
        </w:rPr>
        <w:t>6</w:t>
      </w:r>
      <w:bookmarkStart w:id="251" w:name="_Toc337558764"/>
      <w:r>
        <w:rPr>
          <w:rFonts w:hint="eastAsia" w:ascii="宋体" w:hAnsi="宋体" w:eastAsia="宋体" w:cs="宋体"/>
          <w:b w:val="0"/>
          <w:color w:val="auto"/>
          <w:sz w:val="24"/>
          <w:szCs w:val="24"/>
          <w:highlight w:val="none"/>
        </w:rPr>
        <w:t>.1安全文明施工</w:t>
      </w:r>
      <w:bookmarkEnd w:id="250"/>
    </w:p>
    <w:bookmarkEnd w:id="251"/>
    <w:p w14:paraId="19B0B6BA">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6.1.1安全生产要求</w:t>
      </w:r>
    </w:p>
    <w:p w14:paraId="74AB88A1">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6AD4E694">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在施工过程中，如遇到突发的地质变动、事先未知的地下施工障碍等影响施工安全的紧急情况，承包人应及时报告监理人和发包人，发包人应当及时下令停工并报</w:t>
      </w:r>
      <w:r>
        <w:rPr>
          <w:rFonts w:hint="eastAsia" w:ascii="宋体" w:hAnsi="宋体" w:eastAsia="宋体" w:cs="宋体"/>
          <w:color w:val="auto"/>
          <w:kern w:val="0"/>
          <w:sz w:val="24"/>
          <w:highlight w:val="none"/>
        </w:rPr>
        <w:t>政府有关行政管理部门</w:t>
      </w:r>
      <w:r>
        <w:rPr>
          <w:rFonts w:hint="eastAsia" w:ascii="宋体" w:hAnsi="宋体" w:eastAsia="宋体" w:cs="宋体"/>
          <w:color w:val="auto"/>
          <w:sz w:val="24"/>
          <w:highlight w:val="none"/>
        </w:rPr>
        <w:t>采取应急措施。</w:t>
      </w:r>
    </w:p>
    <w:p w14:paraId="5FD5470D">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因安全生产需要暂停施工的，按照第7.8款〔暂停施工〕的约定执行。</w:t>
      </w:r>
    </w:p>
    <w:p w14:paraId="0D8AB38B">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6.1.2 安全生产保证措施</w:t>
      </w:r>
    </w:p>
    <w:p w14:paraId="7C72571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承包人应当按照有关</w:t>
      </w:r>
      <w:r>
        <w:rPr>
          <w:rFonts w:hint="eastAsia" w:ascii="宋体" w:hAnsi="宋体" w:eastAsia="宋体" w:cs="宋体"/>
          <w:color w:val="auto"/>
          <w:kern w:val="0"/>
          <w:sz w:val="24"/>
          <w:highlight w:val="none"/>
        </w:rPr>
        <w:t>规定编制安全技术措施或者专项施工方案，</w:t>
      </w:r>
      <w:r>
        <w:rPr>
          <w:rFonts w:hint="eastAsia" w:ascii="宋体" w:hAnsi="宋体" w:eastAsia="宋体" w:cs="宋体"/>
          <w:color w:val="auto"/>
          <w:sz w:val="24"/>
          <w:highlight w:val="none"/>
        </w:rPr>
        <w:t>建立安全生产责任制度、治安保卫制度及安全生产教育培训制度，并</w:t>
      </w:r>
      <w:r>
        <w:rPr>
          <w:rFonts w:hint="eastAsia" w:ascii="宋体" w:hAnsi="宋体" w:eastAsia="宋体" w:cs="宋体"/>
          <w:color w:val="auto"/>
          <w:kern w:val="0"/>
          <w:sz w:val="24"/>
          <w:highlight w:val="none"/>
        </w:rPr>
        <w:t>按安全生产法律规定及合同约定履行安全职责，如实</w:t>
      </w:r>
      <w:r>
        <w:rPr>
          <w:rFonts w:hint="eastAsia" w:ascii="宋体" w:hAnsi="宋体" w:eastAsia="宋体" w:cs="宋体"/>
          <w:color w:val="auto"/>
          <w:sz w:val="24"/>
          <w:highlight w:val="none"/>
        </w:rPr>
        <w:t>编制工程安全生产的有关记录，</w:t>
      </w:r>
      <w:r>
        <w:rPr>
          <w:rFonts w:hint="eastAsia" w:ascii="宋体" w:hAnsi="宋体" w:eastAsia="宋体" w:cs="宋体"/>
          <w:color w:val="auto"/>
          <w:kern w:val="0"/>
          <w:sz w:val="24"/>
          <w:highlight w:val="none"/>
        </w:rPr>
        <w:t>接受发包人、监理人及政府安全监督部门的检查与监督。</w:t>
      </w:r>
    </w:p>
    <w:p w14:paraId="0E30D11D">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6.1.3特别安全生产事项</w:t>
      </w:r>
    </w:p>
    <w:p w14:paraId="7C4751F3">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2DC73BFC">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承包人在动力设备、输电线路、地下管道、密封防震车间、易燃易爆地段以及临街交通要道附近施工时，施工开始前应向发包人和监理人提出安全防护措施，经发包人认可后实施。 </w:t>
      </w:r>
    </w:p>
    <w:p w14:paraId="0AA25A99">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实施爆破作业，在放射、毒害性环境中施工（含储存、运输、使用）及使用毒害性、腐蚀性物品施工时，承包人应在施工前7天以书面通知发包人和监理人，并报送相应的安全防护措施，经发包人认可后实施。</w:t>
      </w:r>
    </w:p>
    <w:p w14:paraId="4E8BEDC1">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需单独编制危险性较大分部分项专项工程施工方案的，及要求进行专家论证的超过一定规模的危险性较大的分部分项工程，承包人应及时编制和组织论证。</w:t>
      </w:r>
    </w:p>
    <w:p w14:paraId="46A96688">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6.1.4 治安保卫</w:t>
      </w:r>
    </w:p>
    <w:p w14:paraId="284A2A04">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除专用合同条款另有约定外，发包人应与当地公安部门协商，在现场建立治安管理机构或联防组织，统一管理施工场地的治安保卫事项，履行合同工程的治安保卫职责。</w:t>
      </w:r>
    </w:p>
    <w:p w14:paraId="73C14954">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发包人和承包人除应协助现场治安管理机构或联防组织维护施工场地的社会治安外，还应做好包括生活区在内的各自管辖区的治安保卫工作。</w:t>
      </w:r>
    </w:p>
    <w:p w14:paraId="42F3912F">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34599B34">
      <w:pPr>
        <w:spacing w:line="312" w:lineRule="auto"/>
        <w:ind w:firstLine="480" w:firstLineChars="200"/>
        <w:rPr>
          <w:rFonts w:ascii="宋体" w:hAnsi="宋体" w:eastAsia="宋体" w:cs="宋体"/>
          <w:color w:val="auto"/>
          <w:kern w:val="0"/>
          <w:sz w:val="24"/>
          <w:highlight w:val="none"/>
        </w:rPr>
      </w:pPr>
      <w:r>
        <w:rPr>
          <w:rFonts w:hint="eastAsia" w:ascii="宋体" w:hAnsi="宋体" w:eastAsia="宋体" w:cs="宋体"/>
          <w:color w:val="auto"/>
          <w:sz w:val="24"/>
          <w:highlight w:val="none"/>
        </w:rPr>
        <w:t>6.1.5 文明施工</w:t>
      </w:r>
    </w:p>
    <w:p w14:paraId="2709425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175FC9A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7FAC30BD">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6.1.6 安全文明施工费</w:t>
      </w:r>
    </w:p>
    <w:p w14:paraId="149FD3A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安全文明施工费由发包人承担，发包人不得以任何形式扣减该部分费用。因基准日期后合同所适用的法律或政府有关规定发生变化，增加的安全文明施工费由发包人承担。</w:t>
      </w:r>
    </w:p>
    <w:p w14:paraId="43CBFCF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6F736F9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发包人违约的情形〕执行。</w:t>
      </w:r>
    </w:p>
    <w:p w14:paraId="01E4DC5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692C7126">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6.1.7 紧急情况处理</w:t>
      </w:r>
    </w:p>
    <w:p w14:paraId="4DE4D105">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70EB7C0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6.1.8 事故处理</w:t>
      </w:r>
    </w:p>
    <w:p w14:paraId="5DB54C57">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581AAC9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6.1.9 安全生产责任</w:t>
      </w:r>
    </w:p>
    <w:p w14:paraId="4040877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6.1.9.1 发包人的安全责任</w:t>
      </w:r>
    </w:p>
    <w:p w14:paraId="73486F78">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发包人应负责赔偿以下各种情况造成的损失：</w:t>
      </w:r>
    </w:p>
    <w:p w14:paraId="7AAB48BB">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（1）工程或工程的任何部分对土地的占用所造成的第三者财产损失；</w:t>
      </w:r>
    </w:p>
    <w:p w14:paraId="45804E78">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（2）由于发包人原因在施工场地及其毗邻地带造成的第三者人身伤亡和财产损失；</w:t>
      </w:r>
    </w:p>
    <w:p w14:paraId="76384AF3">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（3）由于发包人原因对承包人、监理人造成的人员人身伤亡和财产损失；</w:t>
      </w:r>
    </w:p>
    <w:p w14:paraId="147478F3">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（4）由于发包人原因造成的发包人自身人员的人身伤害以及财产损失。</w:t>
      </w:r>
    </w:p>
    <w:p w14:paraId="4DB795F8">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6.1.9.2 承包人的安全责任</w:t>
      </w:r>
    </w:p>
    <w:p w14:paraId="635584C3">
      <w:pPr>
        <w:spacing w:line="312" w:lineRule="auto"/>
        <w:ind w:firstLine="480" w:firstLineChars="200"/>
        <w:rPr>
          <w:rFonts w:ascii="宋体" w:hAnsi="宋体" w:eastAsia="宋体" w:cs="宋体"/>
          <w:color w:val="auto"/>
          <w:kern w:val="0"/>
          <w:sz w:val="24"/>
          <w:highlight w:val="none"/>
        </w:rPr>
      </w:pPr>
      <w:r>
        <w:rPr>
          <w:rFonts w:hint="eastAsia" w:ascii="宋体" w:hAnsi="宋体" w:eastAsia="宋体" w:cs="宋体"/>
          <w:color w:val="auto"/>
          <w:sz w:val="24"/>
          <w:highlight w:val="none"/>
        </w:rPr>
        <w:t>由于承包人原因在施工场地内及其毗邻地带造成的发包人、监理人以及第三者人员伤亡和财产损失，由承包人负责赔偿。</w:t>
      </w:r>
    </w:p>
    <w:p w14:paraId="4B8A0F2A">
      <w:pPr>
        <w:pStyle w:val="6"/>
        <w:spacing w:before="120" w:after="120" w:line="312" w:lineRule="auto"/>
        <w:ind w:firstLine="480" w:firstLineChars="200"/>
        <w:rPr>
          <w:rFonts w:ascii="宋体" w:hAnsi="宋体" w:eastAsia="宋体" w:cs="宋体"/>
          <w:b w:val="0"/>
          <w:color w:val="auto"/>
          <w:sz w:val="24"/>
          <w:szCs w:val="24"/>
          <w:highlight w:val="none"/>
        </w:rPr>
      </w:pPr>
      <w:bookmarkStart w:id="252" w:name="_Toc351203540"/>
      <w:r>
        <w:rPr>
          <w:rFonts w:hint="eastAsia" w:ascii="宋体" w:hAnsi="宋体" w:eastAsia="宋体" w:cs="宋体"/>
          <w:b w:val="0"/>
          <w:color w:val="auto"/>
          <w:sz w:val="24"/>
          <w:szCs w:val="24"/>
          <w:highlight w:val="none"/>
        </w:rPr>
        <w:t>6</w:t>
      </w:r>
      <w:bookmarkStart w:id="253" w:name="_Toc337558765"/>
      <w:r>
        <w:rPr>
          <w:rFonts w:hint="eastAsia" w:ascii="宋体" w:hAnsi="宋体" w:eastAsia="宋体" w:cs="宋体"/>
          <w:b w:val="0"/>
          <w:color w:val="auto"/>
          <w:sz w:val="24"/>
          <w:szCs w:val="24"/>
          <w:highlight w:val="none"/>
        </w:rPr>
        <w:t>.2 职业健康</w:t>
      </w:r>
      <w:bookmarkEnd w:id="252"/>
    </w:p>
    <w:bookmarkEnd w:id="253"/>
    <w:p w14:paraId="7D6672C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6.2.1 劳动保护</w:t>
      </w:r>
    </w:p>
    <w:p w14:paraId="4CFA9148">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3B3766A7">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595B8C5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承包人应按法律规定安排工作时间，保证其雇佣人员享有休息和休假的权利。因工程施工的特殊需要占用休假日或延长工作时间的，应不超过法律规定的限度，并按法律规定给予补休或付酬。</w:t>
      </w:r>
    </w:p>
    <w:p w14:paraId="7402EE8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6.2.2 生活条件</w:t>
      </w:r>
    </w:p>
    <w:p w14:paraId="1F3A675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6ED9E1DD">
      <w:pPr>
        <w:pStyle w:val="6"/>
        <w:spacing w:before="120" w:after="120" w:line="312" w:lineRule="auto"/>
        <w:ind w:firstLine="480" w:firstLineChars="200"/>
        <w:rPr>
          <w:rFonts w:ascii="宋体" w:hAnsi="宋体" w:eastAsia="宋体" w:cs="宋体"/>
          <w:b w:val="0"/>
          <w:color w:val="auto"/>
          <w:sz w:val="24"/>
          <w:szCs w:val="24"/>
          <w:highlight w:val="none"/>
        </w:rPr>
      </w:pPr>
      <w:bookmarkStart w:id="254" w:name="_Toc351203541"/>
      <w:r>
        <w:rPr>
          <w:rFonts w:hint="eastAsia" w:ascii="宋体" w:hAnsi="宋体" w:eastAsia="宋体" w:cs="宋体"/>
          <w:b w:val="0"/>
          <w:color w:val="auto"/>
          <w:sz w:val="24"/>
          <w:szCs w:val="24"/>
          <w:highlight w:val="none"/>
        </w:rPr>
        <w:t>6</w:t>
      </w:r>
      <w:bookmarkStart w:id="255" w:name="_Toc337558766"/>
      <w:r>
        <w:rPr>
          <w:rFonts w:hint="eastAsia" w:ascii="宋体" w:hAnsi="宋体" w:eastAsia="宋体" w:cs="宋体"/>
          <w:b w:val="0"/>
          <w:color w:val="auto"/>
          <w:sz w:val="24"/>
          <w:szCs w:val="24"/>
          <w:highlight w:val="none"/>
        </w:rPr>
        <w:t>.3 环境保护</w:t>
      </w:r>
      <w:bookmarkEnd w:id="254"/>
    </w:p>
    <w:bookmarkEnd w:id="255"/>
    <w:p w14:paraId="54F6450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4FC960B8">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承包人应当承担因其原因引起的环境污染侵权损害赔偿责任，因上述环境污染引起纠纷而导致暂停施工的，由此增加的费用和（或）延误的工期由承包人承担。</w:t>
      </w:r>
    </w:p>
    <w:p w14:paraId="78D976A1">
      <w:pPr>
        <w:pStyle w:val="5"/>
        <w:spacing w:before="120" w:after="120" w:line="312" w:lineRule="auto"/>
        <w:rPr>
          <w:rFonts w:ascii="宋体" w:hAnsi="宋体" w:eastAsia="宋体" w:cs="宋体"/>
          <w:b w:val="0"/>
          <w:color w:val="auto"/>
          <w:sz w:val="24"/>
          <w:szCs w:val="24"/>
          <w:highlight w:val="none"/>
        </w:rPr>
      </w:pPr>
      <w:bookmarkStart w:id="256" w:name="_Toc351203542"/>
      <w:r>
        <w:rPr>
          <w:rFonts w:hint="eastAsia" w:ascii="宋体" w:hAnsi="宋体" w:eastAsia="宋体" w:cs="宋体"/>
          <w:b w:val="0"/>
          <w:color w:val="auto"/>
          <w:sz w:val="24"/>
          <w:szCs w:val="24"/>
          <w:highlight w:val="none"/>
        </w:rPr>
        <w:t>7</w:t>
      </w:r>
      <w:bookmarkStart w:id="257" w:name="_Toc337558767"/>
      <w:r>
        <w:rPr>
          <w:rFonts w:hint="eastAsia" w:ascii="宋体" w:hAnsi="宋体" w:eastAsia="宋体" w:cs="宋体"/>
          <w:b w:val="0"/>
          <w:color w:val="auto"/>
          <w:sz w:val="24"/>
          <w:szCs w:val="24"/>
          <w:highlight w:val="none"/>
        </w:rPr>
        <w:t>. 工期和进度</w:t>
      </w:r>
      <w:bookmarkEnd w:id="256"/>
    </w:p>
    <w:bookmarkEnd w:id="257"/>
    <w:p w14:paraId="6610A427">
      <w:pPr>
        <w:pStyle w:val="6"/>
        <w:spacing w:before="120" w:after="120" w:line="312" w:lineRule="auto"/>
        <w:ind w:firstLine="480" w:firstLineChars="200"/>
        <w:rPr>
          <w:rFonts w:ascii="宋体" w:hAnsi="宋体" w:eastAsia="宋体" w:cs="宋体"/>
          <w:b w:val="0"/>
          <w:color w:val="auto"/>
          <w:sz w:val="24"/>
          <w:szCs w:val="24"/>
          <w:highlight w:val="none"/>
        </w:rPr>
      </w:pPr>
      <w:bookmarkStart w:id="258" w:name="_Toc351203543"/>
      <w:r>
        <w:rPr>
          <w:rFonts w:hint="eastAsia" w:ascii="宋体" w:hAnsi="宋体" w:eastAsia="宋体" w:cs="宋体"/>
          <w:b w:val="0"/>
          <w:color w:val="auto"/>
          <w:sz w:val="24"/>
          <w:szCs w:val="24"/>
          <w:highlight w:val="none"/>
        </w:rPr>
        <w:t>7</w:t>
      </w:r>
      <w:bookmarkStart w:id="259" w:name="_Toc337558768"/>
      <w:bookmarkStart w:id="260" w:name="_Toc296503066"/>
      <w:bookmarkStart w:id="261" w:name="_Toc296346567"/>
      <w:r>
        <w:rPr>
          <w:rFonts w:hint="eastAsia" w:ascii="宋体" w:hAnsi="宋体" w:eastAsia="宋体" w:cs="宋体"/>
          <w:b w:val="0"/>
          <w:color w:val="auto"/>
          <w:sz w:val="24"/>
          <w:szCs w:val="24"/>
          <w:highlight w:val="none"/>
        </w:rPr>
        <w:t>.1施工组织设计</w:t>
      </w:r>
      <w:bookmarkEnd w:id="258"/>
    </w:p>
    <w:bookmarkEnd w:id="259"/>
    <w:p w14:paraId="0B8B147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 xml:space="preserve">7.1.1 </w:t>
      </w:r>
      <w:r>
        <w:rPr>
          <w:rFonts w:hint="eastAsia" w:ascii="宋体" w:hAnsi="宋体" w:eastAsia="宋体" w:cs="宋体"/>
          <w:color w:val="auto"/>
          <w:kern w:val="0"/>
          <w:sz w:val="24"/>
          <w:highlight w:val="none"/>
        </w:rPr>
        <w:t>施工组织设计的内容</w:t>
      </w:r>
    </w:p>
    <w:p w14:paraId="3118190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施工组织设计应包含以下内容：</w:t>
      </w:r>
    </w:p>
    <w:p w14:paraId="3AD4050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（1）施工方案； </w:t>
      </w:r>
    </w:p>
    <w:p w14:paraId="4389725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（2）施工现场平面布置图；</w:t>
      </w:r>
    </w:p>
    <w:p w14:paraId="451171B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（3）施工进度计划和保证措施； </w:t>
      </w:r>
    </w:p>
    <w:p w14:paraId="68991D5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（4）劳动力及材料供应计划；</w:t>
      </w:r>
    </w:p>
    <w:p w14:paraId="4777F15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（5）施工机械设备的选用；</w:t>
      </w:r>
    </w:p>
    <w:p w14:paraId="117D7D4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（6）质量保证体系及措施；</w:t>
      </w:r>
    </w:p>
    <w:p w14:paraId="1C2E987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（7）安全生产、文明施工措施；</w:t>
      </w:r>
    </w:p>
    <w:p w14:paraId="338B3888">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（8）环境保护、成本控制措施；</w:t>
      </w:r>
    </w:p>
    <w:p w14:paraId="54B252E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（9）合同当事人约定的其他内容。</w:t>
      </w:r>
    </w:p>
    <w:p w14:paraId="0A5D81B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 xml:space="preserve">7.1.2 </w:t>
      </w:r>
      <w:r>
        <w:rPr>
          <w:rFonts w:hint="eastAsia" w:ascii="宋体" w:hAnsi="宋体" w:eastAsia="宋体" w:cs="宋体"/>
          <w:color w:val="auto"/>
          <w:kern w:val="0"/>
          <w:sz w:val="24"/>
          <w:highlight w:val="none"/>
        </w:rPr>
        <w:t>施工组织设计的提交和修改</w:t>
      </w:r>
    </w:p>
    <w:p w14:paraId="31CFE2B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承包人应在合同签订后14天内，但至迟不得晚于第7.3.2项〔开工通知〕载明的开工日期前7天，向监理人提交详细的施工组织设计，并由监理人报送发包人。除专用合同条款另有约定外，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14:paraId="33A8A17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施工进度计划的编制和修改按照第7.2款〔施工进度计划〕执行。</w:t>
      </w:r>
    </w:p>
    <w:p w14:paraId="54CE748D">
      <w:pPr>
        <w:pStyle w:val="6"/>
        <w:spacing w:before="120" w:after="120" w:line="312" w:lineRule="auto"/>
        <w:ind w:firstLine="480" w:firstLineChars="200"/>
        <w:rPr>
          <w:rFonts w:ascii="宋体" w:hAnsi="宋体" w:eastAsia="宋体" w:cs="宋体"/>
          <w:b w:val="0"/>
          <w:color w:val="auto"/>
          <w:sz w:val="24"/>
          <w:szCs w:val="24"/>
          <w:highlight w:val="none"/>
        </w:rPr>
      </w:pPr>
      <w:bookmarkStart w:id="262" w:name="_Toc351203544"/>
      <w:r>
        <w:rPr>
          <w:rFonts w:hint="eastAsia" w:ascii="宋体" w:hAnsi="宋体" w:eastAsia="宋体" w:cs="宋体"/>
          <w:b w:val="0"/>
          <w:color w:val="auto"/>
          <w:sz w:val="24"/>
          <w:szCs w:val="24"/>
          <w:highlight w:val="none"/>
        </w:rPr>
        <w:t>7</w:t>
      </w:r>
      <w:bookmarkStart w:id="263" w:name="_Toc337558769"/>
      <w:r>
        <w:rPr>
          <w:rFonts w:hint="eastAsia" w:ascii="宋体" w:hAnsi="宋体" w:eastAsia="宋体" w:cs="宋体"/>
          <w:b w:val="0"/>
          <w:color w:val="auto"/>
          <w:sz w:val="24"/>
          <w:szCs w:val="24"/>
          <w:highlight w:val="none"/>
        </w:rPr>
        <w:t>.2 施工进度计划</w:t>
      </w:r>
      <w:bookmarkEnd w:id="262"/>
    </w:p>
    <w:bookmarkEnd w:id="263"/>
    <w:p w14:paraId="74AF973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7.2.1 施工进度计划的编制</w:t>
      </w:r>
    </w:p>
    <w:p w14:paraId="659311F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照第7.1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646FFC4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7.2.2 施工进度计划的修订</w:t>
      </w:r>
    </w:p>
    <w:p w14:paraId="15B4AB6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3C0E6C79">
      <w:pPr>
        <w:pStyle w:val="6"/>
        <w:spacing w:before="120" w:after="120" w:line="312" w:lineRule="auto"/>
        <w:ind w:firstLine="480" w:firstLineChars="200"/>
        <w:rPr>
          <w:rFonts w:ascii="宋体" w:hAnsi="宋体" w:eastAsia="宋体" w:cs="宋体"/>
          <w:b w:val="0"/>
          <w:color w:val="auto"/>
          <w:sz w:val="24"/>
          <w:szCs w:val="24"/>
          <w:highlight w:val="none"/>
        </w:rPr>
      </w:pPr>
      <w:bookmarkStart w:id="264" w:name="_Toc351203545"/>
      <w:r>
        <w:rPr>
          <w:rFonts w:hint="eastAsia" w:ascii="宋体" w:hAnsi="宋体" w:eastAsia="宋体" w:cs="宋体"/>
          <w:b w:val="0"/>
          <w:color w:val="auto"/>
          <w:sz w:val="24"/>
          <w:szCs w:val="24"/>
          <w:highlight w:val="none"/>
        </w:rPr>
        <w:t>7</w:t>
      </w:r>
      <w:bookmarkStart w:id="265" w:name="_Toc337558770"/>
      <w:r>
        <w:rPr>
          <w:rFonts w:hint="eastAsia" w:ascii="宋体" w:hAnsi="宋体" w:eastAsia="宋体" w:cs="宋体"/>
          <w:b w:val="0"/>
          <w:color w:val="auto"/>
          <w:sz w:val="24"/>
          <w:szCs w:val="24"/>
          <w:highlight w:val="none"/>
        </w:rPr>
        <w:t>.3 开工</w:t>
      </w:r>
      <w:bookmarkEnd w:id="264"/>
    </w:p>
    <w:p w14:paraId="4EB36C81">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kern w:val="0"/>
          <w:sz w:val="24"/>
          <w:highlight w:val="none"/>
        </w:rPr>
        <w:t>7.3.1 开工准备</w:t>
      </w:r>
    </w:p>
    <w:p w14:paraId="2BDD12E5">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169C8599">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除专用合同条款另有约定外，合同当事人应按约定完成开工准备工作。</w:t>
      </w:r>
    </w:p>
    <w:p w14:paraId="0586056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7.3.2 开工通知</w:t>
      </w:r>
    </w:p>
    <w:bookmarkEnd w:id="265"/>
    <w:p w14:paraId="2B95499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23579531">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4F9B4732">
      <w:pPr>
        <w:pStyle w:val="6"/>
        <w:spacing w:before="120" w:after="120" w:line="312" w:lineRule="auto"/>
        <w:ind w:firstLine="480" w:firstLineChars="200"/>
        <w:rPr>
          <w:rFonts w:ascii="宋体" w:hAnsi="宋体" w:eastAsia="宋体" w:cs="宋体"/>
          <w:b w:val="0"/>
          <w:color w:val="auto"/>
          <w:sz w:val="24"/>
          <w:szCs w:val="24"/>
          <w:highlight w:val="none"/>
        </w:rPr>
      </w:pPr>
      <w:bookmarkStart w:id="266" w:name="_Toc351203546"/>
      <w:r>
        <w:rPr>
          <w:rFonts w:hint="eastAsia" w:ascii="宋体" w:hAnsi="宋体" w:eastAsia="宋体" w:cs="宋体"/>
          <w:b w:val="0"/>
          <w:color w:val="auto"/>
          <w:sz w:val="24"/>
          <w:szCs w:val="24"/>
          <w:highlight w:val="none"/>
        </w:rPr>
        <w:t>7.4测量放线</w:t>
      </w:r>
      <w:bookmarkEnd w:id="266"/>
    </w:p>
    <w:p w14:paraId="3C52ED3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7.4.1 除专用合同条款另有约定外，发包人应在至迟不得晚于第7.3.2项〔开工通知〕载明的开工日期前7天通过监理人向承包人提供测量基准点、基准线和水准点及其书面资料。发包人应对其提供的测量基准点、基准线和水准点及其书面资料的真实性、准确性和完整性负责。</w:t>
      </w:r>
    </w:p>
    <w:p w14:paraId="3121590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0D60BC0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7.4.2 承包人负责施工过程中的全部施工测量放线工作，并配置具有相应资质的人员、合格的仪器、设备和其他物品。承包人应矫正工程的位置、标高、尺寸或准线中出现的任何差错，并对工程各部分的定位负责。</w:t>
      </w:r>
    </w:p>
    <w:p w14:paraId="21C5A5A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施工过程中对施工现场内水准点等测量标志物的保护工作由承包人负责。</w:t>
      </w:r>
      <w:bookmarkStart w:id="267" w:name="_Toc351203547"/>
    </w:p>
    <w:p w14:paraId="4B265F0A">
      <w:pPr>
        <w:pStyle w:val="6"/>
        <w:spacing w:before="120" w:after="120" w:line="312" w:lineRule="auto"/>
        <w:ind w:firstLine="480" w:firstLineChars="200"/>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7</w:t>
      </w:r>
      <w:bookmarkEnd w:id="260"/>
      <w:bookmarkEnd w:id="261"/>
      <w:bookmarkStart w:id="268" w:name="_Toc296503073"/>
      <w:bookmarkStart w:id="269" w:name="_Toc296346574"/>
      <w:bookmarkStart w:id="270" w:name="_Toc337558772"/>
      <w:r>
        <w:rPr>
          <w:rFonts w:hint="eastAsia" w:ascii="宋体" w:hAnsi="宋体" w:eastAsia="宋体" w:cs="宋体"/>
          <w:b w:val="0"/>
          <w:color w:val="auto"/>
          <w:sz w:val="24"/>
          <w:szCs w:val="24"/>
          <w:highlight w:val="none"/>
        </w:rPr>
        <w:t>.5 工期延误</w:t>
      </w:r>
      <w:bookmarkEnd w:id="267"/>
    </w:p>
    <w:bookmarkEnd w:id="268"/>
    <w:bookmarkEnd w:id="269"/>
    <w:bookmarkEnd w:id="270"/>
    <w:p w14:paraId="31C5E329">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7.5.1 因发包人原因导致工期延误</w:t>
      </w:r>
    </w:p>
    <w:p w14:paraId="4F38D9A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在合同履行过程中，因下列情况导致工期延误和（或）费用增加的，由发包人承担由此延误的工期和（或）增加的费用，且发包人应支付承包人合理的利润： </w:t>
      </w:r>
    </w:p>
    <w:p w14:paraId="78A5B87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（1）发包人未能按合同约定提供图纸或所提供图纸不符合合同约定的；</w:t>
      </w:r>
    </w:p>
    <w:p w14:paraId="34700B38">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（2）发包人未能按合同约定提供施工现场、施工条件、基础资料、许可、批准等开工条件的；</w:t>
      </w:r>
    </w:p>
    <w:p w14:paraId="671D57EC">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（3）发包人提供的测量基准点、基准线和水准点及其书面资料存在错误或疏漏的；</w:t>
      </w:r>
    </w:p>
    <w:p w14:paraId="485E3616">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（4）发包人未能在计划开工日期之日起7天内同意下达开工通知的；</w:t>
      </w:r>
    </w:p>
    <w:p w14:paraId="638648D7">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（5）发包人未能按合同约定日期支付工程预付款、进度款或竣工结算款的；</w:t>
      </w:r>
    </w:p>
    <w:p w14:paraId="1B665C8A">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（6）监理人未按合同约定发出指示、批准等文件的；</w:t>
      </w:r>
    </w:p>
    <w:p w14:paraId="556DFA90">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（7）专用合同条款中约定的其他情形。</w:t>
      </w:r>
    </w:p>
    <w:p w14:paraId="509752BC">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发包人原因未按计划开工日期开工的，发包人应按实际开工日期顺延竣工日期，确保实际工期不低于合同约定的工期总日历天数。因发包人原因导致工期延误需要修订施工进度计划的，按照第7.2.2项〔施工进度计划的修订〕执行。</w:t>
      </w:r>
    </w:p>
    <w:p w14:paraId="0ADC2230">
      <w:pP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7.5.2 因承包人原因导致工期延误</w:t>
      </w:r>
    </w:p>
    <w:p w14:paraId="29CDBAF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bookmarkStart w:id="271" w:name="_Toc296346577"/>
      <w:bookmarkStart w:id="272" w:name="_Toc296503076"/>
      <w:r>
        <w:rPr>
          <w:rFonts w:hint="eastAsia" w:ascii="宋体" w:hAnsi="宋体" w:eastAsia="宋体" w:cs="宋体"/>
          <w:color w:val="auto"/>
          <w:kern w:val="0"/>
          <w:sz w:val="24"/>
          <w:highlight w:val="none"/>
        </w:rPr>
        <w:t>因</w:t>
      </w:r>
      <w:bookmarkEnd w:id="271"/>
      <w:bookmarkEnd w:id="272"/>
      <w:r>
        <w:rPr>
          <w:rFonts w:hint="eastAsia" w:ascii="宋体" w:hAnsi="宋体" w:eastAsia="宋体" w:cs="宋体"/>
          <w:color w:val="auto"/>
          <w:kern w:val="0"/>
          <w:sz w:val="24"/>
          <w:highlight w:val="none"/>
        </w:rPr>
        <w:t>承包人原因造成工期延误的，可以在专用合同条款中约定逾期竣工违约金的计算方法和逾期竣工违约金的上限。承包人支付逾期竣工违约金后，不免除承包人继续完成工程及修补缺陷的义务。</w:t>
      </w:r>
    </w:p>
    <w:p w14:paraId="457A10FC">
      <w:pPr>
        <w:pStyle w:val="6"/>
        <w:spacing w:before="120" w:after="120" w:line="312" w:lineRule="auto"/>
        <w:ind w:firstLine="480" w:firstLineChars="200"/>
        <w:rPr>
          <w:rFonts w:ascii="宋体" w:hAnsi="宋体" w:eastAsia="宋体" w:cs="宋体"/>
          <w:b w:val="0"/>
          <w:color w:val="auto"/>
          <w:sz w:val="24"/>
          <w:szCs w:val="24"/>
          <w:highlight w:val="none"/>
        </w:rPr>
      </w:pPr>
      <w:bookmarkStart w:id="273" w:name="_Toc351203548"/>
      <w:r>
        <w:rPr>
          <w:rFonts w:hint="eastAsia" w:ascii="宋体" w:hAnsi="宋体" w:eastAsia="宋体" w:cs="宋体"/>
          <w:b w:val="0"/>
          <w:color w:val="auto"/>
          <w:sz w:val="24"/>
          <w:szCs w:val="24"/>
          <w:highlight w:val="none"/>
        </w:rPr>
        <w:t>7</w:t>
      </w:r>
      <w:bookmarkStart w:id="274" w:name="_Toc337558773"/>
      <w:bookmarkStart w:id="275" w:name="_Toc296346575"/>
      <w:bookmarkStart w:id="276" w:name="_Toc296503074"/>
      <w:bookmarkStart w:id="277" w:name="_Toc296503077"/>
      <w:bookmarkStart w:id="278" w:name="_Toc296346578"/>
      <w:r>
        <w:rPr>
          <w:rFonts w:hint="eastAsia" w:ascii="宋体" w:hAnsi="宋体" w:eastAsia="宋体" w:cs="宋体"/>
          <w:b w:val="0"/>
          <w:color w:val="auto"/>
          <w:sz w:val="24"/>
          <w:szCs w:val="24"/>
          <w:highlight w:val="none"/>
        </w:rPr>
        <w:t>.6 不利物质条件</w:t>
      </w:r>
      <w:bookmarkEnd w:id="273"/>
    </w:p>
    <w:bookmarkEnd w:id="274"/>
    <w:bookmarkEnd w:id="275"/>
    <w:bookmarkEnd w:id="276"/>
    <w:p w14:paraId="373147A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13FB5E9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w:t>
      </w:r>
    </w:p>
    <w:p w14:paraId="46781F84">
      <w:pPr>
        <w:pStyle w:val="6"/>
        <w:spacing w:before="120" w:after="120" w:line="312" w:lineRule="auto"/>
        <w:ind w:firstLine="480" w:firstLineChars="200"/>
        <w:rPr>
          <w:rFonts w:ascii="宋体" w:hAnsi="宋体" w:eastAsia="宋体" w:cs="宋体"/>
          <w:b w:val="0"/>
          <w:color w:val="auto"/>
          <w:sz w:val="24"/>
          <w:szCs w:val="24"/>
          <w:highlight w:val="none"/>
        </w:rPr>
      </w:pPr>
      <w:bookmarkStart w:id="279" w:name="_Toc351203549"/>
      <w:r>
        <w:rPr>
          <w:rFonts w:hint="eastAsia" w:ascii="宋体" w:hAnsi="宋体" w:eastAsia="宋体" w:cs="宋体"/>
          <w:b w:val="0"/>
          <w:color w:val="auto"/>
          <w:sz w:val="24"/>
          <w:szCs w:val="24"/>
          <w:highlight w:val="none"/>
        </w:rPr>
        <w:t>7</w:t>
      </w:r>
      <w:bookmarkStart w:id="280" w:name="_Toc296346576"/>
      <w:bookmarkStart w:id="281" w:name="_Toc337558774"/>
      <w:bookmarkStart w:id="282" w:name="_Toc296503075"/>
      <w:r>
        <w:rPr>
          <w:rFonts w:hint="eastAsia" w:ascii="宋体" w:hAnsi="宋体" w:eastAsia="宋体" w:cs="宋体"/>
          <w:b w:val="0"/>
          <w:color w:val="auto"/>
          <w:sz w:val="24"/>
          <w:szCs w:val="24"/>
          <w:highlight w:val="none"/>
        </w:rPr>
        <w:t>.7 异常恶劣的气候条件</w:t>
      </w:r>
      <w:bookmarkEnd w:id="279"/>
    </w:p>
    <w:bookmarkEnd w:id="280"/>
    <w:bookmarkEnd w:id="281"/>
    <w:bookmarkEnd w:id="282"/>
    <w:p w14:paraId="2BDD034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3CFA8FB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采取克服异常恶劣的气候条件的合理措施继续施工，并及时通知发包人和监理人。监理人经发包人同意后应当及时发出指示，指示构成变更的，按第10条〔变更〕约定办理。承包人因采取合理措施而增加的费用和（或）延误的工期由发包人承担。</w:t>
      </w:r>
      <w:bookmarkStart w:id="283" w:name="_Toc351203550"/>
    </w:p>
    <w:p w14:paraId="191163EE">
      <w:pPr>
        <w:autoSpaceDE w:val="0"/>
        <w:autoSpaceDN w:val="0"/>
        <w:adjustRightInd w:val="0"/>
        <w:spacing w:line="312" w:lineRule="auto"/>
        <w:ind w:firstLine="480" w:firstLineChars="200"/>
        <w:jc w:val="left"/>
        <w:rPr>
          <w:rFonts w:ascii="宋体" w:hAnsi="宋体" w:eastAsia="宋体" w:cs="宋体"/>
          <w:bCs/>
          <w:color w:val="auto"/>
          <w:sz w:val="24"/>
          <w:highlight w:val="none"/>
        </w:rPr>
      </w:pPr>
      <w:r>
        <w:rPr>
          <w:rFonts w:hint="eastAsia" w:ascii="宋体" w:hAnsi="宋体" w:eastAsia="宋体" w:cs="宋体"/>
          <w:bCs/>
          <w:color w:val="auto"/>
          <w:sz w:val="24"/>
          <w:highlight w:val="none"/>
        </w:rPr>
        <w:t>7</w:t>
      </w:r>
      <w:bookmarkStart w:id="284" w:name="_Toc337558775"/>
      <w:r>
        <w:rPr>
          <w:rFonts w:hint="eastAsia" w:ascii="宋体" w:hAnsi="宋体" w:eastAsia="宋体" w:cs="宋体"/>
          <w:bCs/>
          <w:color w:val="auto"/>
          <w:sz w:val="24"/>
          <w:highlight w:val="none"/>
        </w:rPr>
        <w:t>.8 暂停施工</w:t>
      </w:r>
      <w:bookmarkEnd w:id="283"/>
    </w:p>
    <w:bookmarkEnd w:id="277"/>
    <w:bookmarkEnd w:id="278"/>
    <w:bookmarkEnd w:id="284"/>
    <w:p w14:paraId="3A13116E">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7.8.1发包人原因引起的暂停施工</w:t>
      </w:r>
    </w:p>
    <w:p w14:paraId="16C3ECB7">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因发包人原因引起暂停施工的，监理人经发包人同意后，应及时下达暂停施工指示。情况紧急且监理人未及时下达暂停施工指示的，按照第7.8.4项〔紧急情况下的暂停施工〕执行。</w:t>
      </w:r>
    </w:p>
    <w:p w14:paraId="775F6BB9">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因发包人原因引起的暂停施工，发包人应承担由此增加的费用和（或）延误的工期，并支付承包人合理的利润。</w:t>
      </w:r>
    </w:p>
    <w:p w14:paraId="0645CF16">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7.8.2 承包人原因引起的暂停施工</w:t>
      </w:r>
    </w:p>
    <w:p w14:paraId="76126CCE">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承包人原因引起的暂停施工，承包人应承担由此增加的费用和（或）延误的工期，且承包人在收到监理人复工指示后84天内仍未复工的，视为第16.2.1项〔承包人违约的情形〕第（7）目约定的承包人无法继续履行合同的情形。</w:t>
      </w:r>
    </w:p>
    <w:p w14:paraId="5B1BE282">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7.8.3 指示暂停施工</w:t>
      </w:r>
    </w:p>
    <w:p w14:paraId="6F444446">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监理人认为有必要时，并经发包人批准后，可向承包人作出暂停施工的指示，承包人应按监理人指示暂停施工。</w:t>
      </w:r>
    </w:p>
    <w:p w14:paraId="36B0AD68">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7.8.4 紧急情况下的暂停施工</w:t>
      </w:r>
    </w:p>
    <w:p w14:paraId="2D8B3382">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争议解决〕约定处理。</w:t>
      </w:r>
    </w:p>
    <w:p w14:paraId="563F4D9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7.8.5 暂停施工后的复工</w:t>
      </w:r>
    </w:p>
    <w:p w14:paraId="69BCD287">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4EDE6862">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承包人无故拖延和拒绝复工的，承包人承担由此增加的费用和（或）延误的工期；因发包人原因无法按时复工的，按照第7.5.1项〔因发包人原因导致工期延误〕约定办理。</w:t>
      </w:r>
    </w:p>
    <w:p w14:paraId="1F727040">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7.8.6 暂停施工持续56天以上</w:t>
      </w:r>
    </w:p>
    <w:p w14:paraId="7DD73A43">
      <w:pPr>
        <w:spacing w:line="312" w:lineRule="auto"/>
        <w:ind w:firstLine="468" w:firstLineChars="195"/>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发出暂停施工指示后56天内未向承包人发出复工通知，除该项停工属于第7.8.2项〔承包人原因引起的暂停施工〕及第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14:paraId="73A97FC8">
      <w:pPr>
        <w:spacing w:line="312" w:lineRule="auto"/>
        <w:ind w:firstLine="468" w:firstLineChars="195"/>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暂停施工持续84天以上不复工的，且不属于第7.8.2项〔承包人原因引起的暂停施工〕及第17条〔不可抗力〕约定的情形，并影响到整个工程以及合同目的实现的，承包人有权提出价格调整要求，或者解除合同。解除合同的，按照第16.1.3项〔因发包人违约解除合同〕执行。</w:t>
      </w:r>
    </w:p>
    <w:p w14:paraId="0587BD4A">
      <w:pPr>
        <w:spacing w:line="312" w:lineRule="auto"/>
        <w:ind w:left="16" w:firstLine="468" w:firstLineChars="195"/>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7.8.7 暂停施工期间的工程照管</w:t>
      </w:r>
    </w:p>
    <w:p w14:paraId="07D6383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暂停施工期间，承包人应负责妥善照管工程并提供安全保障，由此增加的费用由责任方承担。</w:t>
      </w:r>
    </w:p>
    <w:p w14:paraId="4418E9DA">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7.8.8 暂停施工的措施</w:t>
      </w:r>
    </w:p>
    <w:p w14:paraId="63F24AA7">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暂停施工期间，发包人和承包人均应采取必要的措施确保工程质量及安全，防止因暂停施工扩大损失。</w:t>
      </w:r>
    </w:p>
    <w:p w14:paraId="36987856">
      <w:pPr>
        <w:pStyle w:val="6"/>
        <w:spacing w:before="120" w:after="120" w:line="312" w:lineRule="auto"/>
        <w:ind w:firstLine="480" w:firstLineChars="200"/>
        <w:rPr>
          <w:rFonts w:ascii="宋体" w:hAnsi="宋体" w:eastAsia="宋体" w:cs="宋体"/>
          <w:b w:val="0"/>
          <w:color w:val="auto"/>
          <w:sz w:val="24"/>
          <w:szCs w:val="24"/>
          <w:highlight w:val="none"/>
        </w:rPr>
      </w:pPr>
      <w:bookmarkStart w:id="285" w:name="_Toc351203551"/>
      <w:r>
        <w:rPr>
          <w:rFonts w:hint="eastAsia" w:ascii="宋体" w:hAnsi="宋体" w:eastAsia="宋体" w:cs="宋体"/>
          <w:b w:val="0"/>
          <w:color w:val="auto"/>
          <w:sz w:val="24"/>
          <w:szCs w:val="24"/>
          <w:highlight w:val="none"/>
        </w:rPr>
        <w:t>7.9提前竣工</w:t>
      </w:r>
      <w:bookmarkEnd w:id="285"/>
    </w:p>
    <w:p w14:paraId="4080FC9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7天内予以答复。任何情况下，发包人不得压缩合理工期。</w:t>
      </w:r>
    </w:p>
    <w:p w14:paraId="28F3E122">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7.9.2 发包人要求承包人提前竣工，或承包人提出提前竣工的建议能够给发包人带来效益的，合同当事人可以在专用合同条款中约定提前竣工的奖励。</w:t>
      </w:r>
    </w:p>
    <w:p w14:paraId="34D7D65D">
      <w:pPr>
        <w:pStyle w:val="5"/>
        <w:spacing w:before="120" w:after="120" w:line="312" w:lineRule="auto"/>
        <w:rPr>
          <w:rFonts w:ascii="宋体" w:hAnsi="宋体" w:eastAsia="宋体" w:cs="宋体"/>
          <w:b w:val="0"/>
          <w:color w:val="auto"/>
          <w:sz w:val="24"/>
          <w:szCs w:val="24"/>
          <w:highlight w:val="none"/>
        </w:rPr>
      </w:pPr>
      <w:bookmarkStart w:id="286" w:name="_Toc351203552"/>
      <w:r>
        <w:rPr>
          <w:rFonts w:hint="eastAsia" w:ascii="宋体" w:hAnsi="宋体" w:eastAsia="宋体" w:cs="宋体"/>
          <w:b w:val="0"/>
          <w:color w:val="auto"/>
          <w:sz w:val="24"/>
          <w:szCs w:val="24"/>
          <w:highlight w:val="none"/>
        </w:rPr>
        <w:t>8</w:t>
      </w:r>
      <w:bookmarkStart w:id="287" w:name="_Toc296503058"/>
      <w:bookmarkStart w:id="288" w:name="_Toc296346559"/>
      <w:bookmarkStart w:id="289" w:name="_Toc337558776"/>
      <w:r>
        <w:rPr>
          <w:rFonts w:hint="eastAsia" w:ascii="宋体" w:hAnsi="宋体" w:eastAsia="宋体" w:cs="宋体"/>
          <w:b w:val="0"/>
          <w:color w:val="auto"/>
          <w:sz w:val="24"/>
          <w:szCs w:val="24"/>
          <w:highlight w:val="none"/>
        </w:rPr>
        <w:t>. 材料与设备</w:t>
      </w:r>
      <w:bookmarkEnd w:id="286"/>
    </w:p>
    <w:bookmarkEnd w:id="287"/>
    <w:bookmarkEnd w:id="288"/>
    <w:bookmarkEnd w:id="289"/>
    <w:p w14:paraId="36265E76">
      <w:pPr>
        <w:pStyle w:val="6"/>
        <w:spacing w:before="120" w:after="120" w:line="312" w:lineRule="auto"/>
        <w:ind w:firstLine="480" w:firstLineChars="200"/>
        <w:rPr>
          <w:rFonts w:ascii="宋体" w:hAnsi="宋体" w:eastAsia="宋体" w:cs="宋体"/>
          <w:b w:val="0"/>
          <w:color w:val="auto"/>
          <w:sz w:val="24"/>
          <w:szCs w:val="24"/>
          <w:highlight w:val="none"/>
        </w:rPr>
      </w:pPr>
      <w:bookmarkStart w:id="290" w:name="_Toc351203553"/>
      <w:r>
        <w:rPr>
          <w:rFonts w:hint="eastAsia" w:ascii="宋体" w:hAnsi="宋体" w:eastAsia="宋体" w:cs="宋体"/>
          <w:b w:val="0"/>
          <w:color w:val="auto"/>
          <w:sz w:val="24"/>
          <w:szCs w:val="24"/>
          <w:highlight w:val="none"/>
        </w:rPr>
        <w:t>8</w:t>
      </w:r>
      <w:bookmarkStart w:id="291" w:name="_Toc296503059"/>
      <w:bookmarkStart w:id="292" w:name="_Toc337558777"/>
      <w:bookmarkStart w:id="293" w:name="_Toc296346560"/>
      <w:bookmarkStart w:id="294" w:name="_Toc468936960"/>
      <w:r>
        <w:rPr>
          <w:rFonts w:hint="eastAsia" w:ascii="宋体" w:hAnsi="宋体" w:eastAsia="宋体" w:cs="宋体"/>
          <w:b w:val="0"/>
          <w:color w:val="auto"/>
          <w:sz w:val="24"/>
          <w:szCs w:val="24"/>
          <w:highlight w:val="none"/>
        </w:rPr>
        <w:t>.1发包人供应材料与工程设备</w:t>
      </w:r>
      <w:bookmarkEnd w:id="290"/>
    </w:p>
    <w:bookmarkEnd w:id="291"/>
    <w:bookmarkEnd w:id="292"/>
    <w:bookmarkEnd w:id="293"/>
    <w:p w14:paraId="092DABB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发包人自行供应材料、工程设备的，应在签订合同时在专用合同条款的附件《发包人供应材料设备一览表》中明确材料、工程设备的品种、规格、型号、数量、单价、质量等级和送达地点。</w:t>
      </w:r>
    </w:p>
    <w:p w14:paraId="076F731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提前30天通过监理人以书面形式通知发包人供应材料与工程设备进场。承包人按照第7.2.2项〔施工进度计划的修订〕约定修订施工进度计划时，需同时提交经修订后的发包人供应材料与工程设备的进场计划。</w:t>
      </w:r>
    </w:p>
    <w:p w14:paraId="6FA04D97">
      <w:pPr>
        <w:pStyle w:val="6"/>
        <w:spacing w:before="120" w:after="120" w:line="312" w:lineRule="auto"/>
        <w:ind w:firstLine="480" w:firstLineChars="200"/>
        <w:rPr>
          <w:rFonts w:ascii="宋体" w:hAnsi="宋体" w:eastAsia="宋体" w:cs="宋体"/>
          <w:color w:val="auto"/>
          <w:sz w:val="24"/>
          <w:szCs w:val="24"/>
          <w:highlight w:val="none"/>
        </w:rPr>
      </w:pPr>
      <w:bookmarkStart w:id="295" w:name="_Toc351203554"/>
      <w:r>
        <w:rPr>
          <w:rFonts w:hint="eastAsia" w:ascii="宋体" w:hAnsi="宋体" w:eastAsia="宋体" w:cs="宋体"/>
          <w:b w:val="0"/>
          <w:color w:val="auto"/>
          <w:sz w:val="24"/>
          <w:szCs w:val="24"/>
          <w:highlight w:val="none"/>
        </w:rPr>
        <w:t>8</w:t>
      </w:r>
      <w:bookmarkStart w:id="296" w:name="_Toc296503060"/>
      <w:bookmarkStart w:id="297" w:name="_Toc296346561"/>
      <w:bookmarkStart w:id="298" w:name="_Toc337558778"/>
      <w:r>
        <w:rPr>
          <w:rFonts w:hint="eastAsia" w:ascii="宋体" w:hAnsi="宋体" w:eastAsia="宋体" w:cs="宋体"/>
          <w:b w:val="0"/>
          <w:color w:val="auto"/>
          <w:sz w:val="24"/>
          <w:szCs w:val="24"/>
          <w:highlight w:val="none"/>
        </w:rPr>
        <w:t>.2承包人采购材料与工程设备</w:t>
      </w:r>
      <w:bookmarkEnd w:id="295"/>
    </w:p>
    <w:bookmarkEnd w:id="296"/>
    <w:bookmarkEnd w:id="297"/>
    <w:bookmarkEnd w:id="298"/>
    <w:p w14:paraId="3F3477C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55B6AEDE">
      <w:pPr>
        <w:pStyle w:val="6"/>
        <w:spacing w:before="120" w:after="120" w:line="312" w:lineRule="auto"/>
        <w:ind w:firstLine="480" w:firstLineChars="200"/>
        <w:rPr>
          <w:rFonts w:ascii="宋体" w:hAnsi="宋体" w:eastAsia="宋体" w:cs="宋体"/>
          <w:b w:val="0"/>
          <w:color w:val="auto"/>
          <w:sz w:val="24"/>
          <w:szCs w:val="24"/>
          <w:highlight w:val="none"/>
        </w:rPr>
      </w:pPr>
      <w:bookmarkStart w:id="299" w:name="_Toc351203555"/>
      <w:r>
        <w:rPr>
          <w:rFonts w:hint="eastAsia" w:ascii="宋体" w:hAnsi="宋体" w:eastAsia="宋体" w:cs="宋体"/>
          <w:b w:val="0"/>
          <w:color w:val="auto"/>
          <w:sz w:val="24"/>
          <w:szCs w:val="24"/>
          <w:highlight w:val="none"/>
        </w:rPr>
        <w:t>8</w:t>
      </w:r>
      <w:bookmarkStart w:id="300" w:name="_Toc296346562"/>
      <w:bookmarkStart w:id="301" w:name="_Toc296503061"/>
      <w:bookmarkStart w:id="302" w:name="_Toc337558779"/>
      <w:r>
        <w:rPr>
          <w:rFonts w:hint="eastAsia" w:ascii="宋体" w:hAnsi="宋体" w:eastAsia="宋体" w:cs="宋体"/>
          <w:b w:val="0"/>
          <w:color w:val="auto"/>
          <w:sz w:val="24"/>
          <w:szCs w:val="24"/>
          <w:highlight w:val="none"/>
        </w:rPr>
        <w:t>.3材料与工程设备的接收与拒收</w:t>
      </w:r>
      <w:bookmarkEnd w:id="299"/>
    </w:p>
    <w:bookmarkEnd w:id="300"/>
    <w:bookmarkEnd w:id="301"/>
    <w:bookmarkEnd w:id="302"/>
    <w:p w14:paraId="456225B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7C3B9B4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发包人提供的材料和工程设备的规格、数量或质量不符合合同约定的，或因发包人原因导致交货日期延误或交货地点变更等情况的，按照第16.1款〔发包人违约〕约定办理。</w:t>
      </w:r>
    </w:p>
    <w:p w14:paraId="1063301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8.3.2 承包人采购的材料和工程设备，应保证产品质量合格，承包人应在材料和工程设备到货前24小时通知监理人检验。承</w:t>
      </w:r>
      <w:bookmarkStart w:id="303" w:name="_Toc250655469"/>
      <w:r>
        <w:rPr>
          <w:rFonts w:hint="eastAsia" w:ascii="宋体" w:hAnsi="宋体" w:eastAsia="宋体" w:cs="宋体"/>
          <w:color w:val="auto"/>
          <w:kern w:val="0"/>
          <w:sz w:val="24"/>
          <w:highlight w:val="none"/>
        </w:rPr>
        <w:t>包人进行永久设备、材料的制造和生产的，应符合相关质量标准，并向监理人提交材料的样本以及有关资料，并应在使用该材料或工程设备之前获得监理人同意。</w:t>
      </w:r>
    </w:p>
    <w:bookmarkEnd w:id="303"/>
    <w:p w14:paraId="6B69A266">
      <w:pPr>
        <w:autoSpaceDE w:val="0"/>
        <w:autoSpaceDN w:val="0"/>
        <w:adjustRightInd w:val="0"/>
        <w:spacing w:line="312" w:lineRule="auto"/>
        <w:ind w:firstLine="360" w:firstLineChars="15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35663E7F">
      <w:pPr>
        <w:pStyle w:val="6"/>
        <w:spacing w:before="120" w:after="120" w:line="312" w:lineRule="auto"/>
        <w:ind w:firstLine="480" w:firstLineChars="200"/>
        <w:rPr>
          <w:rFonts w:ascii="宋体" w:hAnsi="宋体" w:eastAsia="宋体" w:cs="宋体"/>
          <w:b w:val="0"/>
          <w:color w:val="auto"/>
          <w:sz w:val="24"/>
          <w:szCs w:val="24"/>
          <w:highlight w:val="none"/>
        </w:rPr>
      </w:pPr>
      <w:bookmarkStart w:id="304" w:name="_Toc351203556"/>
      <w:r>
        <w:rPr>
          <w:rFonts w:hint="eastAsia" w:ascii="宋体" w:hAnsi="宋体" w:eastAsia="宋体" w:cs="宋体"/>
          <w:b w:val="0"/>
          <w:color w:val="auto"/>
          <w:sz w:val="24"/>
          <w:szCs w:val="24"/>
          <w:highlight w:val="none"/>
        </w:rPr>
        <w:t>8</w:t>
      </w:r>
      <w:bookmarkStart w:id="305" w:name="_Toc296503062"/>
      <w:bookmarkStart w:id="306" w:name="_Toc296346563"/>
      <w:bookmarkStart w:id="307" w:name="_Toc337558780"/>
      <w:r>
        <w:rPr>
          <w:rFonts w:hint="eastAsia" w:ascii="宋体" w:hAnsi="宋体" w:eastAsia="宋体" w:cs="宋体"/>
          <w:b w:val="0"/>
          <w:color w:val="auto"/>
          <w:sz w:val="24"/>
          <w:szCs w:val="24"/>
          <w:highlight w:val="none"/>
        </w:rPr>
        <w:t>.4材料与工程设备的保管与使用</w:t>
      </w:r>
      <w:bookmarkEnd w:id="304"/>
    </w:p>
    <w:bookmarkEnd w:id="305"/>
    <w:bookmarkEnd w:id="306"/>
    <w:bookmarkEnd w:id="307"/>
    <w:p w14:paraId="7C772BAA">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8.4.1 发包人供应</w:t>
      </w:r>
      <w:r>
        <w:rPr>
          <w:rFonts w:hint="eastAsia" w:ascii="宋体" w:hAnsi="宋体" w:eastAsia="宋体" w:cs="宋体"/>
          <w:color w:val="auto"/>
          <w:sz w:val="24"/>
          <w:highlight w:val="none"/>
        </w:rPr>
        <w:t>材料与</w:t>
      </w:r>
      <w:r>
        <w:rPr>
          <w:rFonts w:hint="eastAsia" w:ascii="宋体" w:hAnsi="宋体" w:eastAsia="宋体" w:cs="宋体"/>
          <w:color w:val="auto"/>
          <w:kern w:val="0"/>
          <w:sz w:val="24"/>
          <w:highlight w:val="none"/>
        </w:rPr>
        <w:t>工程</w:t>
      </w:r>
      <w:r>
        <w:rPr>
          <w:rFonts w:hint="eastAsia" w:ascii="宋体" w:hAnsi="宋体" w:eastAsia="宋体" w:cs="宋体"/>
          <w:color w:val="auto"/>
          <w:sz w:val="24"/>
          <w:highlight w:val="none"/>
        </w:rPr>
        <w:t>设备的保管与使用</w:t>
      </w:r>
    </w:p>
    <w:p w14:paraId="33D45FC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5B9F995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发包人供应的材料和工程设备使用前，由承包人负责检验，检验费用由发包人承担，不合格的不得使用。</w:t>
      </w:r>
    </w:p>
    <w:p w14:paraId="3475A89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8.4.2 承包人采购</w:t>
      </w:r>
      <w:r>
        <w:rPr>
          <w:rFonts w:hint="eastAsia" w:ascii="宋体" w:hAnsi="宋体" w:eastAsia="宋体" w:cs="宋体"/>
          <w:color w:val="auto"/>
          <w:sz w:val="24"/>
          <w:highlight w:val="none"/>
        </w:rPr>
        <w:t>材料与</w:t>
      </w:r>
      <w:r>
        <w:rPr>
          <w:rFonts w:hint="eastAsia" w:ascii="宋体" w:hAnsi="宋体" w:eastAsia="宋体" w:cs="宋体"/>
          <w:color w:val="auto"/>
          <w:kern w:val="0"/>
          <w:sz w:val="24"/>
          <w:highlight w:val="none"/>
        </w:rPr>
        <w:t>工程</w:t>
      </w:r>
      <w:r>
        <w:rPr>
          <w:rFonts w:hint="eastAsia" w:ascii="宋体" w:hAnsi="宋体" w:eastAsia="宋体" w:cs="宋体"/>
          <w:color w:val="auto"/>
          <w:sz w:val="24"/>
          <w:highlight w:val="none"/>
        </w:rPr>
        <w:t>设备的保管与使用</w:t>
      </w:r>
    </w:p>
    <w:p w14:paraId="49A6801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13A86B7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发包人或监理人发现承包人使用不符合设计或有关标准要求的材料和工程设备时，有权要求承包人进行修复、拆除或重新采购，由此增加的费用和（或）延误的工期，由承包人承担。</w:t>
      </w:r>
    </w:p>
    <w:p w14:paraId="5FA4BF1D">
      <w:pPr>
        <w:pStyle w:val="6"/>
        <w:spacing w:before="120" w:after="120" w:line="312" w:lineRule="auto"/>
        <w:ind w:firstLine="480" w:firstLineChars="200"/>
        <w:rPr>
          <w:rFonts w:ascii="宋体" w:hAnsi="宋体" w:eastAsia="宋体" w:cs="宋体"/>
          <w:b w:val="0"/>
          <w:color w:val="auto"/>
          <w:sz w:val="24"/>
          <w:szCs w:val="24"/>
          <w:highlight w:val="none"/>
        </w:rPr>
      </w:pPr>
      <w:bookmarkStart w:id="308" w:name="_Toc351203557"/>
      <w:r>
        <w:rPr>
          <w:rFonts w:hint="eastAsia" w:ascii="宋体" w:hAnsi="宋体" w:eastAsia="宋体" w:cs="宋体"/>
          <w:b w:val="0"/>
          <w:color w:val="auto"/>
          <w:sz w:val="24"/>
          <w:szCs w:val="24"/>
          <w:highlight w:val="none"/>
        </w:rPr>
        <w:t>8.5禁止使用不合格的材料和工程设备</w:t>
      </w:r>
      <w:bookmarkEnd w:id="308"/>
    </w:p>
    <w:p w14:paraId="19CF979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8.5.1 监理人有权拒绝承包人提供的不合格材料或工程设备，并要求承包人立即进行更换。监理人应在更换后再次进行检查和检验，由此增加的费用和（或）延误的工期由承包人承担。</w:t>
      </w:r>
    </w:p>
    <w:p w14:paraId="3D26A13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8.5.2 监理人发现承包人使用了不合格的材料和工程设备，承包人应按照监理人的指示立即改正，并禁止在工程中继续使用不合格的材料和工程设备。</w:t>
      </w:r>
    </w:p>
    <w:p w14:paraId="3AA3A8C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8.5.3 发包人提供的材料或工程设备不符合合同要求的，承包人有权拒绝，并可要求发包人更换，由此增加的费用和（或）延误的工期由发包人承担，并支付承包人合理的利润。</w:t>
      </w:r>
    </w:p>
    <w:p w14:paraId="0FB1E210">
      <w:pPr>
        <w:pStyle w:val="6"/>
        <w:spacing w:before="120" w:after="120" w:line="312" w:lineRule="auto"/>
        <w:ind w:firstLine="480" w:firstLineChars="200"/>
        <w:rPr>
          <w:rFonts w:ascii="宋体" w:hAnsi="宋体" w:eastAsia="宋体" w:cs="宋体"/>
          <w:b w:val="0"/>
          <w:color w:val="auto"/>
          <w:sz w:val="24"/>
          <w:szCs w:val="24"/>
          <w:highlight w:val="none"/>
        </w:rPr>
      </w:pPr>
      <w:bookmarkStart w:id="309" w:name="_Toc351203558"/>
      <w:r>
        <w:rPr>
          <w:rFonts w:hint="eastAsia" w:ascii="宋体" w:hAnsi="宋体" w:eastAsia="宋体" w:cs="宋体"/>
          <w:b w:val="0"/>
          <w:color w:val="auto"/>
          <w:sz w:val="24"/>
          <w:szCs w:val="24"/>
          <w:highlight w:val="none"/>
        </w:rPr>
        <w:t>8.6 样品</w:t>
      </w:r>
      <w:bookmarkEnd w:id="309"/>
    </w:p>
    <w:p w14:paraId="72371CF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8.6.1</w:t>
      </w:r>
      <w:r>
        <w:rPr>
          <w:rFonts w:hint="eastAsia" w:ascii="宋体" w:hAnsi="宋体" w:eastAsia="宋体" w:cs="宋体"/>
          <w:color w:val="auto"/>
          <w:kern w:val="0"/>
          <w:sz w:val="24"/>
          <w:highlight w:val="none"/>
        </w:rPr>
        <w:tab/>
      </w:r>
      <w:r>
        <w:rPr>
          <w:rFonts w:hint="eastAsia" w:ascii="宋体" w:hAnsi="宋体" w:eastAsia="宋体" w:cs="宋体"/>
          <w:color w:val="auto"/>
          <w:kern w:val="0"/>
          <w:sz w:val="24"/>
          <w:highlight w:val="none"/>
        </w:rPr>
        <w:t>样品的报送与封存</w:t>
      </w:r>
    </w:p>
    <w:p w14:paraId="5C5C4A5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需要承包人报送样品的材料或工程设备，样品的种类、名称、规格、数量等要求均应在专用合同条款中约定。样品的报送程序如下：</w:t>
      </w:r>
    </w:p>
    <w:p w14:paraId="5C1A9C0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317CF5A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6EDFE15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（3）经发包人和监理人审批确认的样品应按约定的方法封样，封存的样品作为检验工程相关部分的标准之一。承包人在施工过程中不得使用与样品不符的材料或工程设备。</w:t>
      </w:r>
    </w:p>
    <w:p w14:paraId="20A9E15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7D28359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8.6.2 样品的保管</w:t>
      </w:r>
    </w:p>
    <w:p w14:paraId="38C02488">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经批准的样品应由监理人负责封存于现场，承包人应在现场为保存样品提供适当和固定的场所并保持适当和良好的存储环境条件。</w:t>
      </w:r>
    </w:p>
    <w:p w14:paraId="0AD71E29">
      <w:pPr>
        <w:pStyle w:val="6"/>
        <w:spacing w:before="120" w:after="120" w:line="312" w:lineRule="auto"/>
        <w:ind w:firstLine="480" w:firstLineChars="200"/>
        <w:rPr>
          <w:rFonts w:ascii="宋体" w:hAnsi="宋体" w:eastAsia="宋体" w:cs="宋体"/>
          <w:b w:val="0"/>
          <w:color w:val="auto"/>
          <w:sz w:val="24"/>
          <w:szCs w:val="24"/>
          <w:highlight w:val="none"/>
        </w:rPr>
      </w:pPr>
      <w:bookmarkStart w:id="310" w:name="_Toc351203559"/>
      <w:r>
        <w:rPr>
          <w:rFonts w:hint="eastAsia" w:ascii="宋体" w:hAnsi="宋体" w:eastAsia="宋体" w:cs="宋体"/>
          <w:b w:val="0"/>
          <w:color w:val="auto"/>
          <w:sz w:val="24"/>
          <w:szCs w:val="24"/>
          <w:highlight w:val="none"/>
        </w:rPr>
        <w:t>8.7材料与工程设备的替代</w:t>
      </w:r>
      <w:bookmarkEnd w:id="310"/>
    </w:p>
    <w:p w14:paraId="4FA0B9B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8.7.1 出现下列情况需要使用替代材料和工程设备的，承包人应按照第8.7.2项约定的程序执行：</w:t>
      </w:r>
    </w:p>
    <w:p w14:paraId="50E57C1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（1）基准日期后生效的法律规定禁止使用的；</w:t>
      </w:r>
    </w:p>
    <w:p w14:paraId="2860B95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（2）发包人要求使用替代品的；</w:t>
      </w:r>
    </w:p>
    <w:p w14:paraId="24F8AC0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（3）因其他原因必须使用替代品的。</w:t>
      </w:r>
    </w:p>
    <w:p w14:paraId="60012AC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8.7.2 承包人应在使用替代材料和工程设备28天前书面通知监理人，并附下列文件：</w:t>
      </w:r>
    </w:p>
    <w:p w14:paraId="3654C55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（1）被替代的材料和工程设备的名称、数量、规格、型号、品牌、性能、价格及其他相关资料；</w:t>
      </w:r>
    </w:p>
    <w:p w14:paraId="721E651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（2）替代品的名称、数量、规格、型号、品牌、性能、价格及其他相关资料；</w:t>
      </w:r>
    </w:p>
    <w:p w14:paraId="29369E1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（3）替代品与被替代产品之间的差异以及使用替代品可能对工程产生的影响；</w:t>
      </w:r>
    </w:p>
    <w:p w14:paraId="2A75F8B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（4）替代品与被替代产品的价格差异；</w:t>
      </w:r>
    </w:p>
    <w:p w14:paraId="5CDECDA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（5）使用替代品的理由和原因说明；</w:t>
      </w:r>
    </w:p>
    <w:p w14:paraId="1667264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（6）监理人要求的其他文件。</w:t>
      </w:r>
    </w:p>
    <w:p w14:paraId="5A95448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监理人应在收到通知后14天内向承包人发出经发包人签认的书面指示；监理人逾期发出书面指示的，视为发包人和监理人同意使用替代品。</w:t>
      </w:r>
    </w:p>
    <w:p w14:paraId="5EB0F4A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8.7.3 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w:t>
      </w:r>
    </w:p>
    <w:p w14:paraId="26EFE0A9">
      <w:pPr>
        <w:pStyle w:val="6"/>
        <w:spacing w:before="120" w:after="120" w:line="312" w:lineRule="auto"/>
        <w:ind w:firstLine="480" w:firstLineChars="200"/>
        <w:rPr>
          <w:rFonts w:ascii="宋体" w:hAnsi="宋体" w:eastAsia="宋体" w:cs="宋体"/>
          <w:b w:val="0"/>
          <w:color w:val="auto"/>
          <w:sz w:val="24"/>
          <w:szCs w:val="24"/>
          <w:highlight w:val="none"/>
        </w:rPr>
      </w:pPr>
      <w:bookmarkStart w:id="311" w:name="_Toc351203560"/>
      <w:r>
        <w:rPr>
          <w:rFonts w:hint="eastAsia" w:ascii="宋体" w:hAnsi="宋体" w:eastAsia="宋体" w:cs="宋体"/>
          <w:b w:val="0"/>
          <w:color w:val="auto"/>
          <w:sz w:val="24"/>
          <w:szCs w:val="24"/>
          <w:highlight w:val="none"/>
        </w:rPr>
        <w:t>8.8施工设备和临时设施</w:t>
      </w:r>
      <w:bookmarkEnd w:id="311"/>
    </w:p>
    <w:p w14:paraId="64462B7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8.8.1 承包人提供的施工设备和临时设施</w:t>
      </w:r>
    </w:p>
    <w:p w14:paraId="5FD8606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承包人应按合同进度计划的要求，及时配置施工设备和修建临时设施。进入施工场地的承包人设备需经监理人核查后才能投入使用。承包人更换合同约定的承包人设备的，应报监理人批准。</w:t>
      </w:r>
    </w:p>
    <w:p w14:paraId="4074C8D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除专用合同条款另有约定外，承包人应自行承担修建临时设施的费用，需要临时占地的，应由发包人办理申请手续并承担相应费用。</w:t>
      </w:r>
    </w:p>
    <w:p w14:paraId="24BC72C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8.8.2发包人提供的施工设备和临时设施</w:t>
      </w:r>
    </w:p>
    <w:p w14:paraId="74BC66D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发包人提供的施工设备或临时设施在专用合同条款中约定。</w:t>
      </w:r>
    </w:p>
    <w:p w14:paraId="55CD053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8.8.3要求承包人增加或更换施工设备</w:t>
      </w:r>
    </w:p>
    <w:p w14:paraId="175849B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承包人使用的施工设备不能满足合同进度计划和（或）质量要求时，监理人有权要求承包人增加或更换施工设备，承包人应及时增加或更换，由此增加的费用和（或）延误的工期由承包人承担。</w:t>
      </w:r>
    </w:p>
    <w:p w14:paraId="68349E88">
      <w:pPr>
        <w:pStyle w:val="6"/>
        <w:spacing w:before="120" w:after="120" w:line="312" w:lineRule="auto"/>
        <w:ind w:firstLine="480" w:firstLineChars="200"/>
        <w:rPr>
          <w:rFonts w:ascii="宋体" w:hAnsi="宋体" w:eastAsia="宋体" w:cs="宋体"/>
          <w:b w:val="0"/>
          <w:color w:val="auto"/>
          <w:sz w:val="24"/>
          <w:szCs w:val="24"/>
          <w:highlight w:val="none"/>
        </w:rPr>
      </w:pPr>
      <w:bookmarkStart w:id="312" w:name="_Toc351203561"/>
      <w:r>
        <w:rPr>
          <w:rFonts w:hint="eastAsia" w:ascii="宋体" w:hAnsi="宋体" w:eastAsia="宋体" w:cs="宋体"/>
          <w:b w:val="0"/>
          <w:color w:val="auto"/>
          <w:sz w:val="24"/>
          <w:szCs w:val="24"/>
          <w:highlight w:val="none"/>
        </w:rPr>
        <w:t>8</w:t>
      </w:r>
      <w:bookmarkStart w:id="313" w:name="_Toc296503063"/>
      <w:bookmarkStart w:id="314" w:name="_Toc337558781"/>
      <w:bookmarkStart w:id="315" w:name="_Toc296346564"/>
      <w:r>
        <w:rPr>
          <w:rFonts w:hint="eastAsia" w:ascii="宋体" w:hAnsi="宋体" w:eastAsia="宋体" w:cs="宋体"/>
          <w:b w:val="0"/>
          <w:color w:val="auto"/>
          <w:sz w:val="24"/>
          <w:szCs w:val="24"/>
          <w:highlight w:val="none"/>
        </w:rPr>
        <w:t>.9材料与设备专用</w:t>
      </w:r>
      <w:bookmarkEnd w:id="312"/>
      <w:r>
        <w:rPr>
          <w:rFonts w:hint="eastAsia" w:ascii="宋体" w:hAnsi="宋体" w:eastAsia="宋体" w:cs="宋体"/>
          <w:b w:val="0"/>
          <w:color w:val="auto"/>
          <w:sz w:val="24"/>
          <w:szCs w:val="24"/>
          <w:highlight w:val="none"/>
        </w:rPr>
        <w:t>要求</w:t>
      </w:r>
    </w:p>
    <w:bookmarkEnd w:id="313"/>
    <w:bookmarkEnd w:id="314"/>
    <w:bookmarkEnd w:id="315"/>
    <w:p w14:paraId="25C9D1C2">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承包人运入施工现场的材料、工程设备、施工设备以及在施工场地建设的临时设施，包括备品备件、安装工具与资料，必须专用于工程。未经发包人批准，承包人不得运出施工现场或挪作他用；</w:t>
      </w:r>
      <w:bookmarkEnd w:id="294"/>
      <w:r>
        <w:rPr>
          <w:rFonts w:hint="eastAsia" w:ascii="宋体" w:hAnsi="宋体" w:eastAsia="宋体" w:cs="宋体"/>
          <w:color w:val="auto"/>
          <w:kern w:val="0"/>
          <w:sz w:val="24"/>
          <w:highlight w:val="none"/>
        </w:rPr>
        <w:t>经发包人批准，承包人可以根据施工进度计划撤走闲置的施工设备和其他物品。</w:t>
      </w:r>
    </w:p>
    <w:p w14:paraId="75B3F5D1">
      <w:pPr>
        <w:pStyle w:val="5"/>
        <w:spacing w:before="120" w:after="120" w:line="312" w:lineRule="auto"/>
        <w:rPr>
          <w:rFonts w:ascii="宋体" w:hAnsi="宋体" w:eastAsia="宋体" w:cs="宋体"/>
          <w:b w:val="0"/>
          <w:color w:val="auto"/>
          <w:sz w:val="24"/>
          <w:szCs w:val="24"/>
          <w:highlight w:val="none"/>
        </w:rPr>
      </w:pPr>
      <w:bookmarkStart w:id="316" w:name="_Toc351203562"/>
      <w:r>
        <w:rPr>
          <w:rFonts w:hint="eastAsia" w:ascii="宋体" w:hAnsi="宋体" w:eastAsia="宋体" w:cs="宋体"/>
          <w:b w:val="0"/>
          <w:color w:val="auto"/>
          <w:sz w:val="24"/>
          <w:szCs w:val="24"/>
          <w:highlight w:val="none"/>
        </w:rPr>
        <w:t>9</w:t>
      </w:r>
      <w:bookmarkStart w:id="317" w:name="_Toc337558782"/>
      <w:bookmarkStart w:id="318" w:name="_Toc296503083"/>
      <w:bookmarkStart w:id="319" w:name="_Toc296346584"/>
      <w:r>
        <w:rPr>
          <w:rFonts w:hint="eastAsia" w:ascii="宋体" w:hAnsi="宋体" w:eastAsia="宋体" w:cs="宋体"/>
          <w:b w:val="0"/>
          <w:color w:val="auto"/>
          <w:sz w:val="24"/>
          <w:szCs w:val="24"/>
          <w:highlight w:val="none"/>
        </w:rPr>
        <w:t>. 试验与检验</w:t>
      </w:r>
      <w:bookmarkEnd w:id="316"/>
    </w:p>
    <w:bookmarkEnd w:id="317"/>
    <w:p w14:paraId="1C3C7F1E">
      <w:pPr>
        <w:pStyle w:val="6"/>
        <w:spacing w:before="120" w:after="120" w:line="312" w:lineRule="auto"/>
        <w:ind w:firstLine="480" w:firstLineChars="200"/>
        <w:rPr>
          <w:rFonts w:ascii="宋体" w:hAnsi="宋体" w:eastAsia="宋体" w:cs="宋体"/>
          <w:b w:val="0"/>
          <w:color w:val="auto"/>
          <w:sz w:val="24"/>
          <w:szCs w:val="24"/>
          <w:highlight w:val="none"/>
        </w:rPr>
      </w:pPr>
      <w:bookmarkStart w:id="320" w:name="_Toc351203563"/>
      <w:r>
        <w:rPr>
          <w:rFonts w:hint="eastAsia" w:ascii="宋体" w:hAnsi="宋体" w:eastAsia="宋体" w:cs="宋体"/>
          <w:b w:val="0"/>
          <w:color w:val="auto"/>
          <w:sz w:val="24"/>
          <w:szCs w:val="24"/>
          <w:highlight w:val="none"/>
        </w:rPr>
        <w:t>9</w:t>
      </w:r>
      <w:bookmarkStart w:id="321" w:name="_Toc337558783"/>
      <w:r>
        <w:rPr>
          <w:rFonts w:hint="eastAsia" w:ascii="宋体" w:hAnsi="宋体" w:eastAsia="宋体" w:cs="宋体"/>
          <w:b w:val="0"/>
          <w:color w:val="auto"/>
          <w:sz w:val="24"/>
          <w:szCs w:val="24"/>
          <w:highlight w:val="none"/>
        </w:rPr>
        <w:t>.1试验设备与试验人员</w:t>
      </w:r>
      <w:bookmarkEnd w:id="320"/>
    </w:p>
    <w:bookmarkEnd w:id="321"/>
    <w:p w14:paraId="1AAF5202">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2C2D468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9.1.2 承包人应按专用合同条款的约定提供试验设备、取样装置、试验场所和试验条件，并向监理人提交相应进场计划表。</w:t>
      </w:r>
    </w:p>
    <w:p w14:paraId="3A17C779">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承包人配置的试验设备要符合相应试验规程的要求并经过具有资质的检测单位检测，且在正式使用该试验设备前，需要经过监理人与承包人共同校定。</w:t>
      </w:r>
    </w:p>
    <w:p w14:paraId="7DE86965">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9.1.3 承包人应向监理人提交试验人员的名单及其岗位、资格等证明资料，试验人员必须能够熟练进行相应的检测试验，承包人对试验人员的试验程序和试验结果的正确性负责。</w:t>
      </w:r>
    </w:p>
    <w:p w14:paraId="0E504779">
      <w:pPr>
        <w:pStyle w:val="6"/>
        <w:spacing w:before="120" w:after="120" w:line="312" w:lineRule="auto"/>
        <w:ind w:firstLine="480" w:firstLineChars="200"/>
        <w:rPr>
          <w:rFonts w:ascii="宋体" w:hAnsi="宋体" w:eastAsia="宋体" w:cs="宋体"/>
          <w:b w:val="0"/>
          <w:color w:val="auto"/>
          <w:sz w:val="24"/>
          <w:szCs w:val="24"/>
          <w:highlight w:val="none"/>
        </w:rPr>
      </w:pPr>
      <w:bookmarkStart w:id="322" w:name="_Toc351203564"/>
      <w:r>
        <w:rPr>
          <w:rFonts w:hint="eastAsia" w:ascii="宋体" w:hAnsi="宋体" w:eastAsia="宋体" w:cs="宋体"/>
          <w:b w:val="0"/>
          <w:color w:val="auto"/>
          <w:sz w:val="24"/>
          <w:szCs w:val="24"/>
          <w:highlight w:val="none"/>
        </w:rPr>
        <w:t>9</w:t>
      </w:r>
      <w:bookmarkStart w:id="323" w:name="_Toc337558784"/>
      <w:r>
        <w:rPr>
          <w:rFonts w:hint="eastAsia" w:ascii="宋体" w:hAnsi="宋体" w:eastAsia="宋体" w:cs="宋体"/>
          <w:b w:val="0"/>
          <w:color w:val="auto"/>
          <w:sz w:val="24"/>
          <w:szCs w:val="24"/>
          <w:highlight w:val="none"/>
        </w:rPr>
        <w:t>.2取样</w:t>
      </w:r>
      <w:bookmarkEnd w:id="322"/>
    </w:p>
    <w:bookmarkEnd w:id="323"/>
    <w:p w14:paraId="3510FE2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试验属于自检性质的，承包人可以单独取样。试验属于监理人抽检性质的，可由监理人取样，也可由承包人的试验人员在监理人的监督下取样。</w:t>
      </w:r>
    </w:p>
    <w:p w14:paraId="17BF852B">
      <w:pPr>
        <w:pStyle w:val="6"/>
        <w:spacing w:before="120" w:after="120" w:line="312" w:lineRule="auto"/>
        <w:ind w:firstLine="480" w:firstLineChars="200"/>
        <w:rPr>
          <w:rFonts w:ascii="宋体" w:hAnsi="宋体" w:eastAsia="宋体" w:cs="宋体"/>
          <w:b w:val="0"/>
          <w:color w:val="auto"/>
          <w:sz w:val="24"/>
          <w:szCs w:val="24"/>
          <w:highlight w:val="none"/>
        </w:rPr>
      </w:pPr>
      <w:bookmarkStart w:id="324" w:name="_Toc351203565"/>
      <w:r>
        <w:rPr>
          <w:rFonts w:hint="eastAsia" w:ascii="宋体" w:hAnsi="宋体" w:eastAsia="宋体" w:cs="宋体"/>
          <w:b w:val="0"/>
          <w:color w:val="auto"/>
          <w:sz w:val="24"/>
          <w:szCs w:val="24"/>
          <w:highlight w:val="none"/>
        </w:rPr>
        <w:t>9</w:t>
      </w:r>
      <w:bookmarkStart w:id="325" w:name="_Toc337558785"/>
      <w:r>
        <w:rPr>
          <w:rFonts w:hint="eastAsia" w:ascii="宋体" w:hAnsi="宋体" w:eastAsia="宋体" w:cs="宋体"/>
          <w:b w:val="0"/>
          <w:color w:val="auto"/>
          <w:sz w:val="24"/>
          <w:szCs w:val="24"/>
          <w:highlight w:val="none"/>
        </w:rPr>
        <w:t>.3材料、工程设备和工程的试验和检验</w:t>
      </w:r>
      <w:bookmarkEnd w:id="324"/>
    </w:p>
    <w:bookmarkEnd w:id="325"/>
    <w:p w14:paraId="18F8749B">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0552A06A">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4442B12B">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727502B9">
      <w:pPr>
        <w:pStyle w:val="6"/>
        <w:spacing w:before="120" w:after="120" w:line="312" w:lineRule="auto"/>
        <w:ind w:firstLine="480" w:firstLineChars="200"/>
        <w:rPr>
          <w:rFonts w:ascii="宋体" w:hAnsi="宋体" w:eastAsia="宋体" w:cs="宋体"/>
          <w:b w:val="0"/>
          <w:color w:val="auto"/>
          <w:sz w:val="24"/>
          <w:szCs w:val="24"/>
          <w:highlight w:val="none"/>
        </w:rPr>
      </w:pPr>
      <w:bookmarkStart w:id="326" w:name="_Toc351203566"/>
      <w:r>
        <w:rPr>
          <w:rFonts w:hint="eastAsia" w:ascii="宋体" w:hAnsi="宋体" w:eastAsia="宋体" w:cs="宋体"/>
          <w:b w:val="0"/>
          <w:color w:val="auto"/>
          <w:sz w:val="24"/>
          <w:szCs w:val="24"/>
          <w:highlight w:val="none"/>
        </w:rPr>
        <w:t>9</w:t>
      </w:r>
      <w:bookmarkStart w:id="327" w:name="_Toc337558786"/>
      <w:r>
        <w:rPr>
          <w:rFonts w:hint="eastAsia" w:ascii="宋体" w:hAnsi="宋体" w:eastAsia="宋体" w:cs="宋体"/>
          <w:b w:val="0"/>
          <w:color w:val="auto"/>
          <w:sz w:val="24"/>
          <w:szCs w:val="24"/>
          <w:highlight w:val="none"/>
        </w:rPr>
        <w:t>.4现场工艺试验</w:t>
      </w:r>
      <w:bookmarkEnd w:id="326"/>
    </w:p>
    <w:bookmarkEnd w:id="327"/>
    <w:p w14:paraId="7FEE11D7">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承包人应按合同约定或监理人指示进行现场工艺试验。对大型的现场工艺试验，监理人认为必要时，承包人应根据监理人提出的工艺试验要求，编制工艺试验措施计划，报送监理人审查。</w:t>
      </w:r>
    </w:p>
    <w:p w14:paraId="3CC3E917">
      <w:pPr>
        <w:pStyle w:val="5"/>
        <w:spacing w:before="120" w:after="120" w:line="312" w:lineRule="auto"/>
        <w:rPr>
          <w:rFonts w:ascii="宋体" w:hAnsi="宋体" w:eastAsia="宋体" w:cs="宋体"/>
          <w:b w:val="0"/>
          <w:color w:val="auto"/>
          <w:sz w:val="24"/>
          <w:szCs w:val="24"/>
          <w:highlight w:val="none"/>
        </w:rPr>
      </w:pPr>
      <w:bookmarkStart w:id="328" w:name="_Toc351203567"/>
      <w:r>
        <w:rPr>
          <w:rFonts w:hint="eastAsia" w:ascii="宋体" w:hAnsi="宋体" w:eastAsia="宋体" w:cs="宋体"/>
          <w:b w:val="0"/>
          <w:color w:val="auto"/>
          <w:sz w:val="24"/>
          <w:szCs w:val="24"/>
          <w:highlight w:val="none"/>
        </w:rPr>
        <w:t>1</w:t>
      </w:r>
      <w:bookmarkStart w:id="329" w:name="_Toc337558787"/>
      <w:r>
        <w:rPr>
          <w:rFonts w:hint="eastAsia" w:ascii="宋体" w:hAnsi="宋体" w:eastAsia="宋体" w:cs="宋体"/>
          <w:b w:val="0"/>
          <w:color w:val="auto"/>
          <w:sz w:val="24"/>
          <w:szCs w:val="24"/>
          <w:highlight w:val="none"/>
        </w:rPr>
        <w:t>0. 变更</w:t>
      </w:r>
      <w:bookmarkEnd w:id="318"/>
      <w:bookmarkEnd w:id="319"/>
      <w:bookmarkEnd w:id="328"/>
    </w:p>
    <w:bookmarkEnd w:id="329"/>
    <w:p w14:paraId="076142B0">
      <w:pPr>
        <w:pStyle w:val="6"/>
        <w:spacing w:before="120" w:after="120" w:line="312" w:lineRule="auto"/>
        <w:ind w:firstLine="480" w:firstLineChars="200"/>
        <w:rPr>
          <w:rFonts w:ascii="宋体" w:hAnsi="宋体" w:eastAsia="宋体" w:cs="宋体"/>
          <w:b w:val="0"/>
          <w:color w:val="auto"/>
          <w:sz w:val="24"/>
          <w:szCs w:val="24"/>
          <w:highlight w:val="none"/>
        </w:rPr>
      </w:pPr>
      <w:bookmarkStart w:id="330" w:name="_Toc351203568"/>
      <w:r>
        <w:rPr>
          <w:rFonts w:hint="eastAsia" w:ascii="宋体" w:hAnsi="宋体" w:eastAsia="宋体" w:cs="宋体"/>
          <w:b w:val="0"/>
          <w:color w:val="auto"/>
          <w:sz w:val="24"/>
          <w:szCs w:val="24"/>
          <w:highlight w:val="none"/>
        </w:rPr>
        <w:t>1</w:t>
      </w:r>
      <w:bookmarkStart w:id="331" w:name="_Toc337558788"/>
      <w:bookmarkStart w:id="332" w:name="_Toc296346585"/>
      <w:bookmarkStart w:id="333" w:name="_Toc296503084"/>
      <w:r>
        <w:rPr>
          <w:rFonts w:hint="eastAsia" w:ascii="宋体" w:hAnsi="宋体" w:eastAsia="宋体" w:cs="宋体"/>
          <w:b w:val="0"/>
          <w:color w:val="auto"/>
          <w:sz w:val="24"/>
          <w:szCs w:val="24"/>
          <w:highlight w:val="none"/>
        </w:rPr>
        <w:t>0.1变更的范围</w:t>
      </w:r>
      <w:bookmarkEnd w:id="330"/>
    </w:p>
    <w:bookmarkEnd w:id="331"/>
    <w:bookmarkEnd w:id="332"/>
    <w:bookmarkEnd w:id="333"/>
    <w:p w14:paraId="7D816C8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除专用合同条款另有约定外，合同履行过程中发生以下情形的，应按照本条约定进行变更：</w:t>
      </w:r>
    </w:p>
    <w:p w14:paraId="05ADEEC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（1）增加或减少合同中任何工作，或追加额外的工作；</w:t>
      </w:r>
    </w:p>
    <w:p w14:paraId="0139349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（2）取消合同中任何工作，但转由他人实施的工作除外；</w:t>
      </w:r>
    </w:p>
    <w:p w14:paraId="714B9F9A">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（3）改变合同中任何工作的质量标准或其他特性；</w:t>
      </w:r>
    </w:p>
    <w:p w14:paraId="3D91A37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（4）改变工程的基线、标高、位置和尺寸；</w:t>
      </w:r>
    </w:p>
    <w:p w14:paraId="61F3E728">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（5）改变工程的时间安排或实施顺序。</w:t>
      </w:r>
    </w:p>
    <w:p w14:paraId="3DBA5FD5">
      <w:pPr>
        <w:pStyle w:val="6"/>
        <w:spacing w:before="120" w:after="120" w:line="312" w:lineRule="auto"/>
        <w:ind w:firstLine="480" w:firstLineChars="200"/>
        <w:rPr>
          <w:rFonts w:ascii="宋体" w:hAnsi="宋体" w:eastAsia="宋体" w:cs="宋体"/>
          <w:b w:val="0"/>
          <w:color w:val="auto"/>
          <w:sz w:val="24"/>
          <w:szCs w:val="24"/>
          <w:highlight w:val="none"/>
        </w:rPr>
      </w:pPr>
      <w:bookmarkStart w:id="334" w:name="_Toc351203569"/>
      <w:r>
        <w:rPr>
          <w:rFonts w:hint="eastAsia" w:ascii="宋体" w:hAnsi="宋体" w:eastAsia="宋体" w:cs="宋体"/>
          <w:b w:val="0"/>
          <w:color w:val="auto"/>
          <w:sz w:val="24"/>
          <w:szCs w:val="24"/>
          <w:highlight w:val="none"/>
        </w:rPr>
        <w:t>1</w:t>
      </w:r>
      <w:bookmarkStart w:id="335" w:name="_Toc296503085"/>
      <w:bookmarkStart w:id="336" w:name="_Toc337558789"/>
      <w:bookmarkStart w:id="337" w:name="_Toc296346586"/>
      <w:r>
        <w:rPr>
          <w:rFonts w:hint="eastAsia" w:ascii="宋体" w:hAnsi="宋体" w:eastAsia="宋体" w:cs="宋体"/>
          <w:b w:val="0"/>
          <w:color w:val="auto"/>
          <w:sz w:val="24"/>
          <w:szCs w:val="24"/>
          <w:highlight w:val="none"/>
        </w:rPr>
        <w:t>0.2变更权</w:t>
      </w:r>
      <w:bookmarkEnd w:id="334"/>
    </w:p>
    <w:bookmarkEnd w:id="335"/>
    <w:bookmarkEnd w:id="336"/>
    <w:bookmarkEnd w:id="337"/>
    <w:p w14:paraId="3DA4954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58493A0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涉及设计变更的，应由设计人提供变更后的图纸和说明。如变更超过原设计标准或批准的建设规模时，发包人应及时办理规划、设计变更等审批手续。</w:t>
      </w:r>
    </w:p>
    <w:p w14:paraId="0D353736">
      <w:pPr>
        <w:pStyle w:val="6"/>
        <w:spacing w:before="120" w:after="120" w:line="312" w:lineRule="auto"/>
        <w:ind w:firstLine="480" w:firstLineChars="200"/>
        <w:rPr>
          <w:rFonts w:ascii="宋体" w:hAnsi="宋体" w:eastAsia="宋体" w:cs="宋体"/>
          <w:b w:val="0"/>
          <w:color w:val="auto"/>
          <w:sz w:val="24"/>
          <w:szCs w:val="24"/>
          <w:highlight w:val="none"/>
        </w:rPr>
      </w:pPr>
      <w:bookmarkStart w:id="338" w:name="_Toc351203570"/>
      <w:r>
        <w:rPr>
          <w:rFonts w:hint="eastAsia" w:ascii="宋体" w:hAnsi="宋体" w:eastAsia="宋体" w:cs="宋体"/>
          <w:b w:val="0"/>
          <w:color w:val="auto"/>
          <w:sz w:val="24"/>
          <w:szCs w:val="24"/>
          <w:highlight w:val="none"/>
        </w:rPr>
        <w:t>1</w:t>
      </w:r>
      <w:bookmarkStart w:id="339" w:name="_Toc296346587"/>
      <w:bookmarkStart w:id="340" w:name="_Toc296503086"/>
      <w:bookmarkStart w:id="341" w:name="_Toc337558790"/>
      <w:r>
        <w:rPr>
          <w:rFonts w:hint="eastAsia" w:ascii="宋体" w:hAnsi="宋体" w:eastAsia="宋体" w:cs="宋体"/>
          <w:b w:val="0"/>
          <w:color w:val="auto"/>
          <w:sz w:val="24"/>
          <w:szCs w:val="24"/>
          <w:highlight w:val="none"/>
        </w:rPr>
        <w:t>0.3变更程序</w:t>
      </w:r>
      <w:bookmarkEnd w:id="338"/>
    </w:p>
    <w:bookmarkEnd w:id="339"/>
    <w:bookmarkEnd w:id="340"/>
    <w:bookmarkEnd w:id="341"/>
    <w:p w14:paraId="10FB4F2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10</w:t>
      </w:r>
      <w:r>
        <w:rPr>
          <w:rFonts w:hint="eastAsia" w:ascii="宋体" w:hAnsi="宋体" w:eastAsia="宋体" w:cs="宋体"/>
          <w:color w:val="auto"/>
          <w:kern w:val="0"/>
          <w:sz w:val="24"/>
          <w:highlight w:val="none"/>
        </w:rPr>
        <w:t>.3.1 发包人提出变更</w:t>
      </w:r>
    </w:p>
    <w:p w14:paraId="61186FA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发包人提出变更的，应通过监理人向承包人发出变更指示，变更指示应说明计划变更的工程范围和变更的内容。</w:t>
      </w:r>
    </w:p>
    <w:p w14:paraId="62CB4C8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10</w:t>
      </w:r>
      <w:r>
        <w:rPr>
          <w:rFonts w:hint="eastAsia" w:ascii="宋体" w:hAnsi="宋体" w:eastAsia="宋体" w:cs="宋体"/>
          <w:color w:val="auto"/>
          <w:kern w:val="0"/>
          <w:sz w:val="24"/>
          <w:highlight w:val="none"/>
        </w:rPr>
        <w:t>.3.2 监理人提出变更建议</w:t>
      </w:r>
    </w:p>
    <w:p w14:paraId="2B10B91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02AD0A25">
      <w:pP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10.3.3 变更执行</w:t>
      </w:r>
    </w:p>
    <w:p w14:paraId="036A7B5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p>
    <w:p w14:paraId="2E00DC11">
      <w:pPr>
        <w:pStyle w:val="6"/>
        <w:spacing w:before="120" w:after="120" w:line="312" w:lineRule="auto"/>
        <w:ind w:firstLine="480" w:firstLineChars="200"/>
        <w:rPr>
          <w:rFonts w:ascii="宋体" w:hAnsi="宋体" w:eastAsia="宋体" w:cs="宋体"/>
          <w:b w:val="0"/>
          <w:color w:val="auto"/>
          <w:sz w:val="24"/>
          <w:szCs w:val="24"/>
          <w:highlight w:val="none"/>
        </w:rPr>
      </w:pPr>
      <w:bookmarkStart w:id="342" w:name="_Toc351203571"/>
      <w:r>
        <w:rPr>
          <w:rFonts w:hint="eastAsia" w:ascii="宋体" w:hAnsi="宋体" w:eastAsia="宋体" w:cs="宋体"/>
          <w:b w:val="0"/>
          <w:color w:val="auto"/>
          <w:sz w:val="24"/>
          <w:szCs w:val="24"/>
          <w:highlight w:val="none"/>
        </w:rPr>
        <w:t>1</w:t>
      </w:r>
      <w:bookmarkStart w:id="343" w:name="_Toc296503087"/>
      <w:bookmarkStart w:id="344" w:name="_Toc337558791"/>
      <w:bookmarkStart w:id="345" w:name="_Toc296346588"/>
      <w:r>
        <w:rPr>
          <w:rFonts w:hint="eastAsia" w:ascii="宋体" w:hAnsi="宋体" w:eastAsia="宋体" w:cs="宋体"/>
          <w:b w:val="0"/>
          <w:color w:val="auto"/>
          <w:sz w:val="24"/>
          <w:szCs w:val="24"/>
          <w:highlight w:val="none"/>
        </w:rPr>
        <w:t>0.4变更估价</w:t>
      </w:r>
      <w:bookmarkEnd w:id="342"/>
    </w:p>
    <w:bookmarkEnd w:id="343"/>
    <w:bookmarkEnd w:id="344"/>
    <w:bookmarkEnd w:id="345"/>
    <w:p w14:paraId="29FACB87">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10.4.1 变更估价原则</w:t>
      </w:r>
    </w:p>
    <w:p w14:paraId="1C08BD1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除专用合同条款另有约定外，变更估价按照本款约定处理：</w:t>
      </w:r>
    </w:p>
    <w:p w14:paraId="0C67DD2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（1）已标价工程量清单或预算书有相同项目的，按照相同项目单价认定；</w:t>
      </w:r>
    </w:p>
    <w:p w14:paraId="15DAA8B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（2）已标价工程量清单或预算书中无相同项目，但有类似项目的，参照类似项目的单价认定；</w:t>
      </w:r>
    </w:p>
    <w:p w14:paraId="4426048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商定或确定〕确定变更工作的单价。</w:t>
      </w:r>
    </w:p>
    <w:p w14:paraId="132852D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10.4.2 变更估价程序</w:t>
      </w:r>
    </w:p>
    <w:p w14:paraId="714897F8">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申请。</w:t>
      </w:r>
    </w:p>
    <w:p w14:paraId="753CAC3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因变更引起的价格调整应计入最近一期的进度款中支付。</w:t>
      </w:r>
    </w:p>
    <w:p w14:paraId="6390D23E">
      <w:pPr>
        <w:pStyle w:val="6"/>
        <w:spacing w:before="120" w:after="120" w:line="312" w:lineRule="auto"/>
        <w:ind w:firstLine="480" w:firstLineChars="200"/>
        <w:rPr>
          <w:rFonts w:ascii="宋体" w:hAnsi="宋体" w:eastAsia="宋体" w:cs="宋体"/>
          <w:b w:val="0"/>
          <w:color w:val="auto"/>
          <w:sz w:val="24"/>
          <w:szCs w:val="24"/>
          <w:highlight w:val="none"/>
        </w:rPr>
      </w:pPr>
      <w:bookmarkStart w:id="346" w:name="_Toc351203572"/>
      <w:r>
        <w:rPr>
          <w:rFonts w:hint="eastAsia" w:ascii="宋体" w:hAnsi="宋体" w:eastAsia="宋体" w:cs="宋体"/>
          <w:b w:val="0"/>
          <w:color w:val="auto"/>
          <w:sz w:val="24"/>
          <w:szCs w:val="24"/>
          <w:highlight w:val="none"/>
        </w:rPr>
        <w:t>1</w:t>
      </w:r>
      <w:bookmarkStart w:id="347" w:name="_Toc296503094"/>
      <w:bookmarkStart w:id="348" w:name="_Toc296346595"/>
      <w:bookmarkStart w:id="349" w:name="_Toc337558792"/>
      <w:r>
        <w:rPr>
          <w:rFonts w:hint="eastAsia" w:ascii="宋体" w:hAnsi="宋体" w:eastAsia="宋体" w:cs="宋体"/>
          <w:b w:val="0"/>
          <w:color w:val="auto"/>
          <w:sz w:val="24"/>
          <w:szCs w:val="24"/>
          <w:highlight w:val="none"/>
        </w:rPr>
        <w:t>0.5承包人的合理化建议</w:t>
      </w:r>
      <w:bookmarkEnd w:id="346"/>
    </w:p>
    <w:bookmarkEnd w:id="347"/>
    <w:bookmarkEnd w:id="348"/>
    <w:bookmarkEnd w:id="349"/>
    <w:p w14:paraId="73B23C5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承包人提出合理化建议的，应向监理人提交合理化建议说明，说明建议的内容和理由，以及实施该建议对合同价格和工期的影响。</w:t>
      </w:r>
    </w:p>
    <w:p w14:paraId="08C1850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14:paraId="0F7B9F8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合理化建议降低了合同价格或者提高了工程经济效益的，发包人可对承包人给予奖励，奖励的方法和金额在专用合同条款中约定。</w:t>
      </w:r>
    </w:p>
    <w:p w14:paraId="0E47BD00">
      <w:pPr>
        <w:pStyle w:val="6"/>
        <w:spacing w:before="120" w:after="120" w:line="312" w:lineRule="auto"/>
        <w:ind w:firstLine="480" w:firstLineChars="200"/>
        <w:rPr>
          <w:rFonts w:ascii="宋体" w:hAnsi="宋体" w:eastAsia="宋体" w:cs="宋体"/>
          <w:color w:val="auto"/>
          <w:sz w:val="24"/>
          <w:szCs w:val="24"/>
          <w:highlight w:val="none"/>
        </w:rPr>
      </w:pPr>
      <w:bookmarkStart w:id="350" w:name="_Toc351203573"/>
      <w:r>
        <w:rPr>
          <w:rFonts w:hint="eastAsia" w:ascii="宋体" w:hAnsi="宋体" w:eastAsia="宋体" w:cs="宋体"/>
          <w:b w:val="0"/>
          <w:color w:val="auto"/>
          <w:sz w:val="24"/>
          <w:szCs w:val="24"/>
          <w:highlight w:val="none"/>
        </w:rPr>
        <w:t>1</w:t>
      </w:r>
      <w:bookmarkStart w:id="351" w:name="_Toc337558793"/>
      <w:r>
        <w:rPr>
          <w:rFonts w:hint="eastAsia" w:ascii="宋体" w:hAnsi="宋体" w:eastAsia="宋体" w:cs="宋体"/>
          <w:b w:val="0"/>
          <w:color w:val="auto"/>
          <w:sz w:val="24"/>
          <w:szCs w:val="24"/>
          <w:highlight w:val="none"/>
        </w:rPr>
        <w:t>0.6变更引起的工期调整</w:t>
      </w:r>
      <w:bookmarkEnd w:id="350"/>
      <w:r>
        <w:rPr>
          <w:rFonts w:hint="eastAsia" w:ascii="宋体" w:hAnsi="宋体" w:eastAsia="宋体" w:cs="宋体"/>
          <w:b w:val="0"/>
          <w:color w:val="auto"/>
          <w:sz w:val="24"/>
          <w:szCs w:val="24"/>
          <w:highlight w:val="none"/>
        </w:rPr>
        <w:t xml:space="preserve"> </w:t>
      </w:r>
      <w:bookmarkEnd w:id="351"/>
      <w:r>
        <w:rPr>
          <w:rFonts w:hint="eastAsia" w:ascii="宋体" w:hAnsi="宋体" w:eastAsia="宋体" w:cs="宋体"/>
          <w:b w:val="0"/>
          <w:color w:val="auto"/>
          <w:sz w:val="24"/>
          <w:szCs w:val="24"/>
          <w:highlight w:val="none"/>
        </w:rPr>
        <w:t xml:space="preserve"> </w:t>
      </w:r>
      <w:r>
        <w:rPr>
          <w:rFonts w:hint="eastAsia" w:ascii="宋体" w:hAnsi="宋体" w:eastAsia="宋体" w:cs="宋体"/>
          <w:color w:val="auto"/>
          <w:sz w:val="24"/>
          <w:szCs w:val="24"/>
          <w:highlight w:val="none"/>
        </w:rPr>
        <w:t xml:space="preserve"> </w:t>
      </w:r>
    </w:p>
    <w:p w14:paraId="6B74B097">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因变更引起工期变化的，合同当事人均可要求调整合同工期，由合同当事人按照第4.4款〔商定或确定〕并参考工程所在地的工期定额标准确定增减工期天数。</w:t>
      </w:r>
    </w:p>
    <w:p w14:paraId="5435390E">
      <w:pPr>
        <w:pStyle w:val="6"/>
        <w:spacing w:before="120" w:after="120" w:line="312" w:lineRule="auto"/>
        <w:ind w:firstLine="480" w:firstLineChars="200"/>
        <w:rPr>
          <w:rFonts w:ascii="宋体" w:hAnsi="宋体" w:eastAsia="宋体" w:cs="宋体"/>
          <w:b w:val="0"/>
          <w:color w:val="auto"/>
          <w:sz w:val="24"/>
          <w:szCs w:val="24"/>
          <w:highlight w:val="none"/>
        </w:rPr>
      </w:pPr>
      <w:bookmarkStart w:id="352" w:name="_Toc351203574"/>
      <w:r>
        <w:rPr>
          <w:rFonts w:hint="eastAsia" w:ascii="宋体" w:hAnsi="宋体" w:eastAsia="宋体" w:cs="宋体"/>
          <w:b w:val="0"/>
          <w:color w:val="auto"/>
          <w:sz w:val="24"/>
          <w:szCs w:val="24"/>
          <w:highlight w:val="none"/>
        </w:rPr>
        <w:t>10.7暂估价</w:t>
      </w:r>
      <w:bookmarkEnd w:id="352"/>
    </w:p>
    <w:p w14:paraId="073C0A7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暂估价专业分包工程、服务、材料和工程设备的明细由合同当事人在专用合同条款中约定。</w:t>
      </w:r>
    </w:p>
    <w:p w14:paraId="3F558F7C">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10.7.1</w:t>
      </w:r>
      <w:r>
        <w:rPr>
          <w:rFonts w:hint="eastAsia" w:ascii="宋体" w:hAnsi="宋体" w:eastAsia="宋体" w:cs="宋体"/>
          <w:color w:val="auto"/>
          <w:kern w:val="0"/>
          <w:sz w:val="24"/>
          <w:highlight w:val="none"/>
        </w:rPr>
        <w:t xml:space="preserve"> 依法必须招标的暂估价项目</w:t>
      </w:r>
    </w:p>
    <w:p w14:paraId="6DC635DE">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对于依法必须招标的暂估价项目，采取以下第1种方式确定。合同当事人也可以在专用合同条款中选择其他招标方式。</w:t>
      </w:r>
    </w:p>
    <w:p w14:paraId="6DACDC04">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第1种方式：对于依法必须招标的暂估价项目，由承包人招标，对该暂估价项目的确认和批准按照以下约定执行：</w:t>
      </w:r>
    </w:p>
    <w:p w14:paraId="11D3D75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33C806A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承包人应当根据施工进度计划，提前14天将招标文件通过监理人报送发包人审批，发包人应当在收到承包人报送的相关文件后7天内完成审批或提出修改意见；发包人有权确定招标控制价并按照法律规定参加评标；</w:t>
      </w:r>
    </w:p>
    <w:p w14:paraId="55AFDD71">
      <w:pPr>
        <w:spacing w:line="312" w:lineRule="auto"/>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539DB3AD">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23B88E6B">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10.7.2</w:t>
      </w:r>
      <w:r>
        <w:rPr>
          <w:rFonts w:hint="eastAsia" w:ascii="宋体" w:hAnsi="宋体" w:eastAsia="宋体" w:cs="宋体"/>
          <w:color w:val="auto"/>
          <w:kern w:val="0"/>
          <w:sz w:val="24"/>
          <w:highlight w:val="none"/>
        </w:rPr>
        <w:t>不属于依法必须招标的暂估价项目</w:t>
      </w:r>
    </w:p>
    <w:p w14:paraId="02C4B3C4">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除专用合同条款另有约定外，对于不属于依法必须招标的暂估价项目，采取以下第1种方式确定： </w:t>
      </w:r>
    </w:p>
    <w:p w14:paraId="70966091">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第1种方式：对于不属于依法必须招标的暂估价项目，按本项约定确认和批准：</w:t>
      </w:r>
    </w:p>
    <w:p w14:paraId="4E62A43B">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21872166">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（2）发包人认为承包人确定的供应商、分包人无法满足工程质量或合同要求的，发包人可以要求承包人重新确定暂估价项目的供应商、分包人;</w:t>
      </w:r>
    </w:p>
    <w:p w14:paraId="40DFA99D">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（3）承包人应当在签订暂估价合同后7天内，将暂估价合同副本报送发包人留存。</w:t>
      </w:r>
    </w:p>
    <w:p w14:paraId="2C424AB1">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第2种方式：承包人按照第10.7.1项〔依法必须招标的暂估价项目〕约定的第1种方式确定暂估价项目。</w:t>
      </w:r>
    </w:p>
    <w:p w14:paraId="4C208AF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第3种方式：</w:t>
      </w:r>
      <w:r>
        <w:rPr>
          <w:rFonts w:hint="eastAsia" w:ascii="宋体" w:hAnsi="宋体" w:eastAsia="宋体" w:cs="宋体"/>
          <w:color w:val="auto"/>
          <w:kern w:val="0"/>
          <w:sz w:val="24"/>
          <w:highlight w:val="none"/>
        </w:rPr>
        <w:t>承包人直接实施的暂估价项目</w:t>
      </w:r>
    </w:p>
    <w:p w14:paraId="28432646">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承包人具备实施暂估价项目的资格和条件的，经发包人和承包人协商一致后，可由承包人自行实施暂估价项目，合同当事人可以在专用合同条款约定具体事项。</w:t>
      </w:r>
    </w:p>
    <w:p w14:paraId="3647802E">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63EF369B">
      <w:pPr>
        <w:pStyle w:val="6"/>
        <w:spacing w:before="120" w:after="120" w:line="312" w:lineRule="auto"/>
        <w:ind w:firstLine="480" w:firstLineChars="200"/>
        <w:rPr>
          <w:rFonts w:ascii="宋体" w:hAnsi="宋体" w:eastAsia="宋体" w:cs="宋体"/>
          <w:b w:val="0"/>
          <w:color w:val="auto"/>
          <w:sz w:val="24"/>
          <w:szCs w:val="24"/>
          <w:highlight w:val="none"/>
        </w:rPr>
      </w:pPr>
      <w:bookmarkStart w:id="353" w:name="_Toc351203575"/>
      <w:r>
        <w:rPr>
          <w:rFonts w:hint="eastAsia" w:ascii="宋体" w:hAnsi="宋体" w:eastAsia="宋体" w:cs="宋体"/>
          <w:b w:val="0"/>
          <w:color w:val="auto"/>
          <w:sz w:val="24"/>
          <w:szCs w:val="24"/>
          <w:highlight w:val="none"/>
        </w:rPr>
        <w:t>1</w:t>
      </w:r>
      <w:bookmarkStart w:id="354" w:name="_Toc337558794"/>
      <w:bookmarkStart w:id="355" w:name="_Toc322522561"/>
      <w:bookmarkStart w:id="356" w:name="_Toc296346591"/>
      <w:bookmarkStart w:id="357" w:name="_Toc296503090"/>
      <w:r>
        <w:rPr>
          <w:rFonts w:hint="eastAsia" w:ascii="宋体" w:hAnsi="宋体" w:eastAsia="宋体" w:cs="宋体"/>
          <w:b w:val="0"/>
          <w:color w:val="auto"/>
          <w:sz w:val="24"/>
          <w:szCs w:val="24"/>
          <w:highlight w:val="none"/>
        </w:rPr>
        <w:t>0.8暂列金额</w:t>
      </w:r>
      <w:bookmarkEnd w:id="353"/>
    </w:p>
    <w:bookmarkEnd w:id="354"/>
    <w:p w14:paraId="0587FE4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暂列金额应按照发包人的要求使用，发包人的要求应通过监理人发出。合同当事人可以在专用合同条款中协商确定有关事项。</w:t>
      </w:r>
    </w:p>
    <w:bookmarkEnd w:id="355"/>
    <w:bookmarkEnd w:id="356"/>
    <w:bookmarkEnd w:id="357"/>
    <w:p w14:paraId="74CADB10">
      <w:pPr>
        <w:pStyle w:val="6"/>
        <w:spacing w:before="120" w:after="120" w:line="312" w:lineRule="auto"/>
        <w:ind w:firstLine="480" w:firstLineChars="200"/>
        <w:rPr>
          <w:rFonts w:ascii="宋体" w:hAnsi="宋体" w:eastAsia="宋体" w:cs="宋体"/>
          <w:b w:val="0"/>
          <w:color w:val="auto"/>
          <w:sz w:val="24"/>
          <w:szCs w:val="24"/>
          <w:highlight w:val="none"/>
        </w:rPr>
      </w:pPr>
      <w:bookmarkStart w:id="358" w:name="_Toc351203576"/>
      <w:r>
        <w:rPr>
          <w:rFonts w:hint="eastAsia" w:ascii="宋体" w:hAnsi="宋体" w:eastAsia="宋体" w:cs="宋体"/>
          <w:b w:val="0"/>
          <w:color w:val="auto"/>
          <w:sz w:val="24"/>
          <w:szCs w:val="24"/>
          <w:highlight w:val="none"/>
        </w:rPr>
        <w:t>1</w:t>
      </w:r>
      <w:bookmarkStart w:id="359" w:name="_Toc337558796"/>
      <w:bookmarkStart w:id="360" w:name="_Toc296346592"/>
      <w:bookmarkStart w:id="361" w:name="_Toc296503091"/>
      <w:r>
        <w:rPr>
          <w:rFonts w:hint="eastAsia" w:ascii="宋体" w:hAnsi="宋体" w:eastAsia="宋体" w:cs="宋体"/>
          <w:b w:val="0"/>
          <w:color w:val="auto"/>
          <w:sz w:val="24"/>
          <w:szCs w:val="24"/>
          <w:highlight w:val="none"/>
        </w:rPr>
        <w:t>0.9计日工</w:t>
      </w:r>
      <w:bookmarkEnd w:id="358"/>
      <w:r>
        <w:rPr>
          <w:rFonts w:hint="eastAsia" w:ascii="宋体" w:hAnsi="宋体" w:eastAsia="宋体" w:cs="宋体"/>
          <w:b w:val="0"/>
          <w:color w:val="auto"/>
          <w:sz w:val="24"/>
          <w:szCs w:val="24"/>
          <w:highlight w:val="none"/>
        </w:rPr>
        <w:t xml:space="preserve"> </w:t>
      </w:r>
      <w:bookmarkEnd w:id="359"/>
      <w:bookmarkEnd w:id="360"/>
      <w:bookmarkEnd w:id="361"/>
    </w:p>
    <w:p w14:paraId="774C80B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变更工作的单价。</w:t>
      </w:r>
    </w:p>
    <w:p w14:paraId="5CE509D9">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采用计日工计价的任何一项工作，承包人应在该项工作实施过程中，每天提交以下报表和有关凭证报送监理人审查：</w:t>
      </w:r>
    </w:p>
    <w:p w14:paraId="6B6CB3EF">
      <w:pPr>
        <w:spacing w:line="312" w:lineRule="auto"/>
        <w:ind w:firstLine="360" w:firstLineChars="15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（1）工作名称、内容和数量；</w:t>
      </w:r>
    </w:p>
    <w:p w14:paraId="637865D5">
      <w:pPr>
        <w:spacing w:line="312" w:lineRule="auto"/>
        <w:ind w:firstLine="360" w:firstLineChars="15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（2）投入该工作的所有人员的姓名、专业、工种、级别和耗用工时；</w:t>
      </w:r>
    </w:p>
    <w:p w14:paraId="17DCA1C2">
      <w:pPr>
        <w:spacing w:line="312" w:lineRule="auto"/>
        <w:ind w:firstLine="360" w:firstLineChars="15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（3）投入该工作的材料类别和数量；</w:t>
      </w:r>
    </w:p>
    <w:p w14:paraId="6A721E3E">
      <w:pPr>
        <w:spacing w:line="312" w:lineRule="auto"/>
        <w:ind w:firstLine="360" w:firstLineChars="15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（4）投入该工作的施工设备型号、台数和耗用台时；</w:t>
      </w:r>
    </w:p>
    <w:p w14:paraId="0EB1AD11">
      <w:pPr>
        <w:spacing w:line="312" w:lineRule="auto"/>
        <w:ind w:firstLine="360" w:firstLineChars="15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（5）其他有关资料和凭证。</w:t>
      </w:r>
    </w:p>
    <w:p w14:paraId="42748ED2">
      <w:pPr>
        <w:spacing w:line="312" w:lineRule="auto"/>
        <w:ind w:firstLine="360" w:firstLineChars="15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计日工由承包人汇总后，列入最近一期进度付款申请单，由监理人审查并经发包人批准后列入进度付款。</w:t>
      </w:r>
      <w:bookmarkStart w:id="362" w:name="_Toc351203577"/>
    </w:p>
    <w:p w14:paraId="13F2BB50">
      <w:pPr>
        <w:numPr>
          <w:ilvl w:val="0"/>
          <w:numId w:val="5"/>
        </w:numPr>
        <w:spacing w:line="312" w:lineRule="auto"/>
        <w:ind w:firstLine="360" w:firstLineChars="150"/>
        <w:jc w:val="left"/>
        <w:rPr>
          <w:rFonts w:ascii="宋体" w:hAnsi="宋体" w:eastAsia="宋体" w:cs="宋体"/>
          <w:color w:val="auto"/>
          <w:sz w:val="24"/>
          <w:highlight w:val="none"/>
        </w:rPr>
      </w:pPr>
      <w:r>
        <w:rPr>
          <w:rFonts w:hint="eastAsia" w:ascii="宋体" w:hAnsi="宋体" w:eastAsia="宋体" w:cs="宋体"/>
          <w:color w:val="auto"/>
          <w:sz w:val="24"/>
          <w:highlight w:val="none"/>
        </w:rPr>
        <w:t>价格调整</w:t>
      </w:r>
      <w:bookmarkEnd w:id="362"/>
      <w:bookmarkStart w:id="363" w:name="_Toc351203578"/>
      <w:bookmarkStart w:id="364" w:name="_Toc296346593"/>
      <w:bookmarkStart w:id="365" w:name="_Toc337558797"/>
      <w:bookmarkStart w:id="366" w:name="_Toc296503092"/>
    </w:p>
    <w:p w14:paraId="02F0F46D">
      <w:pP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11.1市场价格波动引起的调整</w:t>
      </w:r>
      <w:bookmarkEnd w:id="363"/>
    </w:p>
    <w:bookmarkEnd w:id="364"/>
    <w:bookmarkEnd w:id="365"/>
    <w:bookmarkEnd w:id="366"/>
    <w:p w14:paraId="45DA031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除专用合同条款另有约定外，市场价格波动超过合同当事人约定的范围，合同价格应当调整。合同当事人可以在专用合同条款中约定选择以下一种方式对合同价格进行调整：</w:t>
      </w:r>
    </w:p>
    <w:p w14:paraId="39496E1C">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第1种方式：采用价格指数进行价格调整。</w:t>
      </w:r>
    </w:p>
    <w:p w14:paraId="7FEFE11F">
      <w:pP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（1）价格调整公式</w:t>
      </w:r>
    </w:p>
    <w:p w14:paraId="4021F113">
      <w:pP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因人工、材料和设备等价格波动影响合同价格时，根据专用合同条款中约定的数据，按以下公式计算差额并调整合同价格：</w:t>
      </w:r>
    </w:p>
    <w:p w14:paraId="0007DD20">
      <w:pPr>
        <w:tabs>
          <w:tab w:val="left" w:pos="0"/>
          <w:tab w:val="left" w:pos="360"/>
          <w:tab w:val="left" w:pos="540"/>
        </w:tabs>
        <w:spacing w:line="312" w:lineRule="auto"/>
        <w:ind w:firstLine="480" w:firstLineChars="200"/>
        <w:rPr>
          <w:rFonts w:ascii="宋体" w:hAnsi="宋体" w:eastAsia="宋体" w:cs="宋体"/>
          <w:color w:val="auto"/>
          <w:sz w:val="24"/>
          <w:highlight w:val="none"/>
        </w:rPr>
      </w:pPr>
    </w:p>
    <w:p w14:paraId="367F8985">
      <w:pPr>
        <w:tabs>
          <w:tab w:val="left" w:pos="0"/>
          <w:tab w:val="left" w:pos="360"/>
          <w:tab w:val="left" w:pos="540"/>
        </w:tabs>
        <w:spacing w:line="312" w:lineRule="auto"/>
        <w:ind w:firstLine="600" w:firstLineChars="200"/>
        <w:rPr>
          <w:rFonts w:ascii="宋体" w:hAnsi="宋体" w:eastAsia="宋体" w:cs="宋体"/>
          <w:color w:val="auto"/>
          <w:sz w:val="24"/>
          <w:highlight w:val="none"/>
        </w:rPr>
      </w:pPr>
      <w:r>
        <w:rPr>
          <w:rFonts w:hint="eastAsia" w:ascii="Times New Roman" w:hAnsi="Times New Roman" w:eastAsia="仿宋_GB2312"/>
          <w:color w:val="auto"/>
          <w:position w:val="-30"/>
          <w:sz w:val="30"/>
          <w:szCs w:val="32"/>
          <w:highlight w:val="none"/>
        </w:rPr>
        <w:object>
          <v:shape id="_x0000_i1025" o:spt="75" type="#_x0000_t75" style="height:44.85pt;width:339.6pt;" o:ole="t" filled="f" o:preferrelative="t" stroked="f" coordsize="21600,21600">
            <v:path/>
            <v:fill on="f" focussize="0,0"/>
            <v:stroke on="f" joinstyle="miter"/>
            <v:imagedata r:id="rId14" o:title=""/>
            <o:lock v:ext="edit" aspectratio="t"/>
            <w10:wrap type="none"/>
            <w10:anchorlock/>
          </v:shape>
          <o:OLEObject Type="Embed" ProgID="Equation.KSEE3" ShapeID="_x0000_i1025" DrawAspect="Content" ObjectID="_1468075725" r:id="rId13">
            <o:LockedField>false</o:LockedField>
          </o:OLEObject>
        </w:object>
      </w:r>
    </w:p>
    <w:p w14:paraId="680EC7CE">
      <w:pPr>
        <w:tabs>
          <w:tab w:val="left" w:pos="0"/>
          <w:tab w:val="left" w:pos="360"/>
          <w:tab w:val="left" w:pos="540"/>
        </w:tabs>
        <w:spacing w:line="312" w:lineRule="auto"/>
        <w:ind w:firstLine="640"/>
        <w:rPr>
          <w:rFonts w:ascii="宋体" w:hAnsi="宋体" w:eastAsia="宋体" w:cs="宋体"/>
          <w:color w:val="auto"/>
          <w:sz w:val="24"/>
          <w:highlight w:val="none"/>
        </w:rPr>
      </w:pPr>
      <w:r>
        <w:rPr>
          <w:rFonts w:hint="eastAsia" w:ascii="宋体" w:hAnsi="宋体" w:eastAsia="宋体" w:cs="宋体"/>
          <w:color w:val="auto"/>
          <w:sz w:val="24"/>
          <w:highlight w:val="none"/>
        </w:rPr>
        <w:t>公式中：ΔP——需调整的价格差额；</w:t>
      </w:r>
    </w:p>
    <w:p w14:paraId="5070ED70">
      <w:pPr>
        <w:tabs>
          <w:tab w:val="left" w:pos="0"/>
          <w:tab w:val="left" w:pos="360"/>
          <w:tab w:val="left" w:pos="540"/>
        </w:tabs>
        <w:spacing w:line="312" w:lineRule="auto"/>
        <w:ind w:firstLine="1440" w:firstLineChars="600"/>
        <w:rPr>
          <w:rFonts w:ascii="宋体" w:hAnsi="宋体" w:eastAsia="宋体" w:cs="宋体"/>
          <w:color w:val="auto"/>
          <w:sz w:val="24"/>
          <w:highlight w:val="none"/>
        </w:rPr>
      </w:pPr>
      <w:r>
        <w:rPr>
          <w:rFonts w:hint="eastAsia" w:ascii="宋体" w:hAnsi="宋体" w:eastAsia="宋体" w:cs="宋体"/>
          <w:color w:val="auto"/>
          <w:position w:val="-6"/>
          <w:sz w:val="24"/>
          <w:highlight w:val="none"/>
        </w:rPr>
        <w:object>
          <v:shape id="_x0000_i1026" o:spt="75" type="#_x0000_t75" style="height:17.65pt;width:17.65pt;" o:ole="t" filled="f" o:preferrelative="t" stroked="f" coordsize="21600,21600">
            <v:path/>
            <v:fill on="f" focussize="0,0"/>
            <v:stroke on="f" joinstyle="miter"/>
            <v:imagedata r:id="rId16" o:title=""/>
            <o:lock v:ext="edit" aspectratio="t"/>
            <w10:wrap type="none"/>
            <w10:anchorlock/>
          </v:shape>
          <o:OLEObject Type="Embed" ProgID="Equation.KSEE3" ShapeID="_x0000_i1026" DrawAspect="Content" ObjectID="_1468075726" r:id="rId15">
            <o:LockedField>false</o:LockedField>
          </o:OLEObject>
        </w:object>
      </w:r>
      <w:r>
        <w:rPr>
          <w:rFonts w:hint="eastAsia" w:ascii="宋体" w:hAnsi="宋体" w:eastAsia="宋体" w:cs="宋体"/>
          <w:color w:val="auto"/>
          <w:sz w:val="24"/>
          <w:highlight w:val="none"/>
        </w:rPr>
        <w:t>——约定的付款证书中承包人应得到的已完成工程量的金额。此项金额应不包括价格调整、不计质量保证金的扣留和支付、预付款的支付和扣回。约定的变更及其他金额已按现行价格计价的，也不计在内；</w:t>
      </w:r>
    </w:p>
    <w:p w14:paraId="02D6BC2F">
      <w:pP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A——定值权重（即不调部分的权重）；</w:t>
      </w:r>
    </w:p>
    <w:p w14:paraId="0248BCFD">
      <w:pP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position w:val="-10"/>
          <w:sz w:val="24"/>
          <w:highlight w:val="none"/>
        </w:rPr>
        <w:object>
          <v:shape id="_x0000_i1027" o:spt="75" type="#_x0000_t75" style="height:21.05pt;width:101.2pt;" o:ole="t" filled="f" o:preferrelative="t" stroked="f" coordsize="21600,21600">
            <v:path/>
            <v:fill on="f" focussize="0,0"/>
            <v:stroke on="f" joinstyle="miter"/>
            <v:imagedata r:id="rId18" o:title=""/>
            <o:lock v:ext="edit" aspectratio="t"/>
            <w10:wrap type="none"/>
            <w10:anchorlock/>
          </v:shape>
          <o:OLEObject Type="Embed" ProgID="Equation.KSEE3" ShapeID="_x0000_i1027" DrawAspect="Content" ObjectID="_1468075727" r:id="rId17">
            <o:LockedField>false</o:LockedField>
          </o:OLEObject>
        </w:object>
      </w:r>
      <w:r>
        <w:rPr>
          <w:rFonts w:hint="eastAsia" w:ascii="宋体" w:hAnsi="宋体" w:eastAsia="宋体" w:cs="宋体"/>
          <w:color w:val="auto"/>
          <w:sz w:val="24"/>
          <w:highlight w:val="none"/>
        </w:rPr>
        <w:t>——各可调因子的变值权重（即可调部分的权重），为各可调因子在签约合同价中所占的比例；</w:t>
      </w:r>
    </w:p>
    <w:p w14:paraId="5E9AAEAC">
      <w:pP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position w:val="-10"/>
          <w:sz w:val="24"/>
          <w:highlight w:val="none"/>
        </w:rPr>
        <w:object>
          <v:shape id="_x0000_i1028" o:spt="75" type="#_x0000_t75" style="height:20.4pt;width:101.9pt;" o:ole="t" filled="f" o:preferrelative="t" stroked="f" coordsize="21600,21600">
            <v:path/>
            <v:fill on="f" focussize="0,0"/>
            <v:stroke on="f" joinstyle="miter"/>
            <v:imagedata r:id="rId20" o:title=""/>
            <o:lock v:ext="edit" aspectratio="t"/>
            <w10:wrap type="none"/>
            <w10:anchorlock/>
          </v:shape>
          <o:OLEObject Type="Embed" ProgID="Equation.KSEE3" ShapeID="_x0000_i1028" DrawAspect="Content" ObjectID="_1468075728" r:id="rId19">
            <o:LockedField>false</o:LockedField>
          </o:OLEObject>
        </w:object>
      </w:r>
      <w:r>
        <w:rPr>
          <w:rFonts w:hint="eastAsia" w:ascii="宋体" w:hAnsi="宋体" w:eastAsia="宋体" w:cs="宋体"/>
          <w:color w:val="auto"/>
          <w:sz w:val="24"/>
          <w:highlight w:val="none"/>
        </w:rPr>
        <w:t>——各可调因子的现行价格指数，指约定的付款证书相关周期最后一天的前42天的各可调因子的价格指数；</w:t>
      </w:r>
    </w:p>
    <w:p w14:paraId="6A50B008">
      <w:pP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position w:val="-10"/>
          <w:sz w:val="24"/>
          <w:highlight w:val="none"/>
        </w:rPr>
        <w:object>
          <v:shape id="_x0000_i1029" o:spt="75" type="#_x0000_t75" style="height:20.4pt;width:108pt;" o:ole="t" filled="f" o:preferrelative="t" stroked="f" coordsize="21600,21600">
            <v:path/>
            <v:fill on="f" focussize="0,0"/>
            <v:stroke on="f" joinstyle="miter"/>
            <v:imagedata r:id="rId22" o:title=""/>
            <o:lock v:ext="edit" aspectratio="t"/>
            <w10:wrap type="none"/>
            <w10:anchorlock/>
          </v:shape>
          <o:OLEObject Type="Embed" ProgID="Equation.KSEE3" ShapeID="_x0000_i1029" DrawAspect="Content" ObjectID="_1468075729" r:id="rId21">
            <o:LockedField>false</o:LockedField>
          </o:OLEObject>
        </w:object>
      </w:r>
      <w:r>
        <w:rPr>
          <w:rFonts w:hint="eastAsia" w:ascii="宋体" w:hAnsi="宋体" w:eastAsia="宋体" w:cs="宋体"/>
          <w:color w:val="auto"/>
          <w:sz w:val="24"/>
          <w:highlight w:val="none"/>
        </w:rPr>
        <w:t>——各可调因子的基本价格指数，指基准日期的各可调因子的价格指数。</w:t>
      </w:r>
    </w:p>
    <w:p w14:paraId="708D766E">
      <w:pP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352CAE12">
      <w:pP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（2）暂时确定调整差额</w:t>
      </w:r>
    </w:p>
    <w:p w14:paraId="0F8DE8D9">
      <w:pP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在计算调整差额时无现行价格指数的，合同当事人同意暂用前次价格指数计算。实际价格指数有调整的，合同当事人进行相应调整。</w:t>
      </w:r>
    </w:p>
    <w:p w14:paraId="3254EB18">
      <w:pP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（3）权重的调整</w:t>
      </w:r>
    </w:p>
    <w:p w14:paraId="2EFAA05F">
      <w:pP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因变更导致合同约定的权重不合理时，按照第4.4款〔商定或确定〕执行。</w:t>
      </w:r>
    </w:p>
    <w:p w14:paraId="0AE6C219">
      <w:pP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（4）因承包人原因工期延误后的价格调整</w:t>
      </w:r>
    </w:p>
    <w:p w14:paraId="45C0362C">
      <w:pP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因承包人原因未按期竣工的，对合同约定的竣工日期后继续施工的工程，在使用价格调整公式时，应采用计划竣工日期与实际竣工日期的两个价格指数中较低的一个作为现行价格指数。</w:t>
      </w:r>
    </w:p>
    <w:p w14:paraId="6C5B4330">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第2种方式：采用造价信息进行价格调整。</w:t>
      </w:r>
    </w:p>
    <w:p w14:paraId="0522FC3E">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2CBA5F56">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61E15072">
      <w:pPr>
        <w:spacing w:line="312"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（2）材料、工程设备价格变化的价款调整按照发包人提供的基准价格，按以下风险范围规定执行</w:t>
      </w:r>
      <w:r>
        <w:rPr>
          <w:rFonts w:hint="eastAsia" w:ascii="宋体" w:hAnsi="宋体" w:eastAsia="宋体" w:cs="宋体"/>
          <w:color w:val="auto"/>
          <w:sz w:val="24"/>
          <w:highlight w:val="none"/>
          <w:lang w:eastAsia="zh-CN"/>
        </w:rPr>
        <w:t>：</w:t>
      </w:r>
    </w:p>
    <w:p w14:paraId="629917EC">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18F8D4F0">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10B469D3">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③承包人在已标价工程量清单或预算书中载明材料单价等于基准价格的：除专用合同条款另有约定外，合同履行期间材料单价涨跌幅以基准价格为基础超过±5%时，其超过部分据实调整。</w:t>
      </w:r>
    </w:p>
    <w:p w14:paraId="747109A2">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11AAACD7">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前述基准价格是指由发包人在招标文件或专用合同条款中给定的材料、工程设备的价格，该价格原则上应当按照省级或行业建设主管部门或其授权的工程造价管理机构发布的信息价编制。</w:t>
      </w:r>
    </w:p>
    <w:p w14:paraId="319EA021">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（3）施工机械台班单价或施工机械使用费发生变化超过省级或行业建设主管部门或其授权的工程造价管理机构规定的范围时，按规定调整合同价格。</w:t>
      </w:r>
    </w:p>
    <w:p w14:paraId="30637A5F">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第3种方式：专用合同条款约定的其他方式。</w:t>
      </w:r>
    </w:p>
    <w:p w14:paraId="370DFCA3">
      <w:pPr>
        <w:pStyle w:val="6"/>
        <w:spacing w:before="120" w:after="120" w:line="312" w:lineRule="auto"/>
        <w:ind w:firstLine="480" w:firstLineChars="200"/>
        <w:rPr>
          <w:rFonts w:ascii="宋体" w:hAnsi="宋体" w:eastAsia="宋体" w:cs="宋体"/>
          <w:b w:val="0"/>
          <w:color w:val="auto"/>
          <w:sz w:val="24"/>
          <w:szCs w:val="24"/>
          <w:highlight w:val="none"/>
        </w:rPr>
      </w:pPr>
      <w:bookmarkStart w:id="367" w:name="_Toc351203579"/>
      <w:bookmarkStart w:id="368" w:name="_Toc296503093"/>
      <w:bookmarkStart w:id="369" w:name="_Toc296346594"/>
      <w:bookmarkStart w:id="370" w:name="_Toc337558798"/>
      <w:r>
        <w:rPr>
          <w:rFonts w:hint="eastAsia" w:ascii="宋体" w:hAnsi="宋体" w:eastAsia="宋体" w:cs="宋体"/>
          <w:b w:val="0"/>
          <w:color w:val="auto"/>
          <w:sz w:val="24"/>
          <w:szCs w:val="24"/>
          <w:highlight w:val="none"/>
        </w:rPr>
        <w:t>11.2法律变化引起的调整</w:t>
      </w:r>
      <w:bookmarkEnd w:id="367"/>
    </w:p>
    <w:bookmarkEnd w:id="368"/>
    <w:bookmarkEnd w:id="369"/>
    <w:bookmarkEnd w:id="370"/>
    <w:p w14:paraId="02122B12">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w:t>
      </w:r>
    </w:p>
    <w:p w14:paraId="450F459B">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因法律变化引起的合同价格和工期调整，合同当事人无法达成一致的，由总监理工程师按第4.4款〔商定或确定〕的约定处理。</w:t>
      </w:r>
    </w:p>
    <w:p w14:paraId="193D9739">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kern w:val="0"/>
          <w:sz w:val="24"/>
          <w:highlight w:val="none"/>
        </w:rPr>
        <w:t>因承包人原因造成工期延误，在工期延误期间出现法律变化的，由此增加的费用和（或）延误的工期由承包人承担。</w:t>
      </w:r>
    </w:p>
    <w:p w14:paraId="0CE3C73F">
      <w:pPr>
        <w:pStyle w:val="5"/>
        <w:spacing w:before="120" w:after="120" w:line="312" w:lineRule="auto"/>
        <w:rPr>
          <w:rFonts w:ascii="宋体" w:hAnsi="宋体" w:eastAsia="宋体" w:cs="宋体"/>
          <w:b w:val="0"/>
          <w:color w:val="auto"/>
          <w:sz w:val="24"/>
          <w:szCs w:val="24"/>
          <w:highlight w:val="none"/>
        </w:rPr>
      </w:pPr>
      <w:bookmarkStart w:id="371" w:name="_Toc351203580"/>
      <w:bookmarkStart w:id="372" w:name="_Toc337558799"/>
      <w:bookmarkStart w:id="373" w:name="_Toc296346597"/>
      <w:bookmarkStart w:id="374" w:name="_Toc296503096"/>
      <w:r>
        <w:rPr>
          <w:rFonts w:hint="eastAsia" w:ascii="宋体" w:hAnsi="宋体" w:eastAsia="宋体" w:cs="宋体"/>
          <w:b w:val="0"/>
          <w:color w:val="auto"/>
          <w:sz w:val="24"/>
          <w:szCs w:val="24"/>
          <w:highlight w:val="none"/>
        </w:rPr>
        <w:t>12. 合同价格、计量与支付</w:t>
      </w:r>
      <w:bookmarkEnd w:id="371"/>
    </w:p>
    <w:bookmarkEnd w:id="372"/>
    <w:p w14:paraId="780F1F49">
      <w:pPr>
        <w:pStyle w:val="6"/>
        <w:spacing w:before="120" w:after="120" w:line="312" w:lineRule="auto"/>
        <w:ind w:firstLine="480" w:firstLineChars="200"/>
        <w:rPr>
          <w:rFonts w:ascii="宋体" w:hAnsi="宋体" w:eastAsia="宋体" w:cs="宋体"/>
          <w:b w:val="0"/>
          <w:color w:val="auto"/>
          <w:sz w:val="24"/>
          <w:szCs w:val="24"/>
          <w:highlight w:val="none"/>
        </w:rPr>
      </w:pPr>
      <w:bookmarkStart w:id="375" w:name="_Toc351203581"/>
      <w:bookmarkStart w:id="376" w:name="_Toc337558800"/>
      <w:r>
        <w:rPr>
          <w:rFonts w:hint="eastAsia" w:ascii="宋体" w:hAnsi="宋体" w:eastAsia="宋体" w:cs="宋体"/>
          <w:b w:val="0"/>
          <w:color w:val="auto"/>
          <w:sz w:val="24"/>
          <w:szCs w:val="24"/>
          <w:highlight w:val="none"/>
        </w:rPr>
        <w:t>12.1 合同价</w:t>
      </w:r>
      <w:bookmarkEnd w:id="373"/>
      <w:bookmarkEnd w:id="374"/>
      <w:r>
        <w:rPr>
          <w:rFonts w:hint="eastAsia" w:ascii="宋体" w:hAnsi="宋体" w:eastAsia="宋体" w:cs="宋体"/>
          <w:b w:val="0"/>
          <w:color w:val="auto"/>
          <w:sz w:val="24"/>
          <w:szCs w:val="24"/>
          <w:highlight w:val="none"/>
        </w:rPr>
        <w:t>格形式</w:t>
      </w:r>
      <w:bookmarkEnd w:id="375"/>
    </w:p>
    <w:bookmarkEnd w:id="376"/>
    <w:p w14:paraId="4840D1B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发包人和承包人应在合同协议书中选择下列一种合同价格形式： </w:t>
      </w:r>
    </w:p>
    <w:p w14:paraId="7EAF0B4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1、单价合同</w:t>
      </w:r>
    </w:p>
    <w:p w14:paraId="5E82641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单价合同是指合同当事人约定以工程量清单及其综合单价进行合同价格计算、调整和确认的建设工程施工合同，</w:t>
      </w:r>
      <w:r>
        <w:rPr>
          <w:rFonts w:hint="eastAsia" w:ascii="宋体" w:hAnsi="宋体" w:eastAsia="宋体" w:cs="宋体"/>
          <w:color w:val="auto"/>
          <w:sz w:val="24"/>
          <w:highlight w:val="none"/>
        </w:rPr>
        <w:t>在约定的范围内合同单价不作调整</w:t>
      </w:r>
      <w:r>
        <w:rPr>
          <w:rFonts w:hint="eastAsia" w:ascii="宋体" w:hAnsi="宋体" w:eastAsia="宋体" w:cs="宋体"/>
          <w:color w:val="auto"/>
          <w:kern w:val="0"/>
          <w:sz w:val="24"/>
          <w:highlight w:val="none"/>
        </w:rPr>
        <w:t>。合同当事人应在专用合同条款中约定综合单价包含的风险范围和风险费用的计算方法</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并约定风险范围以外的合同价格的调整方法，其中因市场价格波动引起的调整按第11.1款〔市场价格波动引起的调整〕约定执行。</w:t>
      </w:r>
    </w:p>
    <w:p w14:paraId="0AA8AA6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2、总价合同</w:t>
      </w:r>
    </w:p>
    <w:p w14:paraId="72D5049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总价合同是指合同当事人约定以施工图、已标价工程量清单或预算书及有关条件进行合同价格计算、调整和确认的建设工程施工合同，</w:t>
      </w:r>
      <w:r>
        <w:rPr>
          <w:rFonts w:hint="eastAsia" w:ascii="宋体" w:hAnsi="宋体" w:eastAsia="宋体" w:cs="宋体"/>
          <w:color w:val="auto"/>
          <w:sz w:val="24"/>
          <w:highlight w:val="none"/>
        </w:rPr>
        <w:t>在约定的范围内合同总价不作调整</w:t>
      </w:r>
      <w:r>
        <w:rPr>
          <w:rFonts w:hint="eastAsia" w:ascii="宋体" w:hAnsi="宋体" w:eastAsia="宋体" w:cs="宋体"/>
          <w:color w:val="auto"/>
          <w:kern w:val="0"/>
          <w:sz w:val="24"/>
          <w:highlight w:val="none"/>
        </w:rPr>
        <w:t>。合同当事人应在专用合同条款中约定总价包含的风险范围和风险费用的计算方法，并约定风险范围以外的合同价格的调整方法，其中因市场价格波动引起的调整按第11.1款〔市场价格波动引起的调整〕、因法律变化引起的调整按第11.2款〔法律变化引起的调整〕约定执行。</w:t>
      </w:r>
    </w:p>
    <w:p w14:paraId="3A43A3F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3、其它价格形式</w:t>
      </w:r>
    </w:p>
    <w:p w14:paraId="102B5C4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合同当事人可在专用合同条款中约定其他合同价格形式。</w:t>
      </w:r>
    </w:p>
    <w:p w14:paraId="681E4322">
      <w:pPr>
        <w:pStyle w:val="6"/>
        <w:spacing w:before="120" w:after="120" w:line="312" w:lineRule="auto"/>
        <w:ind w:firstLine="480" w:firstLineChars="200"/>
        <w:rPr>
          <w:rFonts w:ascii="宋体" w:hAnsi="宋体" w:eastAsia="宋体" w:cs="宋体"/>
          <w:b w:val="0"/>
          <w:color w:val="auto"/>
          <w:sz w:val="24"/>
          <w:szCs w:val="24"/>
          <w:highlight w:val="none"/>
        </w:rPr>
      </w:pPr>
      <w:bookmarkStart w:id="377" w:name="_Toc296346598"/>
      <w:bookmarkStart w:id="378" w:name="_Toc296503097"/>
      <w:bookmarkStart w:id="379" w:name="_Toc351203582"/>
      <w:bookmarkStart w:id="380" w:name="_Toc337558801"/>
      <w:r>
        <w:rPr>
          <w:rFonts w:hint="eastAsia" w:ascii="宋体" w:hAnsi="宋体" w:eastAsia="宋体" w:cs="宋体"/>
          <w:b w:val="0"/>
          <w:color w:val="auto"/>
          <w:sz w:val="24"/>
          <w:szCs w:val="24"/>
          <w:highlight w:val="none"/>
        </w:rPr>
        <w:t>12.2预</w:t>
      </w:r>
      <w:bookmarkEnd w:id="377"/>
      <w:bookmarkEnd w:id="378"/>
      <w:bookmarkStart w:id="381" w:name="_Toc296503100"/>
      <w:bookmarkStart w:id="382" w:name="_Toc296346601"/>
      <w:r>
        <w:rPr>
          <w:rFonts w:hint="eastAsia" w:ascii="宋体" w:hAnsi="宋体" w:eastAsia="宋体" w:cs="宋体"/>
          <w:b w:val="0"/>
          <w:color w:val="auto"/>
          <w:sz w:val="24"/>
          <w:szCs w:val="24"/>
          <w:highlight w:val="none"/>
        </w:rPr>
        <w:t>付款</w:t>
      </w:r>
      <w:bookmarkEnd w:id="379"/>
    </w:p>
    <w:bookmarkEnd w:id="380"/>
    <w:bookmarkEnd w:id="381"/>
    <w:bookmarkEnd w:id="382"/>
    <w:p w14:paraId="22C9F98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12.2.</w:t>
      </w:r>
      <w:r>
        <w:rPr>
          <w:rFonts w:hint="eastAsia" w:ascii="宋体" w:hAnsi="宋体" w:eastAsia="宋体" w:cs="宋体"/>
          <w:color w:val="auto"/>
          <w:kern w:val="0"/>
          <w:sz w:val="24"/>
          <w:highlight w:val="none"/>
        </w:rPr>
        <w:t>1预付款的支付</w:t>
      </w:r>
    </w:p>
    <w:p w14:paraId="2AB38975">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预付款的支付按照专用合同条款约定执行，但至迟应在开工通知载明的开工日期7天前支付。预付款应当用于材料、工程设备、施工设备的采购及修建临时工程、组织施工队伍进场等。</w:t>
      </w:r>
    </w:p>
    <w:p w14:paraId="24BA8021">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除专用合同条款另有约定外，预付款在进度付款中同比例扣回。在颁发工程接收证书前，提前解除合同的，尚未扣完的预付款应与合同价款一并结算。</w:t>
      </w:r>
    </w:p>
    <w:p w14:paraId="7CA4C1A2">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发包人逾期支付预付款超过7天的，承包人有权向发包人发出要求预付的催告通知，发包人收到通知后7天内仍未支付的，承包人有权暂停施工，并按第16.1.1项〔发包人违约的情形〕执行。</w:t>
      </w:r>
    </w:p>
    <w:p w14:paraId="01F7DC44">
      <w:pP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12.2.2 预付款担保</w:t>
      </w:r>
    </w:p>
    <w:p w14:paraId="6E73F2F2">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要求承包人提供预付款担保的，承包人应在发包人支付预付款7天前提供预付款担保，专用合同条款另有约定除外。预付款担保可采用银行保函、担保公司担保等形式，具体由合同当事人在专用合同条款中约定。在预付款完全扣回之前，承包人应保证预付款担保持续有效。</w:t>
      </w:r>
    </w:p>
    <w:p w14:paraId="336F7E39">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发包人在工程款中逐期扣回预付款后，预付款担保额度应相应减少，但剩余的预付款担保金额不得低于未被扣回的预付款金额。</w:t>
      </w:r>
    </w:p>
    <w:p w14:paraId="6BA03848">
      <w:pPr>
        <w:pStyle w:val="6"/>
        <w:spacing w:before="120" w:after="120" w:line="312" w:lineRule="auto"/>
        <w:ind w:firstLine="480" w:firstLineChars="200"/>
        <w:rPr>
          <w:rFonts w:ascii="宋体" w:hAnsi="宋体" w:eastAsia="宋体" w:cs="宋体"/>
          <w:b w:val="0"/>
          <w:color w:val="auto"/>
          <w:sz w:val="24"/>
          <w:szCs w:val="24"/>
          <w:highlight w:val="none"/>
        </w:rPr>
      </w:pPr>
      <w:bookmarkStart w:id="383" w:name="_Toc351203583"/>
      <w:bookmarkStart w:id="384" w:name="_Toc337558802"/>
      <w:r>
        <w:rPr>
          <w:rFonts w:hint="eastAsia" w:ascii="宋体" w:hAnsi="宋体" w:eastAsia="宋体" w:cs="宋体"/>
          <w:b w:val="0"/>
          <w:color w:val="auto"/>
          <w:sz w:val="24"/>
          <w:szCs w:val="24"/>
          <w:highlight w:val="none"/>
        </w:rPr>
        <w:t>12.3计量</w:t>
      </w:r>
      <w:bookmarkEnd w:id="383"/>
    </w:p>
    <w:bookmarkEnd w:id="384"/>
    <w:p w14:paraId="65947919">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12.3.1 计量原则</w:t>
      </w:r>
    </w:p>
    <w:p w14:paraId="00B1A0C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工程量计量按照合同约定的工程量计算规则、图纸及变更指示等进行计量。工程量计算规则应以相关的国家标准、行业标准等为依据，由合同当事人在专用合同条款中约定。</w:t>
      </w:r>
    </w:p>
    <w:p w14:paraId="00FACD2E">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12.3.2 计量周期</w:t>
      </w:r>
    </w:p>
    <w:p w14:paraId="4C128322">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除专用合同条款另有约定外，工程量的计量按月进行。</w:t>
      </w:r>
    </w:p>
    <w:p w14:paraId="55439A1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12.3.3 单价合同的计量</w:t>
      </w:r>
    </w:p>
    <w:p w14:paraId="4A1109B9">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除专用合同条款另有约定外，单价合同的计量按照本项约定执行：</w:t>
      </w:r>
    </w:p>
    <w:p w14:paraId="6FD2DFF4">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（1）承包人应于每月25日向监理人报送上月20日至当月19日已完成的工程量报告，并附具进度付款申请单、已完成工程量报表和有关资料。</w:t>
      </w:r>
    </w:p>
    <w:p w14:paraId="4A69EB7C">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3F65C24B">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（3）监理人未在收到承包人提交的工程量报表后的7天内完成审核的，承包人报送的工程量报告中的工程量视为承包人实际完成的工程量，据此计算工程价款。</w:t>
      </w:r>
    </w:p>
    <w:p w14:paraId="193CF5B7">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12.3.4 总价合同的计量</w:t>
      </w:r>
    </w:p>
    <w:p w14:paraId="222B378A">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除专用合同条款另有约定外，按月计量支付的总价合同，按照本项约定执行：</w:t>
      </w:r>
    </w:p>
    <w:p w14:paraId="15C3719D">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（1）承包人应于每月25日向监理人报送上月20日至当月19日已完成的工程量报告，并附具进度付款申请单、已完成工程量报表和有关资料。</w:t>
      </w:r>
    </w:p>
    <w:p w14:paraId="7FFA3A76">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6FEB67D0">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（3）监理人未在收到承包人提交的工程量报表后的7天内完成复核的，承包人提交的工程量报告中的工程量视为承包人实际完成的工程量。</w:t>
      </w:r>
    </w:p>
    <w:p w14:paraId="7463F0E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12.3.5 总价合同采用支付分解表计量支付的，可以按照第12.3.4项〔总价合同的计量〕约定进行计量，但合同价款按照支付分解表进行支付。</w:t>
      </w:r>
    </w:p>
    <w:p w14:paraId="632A2DB1">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12.3.6 其他价格形式合同的计量</w:t>
      </w:r>
    </w:p>
    <w:p w14:paraId="07713872">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合同当事人可在专用合同条款中约定其他价格形式合同的计量方式和程序。</w:t>
      </w:r>
    </w:p>
    <w:p w14:paraId="042BA22F">
      <w:pPr>
        <w:pStyle w:val="6"/>
        <w:spacing w:before="120" w:after="120" w:line="312" w:lineRule="auto"/>
        <w:ind w:firstLine="480" w:firstLineChars="200"/>
        <w:rPr>
          <w:rFonts w:ascii="宋体" w:hAnsi="宋体" w:eastAsia="宋体" w:cs="宋体"/>
          <w:b w:val="0"/>
          <w:color w:val="auto"/>
          <w:sz w:val="24"/>
          <w:szCs w:val="24"/>
          <w:highlight w:val="none"/>
        </w:rPr>
      </w:pPr>
      <w:bookmarkStart w:id="385" w:name="_Toc296503101"/>
      <w:bookmarkStart w:id="386" w:name="_Toc296346602"/>
      <w:bookmarkStart w:id="387" w:name="_Toc351203584"/>
      <w:bookmarkStart w:id="388" w:name="_Toc337558803"/>
      <w:r>
        <w:rPr>
          <w:rFonts w:hint="eastAsia" w:ascii="宋体" w:hAnsi="宋体" w:eastAsia="宋体" w:cs="宋体"/>
          <w:b w:val="0"/>
          <w:color w:val="auto"/>
          <w:sz w:val="24"/>
          <w:szCs w:val="24"/>
          <w:highlight w:val="none"/>
        </w:rPr>
        <w:t>12.4工程进度款支</w:t>
      </w:r>
      <w:bookmarkEnd w:id="385"/>
      <w:bookmarkEnd w:id="386"/>
      <w:r>
        <w:rPr>
          <w:rFonts w:hint="eastAsia" w:ascii="宋体" w:hAnsi="宋体" w:eastAsia="宋体" w:cs="宋体"/>
          <w:b w:val="0"/>
          <w:color w:val="auto"/>
          <w:sz w:val="24"/>
          <w:szCs w:val="24"/>
          <w:highlight w:val="none"/>
        </w:rPr>
        <w:t>付</w:t>
      </w:r>
      <w:bookmarkEnd w:id="387"/>
    </w:p>
    <w:bookmarkEnd w:id="388"/>
    <w:p w14:paraId="35C0451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12.4</w:t>
      </w:r>
      <w:r>
        <w:rPr>
          <w:rFonts w:hint="eastAsia" w:ascii="宋体" w:hAnsi="宋体" w:eastAsia="宋体" w:cs="宋体"/>
          <w:color w:val="auto"/>
          <w:kern w:val="0"/>
          <w:sz w:val="24"/>
          <w:highlight w:val="none"/>
        </w:rPr>
        <w:t>.1 付款周期</w:t>
      </w:r>
    </w:p>
    <w:p w14:paraId="3833ACDA">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除专用合同条款另有约定外，付款周期应按照第12.3.2项〔计量周期〕的约定与计量周期保持一致。</w:t>
      </w:r>
    </w:p>
    <w:p w14:paraId="6CA9F1C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12.4</w:t>
      </w:r>
      <w:r>
        <w:rPr>
          <w:rFonts w:hint="eastAsia" w:ascii="宋体" w:hAnsi="宋体" w:eastAsia="宋体" w:cs="宋体"/>
          <w:color w:val="auto"/>
          <w:kern w:val="0"/>
          <w:sz w:val="24"/>
          <w:highlight w:val="none"/>
        </w:rPr>
        <w:t>.2 进度付款申请单的编制</w:t>
      </w:r>
    </w:p>
    <w:p w14:paraId="69BC7E7A">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除专用合同条款另有约定外，进度付款申请单应包括下列内容：</w:t>
      </w:r>
    </w:p>
    <w:p w14:paraId="16CB32C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（1）截至本次付款周期已完成工作对应的金额；</w:t>
      </w:r>
    </w:p>
    <w:p w14:paraId="53E7E91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（2）根据第10条〔变更〕应增加和扣减的变更金额；</w:t>
      </w:r>
    </w:p>
    <w:p w14:paraId="3007573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（3）根据第12.2款〔预付款〕约定应支付的预付款和扣减的返还预付款；</w:t>
      </w:r>
    </w:p>
    <w:p w14:paraId="17C50AF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（4）根据第15.3款〔质量保证金〕约定应扣减的质量保证金；</w:t>
      </w:r>
    </w:p>
    <w:p w14:paraId="3D777D7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（5）根据第19条〔索赔〕应增加和扣减的索赔金额；</w:t>
      </w:r>
    </w:p>
    <w:p w14:paraId="12FA31E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（6）对已签发的进度款支付证书中出现错误的修正，应在本次进度付款中支付或扣除的金额；</w:t>
      </w:r>
    </w:p>
    <w:p w14:paraId="11B27F6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（7）根据合同约定应增加和扣减的其他金额。</w:t>
      </w:r>
    </w:p>
    <w:p w14:paraId="21BED65A">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12.4.3 进度付款申请单的提交</w:t>
      </w:r>
    </w:p>
    <w:p w14:paraId="351E674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（1）单价合同进度付款申请单的提交</w:t>
      </w:r>
    </w:p>
    <w:p w14:paraId="7EA51E9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单价合同的进度付款申请单，按照第12.3.3项〔单价合同的计量〕约定的时间按月向监理人提交，并附上已完成工程量报表和有关资料。单价合同中的总价项目按月进行支付分解，并汇总列入当期进度付款申请单。</w:t>
      </w:r>
    </w:p>
    <w:p w14:paraId="4BDC543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（2）总价合同进度付款申请单的提交</w:t>
      </w:r>
    </w:p>
    <w:p w14:paraId="6036821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总价合同按月计量支付的，承包人按照第12.3.4项〔总价合同的计量〕约定的时间按月向监理人提交进度付款申请单，并附上已完成工程量报表和有关资料。</w:t>
      </w:r>
    </w:p>
    <w:p w14:paraId="768C26E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总价合同按支付分解表支付的，承包人应按照第12.4.6项〔支付分解表〕及第12.4.2项〔进度付款申请单的编制〕的约定向监理人提交进度付款申请单。</w:t>
      </w:r>
    </w:p>
    <w:p w14:paraId="0938CD1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（3）其他价格形式合同的进度付款申请单的提交</w:t>
      </w:r>
    </w:p>
    <w:p w14:paraId="4F6A48F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合同当事人可在专用合同条款中约定其他价格形式合同的进度付款申请单的编制和提交程序。</w:t>
      </w:r>
    </w:p>
    <w:p w14:paraId="06EAE1F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12.4</w:t>
      </w:r>
      <w:r>
        <w:rPr>
          <w:rFonts w:hint="eastAsia" w:ascii="宋体" w:hAnsi="宋体" w:eastAsia="宋体" w:cs="宋体"/>
          <w:color w:val="auto"/>
          <w:kern w:val="0"/>
          <w:sz w:val="24"/>
          <w:highlight w:val="none"/>
        </w:rPr>
        <w:t>.4 进度款审核和支付</w:t>
      </w:r>
    </w:p>
    <w:p w14:paraId="551D2D4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14:paraId="3783FAC8">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14:paraId="376EC85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（2）除专用合同条款另有约定外，发包人应在进度款支付证书或临时进度款支付证书签发后14天内完成支付，发包人逾期支付进度款的，应按照中国人民银行发布的同期同类贷款基准利率支付违约金。</w:t>
      </w:r>
    </w:p>
    <w:p w14:paraId="103C1BE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（3）发包人签发进度款支付证书或临时进度款支付证书，不表明发包人已同意、批准或接受了承包人完成的相应部分的工作。</w:t>
      </w:r>
    </w:p>
    <w:p w14:paraId="24089EFA">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12.4.5 进度付款的修正</w:t>
      </w:r>
    </w:p>
    <w:p w14:paraId="41FEAC5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在对已签发的进度款支付证书进行阶段汇总和复核中发现错误、遗漏或重复的，发包人和承包人均有权提出修正申请。经发包人和承包人同意的修正，应在下期进度付款中支付或扣除。</w:t>
      </w:r>
    </w:p>
    <w:p w14:paraId="546B4D4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12.4.6 支付分解表</w:t>
      </w:r>
    </w:p>
    <w:p w14:paraId="567D381E">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1、支付分解表的编制要求</w:t>
      </w:r>
    </w:p>
    <w:p w14:paraId="6CD99FE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（1）支付分解表中所列的每期付款金额，应为第12.4.2项〔进度付款申请单的编制〕第（1）目的估算金额；</w:t>
      </w:r>
    </w:p>
    <w:p w14:paraId="7A7F822D">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（2）实际进度与施工进度计划不一致的，合同当事人可按照第4.4款〔商定或确定〕修改支付分解表；</w:t>
      </w:r>
    </w:p>
    <w:p w14:paraId="4D35B07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（3）不采用支付分解表的，承包人应向发包人和监理人提交按季度编制的支付估算分解表，用于支付参考。</w:t>
      </w:r>
    </w:p>
    <w:p w14:paraId="70243C34">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2、总价合同支付分解表的编制与审批</w:t>
      </w:r>
    </w:p>
    <w:p w14:paraId="01E53724">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1F3983F9">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（2）监理人应在收到支付分解表后7天内完成审核并报送发包人。发包人应在收到经监理人审核的支付分解表后7天内完成审批，经发包人批准的支付分解表为有约束力的支付分解表。</w:t>
      </w:r>
    </w:p>
    <w:p w14:paraId="728ECE0A">
      <w:pPr>
        <w:spacing w:line="312" w:lineRule="auto"/>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（3）发包人逾期未完成支付分解表审批的，也未及时要求承包人进行修正和提供补充资料的，则承包人提交的支付分解表视为已经获得发包人批准。</w:t>
      </w:r>
    </w:p>
    <w:p w14:paraId="7138D380">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3、单价合同的总价项目支付分解表的编制与审批</w:t>
      </w:r>
    </w:p>
    <w:p w14:paraId="0714501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088DA50F">
      <w:pPr>
        <w:pStyle w:val="6"/>
        <w:spacing w:before="120" w:after="120" w:line="312" w:lineRule="auto"/>
        <w:ind w:firstLine="480" w:firstLineChars="200"/>
        <w:rPr>
          <w:rFonts w:ascii="宋体" w:hAnsi="宋体" w:eastAsia="宋体" w:cs="宋体"/>
          <w:b w:val="0"/>
          <w:color w:val="auto"/>
          <w:sz w:val="24"/>
          <w:szCs w:val="24"/>
          <w:highlight w:val="none"/>
        </w:rPr>
      </w:pPr>
      <w:bookmarkStart w:id="389" w:name="_Toc351203585"/>
      <w:r>
        <w:rPr>
          <w:rFonts w:hint="eastAsia" w:ascii="宋体" w:hAnsi="宋体" w:eastAsia="宋体" w:cs="宋体"/>
          <w:b w:val="0"/>
          <w:color w:val="auto"/>
          <w:sz w:val="24"/>
          <w:szCs w:val="24"/>
          <w:highlight w:val="none"/>
        </w:rPr>
        <w:t>12.5支付账户</w:t>
      </w:r>
      <w:bookmarkEnd w:id="389"/>
    </w:p>
    <w:p w14:paraId="1882F171">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发包人应将合同价款支付至合同协议书中约定的承包人账户。</w:t>
      </w:r>
    </w:p>
    <w:p w14:paraId="6F025B2A">
      <w:pPr>
        <w:pStyle w:val="5"/>
        <w:spacing w:before="120" w:after="120" w:line="312" w:lineRule="auto"/>
        <w:rPr>
          <w:rFonts w:ascii="宋体" w:hAnsi="宋体" w:eastAsia="宋体" w:cs="宋体"/>
          <w:b w:val="0"/>
          <w:color w:val="auto"/>
          <w:sz w:val="24"/>
          <w:szCs w:val="24"/>
          <w:highlight w:val="none"/>
        </w:rPr>
      </w:pPr>
      <w:bookmarkStart w:id="390" w:name="_Toc351203586"/>
      <w:bookmarkStart w:id="391" w:name="_Toc337558804"/>
      <w:bookmarkStart w:id="392" w:name="_Toc322522574"/>
      <w:bookmarkStart w:id="393" w:name="_Toc296346607"/>
      <w:bookmarkStart w:id="394" w:name="_Toc296503106"/>
      <w:r>
        <w:rPr>
          <w:rFonts w:hint="eastAsia" w:ascii="宋体" w:hAnsi="宋体" w:eastAsia="宋体" w:cs="宋体"/>
          <w:b w:val="0"/>
          <w:color w:val="auto"/>
          <w:sz w:val="24"/>
          <w:szCs w:val="24"/>
          <w:highlight w:val="none"/>
        </w:rPr>
        <w:t>13. 验收和工程试车</w:t>
      </w:r>
      <w:bookmarkEnd w:id="390"/>
    </w:p>
    <w:bookmarkEnd w:id="391"/>
    <w:bookmarkEnd w:id="392"/>
    <w:bookmarkEnd w:id="393"/>
    <w:bookmarkEnd w:id="394"/>
    <w:p w14:paraId="0B82A77B">
      <w:pPr>
        <w:pStyle w:val="6"/>
        <w:spacing w:before="120" w:after="120" w:line="312" w:lineRule="auto"/>
        <w:ind w:firstLine="480" w:firstLineChars="200"/>
        <w:rPr>
          <w:rFonts w:ascii="宋体" w:hAnsi="宋体" w:eastAsia="宋体" w:cs="宋体"/>
          <w:b w:val="0"/>
          <w:color w:val="auto"/>
          <w:sz w:val="24"/>
          <w:szCs w:val="24"/>
          <w:highlight w:val="none"/>
        </w:rPr>
      </w:pPr>
      <w:bookmarkStart w:id="395" w:name="_Toc351203587"/>
      <w:bookmarkStart w:id="396" w:name="_Toc337558805"/>
      <w:bookmarkStart w:id="397" w:name="_Toc296503110"/>
      <w:bookmarkStart w:id="398" w:name="_Toc296346611"/>
      <w:r>
        <w:rPr>
          <w:rFonts w:hint="eastAsia" w:ascii="宋体" w:hAnsi="宋体" w:eastAsia="宋体" w:cs="宋体"/>
          <w:b w:val="0"/>
          <w:color w:val="auto"/>
          <w:sz w:val="24"/>
          <w:szCs w:val="24"/>
          <w:highlight w:val="none"/>
        </w:rPr>
        <w:t>13.1分部分项工程验收</w:t>
      </w:r>
      <w:bookmarkEnd w:id="395"/>
    </w:p>
    <w:bookmarkEnd w:id="396"/>
    <w:p w14:paraId="32CF54CC">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13.1.1 分部分项工程质量应符合国家有关工程施工验收规范、标准及合同约定，承包人应按照施工组织设计的要求完成分部分项工程施工。</w:t>
      </w:r>
    </w:p>
    <w:p w14:paraId="56E6D178">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13.1.2 除专用合同条款另有约定外，分部分项工程经承包人自检合格并具备验收条件的，承包人应提前48小时通知监理人进行验收。</w:t>
      </w:r>
      <w:r>
        <w:rPr>
          <w:rFonts w:hint="eastAsia" w:ascii="宋体" w:hAnsi="宋体" w:eastAsia="宋体" w:cs="宋体"/>
          <w:color w:val="auto"/>
          <w:kern w:val="0"/>
          <w:sz w:val="24"/>
          <w:highlight w:val="none"/>
        </w:rPr>
        <w:t>监理人不能按时进行验收的，应在验收前24小时向承包人提交书面延期要求，但延期不能超过48小时。监理人未按时进行验收，也未提出延期要求的，承包人有权自行验收，监理人应认可验收结果。</w:t>
      </w:r>
      <w:r>
        <w:rPr>
          <w:rFonts w:hint="eastAsia" w:ascii="宋体" w:hAnsi="宋体" w:eastAsia="宋体" w:cs="宋体"/>
          <w:color w:val="auto"/>
          <w:sz w:val="24"/>
          <w:highlight w:val="none"/>
        </w:rPr>
        <w:t>分部分项工程未经验收的，不得进入下一道工序施工。</w:t>
      </w:r>
    </w:p>
    <w:p w14:paraId="776CAE97">
      <w:pP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分部分项工程的验收资料应当作为竣工资料的组成部分。</w:t>
      </w:r>
    </w:p>
    <w:p w14:paraId="09CDC7CD">
      <w:pPr>
        <w:pStyle w:val="6"/>
        <w:spacing w:before="120" w:after="120" w:line="312" w:lineRule="auto"/>
        <w:ind w:firstLine="480" w:firstLineChars="200"/>
        <w:rPr>
          <w:rFonts w:ascii="宋体" w:hAnsi="宋体" w:eastAsia="宋体" w:cs="宋体"/>
          <w:b w:val="0"/>
          <w:color w:val="auto"/>
          <w:sz w:val="24"/>
          <w:szCs w:val="24"/>
          <w:highlight w:val="none"/>
        </w:rPr>
      </w:pPr>
      <w:bookmarkStart w:id="399" w:name="_Toc351203588"/>
      <w:bookmarkStart w:id="400" w:name="_Toc337558806"/>
      <w:r>
        <w:rPr>
          <w:rFonts w:hint="eastAsia" w:ascii="宋体" w:hAnsi="宋体" w:eastAsia="宋体" w:cs="宋体"/>
          <w:b w:val="0"/>
          <w:color w:val="auto"/>
          <w:sz w:val="24"/>
          <w:szCs w:val="24"/>
          <w:highlight w:val="none"/>
        </w:rPr>
        <w:t>13.2竣工验收</w:t>
      </w:r>
      <w:bookmarkEnd w:id="399"/>
    </w:p>
    <w:bookmarkEnd w:id="397"/>
    <w:bookmarkEnd w:id="398"/>
    <w:bookmarkEnd w:id="400"/>
    <w:p w14:paraId="0633314A">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13.2.1竣工验收条件</w:t>
      </w:r>
    </w:p>
    <w:p w14:paraId="42D7BA0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工程具备以下条件的，承包人可以申请竣工验收：</w:t>
      </w:r>
    </w:p>
    <w:p w14:paraId="657D2048">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（1）除发包人同意的甩项工作和缺陷修补工作外，合同范围内的全部工程以及有关工作，包括合同要求的试验、试运行以及检验均已完成，并符合合同要求；</w:t>
      </w:r>
    </w:p>
    <w:p w14:paraId="6329D07D">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（2）已按合同约定编制了甩项工作和缺陷修补工作清单以及相应的施工计划；</w:t>
      </w:r>
    </w:p>
    <w:p w14:paraId="2AAA77A8">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（3）已按合同约定的内容和份数备齐竣工资料。</w:t>
      </w:r>
    </w:p>
    <w:p w14:paraId="78EC243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13.2.2竣工验收程序</w:t>
      </w:r>
    </w:p>
    <w:p w14:paraId="7BF2CF12">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除专用合同条款另有约定外，承包人申请竣工验收的，应当按照以下程序进行：</w:t>
      </w:r>
    </w:p>
    <w:p w14:paraId="6D0CAF31">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2464F51A">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（2）监理人审查后认为已具备竣工验收条件的，应将竣工验收申请报告提交发包人，发包人应在收到经监理人审核的竣工验收申请报告后28天内审批完毕并组织监理人、承包人、设计人等相关单位完成竣工验收。</w:t>
      </w:r>
    </w:p>
    <w:p w14:paraId="14C66438">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（3）竣工验收合格的，发包人应在验收合格后14天内向承包人签发工程接收证书。发包人无正当理由逾期不颁发工程接收证书的，自验收合格后第15天起视为已颁发工程接收证书。</w:t>
      </w:r>
    </w:p>
    <w:p w14:paraId="537A7E8C">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2764FB11">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0DD40D46">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除专用合同条款另有约定外，发包人不按照本项约定组织竣工验收、颁发工程接收证书的，每逾期一天，应以签约合同价为基数，按照中国人民银行发布的同期同类贷款基准利率支付违约金。</w:t>
      </w:r>
    </w:p>
    <w:p w14:paraId="007CEBEC">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13.2.3竣工日期</w:t>
      </w:r>
    </w:p>
    <w:p w14:paraId="1D99D85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w:t>
      </w:r>
      <w:bookmarkStart w:id="401" w:name="#go14"/>
      <w:bookmarkEnd w:id="401"/>
      <w:r>
        <w:rPr>
          <w:rFonts w:hint="eastAsia" w:ascii="宋体" w:hAnsi="宋体" w:eastAsia="宋体" w:cs="宋体"/>
          <w:color w:val="auto"/>
          <w:kern w:val="0"/>
          <w:sz w:val="24"/>
          <w:highlight w:val="none"/>
        </w:rPr>
        <w:t>收申请报告的日期为实际竣工日期；工程未经竣工验收，发包人擅自使用的，以转移占有工程之日为实际竣工日期。</w:t>
      </w:r>
    </w:p>
    <w:p w14:paraId="3D35F97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13.2.4 拒绝接收全部或部分工程</w:t>
      </w:r>
    </w:p>
    <w:p w14:paraId="0EC1C3B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7253AC7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13.2.5 移交、接收全部与部分工程</w:t>
      </w:r>
    </w:p>
    <w:p w14:paraId="1BE42D68">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除专用合同条款另有约定外，合同当事人应当在颁发工程接收证书后7天内完成工程的移交。</w:t>
      </w:r>
    </w:p>
    <w:p w14:paraId="36E722E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发包人无正当理由不接收工程的，发包人自应当接收工程之日起，承担工程照管、成品保护、保管等与工程有关的各项费用，合同当事人可以在专用合同条款中另行约定发包人逾期接收工程的违约责任。</w:t>
      </w:r>
    </w:p>
    <w:p w14:paraId="11B6835A">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承包人无正当理由不移交工程的，承包人应承担工程照管、成品保护、保管等与工程有关的各项费用，合同当事人可以在专用合同条款中另行约定承包人无正当理由不移交工程的违约责任。</w:t>
      </w:r>
    </w:p>
    <w:p w14:paraId="3013C454">
      <w:pPr>
        <w:pStyle w:val="6"/>
        <w:spacing w:before="120" w:after="120" w:line="312" w:lineRule="auto"/>
        <w:ind w:firstLine="480" w:firstLineChars="200"/>
        <w:rPr>
          <w:rFonts w:ascii="宋体" w:hAnsi="宋体" w:eastAsia="宋体" w:cs="宋体"/>
          <w:b w:val="0"/>
          <w:color w:val="auto"/>
          <w:sz w:val="24"/>
          <w:szCs w:val="24"/>
          <w:highlight w:val="none"/>
        </w:rPr>
      </w:pPr>
      <w:bookmarkStart w:id="402" w:name="_Toc351203589"/>
      <w:bookmarkStart w:id="403" w:name="_Toc296503111"/>
      <w:bookmarkStart w:id="404" w:name="_Toc337558807"/>
      <w:bookmarkStart w:id="405" w:name="_Toc296346612"/>
      <w:r>
        <w:rPr>
          <w:rFonts w:hint="eastAsia" w:ascii="宋体" w:hAnsi="宋体" w:eastAsia="宋体" w:cs="宋体"/>
          <w:b w:val="0"/>
          <w:color w:val="auto"/>
          <w:sz w:val="24"/>
          <w:szCs w:val="24"/>
          <w:highlight w:val="none"/>
        </w:rPr>
        <w:t>13.3工程试车</w:t>
      </w:r>
      <w:bookmarkEnd w:id="402"/>
    </w:p>
    <w:bookmarkEnd w:id="403"/>
    <w:bookmarkEnd w:id="404"/>
    <w:bookmarkEnd w:id="405"/>
    <w:p w14:paraId="3DDA12AA">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13.3.1试车程序</w:t>
      </w:r>
    </w:p>
    <w:p w14:paraId="45C44708">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工程需要试车的，除专用合同条款另有约定外，试车内容应与承包人承包范围相一致，试车费用由承包人承担。工程试车应按如下程序进行：</w:t>
      </w:r>
    </w:p>
    <w:p w14:paraId="591A8A88">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0944C409">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6145C148">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04886FFB">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13.3.2 试车中的责任</w:t>
      </w:r>
    </w:p>
    <w:p w14:paraId="6B77C14A">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525BDA3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750CD92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13.3.3 投料试车</w:t>
      </w:r>
    </w:p>
    <w:p w14:paraId="6E24ACDE">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如需进行投料试车的，发包人应在工程竣工验收后组织投料试车。发包人要求在工程竣工验收前进行或需要承包人配合时，应征得承包人同意，并在专用合同条款中约定有关事项。</w:t>
      </w:r>
    </w:p>
    <w:p w14:paraId="37E33C3E">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137834D3">
      <w:pPr>
        <w:pStyle w:val="6"/>
        <w:spacing w:before="120" w:after="120" w:line="312" w:lineRule="auto"/>
        <w:rPr>
          <w:rFonts w:ascii="宋体" w:hAnsi="宋体" w:eastAsia="宋体" w:cs="宋体"/>
          <w:b w:val="0"/>
          <w:color w:val="auto"/>
          <w:sz w:val="24"/>
          <w:szCs w:val="24"/>
          <w:highlight w:val="none"/>
        </w:rPr>
      </w:pPr>
      <w:bookmarkStart w:id="406" w:name="_Toc337558808"/>
      <w:r>
        <w:rPr>
          <w:rFonts w:hint="eastAsia" w:ascii="宋体" w:hAnsi="宋体" w:eastAsia="宋体" w:cs="宋体"/>
          <w:b w:val="0"/>
          <w:color w:val="auto"/>
          <w:sz w:val="24"/>
          <w:szCs w:val="24"/>
          <w:highlight w:val="none"/>
        </w:rPr>
        <w:t xml:space="preserve">    </w:t>
      </w:r>
      <w:bookmarkStart w:id="407" w:name="_Toc351203590"/>
      <w:r>
        <w:rPr>
          <w:rFonts w:hint="eastAsia" w:ascii="宋体" w:hAnsi="宋体" w:eastAsia="宋体" w:cs="宋体"/>
          <w:b w:val="0"/>
          <w:color w:val="auto"/>
          <w:sz w:val="24"/>
          <w:szCs w:val="24"/>
          <w:highlight w:val="none"/>
        </w:rPr>
        <w:t>13.4提前交付单位工程的验收</w:t>
      </w:r>
      <w:bookmarkEnd w:id="407"/>
    </w:p>
    <w:bookmarkEnd w:id="406"/>
    <w:p w14:paraId="7D5FD5A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13.4.1 发包人需要在工程竣工前使用单位工程的，或承包人提出提前交付已经竣工的单位工程且经发包人同意的，可进行单位工程验收，验收的程序按照第13.2款〔竣工验收〕的约定进行。</w:t>
      </w:r>
    </w:p>
    <w:p w14:paraId="3803781C">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验收合格后，由监理人向承包人出具经发包人签认的单位工程接收证书。已签发单位工程接收证书的单位工程由发包人负责照管。单位工程的验收成果和结论作为整体工程竣工验收申请报告的附件。</w:t>
      </w:r>
    </w:p>
    <w:p w14:paraId="76FD31FA">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13.4.2 发包人要求在工程竣工前交付单位工程，由此导致承包人费用增加和（或）工期延误的，由发包人承担由此增加的费用和（或）延误的工期，并支付承包人合理的利润。</w:t>
      </w:r>
    </w:p>
    <w:p w14:paraId="14A2564F">
      <w:pPr>
        <w:pStyle w:val="6"/>
        <w:spacing w:before="120" w:after="120" w:line="312" w:lineRule="auto"/>
        <w:ind w:firstLine="480" w:firstLineChars="200"/>
        <w:rPr>
          <w:rFonts w:ascii="宋体" w:hAnsi="宋体" w:eastAsia="宋体" w:cs="宋体"/>
          <w:b w:val="0"/>
          <w:color w:val="auto"/>
          <w:sz w:val="24"/>
          <w:szCs w:val="24"/>
          <w:highlight w:val="none"/>
        </w:rPr>
      </w:pPr>
      <w:bookmarkStart w:id="408" w:name="_Toc351203591"/>
      <w:r>
        <w:rPr>
          <w:rFonts w:hint="eastAsia" w:ascii="宋体" w:hAnsi="宋体" w:eastAsia="宋体" w:cs="宋体"/>
          <w:b w:val="0"/>
          <w:color w:val="auto"/>
          <w:sz w:val="24"/>
          <w:szCs w:val="24"/>
          <w:highlight w:val="none"/>
        </w:rPr>
        <w:t>13.5 施工期运行</w:t>
      </w:r>
      <w:bookmarkEnd w:id="408"/>
    </w:p>
    <w:p w14:paraId="75FE4151">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13.5.1 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w:t>
      </w:r>
    </w:p>
    <w:p w14:paraId="20CD5AA5">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13.5.2 在施工期运行中发现工程或工程设备损坏或存在缺陷的，由承包人按第15.2款〔缺陷责任期〕约定进行修复。</w:t>
      </w:r>
    </w:p>
    <w:p w14:paraId="48C26B02">
      <w:pPr>
        <w:pStyle w:val="6"/>
        <w:spacing w:before="120" w:after="120" w:line="312" w:lineRule="auto"/>
        <w:ind w:firstLine="480" w:firstLineChars="200"/>
        <w:rPr>
          <w:rFonts w:ascii="宋体" w:hAnsi="宋体" w:eastAsia="宋体" w:cs="宋体"/>
          <w:b w:val="0"/>
          <w:color w:val="auto"/>
          <w:sz w:val="24"/>
          <w:szCs w:val="24"/>
          <w:highlight w:val="none"/>
        </w:rPr>
      </w:pPr>
      <w:bookmarkStart w:id="409" w:name="_Toc296503112"/>
      <w:bookmarkStart w:id="410" w:name="_Toc296346613"/>
      <w:bookmarkStart w:id="411" w:name="_Toc351203592"/>
      <w:bookmarkStart w:id="412" w:name="_Toc337558809"/>
      <w:r>
        <w:rPr>
          <w:rFonts w:hint="eastAsia" w:ascii="宋体" w:hAnsi="宋体" w:eastAsia="宋体" w:cs="宋体"/>
          <w:b w:val="0"/>
          <w:color w:val="auto"/>
          <w:sz w:val="24"/>
          <w:szCs w:val="24"/>
          <w:highlight w:val="none"/>
        </w:rPr>
        <w:t>13.6 竣工退</w:t>
      </w:r>
      <w:bookmarkEnd w:id="409"/>
      <w:bookmarkEnd w:id="410"/>
      <w:r>
        <w:rPr>
          <w:rFonts w:hint="eastAsia" w:ascii="宋体" w:hAnsi="宋体" w:eastAsia="宋体" w:cs="宋体"/>
          <w:b w:val="0"/>
          <w:color w:val="auto"/>
          <w:sz w:val="24"/>
          <w:szCs w:val="24"/>
          <w:highlight w:val="none"/>
        </w:rPr>
        <w:t>场</w:t>
      </w:r>
      <w:bookmarkEnd w:id="411"/>
    </w:p>
    <w:bookmarkEnd w:id="412"/>
    <w:p w14:paraId="64788065">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13.6.1 竣工退场</w:t>
      </w:r>
    </w:p>
    <w:p w14:paraId="6B841489">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颁发工程接收证书后，承包人应按以下要求对施工现场进行清理：</w:t>
      </w:r>
    </w:p>
    <w:p w14:paraId="3164B3C9">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（1）施工现场内残留的垃圾已全部清除出场；</w:t>
      </w:r>
    </w:p>
    <w:p w14:paraId="27AE8244">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（2）临时工程已拆除，场地已进行清理、平整或复原；</w:t>
      </w:r>
    </w:p>
    <w:p w14:paraId="2C6FC20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（3）按合同约定应撤离的人员、承包人施工设备和剩余的材料，包括废弃的施工设备和材料，已按计划撤离施工现场；</w:t>
      </w:r>
    </w:p>
    <w:p w14:paraId="14BC7A05">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（4）施工现场周边及其附近道路、河道的施工堆积物，已全部清理；</w:t>
      </w:r>
    </w:p>
    <w:p w14:paraId="6692B330">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（5）施工现场其他场地清理工作已全部完成。</w:t>
      </w:r>
    </w:p>
    <w:p w14:paraId="166E1332">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07A8951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13.6.2 地表还原</w:t>
      </w:r>
    </w:p>
    <w:p w14:paraId="525B0747">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承包人应按发包人要求恢复临时占地及清理场地，承包人未按发包人的要求恢复临时占地，或者场地清理未达到合同约定要求的，发包人有权委托其他人恢复或清理，所发生的费用由承包人承担。</w:t>
      </w:r>
    </w:p>
    <w:p w14:paraId="2970C64B">
      <w:pPr>
        <w:pStyle w:val="5"/>
        <w:spacing w:before="120" w:after="120" w:line="312" w:lineRule="auto"/>
        <w:rPr>
          <w:rFonts w:ascii="宋体" w:hAnsi="宋体" w:eastAsia="宋体" w:cs="宋体"/>
          <w:b w:val="0"/>
          <w:color w:val="auto"/>
          <w:sz w:val="24"/>
          <w:szCs w:val="24"/>
          <w:highlight w:val="none"/>
        </w:rPr>
      </w:pPr>
      <w:bookmarkStart w:id="413" w:name="_Toc351203593"/>
      <w:bookmarkStart w:id="414" w:name="_Toc337558810"/>
      <w:bookmarkStart w:id="415" w:name="_Toc296503113"/>
      <w:bookmarkStart w:id="416" w:name="_Toc296346614"/>
      <w:r>
        <w:rPr>
          <w:rFonts w:hint="eastAsia" w:ascii="宋体" w:hAnsi="宋体" w:eastAsia="宋体" w:cs="宋体"/>
          <w:b w:val="0"/>
          <w:color w:val="auto"/>
          <w:sz w:val="24"/>
          <w:szCs w:val="24"/>
          <w:highlight w:val="none"/>
        </w:rPr>
        <w:t>14. 竣工结算</w:t>
      </w:r>
      <w:bookmarkEnd w:id="413"/>
    </w:p>
    <w:bookmarkEnd w:id="414"/>
    <w:p w14:paraId="6DE15C18">
      <w:pPr>
        <w:pStyle w:val="6"/>
        <w:spacing w:before="120" w:after="120" w:line="312" w:lineRule="auto"/>
        <w:ind w:firstLine="480" w:firstLineChars="200"/>
        <w:rPr>
          <w:rFonts w:ascii="宋体" w:hAnsi="宋体" w:eastAsia="宋体" w:cs="宋体"/>
          <w:b w:val="0"/>
          <w:color w:val="auto"/>
          <w:sz w:val="24"/>
          <w:szCs w:val="24"/>
          <w:highlight w:val="none"/>
        </w:rPr>
      </w:pPr>
      <w:bookmarkStart w:id="417" w:name="_Toc351203594"/>
      <w:bookmarkStart w:id="418" w:name="_Toc337558811"/>
      <w:r>
        <w:rPr>
          <w:rFonts w:hint="eastAsia" w:ascii="宋体" w:hAnsi="宋体" w:eastAsia="宋体" w:cs="宋体"/>
          <w:b w:val="0"/>
          <w:color w:val="auto"/>
          <w:sz w:val="24"/>
          <w:szCs w:val="24"/>
          <w:highlight w:val="none"/>
        </w:rPr>
        <w:t>14.1 竣工结算申请</w:t>
      </w:r>
      <w:bookmarkEnd w:id="417"/>
    </w:p>
    <w:bookmarkEnd w:id="418"/>
    <w:p w14:paraId="583FEF81">
      <w:pP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除专用合同条款另有约定外，</w:t>
      </w:r>
      <w:r>
        <w:rPr>
          <w:rFonts w:hint="eastAsia" w:ascii="宋体" w:hAnsi="宋体" w:eastAsia="宋体" w:cs="宋体"/>
          <w:color w:val="auto"/>
          <w:sz w:val="24"/>
          <w:highlight w:val="none"/>
        </w:rPr>
        <w:t>承包人应在工程竣工验收合格后28天内向发包人和监理人提交竣工结算申请单，并提交完整的结算资料，有关竣工结算申请单的资料清单和份数等要求由合同当事人在专用合同条款中约定。</w:t>
      </w:r>
    </w:p>
    <w:p w14:paraId="55137224">
      <w:pP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除专用合同条款另有约定外，竣工结算申请单应包括以下内容：</w:t>
      </w:r>
    </w:p>
    <w:p w14:paraId="4DED1144">
      <w:pP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（1）竣工结算合同价格；</w:t>
      </w:r>
    </w:p>
    <w:p w14:paraId="4CBBC196">
      <w:pP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（2）发包人已支付承包人的款项；</w:t>
      </w:r>
    </w:p>
    <w:p w14:paraId="196A7F0E">
      <w:pP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 xml:space="preserve">（3）应扣留的质量保证金； </w:t>
      </w:r>
    </w:p>
    <w:p w14:paraId="4F6EEFBC">
      <w:pP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（4）发包人应支付承包人的合同价款。</w:t>
      </w:r>
    </w:p>
    <w:p w14:paraId="10501EE0">
      <w:pPr>
        <w:pStyle w:val="6"/>
        <w:spacing w:before="120" w:after="120" w:line="312" w:lineRule="auto"/>
        <w:ind w:firstLine="480" w:firstLineChars="200"/>
        <w:rPr>
          <w:rFonts w:ascii="宋体" w:hAnsi="宋体" w:eastAsia="宋体" w:cs="宋体"/>
          <w:b w:val="0"/>
          <w:color w:val="auto"/>
          <w:sz w:val="24"/>
          <w:szCs w:val="24"/>
          <w:highlight w:val="none"/>
        </w:rPr>
      </w:pPr>
      <w:bookmarkStart w:id="419" w:name="_Toc351203595"/>
      <w:bookmarkStart w:id="420" w:name="_Toc337558812"/>
      <w:r>
        <w:rPr>
          <w:rFonts w:hint="eastAsia" w:ascii="宋体" w:hAnsi="宋体" w:eastAsia="宋体" w:cs="宋体"/>
          <w:b w:val="0"/>
          <w:color w:val="auto"/>
          <w:sz w:val="24"/>
          <w:szCs w:val="24"/>
          <w:highlight w:val="none"/>
        </w:rPr>
        <w:t>14.2 竣工结算审核</w:t>
      </w:r>
      <w:bookmarkEnd w:id="419"/>
    </w:p>
    <w:bookmarkEnd w:id="420"/>
    <w:p w14:paraId="40EF1EC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w:t>
      </w:r>
      <w:r>
        <w:rPr>
          <w:rFonts w:hint="eastAsia" w:ascii="宋体" w:hAnsi="宋体" w:eastAsia="宋体" w:cs="宋体"/>
          <w:color w:val="auto"/>
          <w:sz w:val="24"/>
          <w:highlight w:val="none"/>
        </w:rPr>
        <w:t>发包人对竣工</w:t>
      </w:r>
      <w:r>
        <w:rPr>
          <w:rFonts w:hint="eastAsia" w:ascii="宋体" w:hAnsi="宋体" w:eastAsia="宋体" w:cs="宋体"/>
          <w:color w:val="auto"/>
          <w:kern w:val="0"/>
          <w:sz w:val="24"/>
          <w:highlight w:val="none"/>
        </w:rPr>
        <w:t>结算</w:t>
      </w:r>
      <w:r>
        <w:rPr>
          <w:rFonts w:hint="eastAsia" w:ascii="宋体" w:hAnsi="宋体" w:eastAsia="宋体" w:cs="宋体"/>
          <w:color w:val="auto"/>
          <w:sz w:val="24"/>
          <w:highlight w:val="none"/>
        </w:rPr>
        <w:t>申请单有异议的，有权要求承包人进行修正和提供补充资料，承包人应提交修正后的竣工</w:t>
      </w:r>
      <w:r>
        <w:rPr>
          <w:rFonts w:hint="eastAsia" w:ascii="宋体" w:hAnsi="宋体" w:eastAsia="宋体" w:cs="宋体"/>
          <w:color w:val="auto"/>
          <w:kern w:val="0"/>
          <w:sz w:val="24"/>
          <w:highlight w:val="none"/>
        </w:rPr>
        <w:t>结算</w:t>
      </w:r>
      <w:r>
        <w:rPr>
          <w:rFonts w:hint="eastAsia" w:ascii="宋体" w:hAnsi="宋体" w:eastAsia="宋体" w:cs="宋体"/>
          <w:color w:val="auto"/>
          <w:sz w:val="24"/>
          <w:highlight w:val="none"/>
        </w:rPr>
        <w:t>申请单。</w:t>
      </w:r>
    </w:p>
    <w:p w14:paraId="750B44A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14:paraId="05FF503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26DCDB2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14:paraId="1F1AEB80">
      <w:pPr>
        <w:pStyle w:val="6"/>
        <w:spacing w:before="120" w:after="120" w:line="312" w:lineRule="auto"/>
        <w:ind w:firstLine="480" w:firstLineChars="200"/>
        <w:rPr>
          <w:rFonts w:ascii="宋体" w:hAnsi="宋体" w:eastAsia="宋体" w:cs="宋体"/>
          <w:b w:val="0"/>
          <w:color w:val="auto"/>
          <w:sz w:val="24"/>
          <w:szCs w:val="24"/>
          <w:highlight w:val="none"/>
        </w:rPr>
      </w:pPr>
      <w:bookmarkStart w:id="421" w:name="_Toc351203596"/>
      <w:bookmarkStart w:id="422" w:name="_Toc337558813"/>
      <w:r>
        <w:rPr>
          <w:rFonts w:hint="eastAsia" w:ascii="宋体" w:hAnsi="宋体" w:eastAsia="宋体" w:cs="宋体"/>
          <w:b w:val="0"/>
          <w:color w:val="auto"/>
          <w:sz w:val="24"/>
          <w:szCs w:val="24"/>
          <w:highlight w:val="none"/>
        </w:rPr>
        <w:t>14.3 甩项竣工协议</w:t>
      </w:r>
      <w:bookmarkEnd w:id="421"/>
    </w:p>
    <w:bookmarkEnd w:id="422"/>
    <w:p w14:paraId="1A133E3D">
      <w:pPr>
        <w:autoSpaceDE w:val="0"/>
        <w:autoSpaceDN w:val="0"/>
        <w:adjustRightInd w:val="0"/>
        <w:spacing w:line="312" w:lineRule="auto"/>
        <w:ind w:firstLine="470" w:firstLineChars="196"/>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发包人要求甩项竣工的，合同当事人应签订甩项竣工协议。在甩项竣工协议中应明确，合同当事人按照第14.1款〔竣工结算申请〕及14.2款〔竣工结算审核〕的约定，对已完合格工程进行结算，并支付相应合同价款。</w:t>
      </w:r>
    </w:p>
    <w:p w14:paraId="2ECA0D33">
      <w:pPr>
        <w:pStyle w:val="6"/>
        <w:spacing w:before="120" w:after="120" w:line="312" w:lineRule="auto"/>
        <w:ind w:firstLine="480" w:firstLineChars="200"/>
        <w:rPr>
          <w:rFonts w:ascii="宋体" w:hAnsi="宋体" w:eastAsia="宋体" w:cs="宋体"/>
          <w:b w:val="0"/>
          <w:color w:val="auto"/>
          <w:sz w:val="24"/>
          <w:szCs w:val="24"/>
          <w:highlight w:val="none"/>
        </w:rPr>
      </w:pPr>
      <w:bookmarkStart w:id="423" w:name="_Toc351203597"/>
      <w:bookmarkStart w:id="424" w:name="_Toc337558814"/>
      <w:r>
        <w:rPr>
          <w:rFonts w:hint="eastAsia" w:ascii="宋体" w:hAnsi="宋体" w:eastAsia="宋体" w:cs="宋体"/>
          <w:b w:val="0"/>
          <w:color w:val="auto"/>
          <w:sz w:val="24"/>
          <w:szCs w:val="24"/>
          <w:highlight w:val="none"/>
        </w:rPr>
        <w:t>14.4 最终结清</w:t>
      </w:r>
      <w:bookmarkEnd w:id="423"/>
    </w:p>
    <w:bookmarkEnd w:id="424"/>
    <w:p w14:paraId="373BA35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14.4.1 最终结清申请单</w:t>
      </w:r>
    </w:p>
    <w:p w14:paraId="05EDD34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（1）除专用合同条款另有约定外，承包人应在缺陷责任期终止证书颁发后7天内，按专用合同条款约定的份数向发包人提交最终结清申请单，并提供相关证明材料。</w:t>
      </w:r>
    </w:p>
    <w:p w14:paraId="62202C63">
      <w:pP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除专用合同条款另有约定外，</w:t>
      </w:r>
      <w:r>
        <w:rPr>
          <w:rFonts w:hint="eastAsia" w:ascii="宋体" w:hAnsi="宋体" w:eastAsia="宋体" w:cs="宋体"/>
          <w:color w:val="auto"/>
          <w:kern w:val="0"/>
          <w:sz w:val="24"/>
          <w:highlight w:val="none"/>
        </w:rPr>
        <w:t>最终结清申请单</w:t>
      </w:r>
      <w:r>
        <w:rPr>
          <w:rFonts w:hint="eastAsia" w:ascii="宋体" w:hAnsi="宋体" w:eastAsia="宋体" w:cs="宋体"/>
          <w:color w:val="auto"/>
          <w:sz w:val="24"/>
          <w:highlight w:val="none"/>
        </w:rPr>
        <w:t>应列明质量保证金、应扣除的质量保证金、缺陷责任期内发生的增减费用。</w:t>
      </w:r>
    </w:p>
    <w:p w14:paraId="71E0EBC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（2）发包人对最终结清申请单内容有异议的，有权要求承包人进行修正和提供补充资料，承包人应向发包人提交修正后的最终结清申请单。</w:t>
      </w:r>
    </w:p>
    <w:p w14:paraId="4B57774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14.4.2 最终结清证书和支付</w:t>
      </w:r>
    </w:p>
    <w:p w14:paraId="1EDBF08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14:paraId="1B79D88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7B64FAF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（3）承包人对发包人颁发的最终结清证书有异议的，按第20条〔争议解决〕的约定办理。</w:t>
      </w:r>
    </w:p>
    <w:p w14:paraId="22BC5657">
      <w:pPr>
        <w:pStyle w:val="5"/>
        <w:spacing w:before="120" w:after="120" w:line="312" w:lineRule="auto"/>
        <w:rPr>
          <w:rFonts w:ascii="宋体" w:hAnsi="宋体" w:eastAsia="宋体" w:cs="宋体"/>
          <w:b w:val="0"/>
          <w:color w:val="auto"/>
          <w:sz w:val="24"/>
          <w:szCs w:val="24"/>
          <w:highlight w:val="none"/>
        </w:rPr>
      </w:pPr>
      <w:bookmarkStart w:id="425" w:name="_Toc351203598"/>
      <w:bookmarkStart w:id="426" w:name="_Toc337558815"/>
      <w:r>
        <w:rPr>
          <w:rFonts w:hint="eastAsia" w:ascii="宋体" w:hAnsi="宋体" w:eastAsia="宋体" w:cs="宋体"/>
          <w:b w:val="0"/>
          <w:color w:val="auto"/>
          <w:sz w:val="24"/>
          <w:szCs w:val="24"/>
          <w:highlight w:val="none"/>
        </w:rPr>
        <w:t>15. 缺陷责任与保修</w:t>
      </w:r>
      <w:bookmarkEnd w:id="425"/>
    </w:p>
    <w:bookmarkEnd w:id="415"/>
    <w:bookmarkEnd w:id="416"/>
    <w:bookmarkEnd w:id="426"/>
    <w:p w14:paraId="7B7400E9">
      <w:pPr>
        <w:pStyle w:val="6"/>
        <w:spacing w:before="120" w:after="120" w:line="312" w:lineRule="auto"/>
        <w:ind w:firstLine="480" w:firstLineChars="200"/>
        <w:rPr>
          <w:rFonts w:ascii="宋体" w:hAnsi="宋体" w:eastAsia="宋体" w:cs="宋体"/>
          <w:b w:val="0"/>
          <w:color w:val="auto"/>
          <w:sz w:val="24"/>
          <w:szCs w:val="24"/>
          <w:highlight w:val="none"/>
        </w:rPr>
      </w:pPr>
      <w:bookmarkStart w:id="427" w:name="_Toc351203599"/>
      <w:bookmarkStart w:id="428" w:name="_Toc337558816"/>
      <w:bookmarkStart w:id="429" w:name="_Toc296346615"/>
      <w:bookmarkStart w:id="430" w:name="_Toc296503114"/>
      <w:r>
        <w:rPr>
          <w:rFonts w:hint="eastAsia" w:ascii="宋体" w:hAnsi="宋体" w:eastAsia="宋体" w:cs="宋体"/>
          <w:b w:val="0"/>
          <w:color w:val="auto"/>
          <w:sz w:val="24"/>
          <w:szCs w:val="24"/>
          <w:highlight w:val="none"/>
        </w:rPr>
        <w:t>15.1 工程保修的原则</w:t>
      </w:r>
      <w:bookmarkEnd w:id="427"/>
    </w:p>
    <w:bookmarkEnd w:id="428"/>
    <w:p w14:paraId="19E7484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在工程移交发包人后，因承包人原因产生的质量缺陷，承包人应承担质量缺陷责任和保修义务。缺陷责任期届满，承包人仍应按合同约定的工程各部位保修年限承担保修义务。</w:t>
      </w:r>
    </w:p>
    <w:p w14:paraId="0FFDFA03">
      <w:pPr>
        <w:pStyle w:val="6"/>
        <w:spacing w:before="120" w:after="120" w:line="312" w:lineRule="auto"/>
        <w:ind w:firstLine="480" w:firstLineChars="200"/>
        <w:rPr>
          <w:rFonts w:ascii="宋体" w:hAnsi="宋体" w:eastAsia="宋体" w:cs="宋体"/>
          <w:b w:val="0"/>
          <w:color w:val="auto"/>
          <w:sz w:val="24"/>
          <w:szCs w:val="24"/>
          <w:highlight w:val="none"/>
        </w:rPr>
      </w:pPr>
      <w:bookmarkStart w:id="431" w:name="_Toc351203600"/>
      <w:bookmarkStart w:id="432" w:name="_Toc337558817"/>
      <w:r>
        <w:rPr>
          <w:rFonts w:hint="eastAsia" w:ascii="宋体" w:hAnsi="宋体" w:eastAsia="宋体" w:cs="宋体"/>
          <w:b w:val="0"/>
          <w:color w:val="auto"/>
          <w:sz w:val="24"/>
          <w:szCs w:val="24"/>
          <w:highlight w:val="none"/>
        </w:rPr>
        <w:t>15.2 缺陷责任期</w:t>
      </w:r>
      <w:bookmarkEnd w:id="429"/>
      <w:bookmarkEnd w:id="430"/>
      <w:bookmarkEnd w:id="431"/>
    </w:p>
    <w:bookmarkEnd w:id="432"/>
    <w:p w14:paraId="7FE931A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15.2.1 缺陷责任期自实际竣工日期起计算，合同当事人应在专用合同条款约定缺陷责任期的具体期限，但该期限最长不超过24个月。</w:t>
      </w:r>
    </w:p>
    <w:p w14:paraId="580D78E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单位工程先于全部工程进行验收，经验收合格并交付使用的，该单位工程缺陷责任期自单位工程验收合格之日起算。因发包人原因导致工程无法按合同约定期限进行竣工验收的，缺陷责任期自承包人提交竣工验收申请报告之日起开始计算；发包人未经竣工验收擅自使用工程的，缺陷责任期自工程转移占有之日起开始计算。</w:t>
      </w:r>
    </w:p>
    <w:p w14:paraId="244EF36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15.2.2 工程竣工验收合格后，因承包人原因导致的缺陷或损坏致使工程、单位工程或某项主要设备不能按原定目的使用的，则发包人有权要求承</w:t>
      </w:r>
      <w:r>
        <w:rPr>
          <w:rFonts w:hint="eastAsia" w:ascii="宋体" w:hAnsi="宋体" w:eastAsia="宋体" w:cs="宋体"/>
          <w:bCs/>
          <w:color w:val="auto"/>
          <w:sz w:val="24"/>
          <w:highlight w:val="none"/>
        </w:rPr>
        <w:t>包人延长缺陷责任期，</w:t>
      </w:r>
      <w:r>
        <w:rPr>
          <w:rFonts w:hint="eastAsia" w:ascii="宋体" w:hAnsi="宋体" w:eastAsia="宋体" w:cs="宋体"/>
          <w:color w:val="auto"/>
          <w:kern w:val="0"/>
          <w:sz w:val="24"/>
          <w:highlight w:val="none"/>
        </w:rPr>
        <w:t>并应在原缺陷责任期届满前发出延长通知，</w:t>
      </w:r>
      <w:r>
        <w:rPr>
          <w:rFonts w:hint="eastAsia" w:ascii="宋体" w:hAnsi="宋体" w:eastAsia="宋体" w:cs="宋体"/>
          <w:bCs/>
          <w:color w:val="auto"/>
          <w:sz w:val="24"/>
          <w:highlight w:val="none"/>
        </w:rPr>
        <w:t>但缺陷责任期最长</w:t>
      </w:r>
      <w:r>
        <w:rPr>
          <w:rFonts w:hint="eastAsia" w:ascii="宋体" w:hAnsi="宋体" w:eastAsia="宋体" w:cs="宋体"/>
          <w:color w:val="auto"/>
          <w:kern w:val="0"/>
          <w:sz w:val="24"/>
          <w:highlight w:val="none"/>
        </w:rPr>
        <w:t>不能超过24个月。</w:t>
      </w:r>
    </w:p>
    <w:p w14:paraId="1478552A">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15.2.3 任何一项缺陷或损坏修复后，经检查证明其影响了工程或工程设备的使用性能，承包人应重新进行合同约定的试验和试运行，试验和试运行的全部费用应由责任方承担。</w:t>
      </w:r>
    </w:p>
    <w:p w14:paraId="236ABD8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15.2.4 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w:t>
      </w:r>
    </w:p>
    <w:p w14:paraId="1B49A0F7">
      <w:pPr>
        <w:pStyle w:val="6"/>
        <w:spacing w:before="120" w:after="120" w:line="312" w:lineRule="auto"/>
        <w:ind w:firstLine="480" w:firstLineChars="200"/>
        <w:rPr>
          <w:rFonts w:hint="default" w:ascii="宋体" w:hAnsi="宋体" w:eastAsia="宋体" w:cs="宋体"/>
          <w:b w:val="0"/>
          <w:color w:val="auto"/>
          <w:sz w:val="24"/>
          <w:szCs w:val="24"/>
          <w:highlight w:val="none"/>
          <w:lang w:val="en-US" w:eastAsia="zh-CN"/>
        </w:rPr>
      </w:pPr>
      <w:bookmarkStart w:id="433" w:name="_Toc351203601"/>
      <w:bookmarkStart w:id="434" w:name="_Toc337558818"/>
      <w:bookmarkStart w:id="435" w:name="_Toc296503115"/>
      <w:bookmarkStart w:id="436" w:name="_Toc296346616"/>
      <w:r>
        <w:rPr>
          <w:rFonts w:hint="eastAsia" w:ascii="宋体" w:hAnsi="宋体" w:eastAsia="宋体" w:cs="宋体"/>
          <w:b w:val="0"/>
          <w:color w:val="auto"/>
          <w:sz w:val="24"/>
          <w:szCs w:val="24"/>
          <w:highlight w:val="none"/>
        </w:rPr>
        <w:t>15.3 质量保证金</w:t>
      </w:r>
      <w:bookmarkEnd w:id="433"/>
      <w:r>
        <w:rPr>
          <w:rFonts w:hint="eastAsia" w:ascii="宋体" w:hAnsi="宋体" w:cs="宋体"/>
          <w:b w:val="0"/>
          <w:color w:val="auto"/>
          <w:sz w:val="24"/>
          <w:szCs w:val="24"/>
          <w:highlight w:val="none"/>
          <w:lang w:eastAsia="zh-CN"/>
        </w:rPr>
        <w:t>（</w:t>
      </w:r>
      <w:r>
        <w:rPr>
          <w:rFonts w:hint="eastAsia" w:ascii="宋体" w:hAnsi="宋体" w:cs="宋体"/>
          <w:b w:val="0"/>
          <w:color w:val="auto"/>
          <w:sz w:val="24"/>
          <w:szCs w:val="24"/>
          <w:highlight w:val="none"/>
          <w:lang w:val="en-US" w:eastAsia="zh-CN"/>
        </w:rPr>
        <w:t>如有）</w:t>
      </w:r>
    </w:p>
    <w:bookmarkEnd w:id="434"/>
    <w:p w14:paraId="5A9C41D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经合同当事人协商一致扣留质量保证金的，应在专用合同条款中予以明确。</w:t>
      </w:r>
    </w:p>
    <w:p w14:paraId="1B7A6CA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15.3.1 承包人提供质量保证金的方式</w:t>
      </w:r>
    </w:p>
    <w:p w14:paraId="24BA16D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承包人提供质量保证金有以下三种方式：</w:t>
      </w:r>
    </w:p>
    <w:p w14:paraId="1F936C6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（1）质量保证金保函； </w:t>
      </w:r>
    </w:p>
    <w:p w14:paraId="02CBF29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（2）相应比例的工程款；</w:t>
      </w:r>
    </w:p>
    <w:p w14:paraId="5AC80AC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（3）双方约定的其他方式。</w:t>
      </w:r>
    </w:p>
    <w:p w14:paraId="407BE36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除专用合同条款另有约定外，质量保证金原则上采用上述第（1）种方式。</w:t>
      </w:r>
    </w:p>
    <w:p w14:paraId="3728C107">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15.3.2 质量保证金的扣留</w:t>
      </w:r>
    </w:p>
    <w:p w14:paraId="4DACD92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质量保证金的扣留有以下三种方式：</w:t>
      </w:r>
    </w:p>
    <w:p w14:paraId="0F67B68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（1）在支付工程进度款时逐次扣留，在此情形下，质量保证金的计算基数不包括预付款的支付、扣回以及价格调整的金额；</w:t>
      </w:r>
    </w:p>
    <w:p w14:paraId="27D55748">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（2）工</w:t>
      </w:r>
      <w:bookmarkStart w:id="437" w:name="#go6"/>
      <w:bookmarkEnd w:id="437"/>
      <w:r>
        <w:rPr>
          <w:rFonts w:hint="eastAsia" w:ascii="宋体" w:hAnsi="宋体" w:eastAsia="宋体" w:cs="宋体"/>
          <w:color w:val="auto"/>
          <w:kern w:val="0"/>
          <w:sz w:val="24"/>
          <w:highlight w:val="none"/>
        </w:rPr>
        <w:t>程竣工结算时一次性扣留质量保证金；</w:t>
      </w:r>
    </w:p>
    <w:p w14:paraId="6D36CA8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（3）双方约定的其他扣留方式。</w:t>
      </w:r>
    </w:p>
    <w:p w14:paraId="4B84454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除专用合同条款另有约定外，质量保证金的扣留原则上采用上述第（1）种方式。</w:t>
      </w:r>
    </w:p>
    <w:p w14:paraId="1758E1F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w:t>
      </w:r>
      <w:bookmarkStart w:id="438" w:name="#go4"/>
      <w:bookmarkEnd w:id="438"/>
      <w:r>
        <w:rPr>
          <w:rFonts w:hint="eastAsia" w:ascii="宋体" w:hAnsi="宋体" w:eastAsia="宋体" w:cs="宋体"/>
          <w:color w:val="auto"/>
          <w:kern w:val="0"/>
          <w:sz w:val="24"/>
          <w:highlight w:val="none"/>
        </w:rPr>
        <w:t>包人累计扣留的质量保证金不得超过结算合同价格的5%，如承包人在发包人签发竣工付款证书后28天内提交质量保证金保函，发包人应同时退还扣留的作为质量保证金的工程价款。</w:t>
      </w:r>
    </w:p>
    <w:p w14:paraId="13BC876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15.3.3 </w:t>
      </w:r>
      <w:r>
        <w:rPr>
          <w:rFonts w:hint="eastAsia" w:ascii="宋体" w:hAnsi="宋体" w:eastAsia="宋体" w:cs="宋体"/>
          <w:color w:val="auto"/>
          <w:sz w:val="24"/>
          <w:highlight w:val="none"/>
        </w:rPr>
        <w:t>质量保证金</w:t>
      </w:r>
      <w:r>
        <w:rPr>
          <w:rFonts w:hint="eastAsia" w:ascii="宋体" w:hAnsi="宋体" w:eastAsia="宋体" w:cs="宋体"/>
          <w:color w:val="auto"/>
          <w:kern w:val="0"/>
          <w:sz w:val="24"/>
          <w:highlight w:val="none"/>
        </w:rPr>
        <w:t>的退还</w:t>
      </w:r>
    </w:p>
    <w:p w14:paraId="02E675C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发包人应按14.4款〔最终结清〕的约定退还质量保证金。</w:t>
      </w:r>
    </w:p>
    <w:p w14:paraId="5ADDC477">
      <w:pPr>
        <w:pStyle w:val="6"/>
        <w:spacing w:before="120" w:after="120" w:line="312" w:lineRule="auto"/>
        <w:ind w:firstLine="480" w:firstLineChars="200"/>
        <w:rPr>
          <w:rFonts w:ascii="宋体" w:hAnsi="宋体" w:eastAsia="宋体" w:cs="宋体"/>
          <w:b w:val="0"/>
          <w:color w:val="auto"/>
          <w:sz w:val="24"/>
          <w:szCs w:val="24"/>
          <w:highlight w:val="none"/>
        </w:rPr>
      </w:pPr>
      <w:bookmarkStart w:id="439" w:name="_Toc351203602"/>
      <w:bookmarkStart w:id="440" w:name="_Toc337558819"/>
      <w:r>
        <w:rPr>
          <w:rFonts w:hint="eastAsia" w:ascii="宋体" w:hAnsi="宋体" w:eastAsia="宋体" w:cs="宋体"/>
          <w:b w:val="0"/>
          <w:color w:val="auto"/>
          <w:sz w:val="24"/>
          <w:szCs w:val="24"/>
          <w:highlight w:val="none"/>
        </w:rPr>
        <w:t>15.4 保修</w:t>
      </w:r>
      <w:bookmarkEnd w:id="439"/>
    </w:p>
    <w:bookmarkEnd w:id="435"/>
    <w:bookmarkEnd w:id="436"/>
    <w:bookmarkEnd w:id="440"/>
    <w:p w14:paraId="528BCAF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15.4.1保修责任</w:t>
      </w:r>
    </w:p>
    <w:p w14:paraId="0D1CDA50">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51E84E39">
      <w:pP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发包人未经竣工验收擅自使用工程的，保修期自</w:t>
      </w:r>
      <w:r>
        <w:rPr>
          <w:rFonts w:hint="eastAsia" w:ascii="宋体" w:hAnsi="宋体" w:eastAsia="宋体" w:cs="宋体"/>
          <w:color w:val="auto"/>
          <w:kern w:val="0"/>
          <w:sz w:val="24"/>
          <w:highlight w:val="none"/>
        </w:rPr>
        <w:t>转移占有之日起算</w:t>
      </w:r>
      <w:r>
        <w:rPr>
          <w:rFonts w:hint="eastAsia" w:ascii="宋体" w:hAnsi="宋体" w:eastAsia="宋体" w:cs="宋体"/>
          <w:color w:val="auto"/>
          <w:sz w:val="24"/>
          <w:highlight w:val="none"/>
        </w:rPr>
        <w:t>。</w:t>
      </w:r>
    </w:p>
    <w:p w14:paraId="4AA8823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15.4.2 修复费用</w:t>
      </w:r>
    </w:p>
    <w:p w14:paraId="4B5A7AC7">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保修期内，修复的费用按照以下约定处理：</w:t>
      </w:r>
    </w:p>
    <w:p w14:paraId="6C9E50D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（1）保修期内，因承包人原因造成工程的缺陷、损坏，承包人应负责修复，并承担修复的费用以及因工程的缺陷、损坏造成的人身伤害和财产损失；</w:t>
      </w:r>
    </w:p>
    <w:p w14:paraId="6A0B09E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（2）保修期内，因发包人使用不当造成工程的缺陷、损坏，可以委托承包人修复，但发包人应承担修复的费用，并支付承包人合理利润；</w:t>
      </w:r>
    </w:p>
    <w:p w14:paraId="2AFA6CF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（3）因其他原因造成工程的缺陷、损坏，可以委托承包人修复，发包人应承担修复的费用，并支付承包人合理的利润，因工程的缺陷、损坏造成的人身伤害和财产损失由责任方承担。</w:t>
      </w:r>
    </w:p>
    <w:p w14:paraId="18508A66">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15.4.3 修复通知</w:t>
      </w:r>
    </w:p>
    <w:p w14:paraId="42408D42">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3BD4FEBE">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15.4.4 未能修复</w:t>
      </w:r>
    </w:p>
    <w:p w14:paraId="240BCDA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480313F1">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15.4.5 承包人出入权</w:t>
      </w:r>
    </w:p>
    <w:p w14:paraId="3A14C14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06D5376B">
      <w:pPr>
        <w:pStyle w:val="5"/>
        <w:spacing w:before="120" w:after="120" w:line="312" w:lineRule="auto"/>
        <w:rPr>
          <w:rFonts w:ascii="宋体" w:hAnsi="宋体" w:eastAsia="宋体" w:cs="宋体"/>
          <w:b w:val="0"/>
          <w:color w:val="auto"/>
          <w:sz w:val="24"/>
          <w:szCs w:val="24"/>
          <w:highlight w:val="none"/>
        </w:rPr>
      </w:pPr>
      <w:bookmarkStart w:id="441" w:name="_Toc351203603"/>
      <w:bookmarkStart w:id="442" w:name="_Toc337558820"/>
      <w:r>
        <w:rPr>
          <w:rFonts w:hint="eastAsia" w:ascii="宋体" w:hAnsi="宋体" w:eastAsia="宋体" w:cs="宋体"/>
          <w:b w:val="0"/>
          <w:color w:val="auto"/>
          <w:sz w:val="24"/>
          <w:szCs w:val="24"/>
          <w:highlight w:val="none"/>
        </w:rPr>
        <w:t>16. 违约</w:t>
      </w:r>
      <w:bookmarkEnd w:id="441"/>
    </w:p>
    <w:bookmarkEnd w:id="442"/>
    <w:p w14:paraId="28225A69">
      <w:pPr>
        <w:pStyle w:val="6"/>
        <w:spacing w:before="120" w:after="120" w:line="312" w:lineRule="auto"/>
        <w:ind w:firstLine="480" w:firstLineChars="200"/>
        <w:rPr>
          <w:rFonts w:ascii="宋体" w:hAnsi="宋体" w:eastAsia="宋体" w:cs="宋体"/>
          <w:b w:val="0"/>
          <w:color w:val="auto"/>
          <w:sz w:val="24"/>
          <w:szCs w:val="24"/>
          <w:highlight w:val="none"/>
        </w:rPr>
      </w:pPr>
      <w:bookmarkStart w:id="443" w:name="_Toc296346630"/>
      <w:bookmarkStart w:id="444" w:name="_Toc296503129"/>
      <w:bookmarkStart w:id="445" w:name="_Toc351203604"/>
      <w:bookmarkStart w:id="446" w:name="_Toc337558821"/>
      <w:r>
        <w:rPr>
          <w:rFonts w:hint="eastAsia" w:ascii="宋体" w:hAnsi="宋体" w:eastAsia="宋体" w:cs="宋体"/>
          <w:b w:val="0"/>
          <w:color w:val="auto"/>
          <w:sz w:val="24"/>
          <w:szCs w:val="24"/>
          <w:highlight w:val="none"/>
        </w:rPr>
        <w:t>16.1 发</w:t>
      </w:r>
      <w:bookmarkEnd w:id="443"/>
      <w:bookmarkEnd w:id="444"/>
      <w:r>
        <w:rPr>
          <w:rFonts w:hint="eastAsia" w:ascii="宋体" w:hAnsi="宋体" w:eastAsia="宋体" w:cs="宋体"/>
          <w:b w:val="0"/>
          <w:color w:val="auto"/>
          <w:sz w:val="24"/>
          <w:szCs w:val="24"/>
          <w:highlight w:val="none"/>
        </w:rPr>
        <w:t>包人违约</w:t>
      </w:r>
      <w:bookmarkEnd w:id="445"/>
    </w:p>
    <w:bookmarkEnd w:id="446"/>
    <w:p w14:paraId="49B2F33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16.1.1 发包人违约的情形</w:t>
      </w:r>
    </w:p>
    <w:p w14:paraId="7D28ED78">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在合同履行过程中发生的下列情形，属于发包人违约：</w:t>
      </w:r>
    </w:p>
    <w:p w14:paraId="491F045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（1）因发包人原因未能在计划开工日期前7天内下达开工通知的；</w:t>
      </w:r>
    </w:p>
    <w:p w14:paraId="6A3D756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（2）因发包人原因未能按合同约定支付合同价款的；</w:t>
      </w:r>
    </w:p>
    <w:p w14:paraId="12A6A48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（3）发包人违反第10.1款〔变更的范围〕第（2）项约定，自行实施被取消的工作或转由他人实施的；</w:t>
      </w:r>
    </w:p>
    <w:p w14:paraId="2E7D7217">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（4）发包人提供的材料、工程设备的规格、数量或质量不符合合同约定，或因发包人原因导致交货日期延误或交货地点变更等情况的；</w:t>
      </w:r>
    </w:p>
    <w:p w14:paraId="174BC93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（5）因发包人违反合同约定造成暂停施工的；</w:t>
      </w:r>
    </w:p>
    <w:p w14:paraId="1106BCC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（6）发包人无正当理由没有在约定期限内发出复工指示，导致承包人无法复工的；</w:t>
      </w:r>
    </w:p>
    <w:p w14:paraId="34F15A0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（7）发包人明确表示或者以其行为表明不履行合同主要义务的；</w:t>
      </w:r>
    </w:p>
    <w:p w14:paraId="12CC541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（8）发包人未能按照合同约定履行其他义务的。</w:t>
      </w:r>
    </w:p>
    <w:p w14:paraId="1523B908">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02A3F79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16.1.2 发包人违约的责任</w:t>
      </w:r>
    </w:p>
    <w:p w14:paraId="05A70BC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发包人应承担因其违约给承包人增加的费用和（或）延误的工期，并支付承包人合理的利润。此外，合同当事人可在专用合同条款中另行约定发包人违约责任的承担方式和计算方法。</w:t>
      </w:r>
    </w:p>
    <w:p w14:paraId="441A2528">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16.1.3 因发包人违约解除合同</w:t>
      </w:r>
    </w:p>
    <w:p w14:paraId="2A06E3F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w:t>
      </w:r>
    </w:p>
    <w:p w14:paraId="0AD7BE06">
      <w:pP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16.1.4 因发包人违约解除合同后的付款</w:t>
      </w:r>
    </w:p>
    <w:p w14:paraId="5B1D74E1">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承包人按照本款约定解除合同的，发包人应在解除合同后28天内支付下列款项，并解除履约担保：</w:t>
      </w:r>
    </w:p>
    <w:p w14:paraId="09BBFA45">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（1）合同解除前所完成工作的价款；</w:t>
      </w:r>
    </w:p>
    <w:p w14:paraId="02DD959C">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（2）承包人为工程施工订购并已付款的材料、工程设备和其他物品的价款；</w:t>
      </w:r>
    </w:p>
    <w:p w14:paraId="42F6BB45">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（3）承包人撤离施工现场以及遣散承包人人员的款项；</w:t>
      </w:r>
    </w:p>
    <w:p w14:paraId="33BC9992">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（4）按照合同约定在合同解除前应支付的违约金；</w:t>
      </w:r>
    </w:p>
    <w:p w14:paraId="104EFAC2">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（5）按照合同约定应当支付给承包人的其他款项；</w:t>
      </w:r>
    </w:p>
    <w:p w14:paraId="7699471B">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（6）按照合同约定应退还的质量保证金；</w:t>
      </w:r>
    </w:p>
    <w:p w14:paraId="7820AB4A">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（7）因解除合同给承包人造成的损失。</w:t>
      </w:r>
    </w:p>
    <w:p w14:paraId="00E14815">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合同当事人未能就解除合同后的结清达成一致的，按照第20条〔争议解决〕的约定处理。</w:t>
      </w:r>
    </w:p>
    <w:p w14:paraId="661F4195">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承包人应妥善做好已完工程和与工程有关的已购材料、工程设备的保护和移交工作，并将施工设备和人员撤出施工现场，发包人应为承包人撤出提供必要条件。</w:t>
      </w:r>
    </w:p>
    <w:p w14:paraId="153EA368">
      <w:pPr>
        <w:pStyle w:val="6"/>
        <w:spacing w:before="120" w:after="120" w:line="312" w:lineRule="auto"/>
        <w:ind w:firstLine="480" w:firstLineChars="200"/>
        <w:rPr>
          <w:rFonts w:ascii="宋体" w:hAnsi="宋体" w:eastAsia="宋体" w:cs="宋体"/>
          <w:b w:val="0"/>
          <w:color w:val="auto"/>
          <w:sz w:val="24"/>
          <w:szCs w:val="24"/>
          <w:highlight w:val="none"/>
        </w:rPr>
      </w:pPr>
      <w:bookmarkStart w:id="447" w:name="_Toc351203605"/>
      <w:bookmarkStart w:id="448" w:name="_Toc296503131"/>
      <w:bookmarkStart w:id="449" w:name="_Toc337558822"/>
      <w:bookmarkStart w:id="450" w:name="_Toc296346632"/>
      <w:r>
        <w:rPr>
          <w:rFonts w:hint="eastAsia" w:ascii="宋体" w:hAnsi="宋体" w:eastAsia="宋体" w:cs="宋体"/>
          <w:b w:val="0"/>
          <w:color w:val="auto"/>
          <w:sz w:val="24"/>
          <w:szCs w:val="24"/>
          <w:highlight w:val="none"/>
        </w:rPr>
        <w:t>16.2 承包人违约</w:t>
      </w:r>
      <w:bookmarkEnd w:id="447"/>
    </w:p>
    <w:bookmarkEnd w:id="448"/>
    <w:bookmarkEnd w:id="449"/>
    <w:bookmarkEnd w:id="450"/>
    <w:p w14:paraId="53FFD297">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16.2.1 承包人违约的情形</w:t>
      </w:r>
    </w:p>
    <w:p w14:paraId="6D69CF3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在合同履行过程中发生的下列情形，属于承包人违约：</w:t>
      </w:r>
    </w:p>
    <w:p w14:paraId="3EB5ADA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（1）承包人违反合同约定进行转包或违法分包的；</w:t>
      </w:r>
    </w:p>
    <w:p w14:paraId="5F76CC9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（2）承包人违反合同约定采购和使用不合格的材料和工程设备的；</w:t>
      </w:r>
    </w:p>
    <w:p w14:paraId="2673334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（3）因承包人原因导致工程质量不符合合同要求的； </w:t>
      </w:r>
    </w:p>
    <w:p w14:paraId="0C40DB2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（4）承包人违反第8.9款〔材料与设备专用要求〕的约定，未经批准，私自将已按照合同约定进入施工现场的材料或设备撤离施工现场的；</w:t>
      </w:r>
    </w:p>
    <w:p w14:paraId="3B632179">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（5）承包人未能按施工进度计划及时完成合同约定的工作，造成工期延误的；</w:t>
      </w:r>
    </w:p>
    <w:p w14:paraId="74846C9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（6）承包人在缺陷责任期及保修期内，未能在合理期限对工程缺陷进行修复，或拒绝按发包人要求进行修复的；</w:t>
      </w:r>
    </w:p>
    <w:p w14:paraId="64F92BA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（7）承包人明确表示或者以其行为表明不履行合同主要义务的；</w:t>
      </w:r>
    </w:p>
    <w:p w14:paraId="51BAA8B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（8）承包人未能按照合同约定履行其他义务的。</w:t>
      </w:r>
    </w:p>
    <w:p w14:paraId="4711C5C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承包人发生除本项第（7）目约定以外的其他违约情况时，监理人可向承包人发出整改通知，要求其在指定的期限内改正。</w:t>
      </w:r>
    </w:p>
    <w:p w14:paraId="6B710EF3">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16.2.2 承包人违约的责任</w:t>
      </w:r>
    </w:p>
    <w:p w14:paraId="325F48C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承包人应承担因其违约行为而增加的费用和（或）延误的工期。此外，合同当事人可在专用合同条款中另行约定承包人违约责任的承担方式和计算方法。</w:t>
      </w:r>
    </w:p>
    <w:p w14:paraId="603D4F07">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16.2.3 因承包人违约解除合同</w:t>
      </w:r>
    </w:p>
    <w:p w14:paraId="2AAE7A1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14:paraId="638868C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16.2.4因承包人违约解除合同后的处理</w:t>
      </w:r>
    </w:p>
    <w:p w14:paraId="30C0021D">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因承包人原因导致合同解除的，则合同当事人应在合同解除后28天内完成估价、付款和清算，并按以下约定执行：</w:t>
      </w:r>
    </w:p>
    <w:p w14:paraId="10FBE9E8">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（1）合同解除后，按第4.4款〔商定或确定〕商定或确定承包人实际完成工作对应的合同价款，以及承包人已提供的材料、工程设备、施工设备和临时工程等的价值；</w:t>
      </w:r>
    </w:p>
    <w:p w14:paraId="2676A470">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（2）合同解除后，承包人应支付的违约金；</w:t>
      </w:r>
    </w:p>
    <w:p w14:paraId="71322FD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（3）合同解除后，因解除合同给发包人造成的损失；</w:t>
      </w:r>
    </w:p>
    <w:p w14:paraId="28E96917">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（4）合同解除后，承包人应按照发包人要求和监理人的指示完成现场的清理和撤离；</w:t>
      </w:r>
    </w:p>
    <w:p w14:paraId="7359DE21">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（5）发包人和承包人应在合同解除后进行清算，出具最终结清付款证书，结清全部款项。</w:t>
      </w:r>
    </w:p>
    <w:p w14:paraId="02A4E27F">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因承包人违约解除合同的，发包人有权暂停对承包人的付款，查清各项付款和已扣款项。发包人和承包人未能就合同解除后的清算和款项支付达成一致的，按照第20条〔争议解决〕的约定处理。</w:t>
      </w:r>
    </w:p>
    <w:p w14:paraId="0D40AB03">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16.2.5采购合同权益转让</w:t>
      </w:r>
    </w:p>
    <w:p w14:paraId="7A3F922A">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557F0E12">
      <w:pPr>
        <w:pStyle w:val="6"/>
        <w:spacing w:before="120" w:after="120" w:line="312" w:lineRule="auto"/>
        <w:ind w:firstLine="480" w:firstLineChars="200"/>
        <w:rPr>
          <w:rFonts w:ascii="宋体" w:hAnsi="宋体" w:eastAsia="宋体" w:cs="宋体"/>
          <w:b w:val="0"/>
          <w:color w:val="auto"/>
          <w:sz w:val="24"/>
          <w:szCs w:val="24"/>
          <w:highlight w:val="none"/>
        </w:rPr>
      </w:pPr>
      <w:bookmarkStart w:id="451" w:name="_Toc351203606"/>
      <w:r>
        <w:rPr>
          <w:rFonts w:hint="eastAsia" w:ascii="宋体" w:hAnsi="宋体" w:eastAsia="宋体" w:cs="宋体"/>
          <w:b w:val="0"/>
          <w:color w:val="auto"/>
          <w:sz w:val="24"/>
          <w:szCs w:val="24"/>
          <w:highlight w:val="none"/>
        </w:rPr>
        <w:t>16.3 第三人造成的违约</w:t>
      </w:r>
      <w:bookmarkEnd w:id="451"/>
    </w:p>
    <w:p w14:paraId="27406CA4">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在履行合同过程中，一方当事人因第三人的原因造成违约的，应当向对方当事人承担违约责任。一方当事人和第三人之间的纠纷，依照法律规定或者按照约定解决。</w:t>
      </w:r>
    </w:p>
    <w:p w14:paraId="3650F01B">
      <w:pPr>
        <w:pStyle w:val="5"/>
        <w:spacing w:before="120" w:after="120" w:line="312" w:lineRule="auto"/>
        <w:rPr>
          <w:rFonts w:ascii="宋体" w:hAnsi="宋体" w:eastAsia="宋体" w:cs="宋体"/>
          <w:b w:val="0"/>
          <w:color w:val="auto"/>
          <w:sz w:val="24"/>
          <w:szCs w:val="24"/>
          <w:highlight w:val="none"/>
        </w:rPr>
      </w:pPr>
      <w:bookmarkStart w:id="452" w:name="_Toc351203607"/>
      <w:bookmarkStart w:id="453" w:name="_Toc296503116"/>
      <w:bookmarkStart w:id="454" w:name="_Toc337558823"/>
      <w:bookmarkStart w:id="455" w:name="_Toc296346617"/>
      <w:r>
        <w:rPr>
          <w:rFonts w:hint="eastAsia" w:ascii="宋体" w:hAnsi="宋体" w:eastAsia="宋体" w:cs="宋体"/>
          <w:b w:val="0"/>
          <w:color w:val="auto"/>
          <w:sz w:val="24"/>
          <w:szCs w:val="24"/>
          <w:highlight w:val="none"/>
        </w:rPr>
        <w:t>17. 不可抗力</w:t>
      </w:r>
      <w:bookmarkEnd w:id="452"/>
      <w:r>
        <w:rPr>
          <w:rFonts w:hint="eastAsia" w:ascii="宋体" w:hAnsi="宋体" w:eastAsia="宋体" w:cs="宋体"/>
          <w:b w:val="0"/>
          <w:color w:val="auto"/>
          <w:sz w:val="24"/>
          <w:szCs w:val="24"/>
          <w:highlight w:val="none"/>
        </w:rPr>
        <w:t xml:space="preserve"> </w:t>
      </w:r>
      <w:bookmarkEnd w:id="453"/>
      <w:bookmarkEnd w:id="454"/>
      <w:bookmarkEnd w:id="455"/>
    </w:p>
    <w:p w14:paraId="1F981AAD">
      <w:pPr>
        <w:pStyle w:val="6"/>
        <w:spacing w:before="120" w:after="120" w:line="312" w:lineRule="auto"/>
        <w:ind w:firstLine="480" w:firstLineChars="200"/>
        <w:rPr>
          <w:rFonts w:ascii="宋体" w:hAnsi="宋体" w:eastAsia="宋体" w:cs="宋体"/>
          <w:b w:val="0"/>
          <w:color w:val="auto"/>
          <w:sz w:val="24"/>
          <w:szCs w:val="24"/>
          <w:highlight w:val="none"/>
        </w:rPr>
      </w:pPr>
      <w:bookmarkStart w:id="456" w:name="_Toc351203608"/>
      <w:bookmarkStart w:id="457" w:name="_Toc337558824"/>
      <w:bookmarkStart w:id="458" w:name="_Toc296503117"/>
      <w:bookmarkStart w:id="459" w:name="_Toc296346618"/>
      <w:r>
        <w:rPr>
          <w:rFonts w:hint="eastAsia" w:ascii="宋体" w:hAnsi="宋体" w:eastAsia="宋体" w:cs="宋体"/>
          <w:b w:val="0"/>
          <w:color w:val="auto"/>
          <w:sz w:val="24"/>
          <w:szCs w:val="24"/>
          <w:highlight w:val="none"/>
        </w:rPr>
        <w:t>17.1 不可抗力的确认</w:t>
      </w:r>
      <w:bookmarkEnd w:id="456"/>
    </w:p>
    <w:bookmarkEnd w:id="457"/>
    <w:bookmarkEnd w:id="458"/>
    <w:bookmarkEnd w:id="459"/>
    <w:p w14:paraId="09998C9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不可抗力是指合同当事人在签订合同时不可预见，在合同履行过程中不可避免且不能克服的自然灾害和社会性突发事件，如地震、海啸、瘟疫、骚乱、戒严、暴动、战争和专用合同条款中约定的其他情形。</w:t>
      </w:r>
    </w:p>
    <w:p w14:paraId="4D97C3C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p>
    <w:p w14:paraId="6B6F57C9">
      <w:pPr>
        <w:pStyle w:val="6"/>
        <w:spacing w:before="120" w:after="120" w:line="312" w:lineRule="auto"/>
        <w:ind w:firstLine="480" w:firstLineChars="200"/>
        <w:rPr>
          <w:rFonts w:ascii="宋体" w:hAnsi="宋体" w:eastAsia="宋体" w:cs="宋体"/>
          <w:b w:val="0"/>
          <w:color w:val="auto"/>
          <w:sz w:val="24"/>
          <w:szCs w:val="24"/>
          <w:highlight w:val="none"/>
        </w:rPr>
      </w:pPr>
      <w:bookmarkStart w:id="460" w:name="_Toc351203609"/>
      <w:bookmarkStart w:id="461" w:name="_Toc296346619"/>
      <w:bookmarkStart w:id="462" w:name="_Toc296503118"/>
      <w:bookmarkStart w:id="463" w:name="_Toc337558825"/>
      <w:r>
        <w:rPr>
          <w:rFonts w:hint="eastAsia" w:ascii="宋体" w:hAnsi="宋体" w:eastAsia="宋体" w:cs="宋体"/>
          <w:b w:val="0"/>
          <w:color w:val="auto"/>
          <w:sz w:val="24"/>
          <w:szCs w:val="24"/>
          <w:highlight w:val="none"/>
        </w:rPr>
        <w:t>17.2 不可抗力的通知</w:t>
      </w:r>
      <w:bookmarkEnd w:id="460"/>
    </w:p>
    <w:bookmarkEnd w:id="461"/>
    <w:bookmarkEnd w:id="462"/>
    <w:bookmarkEnd w:id="463"/>
    <w:p w14:paraId="5FDE465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合同一方当事人遇到不可抗力事件，使其履行合同义务受到阻碍时，应立即通知合同另一方当事人和监理人，书面说明不可抗力和受阻碍的详细情况，并提供必要的证明。</w:t>
      </w:r>
    </w:p>
    <w:p w14:paraId="3C78755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不可抗力持续发生的，合同一方当事人应及时向合同另一方当事人和监理人提交中间报告，说明不可抗力和履行合同受阻的情况，并于不可抗力事件结束后28天内提交最终报告及有关资料。</w:t>
      </w:r>
    </w:p>
    <w:p w14:paraId="74A72281">
      <w:pPr>
        <w:pStyle w:val="6"/>
        <w:spacing w:before="120" w:after="120" w:line="312" w:lineRule="auto"/>
        <w:ind w:firstLine="480" w:firstLineChars="200"/>
        <w:rPr>
          <w:rFonts w:ascii="宋体" w:hAnsi="宋体" w:eastAsia="宋体" w:cs="宋体"/>
          <w:b w:val="0"/>
          <w:color w:val="auto"/>
          <w:sz w:val="24"/>
          <w:szCs w:val="24"/>
          <w:highlight w:val="none"/>
        </w:rPr>
      </w:pPr>
      <w:bookmarkStart w:id="464" w:name="_Toc351203610"/>
      <w:bookmarkStart w:id="465" w:name="_Toc337558826"/>
      <w:bookmarkStart w:id="466" w:name="_Toc296503119"/>
      <w:bookmarkStart w:id="467" w:name="_Toc296346620"/>
      <w:r>
        <w:rPr>
          <w:rFonts w:hint="eastAsia" w:ascii="宋体" w:hAnsi="宋体" w:eastAsia="宋体" w:cs="宋体"/>
          <w:b w:val="0"/>
          <w:color w:val="auto"/>
          <w:sz w:val="24"/>
          <w:szCs w:val="24"/>
          <w:highlight w:val="none"/>
        </w:rPr>
        <w:t>17.3 不可抗力后果的承担</w:t>
      </w:r>
      <w:bookmarkEnd w:id="464"/>
    </w:p>
    <w:bookmarkEnd w:id="465"/>
    <w:bookmarkEnd w:id="466"/>
    <w:bookmarkEnd w:id="467"/>
    <w:p w14:paraId="4620A80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17.3.1 不可抗力引起的后果及造成的损失由合同当事人按照法律规定及合同约定各自承担。不可抗力发生前已完成的工程应当按照合同约定进行计量支付。</w:t>
      </w:r>
    </w:p>
    <w:p w14:paraId="3B5803D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17.3.2 不可抗力导致的人员伤亡、财产损失、费用增加和（或）工期延误等后果，由合同当事人按以下原则承担：</w:t>
      </w:r>
    </w:p>
    <w:p w14:paraId="240033C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（1）永久工程、已运至施工现场的材料和工程设备的损坏，以及因工程损坏造成的第三人人员伤亡和财产损失由发包人承担；</w:t>
      </w:r>
    </w:p>
    <w:p w14:paraId="753DB1A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（2）承包人施工设备的损坏由承包人承担；</w:t>
      </w:r>
    </w:p>
    <w:p w14:paraId="0F2F3F0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（3）发包人和承包人承担各自人员伤亡和财产的损失；</w:t>
      </w:r>
    </w:p>
    <w:p w14:paraId="562ECFF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（4）因不可抗力影响承包人履行合同约定的义务，已经引起或将引起工期延误的，应当顺延工期，由此导致承包人停工的费用损失由发包人和承包人合理分担，停工期间必须支付的工人工资由发包人承担；</w:t>
      </w:r>
    </w:p>
    <w:p w14:paraId="47FE601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（5）因不可抗力引起或将引起工期延误，发包人要求赶工的，由此增加的赶工费用由发包人承担；</w:t>
      </w:r>
    </w:p>
    <w:p w14:paraId="04275F5D">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（6）承包人在停工期间按照发包人要求照管、清理和修复工程的费用由发包人承担。</w:t>
      </w:r>
    </w:p>
    <w:p w14:paraId="4B289447">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不可抗力发生后，合同当事人均应采取措施尽量避免和减少损失的扩大，任何一方当事人没有采取有效措施导致损失扩大的，应对扩大的损失承担责任。</w:t>
      </w:r>
    </w:p>
    <w:p w14:paraId="56424D3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因合同一方迟延履行合同义务，在迟延履行期间遭遇不可抗力的，不免除其违约责任。</w:t>
      </w:r>
    </w:p>
    <w:p w14:paraId="37A897B8">
      <w:pPr>
        <w:pStyle w:val="6"/>
        <w:spacing w:before="120" w:after="120" w:line="312" w:lineRule="auto"/>
        <w:ind w:firstLine="480" w:firstLineChars="200"/>
        <w:rPr>
          <w:rFonts w:ascii="宋体" w:hAnsi="宋体" w:eastAsia="宋体" w:cs="宋体"/>
          <w:b w:val="0"/>
          <w:color w:val="auto"/>
          <w:sz w:val="24"/>
          <w:szCs w:val="24"/>
          <w:highlight w:val="none"/>
        </w:rPr>
      </w:pPr>
      <w:bookmarkStart w:id="468" w:name="_Toc351203611"/>
      <w:bookmarkStart w:id="469" w:name="_Toc337558827"/>
      <w:r>
        <w:rPr>
          <w:rFonts w:hint="eastAsia" w:ascii="宋体" w:hAnsi="宋体" w:eastAsia="宋体" w:cs="宋体"/>
          <w:b w:val="0"/>
          <w:color w:val="auto"/>
          <w:sz w:val="24"/>
          <w:szCs w:val="24"/>
          <w:highlight w:val="none"/>
        </w:rPr>
        <w:t>17.4 因不可抗力解除合同</w:t>
      </w:r>
      <w:bookmarkEnd w:id="468"/>
    </w:p>
    <w:bookmarkEnd w:id="469"/>
    <w:p w14:paraId="5505461A">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因不可抗力导致合同无法履行连续超过84天或累计超过140天的，发包人和承包人均有权解除合同。合同解除后，由双方当事人按照第4.4款〔商定或确定〕商定或确定发包人应支付的款项，该款项包括：</w:t>
      </w:r>
    </w:p>
    <w:p w14:paraId="34314C11">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（1）合同解除前承包人已完成工作的价款；</w:t>
      </w:r>
    </w:p>
    <w:p w14:paraId="6C485A19">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（2）承包人为工程订购的并已交付给承包人，或承包人有责任接受交付的材料、工程设备和其他物品的价款；</w:t>
      </w:r>
    </w:p>
    <w:p w14:paraId="11B926BC">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（3）发包人要求承包人退货或解除订货合同而产生的费用，或因不能退货或解除合同而产生的损失；</w:t>
      </w:r>
    </w:p>
    <w:p w14:paraId="0D352266">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（4）承包人撤离施工现场以及遣散承包人人员的费用；</w:t>
      </w:r>
    </w:p>
    <w:p w14:paraId="26D7321B">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（5）按照合同约定在合同解除前应支付给承包人的其他款项；</w:t>
      </w:r>
    </w:p>
    <w:p w14:paraId="47CF27D9">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（6）扣减承包人按照合同约定应向发包人支付的款项；</w:t>
      </w:r>
    </w:p>
    <w:p w14:paraId="21D3085B">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（7）双方商定或确定的其他款项。</w:t>
      </w:r>
    </w:p>
    <w:p w14:paraId="58CE471B">
      <w:pP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除专用合同条款另有约定外，合同解除后，发包人应在商定或确定上述款项后28天内完成上述款项的支付。</w:t>
      </w:r>
    </w:p>
    <w:p w14:paraId="650EB3FC">
      <w:pPr>
        <w:pStyle w:val="5"/>
        <w:spacing w:before="120" w:after="120" w:line="312" w:lineRule="auto"/>
        <w:rPr>
          <w:rFonts w:ascii="宋体" w:hAnsi="宋体" w:eastAsia="宋体" w:cs="宋体"/>
          <w:b w:val="0"/>
          <w:color w:val="auto"/>
          <w:sz w:val="24"/>
          <w:szCs w:val="24"/>
          <w:highlight w:val="none"/>
        </w:rPr>
      </w:pPr>
      <w:bookmarkStart w:id="470" w:name="_Toc351203612"/>
      <w:bookmarkStart w:id="471" w:name="_Toc337558828"/>
      <w:bookmarkStart w:id="472" w:name="_Toc296503120"/>
      <w:bookmarkStart w:id="473" w:name="_Toc296346621"/>
      <w:r>
        <w:rPr>
          <w:rFonts w:hint="eastAsia" w:ascii="宋体" w:hAnsi="宋体" w:eastAsia="宋体" w:cs="宋体"/>
          <w:b w:val="0"/>
          <w:color w:val="auto"/>
          <w:sz w:val="24"/>
          <w:szCs w:val="24"/>
          <w:highlight w:val="none"/>
        </w:rPr>
        <w:t>18. 保险</w:t>
      </w:r>
      <w:bookmarkEnd w:id="470"/>
    </w:p>
    <w:bookmarkEnd w:id="471"/>
    <w:bookmarkEnd w:id="472"/>
    <w:bookmarkEnd w:id="473"/>
    <w:p w14:paraId="502C34F2">
      <w:pPr>
        <w:pStyle w:val="6"/>
        <w:spacing w:before="120" w:after="120" w:line="312" w:lineRule="auto"/>
        <w:ind w:firstLine="480" w:firstLineChars="200"/>
        <w:rPr>
          <w:rFonts w:ascii="宋体" w:hAnsi="宋体" w:eastAsia="宋体" w:cs="宋体"/>
          <w:b w:val="0"/>
          <w:color w:val="auto"/>
          <w:sz w:val="24"/>
          <w:szCs w:val="24"/>
          <w:highlight w:val="none"/>
        </w:rPr>
      </w:pPr>
      <w:bookmarkStart w:id="474" w:name="_Toc351203613"/>
      <w:bookmarkStart w:id="475" w:name="_Toc337558829"/>
      <w:bookmarkStart w:id="476" w:name="_Toc296346622"/>
      <w:bookmarkStart w:id="477" w:name="_Toc296503121"/>
      <w:r>
        <w:rPr>
          <w:rFonts w:hint="eastAsia" w:ascii="宋体" w:hAnsi="宋体" w:eastAsia="宋体" w:cs="宋体"/>
          <w:b w:val="0"/>
          <w:color w:val="auto"/>
          <w:sz w:val="24"/>
          <w:szCs w:val="24"/>
          <w:highlight w:val="none"/>
        </w:rPr>
        <w:t>18.1 工程保险</w:t>
      </w:r>
      <w:bookmarkEnd w:id="474"/>
    </w:p>
    <w:bookmarkEnd w:id="475"/>
    <w:bookmarkEnd w:id="476"/>
    <w:bookmarkEnd w:id="477"/>
    <w:p w14:paraId="1BFCAFD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除专用合同条款另有约定外，发包人应投保建筑工程一切险或安装工程一切险；发包人委托承包人投保的，因投保产生的保险费和其他相关费用由发包人承担。</w:t>
      </w:r>
    </w:p>
    <w:p w14:paraId="053A64C7">
      <w:pPr>
        <w:pStyle w:val="6"/>
        <w:spacing w:before="120" w:after="120" w:line="312" w:lineRule="auto"/>
        <w:ind w:firstLine="480" w:firstLineChars="200"/>
        <w:rPr>
          <w:rFonts w:ascii="宋体" w:hAnsi="宋体" w:eastAsia="宋体" w:cs="宋体"/>
          <w:b w:val="0"/>
          <w:color w:val="auto"/>
          <w:sz w:val="24"/>
          <w:szCs w:val="24"/>
          <w:highlight w:val="none"/>
        </w:rPr>
      </w:pPr>
      <w:bookmarkStart w:id="478" w:name="_Toc351203614"/>
      <w:bookmarkStart w:id="479" w:name="_Toc296503122"/>
      <w:bookmarkStart w:id="480" w:name="_Toc337558830"/>
      <w:bookmarkStart w:id="481" w:name="_Toc296346623"/>
      <w:r>
        <w:rPr>
          <w:rFonts w:hint="eastAsia" w:ascii="宋体" w:hAnsi="宋体" w:eastAsia="宋体" w:cs="宋体"/>
          <w:b w:val="0"/>
          <w:color w:val="auto"/>
          <w:sz w:val="24"/>
          <w:szCs w:val="24"/>
          <w:highlight w:val="none"/>
        </w:rPr>
        <w:t>18.2 工伤保险</w:t>
      </w:r>
      <w:bookmarkEnd w:id="478"/>
    </w:p>
    <w:bookmarkEnd w:id="479"/>
    <w:bookmarkEnd w:id="480"/>
    <w:bookmarkEnd w:id="481"/>
    <w:p w14:paraId="7D072EB7">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18.2.1 发包人应依照法律规定参加工伤保险。</w:t>
      </w:r>
    </w:p>
    <w:p w14:paraId="4EFF934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18.2.2 承包人应依照法律规定参加工伤保险，并为其履行合同的全部员工办理工伤保险，缴纳工伤保险费，并要求分包人及由承包人为履行合同聘请的第三方依法参加工伤保险。</w:t>
      </w:r>
    </w:p>
    <w:p w14:paraId="19A904AC">
      <w:pPr>
        <w:pStyle w:val="6"/>
        <w:spacing w:before="120" w:after="120" w:line="312" w:lineRule="auto"/>
        <w:ind w:firstLine="480" w:firstLineChars="200"/>
        <w:rPr>
          <w:rFonts w:ascii="宋体" w:hAnsi="宋体" w:eastAsia="宋体" w:cs="宋体"/>
          <w:b w:val="0"/>
          <w:color w:val="auto"/>
          <w:sz w:val="24"/>
          <w:szCs w:val="24"/>
          <w:highlight w:val="none"/>
        </w:rPr>
      </w:pPr>
      <w:bookmarkStart w:id="482" w:name="_Toc351203615"/>
      <w:bookmarkStart w:id="483" w:name="_Toc296503125"/>
      <w:bookmarkStart w:id="484" w:name="_Toc337558831"/>
      <w:bookmarkStart w:id="485" w:name="_Toc296346626"/>
      <w:r>
        <w:rPr>
          <w:rFonts w:hint="eastAsia" w:ascii="宋体" w:hAnsi="宋体" w:eastAsia="宋体" w:cs="宋体"/>
          <w:b w:val="0"/>
          <w:color w:val="auto"/>
          <w:sz w:val="24"/>
          <w:szCs w:val="24"/>
          <w:highlight w:val="none"/>
        </w:rPr>
        <w:t>18.3其他保险</w:t>
      </w:r>
      <w:bookmarkEnd w:id="482"/>
    </w:p>
    <w:bookmarkEnd w:id="483"/>
    <w:bookmarkEnd w:id="484"/>
    <w:bookmarkEnd w:id="485"/>
    <w:p w14:paraId="46B11752">
      <w:pP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发包人和承包人可以为其施工现场的全部人员办理意外伤害保险并支付保险费，包括其员工及为履行合同聘请的第三方的人员，具体事项由合同当事人在专用合同条款约定。</w:t>
      </w:r>
    </w:p>
    <w:p w14:paraId="6157DE44">
      <w:pP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除专用合同条款另有约定外，承包人应为其施工设备等办理财产保险。</w:t>
      </w:r>
    </w:p>
    <w:p w14:paraId="61B3C53D">
      <w:pPr>
        <w:pStyle w:val="6"/>
        <w:spacing w:before="120" w:after="120" w:line="312" w:lineRule="auto"/>
        <w:ind w:firstLine="480" w:firstLineChars="200"/>
        <w:rPr>
          <w:rFonts w:ascii="宋体" w:hAnsi="宋体" w:eastAsia="宋体" w:cs="宋体"/>
          <w:b w:val="0"/>
          <w:color w:val="auto"/>
          <w:sz w:val="24"/>
          <w:szCs w:val="24"/>
          <w:highlight w:val="none"/>
        </w:rPr>
      </w:pPr>
      <w:bookmarkStart w:id="486" w:name="_Toc351203616"/>
      <w:r>
        <w:rPr>
          <w:rFonts w:hint="eastAsia" w:ascii="宋体" w:hAnsi="宋体" w:eastAsia="宋体" w:cs="宋体"/>
          <w:b w:val="0"/>
          <w:color w:val="auto"/>
          <w:sz w:val="24"/>
          <w:szCs w:val="24"/>
          <w:highlight w:val="none"/>
        </w:rPr>
        <w:t>18.4持续保险</w:t>
      </w:r>
      <w:bookmarkEnd w:id="486"/>
    </w:p>
    <w:p w14:paraId="2E939C30">
      <w:pP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合同当事人应与保险人保持联系，使保险人能够随时了解工程实施中的变动，并确保按保险合同条款要求持续保险。</w:t>
      </w:r>
    </w:p>
    <w:p w14:paraId="080BAA26">
      <w:pPr>
        <w:pStyle w:val="6"/>
        <w:spacing w:before="120" w:after="120" w:line="312" w:lineRule="auto"/>
        <w:ind w:firstLine="480" w:firstLineChars="200"/>
        <w:rPr>
          <w:rFonts w:ascii="宋体" w:hAnsi="宋体" w:eastAsia="宋体" w:cs="宋体"/>
          <w:b w:val="0"/>
          <w:color w:val="auto"/>
          <w:sz w:val="24"/>
          <w:szCs w:val="24"/>
          <w:highlight w:val="none"/>
        </w:rPr>
      </w:pPr>
      <w:bookmarkStart w:id="487" w:name="_Toc351203617"/>
      <w:bookmarkStart w:id="488" w:name="_Toc296503126"/>
      <w:bookmarkStart w:id="489" w:name="_Toc337558832"/>
      <w:bookmarkStart w:id="490" w:name="_Toc296346627"/>
      <w:r>
        <w:rPr>
          <w:rFonts w:hint="eastAsia" w:ascii="宋体" w:hAnsi="宋体" w:eastAsia="宋体" w:cs="宋体"/>
          <w:b w:val="0"/>
          <w:color w:val="auto"/>
          <w:sz w:val="24"/>
          <w:szCs w:val="24"/>
          <w:highlight w:val="none"/>
        </w:rPr>
        <w:t>18.5 保险凭证</w:t>
      </w:r>
      <w:bookmarkEnd w:id="487"/>
    </w:p>
    <w:bookmarkEnd w:id="488"/>
    <w:bookmarkEnd w:id="489"/>
    <w:bookmarkEnd w:id="490"/>
    <w:p w14:paraId="469A87BF">
      <w:pP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合同当事人应及时向另一方当事人提交其已投保的各项保险的凭证和保险单复印件。</w:t>
      </w:r>
    </w:p>
    <w:p w14:paraId="243A2E90">
      <w:pPr>
        <w:pStyle w:val="6"/>
        <w:spacing w:before="120" w:after="120" w:line="312" w:lineRule="auto"/>
        <w:ind w:firstLine="480" w:firstLineChars="200"/>
        <w:rPr>
          <w:rFonts w:ascii="宋体" w:hAnsi="宋体" w:eastAsia="宋体" w:cs="宋体"/>
          <w:b w:val="0"/>
          <w:color w:val="auto"/>
          <w:sz w:val="24"/>
          <w:szCs w:val="24"/>
          <w:highlight w:val="none"/>
        </w:rPr>
      </w:pPr>
      <w:bookmarkStart w:id="491" w:name="_Toc351203618"/>
      <w:bookmarkStart w:id="492" w:name="_Toc337558833"/>
      <w:bookmarkStart w:id="493" w:name="_Toc296346628"/>
      <w:bookmarkStart w:id="494" w:name="_Toc296503127"/>
      <w:r>
        <w:rPr>
          <w:rFonts w:hint="eastAsia" w:ascii="宋体" w:hAnsi="宋体" w:eastAsia="宋体" w:cs="宋体"/>
          <w:b w:val="0"/>
          <w:color w:val="auto"/>
          <w:sz w:val="24"/>
          <w:szCs w:val="24"/>
          <w:highlight w:val="none"/>
        </w:rPr>
        <w:t>18.6 未按约定投保的补救</w:t>
      </w:r>
      <w:bookmarkEnd w:id="491"/>
    </w:p>
    <w:bookmarkEnd w:id="492"/>
    <w:bookmarkEnd w:id="493"/>
    <w:bookmarkEnd w:id="494"/>
    <w:p w14:paraId="4E18C730">
      <w:pP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18.6.1发包人未按合同约定办理保险，或未能使保险持续有效的，则承包人可代为办理，所需费用由发包人承担。发包人未按合同约定办理保险，导致未能得到足额赔偿的，由发包人负责补足。</w:t>
      </w:r>
    </w:p>
    <w:p w14:paraId="1990C185">
      <w:pP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18.6.2承包人未按合同约定办理保险，或未能使保险持续有效的，则发包人可代为办理，所需费用由承包人承担。承包人未按合同约定办理保险，导致未能得到足额赔偿的，由承包人负责补足。</w:t>
      </w:r>
    </w:p>
    <w:p w14:paraId="182FE509">
      <w:pPr>
        <w:pStyle w:val="6"/>
        <w:spacing w:before="120" w:after="120" w:line="312" w:lineRule="auto"/>
        <w:ind w:firstLine="480" w:firstLineChars="200"/>
        <w:rPr>
          <w:rFonts w:ascii="宋体" w:hAnsi="宋体" w:eastAsia="宋体" w:cs="宋体"/>
          <w:b w:val="0"/>
          <w:color w:val="auto"/>
          <w:sz w:val="24"/>
          <w:szCs w:val="24"/>
          <w:highlight w:val="none"/>
        </w:rPr>
      </w:pPr>
      <w:bookmarkStart w:id="495" w:name="_Toc351203619"/>
      <w:bookmarkStart w:id="496" w:name="_Toc337558834"/>
      <w:r>
        <w:rPr>
          <w:rFonts w:hint="eastAsia" w:ascii="宋体" w:hAnsi="宋体" w:eastAsia="宋体" w:cs="宋体"/>
          <w:b w:val="0"/>
          <w:color w:val="auto"/>
          <w:sz w:val="24"/>
          <w:szCs w:val="24"/>
          <w:highlight w:val="none"/>
        </w:rPr>
        <w:t>18.7 通知义务</w:t>
      </w:r>
      <w:bookmarkEnd w:id="495"/>
    </w:p>
    <w:bookmarkEnd w:id="496"/>
    <w:p w14:paraId="633EAEEC">
      <w:pP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除专用合同条款另有约定外，发包人变更除工伤保险之外的保险合同时，应事先征得承包人同意，并通知监理人；承包人变更除工伤保险之外的保险合同时，应事先征得发包人同意，并通知监理人。</w:t>
      </w:r>
    </w:p>
    <w:p w14:paraId="6DC07DA4">
      <w:pP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保险事故发生时，投保人应按照保险合同规定的条件和期限及时向保险人报告。发包人和承包人应当在知道保险事故发生后及时通知对方。</w:t>
      </w:r>
    </w:p>
    <w:p w14:paraId="3F4F196D">
      <w:pPr>
        <w:pStyle w:val="5"/>
        <w:spacing w:before="120" w:after="120" w:line="312" w:lineRule="auto"/>
        <w:rPr>
          <w:rFonts w:ascii="宋体" w:hAnsi="宋体" w:eastAsia="宋体" w:cs="宋体"/>
          <w:b w:val="0"/>
          <w:color w:val="auto"/>
          <w:sz w:val="24"/>
          <w:szCs w:val="24"/>
          <w:highlight w:val="none"/>
        </w:rPr>
      </w:pPr>
      <w:bookmarkStart w:id="497" w:name="_Toc351203620"/>
      <w:bookmarkStart w:id="498" w:name="_Toc296346641"/>
      <w:bookmarkStart w:id="499" w:name="_Toc296503140"/>
      <w:bookmarkStart w:id="500" w:name="_Toc337558835"/>
      <w:r>
        <w:rPr>
          <w:rFonts w:hint="eastAsia" w:ascii="宋体" w:hAnsi="宋体" w:eastAsia="宋体" w:cs="宋体"/>
          <w:b w:val="0"/>
          <w:color w:val="auto"/>
          <w:sz w:val="24"/>
          <w:szCs w:val="24"/>
          <w:highlight w:val="none"/>
        </w:rPr>
        <w:t>19. 索赔</w:t>
      </w:r>
      <w:bookmarkEnd w:id="497"/>
    </w:p>
    <w:bookmarkEnd w:id="498"/>
    <w:bookmarkEnd w:id="499"/>
    <w:bookmarkEnd w:id="500"/>
    <w:p w14:paraId="4BBC8128">
      <w:pPr>
        <w:pStyle w:val="6"/>
        <w:spacing w:before="120" w:after="120" w:line="312" w:lineRule="auto"/>
        <w:ind w:firstLine="480" w:firstLineChars="200"/>
        <w:rPr>
          <w:rFonts w:ascii="宋体" w:hAnsi="宋体" w:eastAsia="宋体" w:cs="宋体"/>
          <w:b w:val="0"/>
          <w:color w:val="auto"/>
          <w:sz w:val="24"/>
          <w:szCs w:val="24"/>
          <w:highlight w:val="none"/>
        </w:rPr>
      </w:pPr>
      <w:bookmarkStart w:id="501" w:name="_Toc351203621"/>
      <w:bookmarkStart w:id="502" w:name="_Toc296503141"/>
      <w:bookmarkStart w:id="503" w:name="_Toc337558836"/>
      <w:bookmarkStart w:id="504" w:name="_Toc296346642"/>
      <w:r>
        <w:rPr>
          <w:rFonts w:hint="eastAsia" w:ascii="宋体" w:hAnsi="宋体" w:eastAsia="宋体" w:cs="宋体"/>
          <w:b w:val="0"/>
          <w:color w:val="auto"/>
          <w:sz w:val="24"/>
          <w:szCs w:val="24"/>
          <w:highlight w:val="none"/>
        </w:rPr>
        <w:t>19.1承包人的索赔</w:t>
      </w:r>
      <w:bookmarkEnd w:id="501"/>
    </w:p>
    <w:bookmarkEnd w:id="502"/>
    <w:bookmarkEnd w:id="503"/>
    <w:bookmarkEnd w:id="504"/>
    <w:p w14:paraId="70A8889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根据合同约定，承包人认为有权得到追加付款和（或）延长工期的，应按以下程序向发包人提出索赔：</w:t>
      </w:r>
    </w:p>
    <w:p w14:paraId="0E07356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3E6871CB">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（2）承包人应在发出索赔意向通知书后28天内，向监理人正式递交索赔报告；索赔报告应详细说明索赔理由以及要求追加的付款金额和（或）延长的工期，并附必要的记录和证明材料；</w:t>
      </w:r>
    </w:p>
    <w:p w14:paraId="061909E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（3）索赔事件具有持续影响的，承包人应按合理时间间隔继续递交延续索赔通知，说明持续影响的实际情况和记录，列出累计的追加付款金额和（或）工期延长天数；</w:t>
      </w:r>
    </w:p>
    <w:p w14:paraId="05D4DD6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（4）在索赔事件影响结束后28天内，承包人应向监理人递交最终索赔报告，说明最终要求索赔的追加付款金额和（或）延长的工期，并附必要的记录和证明材料。</w:t>
      </w:r>
    </w:p>
    <w:p w14:paraId="2B4F0773">
      <w:pPr>
        <w:pStyle w:val="6"/>
        <w:spacing w:before="120" w:after="120" w:line="312" w:lineRule="auto"/>
        <w:ind w:firstLine="480" w:firstLineChars="200"/>
        <w:rPr>
          <w:rFonts w:ascii="宋体" w:hAnsi="宋体" w:eastAsia="宋体" w:cs="宋体"/>
          <w:b w:val="0"/>
          <w:color w:val="auto"/>
          <w:sz w:val="24"/>
          <w:szCs w:val="24"/>
          <w:highlight w:val="none"/>
        </w:rPr>
      </w:pPr>
      <w:bookmarkStart w:id="505" w:name="_Toc351203622"/>
      <w:bookmarkStart w:id="506" w:name="_Toc296503142"/>
      <w:bookmarkStart w:id="507" w:name="_Toc296346643"/>
      <w:bookmarkStart w:id="508" w:name="_Toc337558837"/>
      <w:r>
        <w:rPr>
          <w:rFonts w:hint="eastAsia" w:ascii="宋体" w:hAnsi="宋体" w:eastAsia="宋体" w:cs="宋体"/>
          <w:b w:val="0"/>
          <w:color w:val="auto"/>
          <w:sz w:val="24"/>
          <w:szCs w:val="24"/>
          <w:highlight w:val="none"/>
        </w:rPr>
        <w:t>19.2 对承包人索赔的处理</w:t>
      </w:r>
      <w:bookmarkEnd w:id="505"/>
    </w:p>
    <w:bookmarkEnd w:id="506"/>
    <w:bookmarkEnd w:id="507"/>
    <w:bookmarkEnd w:id="508"/>
    <w:p w14:paraId="2D40D500">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对承包人索赔的处理如下：</w:t>
      </w:r>
    </w:p>
    <w:p w14:paraId="6C07A52E">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（1）监理人应在收到索赔报告后14天内完成审查并报送发包人。监理人对索赔报告存在异议的，有权要求承包人提交全部原始记录副本；</w:t>
      </w:r>
    </w:p>
    <w:p w14:paraId="7D274F8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（2）发包人应在监理人收到索赔报告或有关索赔的进一步证明材料后的28天内，由监理人向承包人出具经发包人签认的索赔处理结果。发包人逾期答复的，则视为认可承包人的索赔要求；</w:t>
      </w:r>
    </w:p>
    <w:p w14:paraId="73B142C1">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（3）承包人接受索赔处理结果的，索赔款项在当期进度款中进行支付；承包人不接受索赔处理结果的，按照第20条〔争议解决〕约定处理。</w:t>
      </w:r>
    </w:p>
    <w:p w14:paraId="03B46DF3">
      <w:pPr>
        <w:pStyle w:val="6"/>
        <w:spacing w:before="120" w:after="120" w:line="312" w:lineRule="auto"/>
        <w:ind w:firstLine="480" w:firstLineChars="200"/>
        <w:rPr>
          <w:rFonts w:ascii="宋体" w:hAnsi="宋体" w:eastAsia="宋体" w:cs="宋体"/>
          <w:b w:val="0"/>
          <w:color w:val="auto"/>
          <w:sz w:val="24"/>
          <w:szCs w:val="24"/>
          <w:highlight w:val="none"/>
        </w:rPr>
      </w:pPr>
      <w:bookmarkStart w:id="509" w:name="_Toc351203623"/>
      <w:bookmarkStart w:id="510" w:name="_Toc337558838"/>
      <w:bookmarkStart w:id="511" w:name="_Toc296503143"/>
      <w:bookmarkStart w:id="512" w:name="_Toc296346644"/>
      <w:r>
        <w:rPr>
          <w:rFonts w:hint="eastAsia" w:ascii="宋体" w:hAnsi="宋体" w:eastAsia="宋体" w:cs="宋体"/>
          <w:b w:val="0"/>
          <w:color w:val="auto"/>
          <w:sz w:val="24"/>
          <w:szCs w:val="24"/>
          <w:highlight w:val="none"/>
        </w:rPr>
        <w:t>19.3发包人的索赔</w:t>
      </w:r>
      <w:bookmarkEnd w:id="509"/>
    </w:p>
    <w:bookmarkEnd w:id="510"/>
    <w:bookmarkEnd w:id="511"/>
    <w:bookmarkEnd w:id="512"/>
    <w:p w14:paraId="3760625F">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根据合同约定，发包人认为有权得到赔付金额和（或）延长缺陷责任期的，监理人应向承包人发出通知并附有详细的证明。</w:t>
      </w:r>
    </w:p>
    <w:p w14:paraId="5EBA156C">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726ACDAB">
      <w:pPr>
        <w:pStyle w:val="6"/>
        <w:spacing w:before="120" w:after="120" w:line="312" w:lineRule="auto"/>
        <w:ind w:firstLine="480" w:firstLineChars="200"/>
        <w:rPr>
          <w:rFonts w:ascii="宋体" w:hAnsi="宋体" w:eastAsia="宋体" w:cs="宋体"/>
          <w:b w:val="0"/>
          <w:color w:val="auto"/>
          <w:sz w:val="24"/>
          <w:szCs w:val="24"/>
          <w:highlight w:val="none"/>
        </w:rPr>
      </w:pPr>
      <w:bookmarkStart w:id="513" w:name="_Toc351203624"/>
      <w:bookmarkStart w:id="514" w:name="_Toc337558839"/>
      <w:bookmarkStart w:id="515" w:name="_Toc296346645"/>
      <w:bookmarkStart w:id="516" w:name="_Toc296503144"/>
      <w:r>
        <w:rPr>
          <w:rFonts w:hint="eastAsia" w:ascii="宋体" w:hAnsi="宋体" w:eastAsia="宋体" w:cs="宋体"/>
          <w:b w:val="0"/>
          <w:color w:val="auto"/>
          <w:sz w:val="24"/>
          <w:szCs w:val="24"/>
          <w:highlight w:val="none"/>
        </w:rPr>
        <w:t>19.4 对发包人索赔的处理</w:t>
      </w:r>
      <w:bookmarkEnd w:id="513"/>
    </w:p>
    <w:bookmarkEnd w:id="514"/>
    <w:bookmarkEnd w:id="515"/>
    <w:bookmarkEnd w:id="516"/>
    <w:p w14:paraId="05A55342">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对发包人索赔的处理如下：</w:t>
      </w:r>
    </w:p>
    <w:p w14:paraId="6ECC53E6">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（1）承包人收到发包人提交的索赔报告后，应及时审查索赔报告的内容、查验发包人证明材料；</w:t>
      </w:r>
    </w:p>
    <w:p w14:paraId="3FC63FC5">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（2）承包人应在收到索赔报告或有关索赔的进一步证明材料后28天内，将索赔处理结果答复发包人。如果承包人未在上述期限内作出答复的，则视为对发包人索赔要求的认可；</w:t>
      </w:r>
    </w:p>
    <w:p w14:paraId="475CF674">
      <w:pP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（3）承包人接受索赔处理结果的，发包人可从应支付给承包人的合同价款中扣除赔付的金额或延长缺陷责任期；发包人不接受索赔处理结果的，按第20条〔争议解决〕约定处理。</w:t>
      </w:r>
    </w:p>
    <w:p w14:paraId="3A42F9B9">
      <w:pPr>
        <w:pStyle w:val="6"/>
        <w:spacing w:before="120" w:after="120" w:line="312" w:lineRule="auto"/>
        <w:ind w:firstLine="480" w:firstLineChars="200"/>
        <w:rPr>
          <w:rFonts w:ascii="宋体" w:hAnsi="宋体" w:eastAsia="宋体" w:cs="宋体"/>
          <w:b w:val="0"/>
          <w:color w:val="auto"/>
          <w:sz w:val="24"/>
          <w:szCs w:val="24"/>
          <w:highlight w:val="none"/>
        </w:rPr>
      </w:pPr>
      <w:bookmarkStart w:id="517" w:name="_Toc351203625"/>
      <w:r>
        <w:rPr>
          <w:rFonts w:hint="eastAsia" w:ascii="宋体" w:hAnsi="宋体" w:eastAsia="宋体" w:cs="宋体"/>
          <w:b w:val="0"/>
          <w:color w:val="auto"/>
          <w:sz w:val="24"/>
          <w:szCs w:val="24"/>
          <w:highlight w:val="none"/>
        </w:rPr>
        <w:t>19.5 提出索赔的期限</w:t>
      </w:r>
      <w:bookmarkEnd w:id="517"/>
    </w:p>
    <w:p w14:paraId="0281140A">
      <w:pPr>
        <w:spacing w:line="312" w:lineRule="auto"/>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（1）承包人按第14.2款〔竣工结算审核〕约定接收竣工付款证书后，应被视为已无权再提出在工程接收证书颁发前所发生的任何索赔。</w:t>
      </w:r>
    </w:p>
    <w:p w14:paraId="644C1679">
      <w:pPr>
        <w:spacing w:line="312" w:lineRule="auto"/>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（2）承包人按第14.4款〔最终结清〕提交的最终结清申请单中，只限于提出工程接收证书颁发后发生的索赔。提出索赔的期限自接受最终结清证书时终止。</w:t>
      </w:r>
    </w:p>
    <w:p w14:paraId="58EEA3EA">
      <w:pPr>
        <w:pStyle w:val="5"/>
        <w:spacing w:before="120" w:after="120" w:line="288" w:lineRule="auto"/>
        <w:rPr>
          <w:rFonts w:ascii="宋体" w:hAnsi="宋体" w:eastAsia="宋体" w:cs="宋体"/>
          <w:b w:val="0"/>
          <w:color w:val="auto"/>
          <w:sz w:val="24"/>
          <w:szCs w:val="24"/>
          <w:highlight w:val="none"/>
        </w:rPr>
      </w:pPr>
      <w:bookmarkStart w:id="518" w:name="_Toc351203626"/>
      <w:r>
        <w:rPr>
          <w:rFonts w:hint="eastAsia" w:ascii="宋体" w:hAnsi="宋体" w:eastAsia="宋体" w:cs="宋体"/>
          <w:b w:val="0"/>
          <w:color w:val="auto"/>
          <w:sz w:val="24"/>
          <w:szCs w:val="24"/>
          <w:highlight w:val="none"/>
        </w:rPr>
        <w:t>20</w:t>
      </w:r>
      <w:bookmarkStart w:id="519" w:name="_Toc296346647"/>
      <w:bookmarkStart w:id="520" w:name="_Toc296503146"/>
      <w:bookmarkStart w:id="521" w:name="_Toc337558840"/>
      <w:r>
        <w:rPr>
          <w:rFonts w:hint="eastAsia" w:ascii="宋体" w:hAnsi="宋体" w:eastAsia="宋体" w:cs="宋体"/>
          <w:b w:val="0"/>
          <w:color w:val="auto"/>
          <w:sz w:val="24"/>
          <w:szCs w:val="24"/>
          <w:highlight w:val="none"/>
        </w:rPr>
        <w:t>. 争议解决</w:t>
      </w:r>
      <w:bookmarkEnd w:id="518"/>
    </w:p>
    <w:bookmarkEnd w:id="519"/>
    <w:bookmarkEnd w:id="520"/>
    <w:bookmarkEnd w:id="521"/>
    <w:p w14:paraId="7EE6C42A">
      <w:pPr>
        <w:pStyle w:val="6"/>
        <w:spacing w:before="120" w:after="120" w:line="288" w:lineRule="auto"/>
        <w:ind w:firstLine="480" w:firstLineChars="200"/>
        <w:rPr>
          <w:rFonts w:ascii="宋体" w:hAnsi="宋体" w:eastAsia="宋体" w:cs="宋体"/>
          <w:b w:val="0"/>
          <w:color w:val="auto"/>
          <w:sz w:val="24"/>
          <w:szCs w:val="24"/>
          <w:highlight w:val="none"/>
        </w:rPr>
      </w:pPr>
      <w:bookmarkStart w:id="522" w:name="_Toc351203627"/>
      <w:bookmarkStart w:id="523" w:name="_Toc296346648"/>
      <w:bookmarkStart w:id="524" w:name="_Toc296503147"/>
      <w:bookmarkStart w:id="525" w:name="_Toc337558841"/>
      <w:r>
        <w:rPr>
          <w:rFonts w:hint="eastAsia" w:ascii="宋体" w:hAnsi="宋体" w:eastAsia="宋体" w:cs="宋体"/>
          <w:b w:val="0"/>
          <w:color w:val="auto"/>
          <w:sz w:val="24"/>
          <w:szCs w:val="24"/>
          <w:highlight w:val="none"/>
        </w:rPr>
        <w:t>20.1和解</w:t>
      </w:r>
      <w:bookmarkEnd w:id="522"/>
    </w:p>
    <w:bookmarkEnd w:id="523"/>
    <w:bookmarkEnd w:id="524"/>
    <w:bookmarkEnd w:id="525"/>
    <w:p w14:paraId="6DD62649">
      <w:pP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合同当事人可以就争议自行和解，自行和解达成协议的经双方签字并盖章后作为合同补充文件，双方均应遵照执行。</w:t>
      </w:r>
    </w:p>
    <w:p w14:paraId="37E7F4C1">
      <w:pPr>
        <w:pStyle w:val="6"/>
        <w:spacing w:before="120" w:after="120" w:line="288" w:lineRule="auto"/>
        <w:ind w:firstLine="480" w:firstLineChars="200"/>
        <w:rPr>
          <w:rFonts w:ascii="宋体" w:hAnsi="宋体" w:eastAsia="宋体" w:cs="宋体"/>
          <w:b w:val="0"/>
          <w:color w:val="auto"/>
          <w:sz w:val="24"/>
          <w:szCs w:val="24"/>
          <w:highlight w:val="none"/>
        </w:rPr>
      </w:pPr>
      <w:bookmarkStart w:id="526" w:name="_Toc351203628"/>
      <w:r>
        <w:rPr>
          <w:rFonts w:hint="eastAsia" w:ascii="宋体" w:hAnsi="宋体" w:eastAsia="宋体" w:cs="宋体"/>
          <w:b w:val="0"/>
          <w:color w:val="auto"/>
          <w:sz w:val="24"/>
          <w:szCs w:val="24"/>
          <w:highlight w:val="none"/>
        </w:rPr>
        <w:t>20</w:t>
      </w:r>
      <w:bookmarkStart w:id="527" w:name="_Toc296346649"/>
      <w:bookmarkStart w:id="528" w:name="_Toc337558842"/>
      <w:bookmarkStart w:id="529" w:name="_Toc296503148"/>
      <w:r>
        <w:rPr>
          <w:rFonts w:hint="eastAsia" w:ascii="宋体" w:hAnsi="宋体" w:eastAsia="宋体" w:cs="宋体"/>
          <w:b w:val="0"/>
          <w:color w:val="auto"/>
          <w:sz w:val="24"/>
          <w:szCs w:val="24"/>
          <w:highlight w:val="none"/>
        </w:rPr>
        <w:t>.2调解</w:t>
      </w:r>
      <w:bookmarkEnd w:id="526"/>
    </w:p>
    <w:bookmarkEnd w:id="527"/>
    <w:bookmarkEnd w:id="528"/>
    <w:bookmarkEnd w:id="529"/>
    <w:p w14:paraId="0F5D54C7">
      <w:pP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合同当事人可以就争议请求建设行政主管部门、行业协会或其他第三方进行调解，调解达成协议的，经双方签字并盖章后作为合同补充文件，双方均应遵照执行。</w:t>
      </w:r>
    </w:p>
    <w:p w14:paraId="4B7556D7">
      <w:pPr>
        <w:pStyle w:val="6"/>
        <w:spacing w:before="120" w:after="120" w:line="288" w:lineRule="auto"/>
        <w:ind w:firstLine="480" w:firstLineChars="200"/>
        <w:rPr>
          <w:rFonts w:ascii="宋体" w:hAnsi="宋体" w:eastAsia="宋体" w:cs="宋体"/>
          <w:b w:val="0"/>
          <w:color w:val="auto"/>
          <w:sz w:val="24"/>
          <w:szCs w:val="24"/>
          <w:highlight w:val="none"/>
        </w:rPr>
      </w:pPr>
      <w:bookmarkStart w:id="530" w:name="_Toc351203629"/>
      <w:bookmarkStart w:id="531" w:name="_Toc296346650"/>
      <w:bookmarkStart w:id="532" w:name="_Toc296503149"/>
      <w:bookmarkStart w:id="533" w:name="_Toc337558843"/>
      <w:r>
        <w:rPr>
          <w:rFonts w:hint="eastAsia" w:ascii="宋体" w:hAnsi="宋体" w:eastAsia="宋体" w:cs="宋体"/>
          <w:b w:val="0"/>
          <w:color w:val="auto"/>
          <w:sz w:val="24"/>
          <w:szCs w:val="24"/>
          <w:highlight w:val="none"/>
        </w:rPr>
        <w:t>20.3争议评审</w:t>
      </w:r>
      <w:bookmarkEnd w:id="530"/>
    </w:p>
    <w:bookmarkEnd w:id="531"/>
    <w:bookmarkEnd w:id="532"/>
    <w:bookmarkEnd w:id="533"/>
    <w:p w14:paraId="6F08A1EA">
      <w:pP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合同当事人在专用合同条款中约定采取争议评审方式解决争议以及评审规则，并按下列约定执行： </w:t>
      </w:r>
    </w:p>
    <w:p w14:paraId="697BE182">
      <w:pP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20.3.1 争议评审小组的确定</w:t>
      </w:r>
    </w:p>
    <w:p w14:paraId="3B97913A">
      <w:pP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合同当事人可以共同选择一名或三名争议评审员，组成争议评审小组。除专用合同条款另有约定外，合同当事人应当自合同签订后28天内，或者争议发生后14天内，选定争议评审员。</w:t>
      </w:r>
    </w:p>
    <w:p w14:paraId="6C996826">
      <w:pP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 </w:t>
      </w:r>
    </w:p>
    <w:p w14:paraId="41E94048">
      <w:pP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除专用合同条款另有约定外，评审员报酬由发包人和承包人各承担一半。</w:t>
      </w:r>
    </w:p>
    <w:p w14:paraId="6DAD0CE1">
      <w:pP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20.3.2 争议评审小组的决定</w:t>
      </w:r>
    </w:p>
    <w:p w14:paraId="0E49687F">
      <w:pP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5DD2B27E">
      <w:pP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20.3.3 争议评审小组决定的效力</w:t>
      </w:r>
    </w:p>
    <w:p w14:paraId="5AC7ABA3">
      <w:pP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争议评审小组作出的书面决定经合同当事人签字确认后，对双方具有约束力，双方应遵照执行。</w:t>
      </w:r>
    </w:p>
    <w:p w14:paraId="2F5FDB0E">
      <w:pP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任何一方当事人不接受争议评审小组决定或不履行争议评审小组决定的，双方可选择采用其他争议解决方式。</w:t>
      </w:r>
    </w:p>
    <w:p w14:paraId="37ACCEF1">
      <w:pPr>
        <w:pStyle w:val="6"/>
        <w:spacing w:before="120" w:after="120" w:line="288" w:lineRule="auto"/>
        <w:ind w:firstLine="480" w:firstLineChars="200"/>
        <w:rPr>
          <w:rFonts w:ascii="宋体" w:hAnsi="宋体" w:eastAsia="宋体" w:cs="宋体"/>
          <w:b w:val="0"/>
          <w:color w:val="auto"/>
          <w:sz w:val="24"/>
          <w:szCs w:val="24"/>
          <w:highlight w:val="none"/>
        </w:rPr>
      </w:pPr>
      <w:bookmarkStart w:id="534" w:name="_Toc351203630"/>
      <w:bookmarkStart w:id="535" w:name="_Toc296503150"/>
      <w:bookmarkStart w:id="536" w:name="_Toc337558844"/>
      <w:bookmarkStart w:id="537" w:name="_Toc296346651"/>
      <w:r>
        <w:rPr>
          <w:rFonts w:hint="eastAsia" w:ascii="宋体" w:hAnsi="宋体" w:eastAsia="宋体" w:cs="宋体"/>
          <w:b w:val="0"/>
          <w:color w:val="auto"/>
          <w:sz w:val="24"/>
          <w:szCs w:val="24"/>
          <w:highlight w:val="none"/>
        </w:rPr>
        <w:t>20.4仲裁或诉讼</w:t>
      </w:r>
      <w:bookmarkEnd w:id="534"/>
    </w:p>
    <w:bookmarkEnd w:id="535"/>
    <w:bookmarkEnd w:id="536"/>
    <w:bookmarkEnd w:id="537"/>
    <w:p w14:paraId="7E9F43A1">
      <w:pP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因合同及合同有关事项产生的争议，合同当事人可以在专用合同条款中约定以下一种方式解决争议：</w:t>
      </w:r>
    </w:p>
    <w:p w14:paraId="53EF3C62">
      <w:pP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（1）向约定的仲裁委员会申请仲裁；</w:t>
      </w:r>
    </w:p>
    <w:p w14:paraId="09312B81">
      <w:pP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（2）向有管辖权的人民法院起诉。</w:t>
      </w:r>
    </w:p>
    <w:p w14:paraId="3BD3B726">
      <w:pPr>
        <w:pStyle w:val="6"/>
        <w:spacing w:before="120" w:after="120" w:line="288" w:lineRule="auto"/>
        <w:ind w:firstLine="480" w:firstLineChars="200"/>
        <w:rPr>
          <w:rFonts w:ascii="宋体" w:hAnsi="宋体" w:eastAsia="宋体" w:cs="宋体"/>
          <w:b w:val="0"/>
          <w:color w:val="auto"/>
          <w:sz w:val="24"/>
          <w:szCs w:val="24"/>
          <w:highlight w:val="none"/>
        </w:rPr>
      </w:pPr>
      <w:bookmarkStart w:id="538" w:name="_Toc351203631"/>
      <w:bookmarkStart w:id="539" w:name="_Toc337558845"/>
      <w:bookmarkStart w:id="540" w:name="_Toc296503152"/>
      <w:bookmarkStart w:id="541" w:name="_Toc296346653"/>
      <w:r>
        <w:rPr>
          <w:rFonts w:hint="eastAsia" w:ascii="宋体" w:hAnsi="宋体" w:eastAsia="宋体" w:cs="宋体"/>
          <w:b w:val="0"/>
          <w:color w:val="auto"/>
          <w:sz w:val="24"/>
          <w:szCs w:val="24"/>
          <w:highlight w:val="none"/>
        </w:rPr>
        <w:t>20.5争议解决条款效力</w:t>
      </w:r>
      <w:bookmarkEnd w:id="538"/>
    </w:p>
    <w:bookmarkEnd w:id="539"/>
    <w:bookmarkEnd w:id="540"/>
    <w:bookmarkEnd w:id="541"/>
    <w:p w14:paraId="06F6A1C3">
      <w:pPr>
        <w:autoSpaceDE w:val="0"/>
        <w:autoSpaceDN w:val="0"/>
        <w:adjustRightInd w:val="0"/>
        <w:spacing w:line="288" w:lineRule="auto"/>
        <w:ind w:firstLine="480" w:firstLineChars="200"/>
        <w:jc w:val="left"/>
        <w:rPr>
          <w:rFonts w:hint="eastAsia"/>
          <w:color w:val="auto"/>
          <w:highlight w:val="none"/>
        </w:rPr>
      </w:pPr>
      <w:r>
        <w:rPr>
          <w:rFonts w:hint="eastAsia" w:ascii="宋体" w:hAnsi="宋体" w:eastAsia="宋体" w:cs="宋体"/>
          <w:color w:val="auto"/>
          <w:kern w:val="0"/>
          <w:sz w:val="24"/>
          <w:highlight w:val="none"/>
        </w:rPr>
        <w:t xml:space="preserve">合同有关争议解决的条款独立存在，合同的变更、解除、终止、无效或者被撤销均不影响其效力。 </w:t>
      </w:r>
    </w:p>
    <w:p w14:paraId="4A13464E">
      <w:pPr>
        <w:rPr>
          <w:rFonts w:hint="eastAsia" w:ascii="宋体" w:hAnsi="宋体" w:eastAsia="宋体" w:cs="宋体"/>
          <w:color w:val="auto"/>
          <w:spacing w:val="20"/>
          <w:sz w:val="30"/>
          <w:szCs w:val="30"/>
          <w:highlight w:val="none"/>
        </w:rPr>
      </w:pPr>
      <w:r>
        <w:rPr>
          <w:rFonts w:hint="eastAsia" w:ascii="宋体" w:hAnsi="宋体" w:eastAsia="宋体" w:cs="宋体"/>
          <w:color w:val="auto"/>
          <w:spacing w:val="20"/>
          <w:sz w:val="30"/>
          <w:szCs w:val="30"/>
          <w:highlight w:val="none"/>
        </w:rPr>
        <w:br w:type="page"/>
      </w:r>
    </w:p>
    <w:p w14:paraId="21E6EC9B">
      <w:pPr>
        <w:pStyle w:val="2"/>
        <w:keepNext w:val="0"/>
        <w:keepLines w:val="0"/>
        <w:spacing w:line="312" w:lineRule="auto"/>
        <w:jc w:val="center"/>
        <w:rPr>
          <w:rFonts w:hint="eastAsia" w:ascii="宋体" w:hAnsi="宋体" w:eastAsia="宋体" w:cs="宋体"/>
          <w:color w:val="auto"/>
          <w:spacing w:val="20"/>
          <w:sz w:val="30"/>
          <w:szCs w:val="30"/>
          <w:highlight w:val="none"/>
        </w:rPr>
      </w:pPr>
      <w:r>
        <w:rPr>
          <w:rFonts w:hint="eastAsia" w:ascii="宋体" w:hAnsi="宋体" w:eastAsia="宋体" w:cs="宋体"/>
          <w:color w:val="auto"/>
          <w:spacing w:val="20"/>
          <w:sz w:val="30"/>
          <w:szCs w:val="30"/>
          <w:highlight w:val="none"/>
        </w:rPr>
        <w:t>第三部分 专用合同条款</w:t>
      </w:r>
    </w:p>
    <w:p w14:paraId="4BE62B7C">
      <w:pPr>
        <w:rPr>
          <w:color w:val="auto"/>
          <w:highlight w:val="none"/>
        </w:rPr>
      </w:pPr>
    </w:p>
    <w:p w14:paraId="70B25D83">
      <w:pPr>
        <w:pStyle w:val="3"/>
        <w:pageBreakBefore w:val="0"/>
        <w:widowControl w:val="0"/>
        <w:kinsoku/>
        <w:wordWrap/>
        <w:overflowPunct/>
        <w:topLinePunct w:val="0"/>
        <w:autoSpaceDE/>
        <w:autoSpaceDN/>
        <w:bidi w:val="0"/>
        <w:adjustRightInd w:val="0"/>
        <w:snapToGrid w:val="0"/>
        <w:spacing w:line="356" w:lineRule="auto"/>
        <w:ind w:firstLine="562" w:firstLineChars="200"/>
        <w:textAlignment w:val="auto"/>
        <w:rPr>
          <w:rFonts w:hint="eastAsia" w:ascii="宋体" w:hAnsi="宋体" w:eastAsia="宋体" w:cs="宋体"/>
          <w:color w:val="auto"/>
          <w:spacing w:val="0"/>
          <w:sz w:val="28"/>
          <w:szCs w:val="44"/>
          <w:highlight w:val="none"/>
        </w:rPr>
      </w:pPr>
      <w:bookmarkStart w:id="542" w:name="_Toc373227692"/>
      <w:bookmarkStart w:id="543" w:name="_Toc389065258"/>
      <w:bookmarkStart w:id="544" w:name="_Toc439779031"/>
      <w:bookmarkStart w:id="545" w:name="_Toc461982826"/>
      <w:bookmarkStart w:id="546" w:name="_Toc14791"/>
      <w:bookmarkStart w:id="547" w:name="_Toc373478339"/>
      <w:bookmarkStart w:id="548" w:name="_Toc351203633"/>
      <w:bookmarkStart w:id="549" w:name="_Toc14784"/>
      <w:bookmarkStart w:id="550" w:name="_Toc292559361"/>
      <w:bookmarkStart w:id="551" w:name="_Toc296347155"/>
      <w:bookmarkStart w:id="552" w:name="_Toc296503156"/>
      <w:bookmarkStart w:id="553" w:name="_Toc292559866"/>
      <w:bookmarkStart w:id="554" w:name="_Toc297120456"/>
      <w:bookmarkStart w:id="555" w:name="_Toc296944495"/>
      <w:bookmarkStart w:id="556" w:name="_Toc296891196"/>
      <w:bookmarkStart w:id="557" w:name="_Toc297048342"/>
      <w:bookmarkStart w:id="558" w:name="_Toc296346657"/>
      <w:bookmarkStart w:id="559" w:name="_Toc296890984"/>
      <w:r>
        <w:rPr>
          <w:rFonts w:hint="eastAsia" w:ascii="宋体" w:hAnsi="宋体" w:eastAsia="宋体" w:cs="宋体"/>
          <w:color w:val="auto"/>
          <w:spacing w:val="0"/>
          <w:sz w:val="28"/>
          <w:szCs w:val="44"/>
          <w:highlight w:val="none"/>
        </w:rPr>
        <w:t>一</w:t>
      </w:r>
      <w:r>
        <w:rPr>
          <w:rFonts w:hint="eastAsia" w:ascii="宋体" w:hAnsi="宋体" w:eastAsia="宋体" w:cs="宋体"/>
          <w:color w:val="auto"/>
          <w:spacing w:val="0"/>
          <w:sz w:val="28"/>
          <w:szCs w:val="44"/>
          <w:highlight w:val="none"/>
          <w:lang w:eastAsia="zh-CN"/>
        </w:rPr>
        <w:t>、</w:t>
      </w:r>
      <w:r>
        <w:rPr>
          <w:rFonts w:hint="eastAsia" w:ascii="宋体" w:hAnsi="宋体" w:eastAsia="宋体" w:cs="宋体"/>
          <w:color w:val="auto"/>
          <w:spacing w:val="0"/>
          <w:sz w:val="28"/>
          <w:szCs w:val="44"/>
          <w:highlight w:val="none"/>
        </w:rPr>
        <w:t>一般约定</w:t>
      </w:r>
      <w:bookmarkEnd w:id="542"/>
      <w:bookmarkEnd w:id="543"/>
      <w:bookmarkEnd w:id="544"/>
      <w:bookmarkEnd w:id="545"/>
      <w:bookmarkEnd w:id="546"/>
      <w:bookmarkEnd w:id="547"/>
      <w:bookmarkEnd w:id="548"/>
      <w:bookmarkEnd w:id="549"/>
    </w:p>
    <w:bookmarkEnd w:id="550"/>
    <w:bookmarkEnd w:id="551"/>
    <w:bookmarkEnd w:id="552"/>
    <w:bookmarkEnd w:id="553"/>
    <w:bookmarkEnd w:id="554"/>
    <w:bookmarkEnd w:id="555"/>
    <w:bookmarkEnd w:id="556"/>
    <w:bookmarkEnd w:id="557"/>
    <w:bookmarkEnd w:id="558"/>
    <w:bookmarkEnd w:id="559"/>
    <w:p w14:paraId="22D2403F">
      <w:pPr>
        <w:pStyle w:val="4"/>
        <w:pageBreakBefore w:val="0"/>
        <w:widowControl w:val="0"/>
        <w:kinsoku/>
        <w:wordWrap/>
        <w:overflowPunct/>
        <w:topLinePunct w:val="0"/>
        <w:autoSpaceDE/>
        <w:autoSpaceDN/>
        <w:bidi w:val="0"/>
        <w:adjustRightInd w:val="0"/>
        <w:snapToGrid w:val="0"/>
        <w:spacing w:before="0" w:beforeLines="0" w:after="0" w:afterLines="0" w:line="356" w:lineRule="auto"/>
        <w:ind w:firstLine="482" w:firstLineChars="200"/>
        <w:textAlignment w:val="auto"/>
        <w:rPr>
          <w:rFonts w:hint="eastAsia" w:ascii="宋体" w:hAnsi="宋体" w:eastAsia="宋体" w:cs="宋体"/>
          <w:color w:val="auto"/>
          <w:spacing w:val="0"/>
          <w:sz w:val="24"/>
          <w:szCs w:val="40"/>
          <w:highlight w:val="none"/>
        </w:rPr>
      </w:pPr>
      <w:bookmarkStart w:id="560" w:name="_Toc389065259"/>
      <w:bookmarkStart w:id="561" w:name="_Toc439779032"/>
      <w:bookmarkStart w:id="562" w:name="_Toc461982827"/>
      <w:bookmarkStart w:id="563" w:name="_Toc373478340"/>
      <w:bookmarkStart w:id="564" w:name="_Toc373227693"/>
      <w:bookmarkStart w:id="565" w:name="_Toc20097"/>
      <w:bookmarkStart w:id="566" w:name="_Toc16308"/>
      <w:r>
        <w:rPr>
          <w:rFonts w:hint="eastAsia" w:ascii="宋体" w:hAnsi="宋体" w:eastAsia="宋体" w:cs="宋体"/>
          <w:color w:val="auto"/>
          <w:spacing w:val="0"/>
          <w:sz w:val="24"/>
          <w:szCs w:val="40"/>
          <w:highlight w:val="none"/>
        </w:rPr>
        <w:t>1.1 词语定义</w:t>
      </w:r>
      <w:bookmarkEnd w:id="560"/>
      <w:bookmarkEnd w:id="561"/>
      <w:bookmarkEnd w:id="562"/>
      <w:bookmarkEnd w:id="563"/>
      <w:bookmarkEnd w:id="564"/>
      <w:bookmarkEnd w:id="565"/>
      <w:bookmarkEnd w:id="566"/>
    </w:p>
    <w:p w14:paraId="78667ECE">
      <w:pPr>
        <w:pageBreakBefore w:val="0"/>
        <w:widowControl w:val="0"/>
        <w:kinsoku/>
        <w:wordWrap/>
        <w:overflowPunct/>
        <w:topLinePunct w:val="0"/>
        <w:autoSpaceDE/>
        <w:autoSpaceDN/>
        <w:bidi w:val="0"/>
        <w:adjustRightInd w:val="0"/>
        <w:snapToGrid w:val="0"/>
        <w:spacing w:line="356" w:lineRule="auto"/>
        <w:ind w:firstLine="480" w:firstLineChars="200"/>
        <w:textAlignment w:val="auto"/>
        <w:outlineLvl w:val="0"/>
        <w:rPr>
          <w:rFonts w:hint="eastAsia" w:ascii="宋体" w:hAnsi="宋体" w:eastAsia="宋体" w:cs="宋体"/>
          <w:color w:val="auto"/>
          <w:spacing w:val="0"/>
          <w:kern w:val="0"/>
          <w:sz w:val="24"/>
          <w:highlight w:val="none"/>
        </w:rPr>
      </w:pPr>
      <w:r>
        <w:rPr>
          <w:rFonts w:hint="eastAsia" w:ascii="宋体" w:hAnsi="宋体" w:eastAsia="宋体" w:cs="宋体"/>
          <w:color w:val="auto"/>
          <w:spacing w:val="0"/>
          <w:kern w:val="0"/>
          <w:sz w:val="24"/>
          <w:highlight w:val="none"/>
        </w:rPr>
        <w:t>1.1.1 合同</w:t>
      </w:r>
    </w:p>
    <w:p w14:paraId="23E7450B">
      <w:pPr>
        <w:spacing w:line="46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1.1.1.10其他合同文件包括：</w:t>
      </w:r>
      <w:r>
        <w:rPr>
          <w:rFonts w:hint="eastAsia" w:ascii="宋体" w:hAnsi="宋体" w:eastAsia="宋体" w:cs="宋体"/>
          <w:color w:val="auto"/>
          <w:sz w:val="24"/>
          <w:szCs w:val="24"/>
          <w:u w:val="single"/>
        </w:rPr>
        <w:t xml:space="preserve">双方签订补充合同（协议），现场签证及与本工程相关的其他文件     </w:t>
      </w:r>
      <w:r>
        <w:rPr>
          <w:rFonts w:hint="eastAsia" w:ascii="宋体" w:hAnsi="宋体" w:eastAsia="宋体" w:cs="宋体"/>
          <w:color w:val="auto"/>
          <w:sz w:val="24"/>
          <w:szCs w:val="24"/>
        </w:rPr>
        <w:t>。</w:t>
      </w:r>
    </w:p>
    <w:p w14:paraId="34740AAE">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1.1.2 合同当事人及其他相关方</w:t>
      </w:r>
    </w:p>
    <w:p w14:paraId="65094FA5">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1.1.2.4监理人： </w:t>
      </w:r>
    </w:p>
    <w:p w14:paraId="5078569C">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名    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无</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22233F2B">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资质类别和等级：</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23EE176">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7FD6DB9E">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29BC2FD">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76A3AB4C">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1.1.2.5 设计人： </w:t>
      </w:r>
    </w:p>
    <w:p w14:paraId="48F608BD">
      <w:pPr>
        <w:spacing w:line="5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名    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56917511">
      <w:pPr>
        <w:spacing w:line="5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资质类别和等级：</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0131990C">
      <w:pPr>
        <w:spacing w:line="5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2473E63D">
      <w:pPr>
        <w:spacing w:line="5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fldChar w:fldCharType="begin"/>
      </w:r>
      <w:r>
        <w:rPr>
          <w:rFonts w:hint="eastAsia" w:ascii="宋体" w:hAnsi="宋体" w:eastAsia="宋体" w:cs="宋体"/>
          <w:color w:val="auto"/>
          <w:sz w:val="24"/>
          <w:szCs w:val="24"/>
          <w:u w:val="single"/>
        </w:rPr>
        <w:instrText xml:space="preserve"> HYPERLINK "mailto:qlgc07778212637@163.com" </w:instrText>
      </w:r>
      <w:r>
        <w:rPr>
          <w:rFonts w:hint="eastAsia" w:ascii="宋体" w:hAnsi="宋体" w:eastAsia="宋体" w:cs="宋体"/>
          <w:color w:val="auto"/>
          <w:sz w:val="24"/>
          <w:szCs w:val="24"/>
          <w:u w:val="single"/>
        </w:rPr>
        <w:fldChar w:fldCharType="separate"/>
      </w:r>
      <w:r>
        <w:rPr>
          <w:rStyle w:val="35"/>
          <w:rFonts w:hint="eastAsia" w:ascii="宋体" w:hAnsi="宋体" w:eastAsia="宋体" w:cs="宋体"/>
          <w:color w:val="auto"/>
          <w:sz w:val="24"/>
          <w:szCs w:val="24"/>
        </w:rPr>
        <w:t></w:t>
      </w:r>
      <w:r>
        <w:rPr>
          <w:rFonts w:hint="eastAsia" w:ascii="宋体" w:hAnsi="宋体" w:eastAsia="宋体" w:cs="宋体"/>
          <w:color w:val="auto"/>
          <w:sz w:val="24"/>
          <w:szCs w:val="24"/>
          <w:u w:val="single"/>
        </w:rPr>
        <w:fldChar w:fldCharType="end"/>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1E0271E8">
      <w:pPr>
        <w:spacing w:line="700" w:lineRule="exact"/>
        <w:ind w:left="4079" w:leftChars="171" w:hanging="3720" w:hangingChars="1550"/>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583A3F9A">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1.1.3 工程和设备</w:t>
      </w:r>
    </w:p>
    <w:p w14:paraId="6B6C9DF9">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1.1.3.7 作为施工现场组成部分的其他场所包括：</w:t>
      </w:r>
      <w:r>
        <w:rPr>
          <w:rFonts w:hint="eastAsia" w:ascii="宋体" w:hAnsi="宋体" w:eastAsia="宋体" w:cs="宋体"/>
          <w:color w:val="auto"/>
          <w:sz w:val="24"/>
          <w:szCs w:val="24"/>
          <w:u w:val="single"/>
        </w:rPr>
        <w:t xml:space="preserve"> 材料堆放场地及加工场所，现场办公场所   </w:t>
      </w:r>
      <w:r>
        <w:rPr>
          <w:rFonts w:hint="eastAsia" w:ascii="宋体" w:hAnsi="宋体" w:eastAsia="宋体" w:cs="宋体"/>
          <w:color w:val="auto"/>
          <w:sz w:val="24"/>
          <w:szCs w:val="24"/>
        </w:rPr>
        <w:t>。</w:t>
      </w:r>
    </w:p>
    <w:p w14:paraId="649BECF8">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1.1.3.9 永久占地包括：</w:t>
      </w:r>
      <w:r>
        <w:rPr>
          <w:rFonts w:hint="eastAsia" w:ascii="宋体" w:hAnsi="宋体" w:eastAsia="宋体" w:cs="宋体"/>
          <w:color w:val="auto"/>
          <w:sz w:val="24"/>
          <w:szCs w:val="24"/>
          <w:u w:val="single"/>
        </w:rPr>
        <w:t xml:space="preserve">         无              </w:t>
      </w:r>
      <w:r>
        <w:rPr>
          <w:rFonts w:hint="eastAsia" w:ascii="宋体" w:hAnsi="宋体" w:eastAsia="宋体" w:cs="宋体"/>
          <w:color w:val="auto"/>
          <w:kern w:val="0"/>
          <w:sz w:val="24"/>
          <w:szCs w:val="24"/>
        </w:rPr>
        <w:t>。</w:t>
      </w:r>
    </w:p>
    <w:p w14:paraId="050C7B25">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1.1.3.10 临时占地包括：</w:t>
      </w:r>
      <w:r>
        <w:rPr>
          <w:rFonts w:hint="eastAsia" w:ascii="宋体" w:hAnsi="宋体" w:eastAsia="宋体" w:cs="宋体"/>
          <w:color w:val="auto"/>
          <w:sz w:val="24"/>
          <w:szCs w:val="24"/>
          <w:u w:val="single"/>
        </w:rPr>
        <w:t xml:space="preserve"> 材料堆放场地及加工场所，现场办公场所 </w:t>
      </w:r>
      <w:r>
        <w:rPr>
          <w:rFonts w:hint="eastAsia" w:ascii="宋体" w:hAnsi="宋体" w:eastAsia="宋体" w:cs="宋体"/>
          <w:color w:val="auto"/>
          <w:kern w:val="0"/>
          <w:sz w:val="24"/>
          <w:szCs w:val="24"/>
        </w:rPr>
        <w:t>。</w:t>
      </w:r>
    </w:p>
    <w:p w14:paraId="5EA0EAF3">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1.3法律 </w:t>
      </w:r>
    </w:p>
    <w:p w14:paraId="7C77B34B">
      <w:pPr>
        <w:autoSpaceDE w:val="0"/>
        <w:autoSpaceDN w:val="0"/>
        <w:adjustRightInd w:val="0"/>
        <w:spacing w:line="460" w:lineRule="exact"/>
        <w:ind w:left="596" w:leftChars="284"/>
        <w:jc w:val="left"/>
        <w:rPr>
          <w:rFonts w:hint="eastAsia" w:ascii="宋体" w:hAnsi="宋体" w:eastAsia="宋体" w:cs="宋体"/>
          <w:color w:val="auto"/>
          <w:sz w:val="24"/>
          <w:szCs w:val="24"/>
        </w:rPr>
      </w:pPr>
      <w:r>
        <w:rPr>
          <w:rFonts w:hint="eastAsia" w:ascii="宋体" w:hAnsi="宋体" w:eastAsia="宋体" w:cs="宋体"/>
          <w:color w:val="auto"/>
          <w:sz w:val="24"/>
          <w:szCs w:val="24"/>
        </w:rPr>
        <w:t>适用于合同的其他规范性文件：</w:t>
      </w:r>
      <w:r>
        <w:rPr>
          <w:rFonts w:hint="eastAsia" w:ascii="宋体" w:hAnsi="宋体" w:eastAsia="宋体" w:cs="宋体"/>
          <w:color w:val="auto"/>
          <w:sz w:val="24"/>
          <w:szCs w:val="24"/>
          <w:u w:val="single"/>
        </w:rPr>
        <w:t>国家相关法律法规及行政主管部门颁布的文件条例</w:t>
      </w:r>
      <w:r>
        <w:rPr>
          <w:rFonts w:hint="eastAsia" w:ascii="宋体" w:hAnsi="宋体" w:eastAsia="宋体" w:cs="宋体"/>
          <w:color w:val="auto"/>
          <w:sz w:val="24"/>
          <w:szCs w:val="24"/>
        </w:rPr>
        <w:t>。</w:t>
      </w:r>
    </w:p>
    <w:p w14:paraId="07313F8D">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1.4 标准和规范</w:t>
      </w:r>
    </w:p>
    <w:p w14:paraId="346D0611">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1.4.1适用于工程的标准规范包括：</w:t>
      </w:r>
      <w:r>
        <w:rPr>
          <w:rFonts w:hint="eastAsia" w:ascii="宋体" w:hAnsi="宋体" w:eastAsia="宋体" w:cs="宋体"/>
          <w:color w:val="auto"/>
          <w:sz w:val="24"/>
          <w:szCs w:val="24"/>
          <w:u w:val="single"/>
        </w:rPr>
        <w:t>现行施工规范及法律法规规定的相关文件、条例</w:t>
      </w:r>
      <w:r>
        <w:rPr>
          <w:rFonts w:hint="eastAsia" w:ascii="宋体" w:hAnsi="宋体" w:eastAsia="宋体" w:cs="宋体"/>
          <w:color w:val="auto"/>
          <w:sz w:val="24"/>
          <w:szCs w:val="24"/>
        </w:rPr>
        <w:t>。</w:t>
      </w:r>
    </w:p>
    <w:p w14:paraId="4C75B9FE">
      <w:pPr>
        <w:spacing w:line="460" w:lineRule="exact"/>
        <w:ind w:firstLine="480" w:firstLineChars="200"/>
        <w:outlineLvl w:val="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1.4.2 发包人提供国外标准、规范的名称：</w:t>
      </w:r>
      <w:r>
        <w:rPr>
          <w:rFonts w:hint="eastAsia" w:ascii="宋体" w:hAnsi="宋体" w:eastAsia="宋体" w:cs="宋体"/>
          <w:color w:val="auto"/>
          <w:kern w:val="0"/>
          <w:sz w:val="24"/>
          <w:szCs w:val="24"/>
          <w:u w:val="single"/>
        </w:rPr>
        <w:t xml:space="preserve">   无           </w:t>
      </w:r>
      <w:r>
        <w:rPr>
          <w:rFonts w:hint="eastAsia" w:ascii="宋体" w:hAnsi="宋体" w:eastAsia="宋体" w:cs="宋体"/>
          <w:color w:val="auto"/>
          <w:kern w:val="0"/>
          <w:sz w:val="24"/>
          <w:szCs w:val="24"/>
        </w:rPr>
        <w:t>；</w:t>
      </w:r>
    </w:p>
    <w:p w14:paraId="3D47ABB2">
      <w:pPr>
        <w:spacing w:line="46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发包人提供国外标准、规范的份数：</w:t>
      </w:r>
      <w:r>
        <w:rPr>
          <w:rFonts w:hint="eastAsia" w:ascii="宋体" w:hAnsi="宋体" w:eastAsia="宋体" w:cs="宋体"/>
          <w:color w:val="auto"/>
          <w:kern w:val="0"/>
          <w:sz w:val="24"/>
          <w:szCs w:val="24"/>
          <w:u w:val="single"/>
        </w:rPr>
        <w:t xml:space="preserve">      无              </w:t>
      </w:r>
      <w:r>
        <w:rPr>
          <w:rFonts w:hint="eastAsia" w:ascii="宋体" w:hAnsi="宋体" w:eastAsia="宋体" w:cs="宋体"/>
          <w:color w:val="auto"/>
          <w:kern w:val="0"/>
          <w:sz w:val="24"/>
          <w:szCs w:val="24"/>
        </w:rPr>
        <w:t>；</w:t>
      </w:r>
    </w:p>
    <w:p w14:paraId="261BDBCD">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kern w:val="0"/>
          <w:sz w:val="24"/>
          <w:szCs w:val="24"/>
        </w:rPr>
        <w:t>发包人提供国外标准、规范的名称：</w:t>
      </w:r>
      <w:r>
        <w:rPr>
          <w:rFonts w:hint="eastAsia" w:ascii="宋体" w:hAnsi="宋体" w:eastAsia="宋体" w:cs="宋体"/>
          <w:color w:val="auto"/>
          <w:kern w:val="0"/>
          <w:sz w:val="24"/>
          <w:szCs w:val="24"/>
          <w:u w:val="single"/>
        </w:rPr>
        <w:t xml:space="preserve">          无          </w:t>
      </w:r>
      <w:r>
        <w:rPr>
          <w:rFonts w:hint="eastAsia" w:ascii="宋体" w:hAnsi="宋体" w:eastAsia="宋体" w:cs="宋体"/>
          <w:color w:val="auto"/>
          <w:kern w:val="0"/>
          <w:sz w:val="24"/>
          <w:szCs w:val="24"/>
        </w:rPr>
        <w:t>。</w:t>
      </w:r>
    </w:p>
    <w:p w14:paraId="6386C837">
      <w:pPr>
        <w:spacing w:line="460" w:lineRule="exact"/>
        <w:ind w:left="596" w:leftChars="284"/>
        <w:rPr>
          <w:rFonts w:hint="eastAsia" w:ascii="宋体" w:hAnsi="宋体" w:eastAsia="宋体" w:cs="宋体"/>
          <w:color w:val="auto"/>
          <w:sz w:val="24"/>
          <w:szCs w:val="24"/>
        </w:rPr>
      </w:pPr>
      <w:r>
        <w:rPr>
          <w:rFonts w:hint="eastAsia" w:ascii="宋体" w:hAnsi="宋体" w:eastAsia="宋体" w:cs="宋体"/>
          <w:color w:val="auto"/>
          <w:sz w:val="24"/>
          <w:szCs w:val="24"/>
        </w:rPr>
        <w:t>1.4.3发包人对工程的技术标准和功能要求的特殊要求：</w:t>
      </w:r>
      <w:r>
        <w:rPr>
          <w:rFonts w:hint="eastAsia" w:ascii="宋体" w:hAnsi="宋体" w:eastAsia="宋体" w:cs="宋体"/>
          <w:color w:val="auto"/>
          <w:sz w:val="24"/>
          <w:szCs w:val="24"/>
          <w:u w:val="single"/>
        </w:rPr>
        <w:t xml:space="preserve"> </w:t>
      </w:r>
      <w:r>
        <w:rPr>
          <w:rFonts w:hint="eastAsia" w:ascii="宋体" w:hAnsi="宋体" w:eastAsia="宋体" w:cs="宋体"/>
          <w:color w:val="auto"/>
          <w:kern w:val="0"/>
          <w:sz w:val="24"/>
          <w:szCs w:val="24"/>
          <w:u w:val="single"/>
        </w:rPr>
        <w:t xml:space="preserve">无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6C6E1C67">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1.5 合同文件的优先顺序</w:t>
      </w:r>
    </w:p>
    <w:p w14:paraId="136B2EB8">
      <w:pPr>
        <w:autoSpaceDE w:val="0"/>
        <w:autoSpaceDN w:val="0"/>
        <w:adjustRightInd w:val="0"/>
        <w:spacing w:line="46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合同文件组成及优先顺序为：</w:t>
      </w:r>
      <w:r>
        <w:rPr>
          <w:rFonts w:hint="eastAsia" w:ascii="宋体" w:hAnsi="宋体" w:eastAsia="宋体" w:cs="宋体"/>
          <w:color w:val="auto"/>
          <w:sz w:val="24"/>
          <w:szCs w:val="24"/>
          <w:u w:val="single"/>
        </w:rPr>
        <w:t>（1）合同协议书（2）专用合同条款及其附件；（3）通用合同条款；（4）技术标准和要求；（5）图纸；（6）已标价工程量清单或预算书；（7）其他合同文件。</w:t>
      </w:r>
    </w:p>
    <w:p w14:paraId="6E9716AC">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1.6 图纸和承包人文件</w:t>
      </w:r>
      <w:r>
        <w:rPr>
          <w:rFonts w:hint="eastAsia" w:ascii="宋体" w:hAnsi="宋体" w:eastAsia="宋体" w:cs="宋体"/>
          <w:color w:val="auto"/>
          <w:sz w:val="24"/>
          <w:szCs w:val="24"/>
        </w:rPr>
        <w:tab/>
      </w:r>
    </w:p>
    <w:p w14:paraId="7F9293A5">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1.6.1 图纸的提供</w:t>
      </w:r>
    </w:p>
    <w:p w14:paraId="207793B0">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发包人向承包人提供图纸的期限：</w:t>
      </w:r>
      <w:r>
        <w:rPr>
          <w:rFonts w:hint="eastAsia" w:ascii="宋体" w:hAnsi="宋体" w:eastAsia="宋体" w:cs="宋体"/>
          <w:color w:val="auto"/>
          <w:sz w:val="24"/>
          <w:szCs w:val="24"/>
          <w:u w:val="single"/>
        </w:rPr>
        <w:t>开工前七个工作日内</w:t>
      </w:r>
      <w:r>
        <w:rPr>
          <w:rFonts w:hint="eastAsia" w:ascii="宋体" w:hAnsi="宋体" w:eastAsia="宋体" w:cs="宋体"/>
          <w:color w:val="auto"/>
          <w:sz w:val="24"/>
          <w:szCs w:val="24"/>
        </w:rPr>
        <w:t>；</w:t>
      </w:r>
    </w:p>
    <w:p w14:paraId="52A98012">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发包人向承包人提供图纸的数量：</w:t>
      </w:r>
      <w:r>
        <w:rPr>
          <w:rFonts w:hint="eastAsia" w:ascii="宋体" w:hAnsi="宋体" w:eastAsia="宋体" w:cs="宋体"/>
          <w:color w:val="auto"/>
          <w:sz w:val="24"/>
          <w:szCs w:val="24"/>
          <w:u w:val="single"/>
        </w:rPr>
        <w:t>叁套    </w:t>
      </w:r>
      <w:r>
        <w:rPr>
          <w:rFonts w:hint="eastAsia" w:ascii="宋体" w:hAnsi="宋体" w:eastAsia="宋体" w:cs="宋体"/>
          <w:color w:val="auto"/>
          <w:sz w:val="24"/>
          <w:szCs w:val="24"/>
        </w:rPr>
        <w:t>；</w:t>
      </w:r>
    </w:p>
    <w:p w14:paraId="3ABEE5C4">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发包人向承包人提供图纸的内容：</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eastAsia="zh-CN"/>
        </w:rPr>
        <w:t>土方预算图</w:t>
      </w:r>
      <w:r>
        <w:rPr>
          <w:rFonts w:hint="eastAsia" w:ascii="宋体" w:hAnsi="宋体" w:eastAsia="宋体" w:cs="宋体"/>
          <w:color w:val="auto"/>
          <w:sz w:val="24"/>
          <w:szCs w:val="24"/>
        </w:rPr>
        <w:t>。</w:t>
      </w:r>
    </w:p>
    <w:p w14:paraId="2D973125">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1.6.</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 xml:space="preserve"> 承包人文件</w:t>
      </w:r>
    </w:p>
    <w:p w14:paraId="0BCCE3A9">
      <w:pPr>
        <w:spacing w:line="460" w:lineRule="exact"/>
        <w:ind w:left="596" w:leftChars="284"/>
        <w:jc w:val="left"/>
        <w:rPr>
          <w:rFonts w:hint="eastAsia" w:ascii="宋体" w:hAnsi="宋体" w:eastAsia="宋体" w:cs="宋体"/>
          <w:color w:val="auto"/>
          <w:sz w:val="24"/>
          <w:szCs w:val="24"/>
        </w:rPr>
      </w:pPr>
      <w:r>
        <w:rPr>
          <w:rFonts w:hint="eastAsia" w:ascii="宋体" w:hAnsi="宋体" w:eastAsia="宋体" w:cs="宋体"/>
          <w:color w:val="auto"/>
          <w:sz w:val="24"/>
          <w:szCs w:val="24"/>
        </w:rPr>
        <w:t>需要由承包人提供的文件，包括：</w:t>
      </w:r>
      <w:r>
        <w:rPr>
          <w:rFonts w:hint="eastAsia" w:ascii="宋体" w:hAnsi="宋体" w:eastAsia="宋体" w:cs="宋体"/>
          <w:color w:val="auto"/>
          <w:sz w:val="24"/>
          <w:szCs w:val="24"/>
          <w:u w:val="single"/>
        </w:rPr>
        <w:t>行政主管部门及相关法律法规规定的全部文件、资料</w:t>
      </w:r>
      <w:r>
        <w:rPr>
          <w:rFonts w:hint="eastAsia" w:ascii="宋体" w:hAnsi="宋体" w:eastAsia="宋体" w:cs="宋体"/>
          <w:color w:val="auto"/>
          <w:sz w:val="24"/>
          <w:szCs w:val="24"/>
        </w:rPr>
        <w:t>；</w:t>
      </w:r>
    </w:p>
    <w:p w14:paraId="12C19140">
      <w:pPr>
        <w:spacing w:line="460" w:lineRule="exact"/>
        <w:ind w:firstLine="480" w:firstLineChars="200"/>
        <w:rPr>
          <w:rFonts w:hint="eastAsia" w:ascii="宋体" w:hAnsi="宋体" w:eastAsia="宋体" w:cs="宋体"/>
          <w:color w:val="auto"/>
          <w:spacing w:val="-11"/>
          <w:sz w:val="24"/>
          <w:szCs w:val="24"/>
        </w:rPr>
      </w:pPr>
      <w:r>
        <w:rPr>
          <w:rFonts w:hint="eastAsia" w:ascii="宋体" w:hAnsi="宋体" w:eastAsia="宋体" w:cs="宋体"/>
          <w:color w:val="auto"/>
          <w:sz w:val="24"/>
          <w:szCs w:val="24"/>
        </w:rPr>
        <w:t>承包人提供的文件的期限为：</w:t>
      </w:r>
      <w:r>
        <w:rPr>
          <w:rFonts w:hint="eastAsia" w:ascii="宋体" w:hAnsi="宋体" w:eastAsia="宋体" w:cs="宋体"/>
          <w:color w:val="auto"/>
          <w:spacing w:val="-11"/>
          <w:sz w:val="24"/>
          <w:szCs w:val="24"/>
          <w:u w:val="single"/>
        </w:rPr>
        <w:t>收到</w:t>
      </w:r>
      <w:r>
        <w:rPr>
          <w:rFonts w:hint="eastAsia" w:ascii="宋体" w:hAnsi="宋体" w:eastAsia="宋体" w:cs="宋体"/>
          <w:color w:val="auto"/>
          <w:spacing w:val="-11"/>
          <w:sz w:val="24"/>
          <w:szCs w:val="24"/>
          <w:u w:val="single"/>
          <w:lang w:eastAsia="zh-CN"/>
        </w:rPr>
        <w:t>发包人</w:t>
      </w:r>
      <w:r>
        <w:rPr>
          <w:rFonts w:hint="eastAsia" w:ascii="宋体" w:hAnsi="宋体" w:eastAsia="宋体" w:cs="宋体"/>
          <w:color w:val="auto"/>
          <w:spacing w:val="-11"/>
          <w:sz w:val="24"/>
          <w:szCs w:val="24"/>
          <w:u w:val="single"/>
        </w:rPr>
        <w:t>下发提供资料文件之日起七个工作日内</w:t>
      </w:r>
      <w:r>
        <w:rPr>
          <w:rFonts w:hint="eastAsia" w:ascii="宋体" w:hAnsi="宋体" w:eastAsia="宋体" w:cs="宋体"/>
          <w:color w:val="auto"/>
          <w:spacing w:val="-11"/>
          <w:sz w:val="24"/>
          <w:szCs w:val="24"/>
        </w:rPr>
        <w:t>；</w:t>
      </w:r>
    </w:p>
    <w:p w14:paraId="2E11FC74">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承包人提供的文件的数量为：</w:t>
      </w:r>
      <w:r>
        <w:rPr>
          <w:rFonts w:hint="eastAsia" w:ascii="宋体" w:hAnsi="宋体" w:eastAsia="宋体" w:cs="宋体"/>
          <w:color w:val="auto"/>
          <w:sz w:val="24"/>
          <w:szCs w:val="24"/>
          <w:u w:val="single"/>
        </w:rPr>
        <w:t>一式</w:t>
      </w:r>
      <w:r>
        <w:rPr>
          <w:rFonts w:hint="eastAsia" w:ascii="宋体" w:hAnsi="宋体" w:eastAsia="宋体" w:cs="宋体"/>
          <w:color w:val="auto"/>
          <w:sz w:val="24"/>
          <w:szCs w:val="24"/>
          <w:u w:val="single"/>
          <w:lang w:eastAsia="zh-CN"/>
        </w:rPr>
        <w:t>四</w:t>
      </w:r>
      <w:r>
        <w:rPr>
          <w:rFonts w:hint="eastAsia" w:ascii="宋体" w:hAnsi="宋体" w:eastAsia="宋体" w:cs="宋体"/>
          <w:color w:val="auto"/>
          <w:sz w:val="24"/>
          <w:szCs w:val="24"/>
          <w:u w:val="single"/>
        </w:rPr>
        <w:t xml:space="preserve">份     </w:t>
      </w:r>
      <w:r>
        <w:rPr>
          <w:rFonts w:hint="eastAsia" w:ascii="宋体" w:hAnsi="宋体" w:eastAsia="宋体" w:cs="宋体"/>
          <w:color w:val="auto"/>
          <w:sz w:val="24"/>
          <w:szCs w:val="24"/>
        </w:rPr>
        <w:t>；</w:t>
      </w:r>
    </w:p>
    <w:p w14:paraId="17D1228D">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承包人提供的文件的形式为：</w:t>
      </w:r>
      <w:r>
        <w:rPr>
          <w:rFonts w:hint="eastAsia" w:ascii="宋体" w:hAnsi="宋体" w:eastAsia="宋体" w:cs="宋体"/>
          <w:color w:val="auto"/>
          <w:sz w:val="24"/>
          <w:szCs w:val="24"/>
          <w:u w:val="single"/>
        </w:rPr>
        <w:t xml:space="preserve">书面形式      </w:t>
      </w:r>
      <w:r>
        <w:rPr>
          <w:rFonts w:hint="eastAsia" w:ascii="宋体" w:hAnsi="宋体" w:eastAsia="宋体" w:cs="宋体"/>
          <w:color w:val="auto"/>
          <w:sz w:val="24"/>
          <w:szCs w:val="24"/>
        </w:rPr>
        <w:t>；</w:t>
      </w:r>
    </w:p>
    <w:p w14:paraId="25FBD590">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发包人审批承包人文件的期限：</w:t>
      </w:r>
      <w:r>
        <w:rPr>
          <w:rFonts w:hint="eastAsia" w:ascii="宋体" w:hAnsi="宋体" w:eastAsia="宋体" w:cs="宋体"/>
          <w:color w:val="auto"/>
          <w:sz w:val="24"/>
          <w:szCs w:val="24"/>
          <w:u w:val="single"/>
        </w:rPr>
        <w:t>收到相关文件之日起七个工作日内</w:t>
      </w:r>
      <w:r>
        <w:rPr>
          <w:rFonts w:hint="eastAsia" w:ascii="宋体" w:hAnsi="宋体" w:eastAsia="宋体" w:cs="宋体"/>
          <w:color w:val="auto"/>
          <w:sz w:val="24"/>
          <w:szCs w:val="24"/>
        </w:rPr>
        <w:t>。</w:t>
      </w:r>
    </w:p>
    <w:p w14:paraId="7C47672B">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1.6.3 现场图纸准备</w:t>
      </w:r>
    </w:p>
    <w:p w14:paraId="5C13B8A7">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关于现场图纸准备的约定：</w:t>
      </w:r>
      <w:r>
        <w:rPr>
          <w:rFonts w:hint="eastAsia" w:ascii="宋体" w:hAnsi="宋体" w:eastAsia="宋体" w:cs="宋体"/>
          <w:color w:val="auto"/>
          <w:sz w:val="24"/>
          <w:szCs w:val="24"/>
          <w:u w:val="single"/>
        </w:rPr>
        <w:t xml:space="preserve">常备一套以便检查、核对   </w:t>
      </w:r>
      <w:r>
        <w:rPr>
          <w:rFonts w:hint="eastAsia" w:ascii="宋体" w:hAnsi="宋体" w:eastAsia="宋体" w:cs="宋体"/>
          <w:color w:val="auto"/>
          <w:sz w:val="24"/>
          <w:szCs w:val="24"/>
        </w:rPr>
        <w:t>。</w:t>
      </w:r>
    </w:p>
    <w:p w14:paraId="188C95C3">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1.7 联络</w:t>
      </w:r>
    </w:p>
    <w:p w14:paraId="11BA1ECD">
      <w:pPr>
        <w:spacing w:line="46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1.7.1发包人和承包人应当在</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val="en-US" w:eastAsia="zh-CN"/>
        </w:rPr>
        <w:t>开工前</w:t>
      </w:r>
      <w:r>
        <w:rPr>
          <w:rFonts w:hint="eastAsia" w:ascii="宋体" w:hAnsi="宋体" w:eastAsia="宋体" w:cs="宋体"/>
          <w:color w:val="auto"/>
          <w:sz w:val="24"/>
          <w:szCs w:val="24"/>
          <w:u w:val="single"/>
        </w:rPr>
        <w:t xml:space="preserve">7   </w:t>
      </w:r>
      <w:r>
        <w:rPr>
          <w:rFonts w:hint="eastAsia" w:ascii="宋体" w:hAnsi="宋体" w:eastAsia="宋体" w:cs="宋体"/>
          <w:color w:val="auto"/>
          <w:kern w:val="0"/>
          <w:sz w:val="24"/>
          <w:szCs w:val="24"/>
        </w:rPr>
        <w:t>天内将与合同有关的通知、批准、证明、证书、指示、指令、要求、请求、同意、意见、确定和决定等书面函件送达对方当事人。</w:t>
      </w:r>
    </w:p>
    <w:p w14:paraId="7F0E2459">
      <w:pPr>
        <w:spacing w:line="46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1.7.2 发包人接收文件的地点：</w:t>
      </w:r>
      <w:r>
        <w:rPr>
          <w:rFonts w:hint="eastAsia" w:ascii="宋体" w:hAnsi="宋体" w:eastAsia="宋体" w:cs="宋体"/>
          <w:color w:val="auto"/>
          <w:sz w:val="24"/>
          <w:szCs w:val="24"/>
          <w:u w:val="single"/>
        </w:rPr>
        <w:t>发包人办公室</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kern w:val="0"/>
          <w:sz w:val="24"/>
          <w:szCs w:val="24"/>
        </w:rPr>
        <w:t>；</w:t>
      </w:r>
    </w:p>
    <w:p w14:paraId="36A01B05">
      <w:pPr>
        <w:spacing w:line="46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发包人指定的接收人为：</w:t>
      </w:r>
      <w:r>
        <w:rPr>
          <w:rFonts w:hint="eastAsia" w:ascii="宋体" w:hAnsi="宋体" w:eastAsia="宋体" w:cs="宋体"/>
          <w:color w:val="auto"/>
          <w:sz w:val="24"/>
          <w:szCs w:val="24"/>
          <w:u w:val="single"/>
        </w:rPr>
        <w:t xml:space="preserve">　　　　　　　　　　　　　   </w:t>
      </w:r>
      <w:r>
        <w:rPr>
          <w:rFonts w:hint="eastAsia" w:ascii="宋体" w:hAnsi="宋体" w:eastAsia="宋体" w:cs="宋体"/>
          <w:color w:val="auto"/>
          <w:kern w:val="0"/>
          <w:sz w:val="24"/>
          <w:szCs w:val="24"/>
        </w:rPr>
        <w:t>。</w:t>
      </w:r>
    </w:p>
    <w:p w14:paraId="14BA59D8">
      <w:pPr>
        <w:spacing w:line="46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承包人接收文件的地点：</w:t>
      </w:r>
      <w:r>
        <w:rPr>
          <w:rFonts w:hint="eastAsia" w:ascii="宋体" w:hAnsi="宋体" w:eastAsia="宋体" w:cs="宋体"/>
          <w:color w:val="auto"/>
          <w:sz w:val="24"/>
          <w:szCs w:val="24"/>
          <w:u w:val="single"/>
        </w:rPr>
        <w:t xml:space="preserve">驻工程地域分公司或工程项目部 </w:t>
      </w:r>
      <w:r>
        <w:rPr>
          <w:rFonts w:hint="eastAsia" w:ascii="宋体" w:hAnsi="宋体" w:eastAsia="宋体" w:cs="宋体"/>
          <w:color w:val="auto"/>
          <w:kern w:val="0"/>
          <w:sz w:val="24"/>
          <w:szCs w:val="24"/>
        </w:rPr>
        <w:t>；</w:t>
      </w:r>
    </w:p>
    <w:p w14:paraId="15EB6C89">
      <w:pPr>
        <w:spacing w:line="46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承包人指定的接收人为：</w:t>
      </w:r>
      <w:r>
        <w:rPr>
          <w:rFonts w:hint="eastAsia" w:ascii="宋体" w:hAnsi="宋体" w:eastAsia="宋体" w:cs="宋体"/>
          <w:color w:val="auto"/>
          <w:sz w:val="24"/>
          <w:szCs w:val="24"/>
          <w:u w:val="single"/>
        </w:rPr>
        <w:t xml:space="preserve">       　                </w:t>
      </w:r>
      <w:r>
        <w:rPr>
          <w:rFonts w:hint="eastAsia" w:ascii="宋体" w:hAnsi="宋体" w:eastAsia="宋体" w:cs="宋体"/>
          <w:color w:val="auto"/>
          <w:kern w:val="0"/>
          <w:sz w:val="24"/>
          <w:szCs w:val="24"/>
        </w:rPr>
        <w:t>。</w:t>
      </w:r>
    </w:p>
    <w:p w14:paraId="45DCA0C1">
      <w:pPr>
        <w:spacing w:line="46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监理人接收文件的地点：</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kern w:val="0"/>
          <w:sz w:val="24"/>
          <w:szCs w:val="24"/>
        </w:rPr>
        <w:t>；</w:t>
      </w:r>
    </w:p>
    <w:p w14:paraId="086DE13E">
      <w:pPr>
        <w:spacing w:line="46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监理人指定的接收人为：</w:t>
      </w:r>
      <w:r>
        <w:rPr>
          <w:rFonts w:hint="eastAsia" w:ascii="宋体" w:hAnsi="宋体" w:eastAsia="宋体" w:cs="宋体"/>
          <w:color w:val="auto"/>
          <w:sz w:val="24"/>
          <w:szCs w:val="24"/>
          <w:u w:val="single"/>
        </w:rPr>
        <w:t>         　   </w:t>
      </w:r>
      <w:r>
        <w:rPr>
          <w:rFonts w:hint="eastAsia" w:ascii="宋体" w:hAnsi="宋体" w:eastAsia="宋体" w:cs="宋体"/>
          <w:color w:val="auto"/>
          <w:kern w:val="0"/>
          <w:sz w:val="24"/>
          <w:szCs w:val="24"/>
        </w:rPr>
        <w:t>。</w:t>
      </w:r>
    </w:p>
    <w:p w14:paraId="3043D6CA">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1.10 交通运输</w:t>
      </w:r>
    </w:p>
    <w:p w14:paraId="4B74D2DC">
      <w:pPr>
        <w:spacing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567" w:name="_Toc304295521"/>
      <w:bookmarkStart w:id="568" w:name="_Toc300934943"/>
      <w:bookmarkStart w:id="569" w:name="_Toc303539100"/>
      <w:bookmarkStart w:id="570" w:name="_Toc318581155"/>
      <w:bookmarkStart w:id="571" w:name="_Toc312677986"/>
      <w:r>
        <w:rPr>
          <w:rFonts w:hint="eastAsia" w:ascii="宋体" w:hAnsi="宋体" w:eastAsia="宋体" w:cs="宋体"/>
          <w:color w:val="auto"/>
          <w:sz w:val="24"/>
          <w:szCs w:val="24"/>
        </w:rPr>
        <w:t>.10.1 出入现场的权利</w:t>
      </w:r>
    </w:p>
    <w:p w14:paraId="51182385">
      <w:pPr>
        <w:spacing w:line="460" w:lineRule="exact"/>
        <w:ind w:left="15" w:leftChars="7" w:firstLine="578" w:firstLineChars="241"/>
        <w:rPr>
          <w:rFonts w:hint="eastAsia" w:ascii="宋体" w:hAnsi="宋体" w:eastAsia="宋体" w:cs="宋体"/>
          <w:color w:val="auto"/>
          <w:sz w:val="24"/>
          <w:szCs w:val="24"/>
        </w:rPr>
      </w:pPr>
      <w:r>
        <w:rPr>
          <w:rFonts w:hint="eastAsia" w:ascii="宋体" w:hAnsi="宋体" w:eastAsia="宋体" w:cs="宋体"/>
          <w:color w:val="auto"/>
          <w:sz w:val="24"/>
          <w:szCs w:val="24"/>
        </w:rPr>
        <w:t>关于出入现场的权利的约定：</w:t>
      </w:r>
      <w:r>
        <w:rPr>
          <w:rFonts w:hint="eastAsia" w:ascii="宋体" w:hAnsi="宋体" w:eastAsia="宋体" w:cs="宋体"/>
          <w:color w:val="auto"/>
          <w:sz w:val="24"/>
          <w:szCs w:val="24"/>
          <w:u w:val="single"/>
        </w:rPr>
        <w:t xml:space="preserve">承包人需遵循发包人关于车辆管理的相关规定，发包人需为承包人施工车辆提供相关便利，不得无故妨碍施工车辆的正常工作需求 </w:t>
      </w:r>
      <w:r>
        <w:rPr>
          <w:rFonts w:hint="eastAsia" w:ascii="宋体" w:hAnsi="宋体" w:eastAsia="宋体" w:cs="宋体"/>
          <w:color w:val="auto"/>
          <w:sz w:val="24"/>
          <w:szCs w:val="24"/>
        </w:rPr>
        <w:t>。</w:t>
      </w:r>
    </w:p>
    <w:bookmarkEnd w:id="567"/>
    <w:bookmarkEnd w:id="568"/>
    <w:bookmarkEnd w:id="569"/>
    <w:bookmarkEnd w:id="570"/>
    <w:bookmarkEnd w:id="571"/>
    <w:p w14:paraId="144C795B">
      <w:pPr>
        <w:spacing w:line="460" w:lineRule="exact"/>
        <w:ind w:firstLine="480" w:firstLineChars="200"/>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572" w:name="_Toc300934944"/>
      <w:bookmarkStart w:id="573" w:name="_Toc312677987"/>
      <w:bookmarkStart w:id="574" w:name="_Toc318581156"/>
      <w:bookmarkStart w:id="575" w:name="_Toc303539101"/>
      <w:bookmarkStart w:id="576" w:name="_Toc304295522"/>
      <w:r>
        <w:rPr>
          <w:rFonts w:hint="eastAsia" w:ascii="宋体" w:hAnsi="宋体" w:eastAsia="宋体" w:cs="宋体"/>
          <w:color w:val="auto"/>
          <w:sz w:val="24"/>
          <w:szCs w:val="24"/>
        </w:rPr>
        <w:t>.10.3 场内交通</w:t>
      </w:r>
    </w:p>
    <w:p w14:paraId="4F0092C5">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关于场外交通和场内交通的边界的约定：</w:t>
      </w:r>
      <w:r>
        <w:rPr>
          <w:rFonts w:hint="eastAsia" w:ascii="宋体" w:hAnsi="宋体" w:eastAsia="宋体" w:cs="宋体"/>
          <w:color w:val="auto"/>
          <w:sz w:val="24"/>
          <w:szCs w:val="24"/>
          <w:u w:val="single"/>
        </w:rPr>
        <w:t></w:t>
      </w:r>
      <w:r>
        <w:rPr>
          <w:rFonts w:hint="eastAsia" w:ascii="仿宋_GB2312" w:hAnsi="宋体" w:eastAsia="宋体"/>
          <w:bCs/>
          <w:color w:val="auto"/>
          <w:sz w:val="24"/>
          <w:szCs w:val="28"/>
          <w:u w:val="single"/>
        </w:rPr>
        <w:t>建筑红线范围内的为场内交通，建筑红线范围外的为场外交通。</w:t>
      </w:r>
    </w:p>
    <w:p w14:paraId="6B361A68">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关于发包人向承包人免费提供满足工程施工需要的场内道路和交通设施的约定：</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val="en-US" w:eastAsia="zh-CN"/>
        </w:rPr>
        <w:t xml:space="preserve">      /  </w:t>
      </w:r>
      <w:r>
        <w:rPr>
          <w:rFonts w:hint="eastAsia" w:ascii="宋体" w:hAnsi="宋体" w:eastAsia="宋体" w:cs="宋体"/>
          <w:color w:val="auto"/>
          <w:sz w:val="24"/>
          <w:szCs w:val="24"/>
        </w:rPr>
        <w:t>。</w:t>
      </w:r>
      <w:bookmarkEnd w:id="572"/>
      <w:bookmarkEnd w:id="573"/>
      <w:bookmarkEnd w:id="574"/>
      <w:bookmarkEnd w:id="575"/>
      <w:bookmarkEnd w:id="576"/>
      <w:bookmarkStart w:id="577" w:name="_Toc318581157"/>
    </w:p>
    <w:p w14:paraId="24D38270">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1.10.4超大件和超重件的运输</w:t>
      </w:r>
    </w:p>
    <w:p w14:paraId="510895F3">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运输超大件或超重件所需的道路和桥梁临时加固改造费用和其他有关费用由:</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承</w:t>
      </w:r>
      <w:r>
        <w:rPr>
          <w:rFonts w:hint="eastAsia" w:ascii="宋体" w:hAnsi="宋体" w:eastAsia="宋体" w:cs="宋体"/>
          <w:color w:val="auto"/>
          <w:sz w:val="24"/>
          <w:szCs w:val="24"/>
          <w:u w:val="single"/>
        </w:rPr>
        <w:t xml:space="preserve">包人   </w:t>
      </w:r>
      <w:r>
        <w:rPr>
          <w:rFonts w:hint="eastAsia" w:ascii="宋体" w:hAnsi="宋体" w:eastAsia="宋体" w:cs="宋体"/>
          <w:color w:val="auto"/>
          <w:sz w:val="24"/>
          <w:szCs w:val="24"/>
        </w:rPr>
        <w:t>承担。</w:t>
      </w:r>
    </w:p>
    <w:bookmarkEnd w:id="577"/>
    <w:p w14:paraId="72D3F41B">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1.11 知识产权</w:t>
      </w:r>
    </w:p>
    <w:p w14:paraId="4918D9CF">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 w:val="24"/>
          <w:szCs w:val="24"/>
          <w:u w:val="single"/>
        </w:rPr>
        <w:t xml:space="preserve">归发包人所有 </w:t>
      </w:r>
      <w:r>
        <w:rPr>
          <w:rFonts w:hint="eastAsia" w:ascii="宋体" w:hAnsi="宋体" w:eastAsia="宋体" w:cs="宋体"/>
          <w:color w:val="auto"/>
          <w:sz w:val="24"/>
          <w:szCs w:val="24"/>
        </w:rPr>
        <w:t>。</w:t>
      </w:r>
    </w:p>
    <w:p w14:paraId="5ADEBAD7">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关于发包人提供的上述文件的使用限制的要求：</w:t>
      </w:r>
      <w:r>
        <w:rPr>
          <w:rFonts w:hint="eastAsia" w:ascii="宋体" w:hAnsi="宋体" w:eastAsia="宋体" w:cs="宋体"/>
          <w:color w:val="auto"/>
          <w:sz w:val="24"/>
          <w:szCs w:val="24"/>
          <w:u w:val="single"/>
        </w:rPr>
        <w:t xml:space="preserve">  承包人需征得发包人同意方能使用，未经发包人授权不能外泄 </w:t>
      </w:r>
      <w:r>
        <w:rPr>
          <w:rFonts w:hint="eastAsia" w:ascii="宋体" w:hAnsi="宋体" w:eastAsia="宋体" w:cs="宋体"/>
          <w:color w:val="auto"/>
          <w:sz w:val="24"/>
          <w:szCs w:val="24"/>
        </w:rPr>
        <w:t>。</w:t>
      </w:r>
    </w:p>
    <w:p w14:paraId="53B14F8C">
      <w:pPr>
        <w:spacing w:line="460" w:lineRule="exact"/>
        <w:ind w:left="596" w:leftChars="284"/>
        <w:outlineLvl w:val="0"/>
        <w:rPr>
          <w:rFonts w:hint="eastAsia" w:ascii="宋体" w:hAnsi="宋体" w:eastAsia="宋体" w:cs="宋体"/>
          <w:color w:val="auto"/>
          <w:sz w:val="24"/>
          <w:szCs w:val="24"/>
        </w:rPr>
      </w:pPr>
      <w:r>
        <w:rPr>
          <w:rFonts w:hint="eastAsia" w:ascii="宋体" w:hAnsi="宋体" w:eastAsia="宋体" w:cs="宋体"/>
          <w:color w:val="auto"/>
          <w:sz w:val="24"/>
          <w:szCs w:val="24"/>
        </w:rPr>
        <w:t>1.11.2 关于承包人为实施工程所编制文件的著作权的归属：</w:t>
      </w:r>
      <w:r>
        <w:rPr>
          <w:rFonts w:hint="eastAsia" w:ascii="宋体" w:hAnsi="宋体" w:eastAsia="宋体" w:cs="宋体"/>
          <w:color w:val="auto"/>
          <w:sz w:val="24"/>
          <w:szCs w:val="24"/>
          <w:u w:val="single"/>
        </w:rPr>
        <w:t xml:space="preserve"> 归</w:t>
      </w:r>
      <w:r>
        <w:rPr>
          <w:rFonts w:hint="eastAsia" w:ascii="宋体" w:hAnsi="宋体" w:eastAsia="宋体" w:cs="宋体"/>
          <w:color w:val="auto"/>
          <w:sz w:val="24"/>
          <w:szCs w:val="24"/>
          <w:u w:val="single"/>
          <w:lang w:val="en-US" w:eastAsia="zh-CN"/>
        </w:rPr>
        <w:t>发</w:t>
      </w:r>
      <w:r>
        <w:rPr>
          <w:rFonts w:hint="eastAsia" w:ascii="宋体" w:hAnsi="宋体" w:eastAsia="宋体" w:cs="宋体"/>
          <w:color w:val="auto"/>
          <w:sz w:val="24"/>
          <w:szCs w:val="24"/>
          <w:u w:val="single"/>
        </w:rPr>
        <w:t xml:space="preserve">包人所有   </w:t>
      </w:r>
      <w:r>
        <w:rPr>
          <w:rFonts w:hint="eastAsia" w:ascii="宋体" w:hAnsi="宋体" w:eastAsia="宋体" w:cs="宋体"/>
          <w:color w:val="auto"/>
          <w:sz w:val="24"/>
          <w:szCs w:val="24"/>
        </w:rPr>
        <w:t>。</w:t>
      </w:r>
    </w:p>
    <w:p w14:paraId="59175030">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关于承包人提供的上述文件的使用限制的要求：</w:t>
      </w:r>
      <w:r>
        <w:rPr>
          <w:rFonts w:ascii="Times New Roman" w:hAnsi="Times New Roman" w:eastAsia="宋体"/>
          <w:color w:val="auto"/>
          <w:kern w:val="0"/>
          <w:sz w:val="24"/>
          <w:szCs w:val="24"/>
          <w:u w:val="single"/>
        </w:rPr>
        <w:t>未经发包人书面同意</w:t>
      </w:r>
      <w:r>
        <w:rPr>
          <w:rFonts w:hint="eastAsia" w:ascii="宋体" w:hAnsi="宋体" w:eastAsia="宋体" w:cs="宋体"/>
          <w:color w:val="auto"/>
          <w:sz w:val="24"/>
          <w:szCs w:val="24"/>
          <w:u w:val="single"/>
        </w:rPr>
        <w:t>，承包人不得外泄</w:t>
      </w:r>
      <w:r>
        <w:rPr>
          <w:rFonts w:hint="eastAsia" w:ascii="宋体" w:hAnsi="宋体" w:eastAsia="宋体" w:cs="宋体"/>
          <w:color w:val="auto"/>
          <w:sz w:val="24"/>
          <w:szCs w:val="24"/>
        </w:rPr>
        <w:t>。</w:t>
      </w:r>
    </w:p>
    <w:p w14:paraId="2B001F2A">
      <w:pPr>
        <w:spacing w:line="460" w:lineRule="exact"/>
        <w:ind w:firstLine="480" w:firstLineChars="200"/>
        <w:outlineLvl w:val="0"/>
        <w:rPr>
          <w:rFonts w:hint="eastAsia" w:ascii="宋体" w:hAnsi="宋体" w:eastAsia="宋体" w:cs="宋体"/>
          <w:color w:val="auto"/>
          <w:kern w:val="0"/>
          <w:sz w:val="24"/>
          <w:szCs w:val="24"/>
        </w:rPr>
      </w:pPr>
      <w:r>
        <w:rPr>
          <w:rFonts w:hint="eastAsia" w:ascii="宋体" w:hAnsi="宋体" w:eastAsia="宋体" w:cs="宋体"/>
          <w:color w:val="auto"/>
          <w:sz w:val="24"/>
          <w:szCs w:val="24"/>
        </w:rPr>
        <w:t>1.11.4 承包人在施工过程中所采用的专利、专有技术、技术秘密的使用费的承担方式：</w:t>
      </w:r>
      <w:r>
        <w:rPr>
          <w:rFonts w:hint="eastAsia" w:ascii="宋体" w:hAnsi="宋体" w:eastAsia="宋体" w:cs="宋体"/>
          <w:color w:val="auto"/>
          <w:sz w:val="24"/>
          <w:szCs w:val="24"/>
          <w:u w:val="single"/>
        </w:rPr>
        <w:t>由承包人自行承担</w:t>
      </w:r>
      <w:r>
        <w:rPr>
          <w:rFonts w:hint="eastAsia" w:ascii="宋体" w:hAnsi="宋体" w:eastAsia="宋体" w:cs="宋体"/>
          <w:color w:val="auto"/>
          <w:kern w:val="0"/>
          <w:sz w:val="24"/>
          <w:szCs w:val="24"/>
        </w:rPr>
        <w:t>。</w:t>
      </w:r>
    </w:p>
    <w:p w14:paraId="15510D8A">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1.13工程量清单错误的修正</w:t>
      </w:r>
    </w:p>
    <w:p w14:paraId="62534864">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出现工程量清单错误时，是否调整合同价格：</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是</w:t>
      </w:r>
      <w:r>
        <w:rPr>
          <w:rFonts w:hint="eastAsia" w:ascii="宋体" w:hAnsi="宋体" w:eastAsia="宋体" w:cs="宋体"/>
          <w:color w:val="auto"/>
          <w:sz w:val="24"/>
          <w:szCs w:val="24"/>
          <w:u w:val="single"/>
        </w:rPr>
        <w:t xml:space="preserve">    </w:t>
      </w:r>
      <w:r>
        <w:rPr>
          <w:rFonts w:hint="eastAsia" w:ascii="宋体" w:hAnsi="宋体" w:eastAsia="宋体" w:cs="宋体"/>
          <w:color w:val="auto"/>
          <w:kern w:val="0"/>
          <w:sz w:val="24"/>
          <w:szCs w:val="24"/>
        </w:rPr>
        <w:t>。</w:t>
      </w:r>
    </w:p>
    <w:p w14:paraId="08EE3D61">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允许调整合同价格的工程量偏差范围：</w:t>
      </w:r>
      <w:r>
        <w:rPr>
          <w:rFonts w:hint="eastAsia" w:ascii="宋体" w:hAnsi="宋体" w:eastAsia="宋体" w:cs="宋体"/>
          <w:color w:val="auto"/>
          <w:sz w:val="24"/>
          <w:szCs w:val="24"/>
          <w:u w:val="single"/>
        </w:rPr>
        <w:t>（1）工程量清单存在缺项、漏项的；（2）实际完成合格并经发包人签认的工程量超出或减少合同工程量清单工程量的</w:t>
      </w:r>
      <w:r>
        <w:rPr>
          <w:rFonts w:hint="eastAsia" w:ascii="宋体" w:hAnsi="宋体" w:eastAsia="宋体" w:cs="宋体"/>
          <w:color w:val="auto"/>
          <w:sz w:val="24"/>
          <w:szCs w:val="24"/>
          <w:u w:val="single"/>
          <w:lang w:eastAsia="zh-CN"/>
        </w:rPr>
        <w:t>；</w:t>
      </w:r>
      <w:r>
        <w:rPr>
          <w:rFonts w:hint="eastAsia" w:ascii="仿宋_GB2312" w:hAnsi="宋体" w:eastAsia="宋体"/>
          <w:b w:val="0"/>
          <w:color w:val="auto"/>
          <w:sz w:val="24"/>
          <w:u w:val="single"/>
        </w:rPr>
        <w:t>(3)未按照国家现行计量规范强制性规定计量的</w:t>
      </w:r>
      <w:r>
        <w:rPr>
          <w:rFonts w:hint="eastAsia" w:ascii="宋体" w:hAnsi="宋体" w:eastAsia="宋体" w:cs="宋体"/>
          <w:color w:val="auto"/>
          <w:kern w:val="0"/>
          <w:sz w:val="24"/>
          <w:szCs w:val="24"/>
        </w:rPr>
        <w:t>。</w:t>
      </w:r>
    </w:p>
    <w:p w14:paraId="723D3808">
      <w:pPr>
        <w:pStyle w:val="5"/>
        <w:spacing w:before="120" w:after="120" w:line="460" w:lineRule="exact"/>
        <w:rPr>
          <w:rFonts w:hint="eastAsia" w:ascii="宋体" w:hAnsi="宋体" w:eastAsia="宋体" w:cs="宋体"/>
          <w:b w:val="0"/>
          <w:color w:val="auto"/>
          <w:sz w:val="24"/>
          <w:szCs w:val="24"/>
        </w:rPr>
      </w:pPr>
      <w:bookmarkStart w:id="578" w:name="_Toc351203634"/>
      <w:r>
        <w:rPr>
          <w:rFonts w:hint="eastAsia" w:ascii="宋体" w:hAnsi="宋体" w:eastAsia="宋体" w:cs="宋体"/>
          <w:b w:val="0"/>
          <w:color w:val="auto"/>
          <w:sz w:val="24"/>
          <w:szCs w:val="24"/>
        </w:rPr>
        <w:t>2</w:t>
      </w:r>
      <w:bookmarkStart w:id="579" w:name="_Toc297120457"/>
      <w:bookmarkStart w:id="580" w:name="_Toc292559362"/>
      <w:bookmarkStart w:id="581" w:name="_Toc296503157"/>
      <w:bookmarkStart w:id="582" w:name="_Toc296346658"/>
      <w:bookmarkStart w:id="583" w:name="_Toc297048343"/>
      <w:bookmarkStart w:id="584" w:name="_Toc292559867"/>
      <w:bookmarkStart w:id="585" w:name="_Toc296891197"/>
      <w:bookmarkStart w:id="586" w:name="_Toc296890985"/>
      <w:bookmarkStart w:id="587" w:name="_Toc296944496"/>
      <w:bookmarkStart w:id="588" w:name="_Toc296347156"/>
      <w:r>
        <w:rPr>
          <w:rFonts w:hint="eastAsia" w:ascii="宋体" w:hAnsi="宋体" w:eastAsia="宋体" w:cs="宋体"/>
          <w:b w:val="0"/>
          <w:color w:val="auto"/>
          <w:sz w:val="24"/>
          <w:szCs w:val="24"/>
        </w:rPr>
        <w:t>. 发包人</w:t>
      </w:r>
      <w:bookmarkEnd w:id="578"/>
    </w:p>
    <w:bookmarkEnd w:id="579"/>
    <w:bookmarkEnd w:id="580"/>
    <w:bookmarkEnd w:id="581"/>
    <w:bookmarkEnd w:id="582"/>
    <w:bookmarkEnd w:id="583"/>
    <w:bookmarkEnd w:id="584"/>
    <w:bookmarkEnd w:id="585"/>
    <w:bookmarkEnd w:id="586"/>
    <w:bookmarkEnd w:id="587"/>
    <w:bookmarkEnd w:id="588"/>
    <w:p w14:paraId="08275088">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2.2 发包人代表</w:t>
      </w:r>
    </w:p>
    <w:p w14:paraId="22971D4F">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发包人代表：</w:t>
      </w:r>
    </w:p>
    <w:p w14:paraId="44FCFB9D">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姓    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7FADF934">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职    务：</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1868B58E">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641AF3F3">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0190E947">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B08162E">
      <w:pPr>
        <w:spacing w:line="460" w:lineRule="exact"/>
        <w:ind w:firstLine="480" w:firstLineChars="200"/>
        <w:rPr>
          <w:rFonts w:hint="eastAsia" w:ascii="宋体" w:hAnsi="宋体" w:eastAsia="宋体" w:cs="宋体"/>
          <w:b/>
          <w:color w:val="auto"/>
          <w:sz w:val="24"/>
          <w:szCs w:val="24"/>
        </w:rPr>
      </w:pPr>
      <w:r>
        <w:rPr>
          <w:rFonts w:hint="eastAsia" w:ascii="宋体" w:hAnsi="宋体" w:eastAsia="宋体" w:cs="宋体"/>
          <w:color w:val="auto"/>
          <w:sz w:val="24"/>
          <w:szCs w:val="24"/>
        </w:rPr>
        <w:t>发包人对发包人代表的授权范围如下：</w:t>
      </w:r>
      <w:r>
        <w:rPr>
          <w:rFonts w:hint="eastAsia" w:ascii="宋体" w:hAnsi="宋体" w:eastAsia="宋体" w:cs="宋体"/>
          <w:color w:val="auto"/>
          <w:sz w:val="24"/>
          <w:szCs w:val="24"/>
          <w:u w:val="single"/>
        </w:rPr>
        <w:t></w:t>
      </w:r>
      <w:r>
        <w:rPr>
          <w:rFonts w:hint="eastAsia" w:ascii="宋体" w:hAnsi="宋体" w:cs="宋体"/>
          <w:color w:val="auto"/>
          <w:spacing w:val="20"/>
          <w:sz w:val="24"/>
          <w:szCs w:val="32"/>
          <w:u w:val="single"/>
        </w:rPr>
        <w:t>负责工程施工的协调</w:t>
      </w:r>
      <w:r>
        <w:rPr>
          <w:rFonts w:hint="eastAsia" w:ascii="宋体" w:hAnsi="宋体" w:cs="宋体"/>
          <w:color w:val="auto"/>
          <w:spacing w:val="20"/>
          <w:sz w:val="24"/>
          <w:szCs w:val="32"/>
          <w:u w:val="single"/>
          <w:lang w:eastAsia="zh-CN"/>
        </w:rPr>
        <w:t>、</w:t>
      </w:r>
      <w:r>
        <w:rPr>
          <w:rFonts w:hint="eastAsia" w:ascii="宋体" w:hAnsi="宋体" w:cs="宋体"/>
          <w:color w:val="auto"/>
          <w:spacing w:val="20"/>
          <w:sz w:val="24"/>
          <w:szCs w:val="32"/>
          <w:u w:val="single"/>
        </w:rPr>
        <w:t>验收、签证、结算、工程资料审查等工作</w:t>
      </w:r>
      <w:r>
        <w:rPr>
          <w:rFonts w:hint="eastAsia" w:ascii="宋体" w:hAnsi="宋体" w:eastAsia="宋体" w:cs="宋体"/>
          <w:color w:val="auto"/>
          <w:sz w:val="24"/>
          <w:szCs w:val="24"/>
        </w:rPr>
        <w:t>。</w:t>
      </w:r>
    </w:p>
    <w:p w14:paraId="0F6792BB">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2.4 施工现场、施工条件和基础资料的提供</w:t>
      </w:r>
    </w:p>
    <w:p w14:paraId="03FBA133">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2.4.1 提供施工现场</w:t>
      </w:r>
    </w:p>
    <w:p w14:paraId="3DD4E6C9">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关于发包人移交施工现场的期限要求：</w:t>
      </w:r>
      <w:r>
        <w:rPr>
          <w:rFonts w:hint="eastAsia" w:ascii="宋体" w:hAnsi="宋体" w:eastAsia="宋体" w:cs="宋体"/>
          <w:color w:val="auto"/>
          <w:sz w:val="24"/>
          <w:szCs w:val="24"/>
          <w:u w:val="single"/>
        </w:rPr>
        <w:t>计划开工日前7天</w:t>
      </w:r>
      <w:r>
        <w:rPr>
          <w:rFonts w:hint="eastAsia" w:ascii="宋体" w:hAnsi="宋体" w:eastAsia="宋体" w:cs="宋体"/>
          <w:color w:val="auto"/>
          <w:sz w:val="24"/>
          <w:szCs w:val="24"/>
        </w:rPr>
        <w:t>。</w:t>
      </w:r>
    </w:p>
    <w:p w14:paraId="39C0AF32">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2.4.2 提供施工条件</w:t>
      </w:r>
    </w:p>
    <w:p w14:paraId="38B3841B">
      <w:pPr>
        <w:spacing w:line="460" w:lineRule="exact"/>
        <w:ind w:firstLine="480" w:firstLineChars="200"/>
        <w:rPr>
          <w:rFonts w:hint="default" w:ascii="宋体" w:hAnsi="宋体" w:eastAsia="宋体" w:cs="宋体"/>
          <w:color w:val="auto"/>
          <w:sz w:val="24"/>
          <w:szCs w:val="24"/>
          <w:u w:val="single"/>
          <w:lang w:val="en-US" w:eastAsia="zh-CN"/>
        </w:rPr>
      </w:pPr>
      <w:r>
        <w:rPr>
          <w:rFonts w:hint="eastAsia" w:ascii="宋体" w:hAnsi="宋体" w:eastAsia="宋体" w:cs="宋体"/>
          <w:color w:val="auto"/>
          <w:sz w:val="24"/>
          <w:szCs w:val="24"/>
        </w:rPr>
        <w:t>关于发包人应负责提供施工所需要的条件，包括：</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291CECDC">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2.5 资金来源证明及支付担保</w:t>
      </w:r>
    </w:p>
    <w:p w14:paraId="17D82380">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发包人提供资金来源证明的期限要求：</w:t>
      </w:r>
      <w:r>
        <w:rPr>
          <w:rFonts w:hint="eastAsia" w:ascii="宋体" w:hAnsi="宋体" w:eastAsia="宋体" w:cs="宋体"/>
          <w:color w:val="auto"/>
          <w:sz w:val="24"/>
          <w:szCs w:val="24"/>
          <w:u w:val="single"/>
        </w:rPr>
        <w:t xml:space="preserve">无     </w:t>
      </w:r>
      <w:r>
        <w:rPr>
          <w:rFonts w:hint="eastAsia" w:ascii="宋体" w:hAnsi="宋体" w:eastAsia="宋体" w:cs="宋体"/>
          <w:color w:val="auto"/>
          <w:sz w:val="24"/>
          <w:szCs w:val="24"/>
        </w:rPr>
        <w:t>。</w:t>
      </w:r>
    </w:p>
    <w:p w14:paraId="6D77E6BD">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发包人是否提供支付担保：</w:t>
      </w:r>
      <w:r>
        <w:rPr>
          <w:rFonts w:hint="eastAsia" w:ascii="宋体" w:hAnsi="宋体" w:eastAsia="宋体" w:cs="宋体"/>
          <w:color w:val="auto"/>
          <w:sz w:val="24"/>
          <w:szCs w:val="24"/>
          <w:u w:val="single"/>
        </w:rPr>
        <w:t xml:space="preserve">       不提供    </w:t>
      </w:r>
      <w:r>
        <w:rPr>
          <w:rFonts w:hint="eastAsia" w:ascii="宋体" w:hAnsi="宋体" w:eastAsia="宋体" w:cs="宋体"/>
          <w:color w:val="auto"/>
          <w:sz w:val="24"/>
          <w:szCs w:val="24"/>
        </w:rPr>
        <w:t>。</w:t>
      </w:r>
    </w:p>
    <w:p w14:paraId="76F7B917">
      <w:pPr>
        <w:spacing w:line="46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发包人提供支付担保的形式：</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4E4B549D">
      <w:pPr>
        <w:pStyle w:val="5"/>
        <w:spacing w:before="120" w:after="120" w:line="460" w:lineRule="exact"/>
        <w:rPr>
          <w:rFonts w:hint="eastAsia" w:ascii="宋体" w:hAnsi="宋体" w:eastAsia="宋体" w:cs="宋体"/>
          <w:b w:val="0"/>
          <w:color w:val="auto"/>
          <w:sz w:val="24"/>
          <w:szCs w:val="24"/>
        </w:rPr>
      </w:pPr>
      <w:bookmarkStart w:id="589" w:name="_Toc351203635"/>
      <w:r>
        <w:rPr>
          <w:rFonts w:hint="eastAsia" w:ascii="宋体" w:hAnsi="宋体" w:eastAsia="宋体" w:cs="宋体"/>
          <w:b w:val="0"/>
          <w:color w:val="auto"/>
          <w:sz w:val="24"/>
          <w:szCs w:val="24"/>
        </w:rPr>
        <w:t>3</w:t>
      </w:r>
      <w:bookmarkStart w:id="590" w:name="_Toc296503158"/>
      <w:bookmarkStart w:id="591" w:name="_Toc297120458"/>
      <w:bookmarkStart w:id="592" w:name="_Toc296891198"/>
      <w:bookmarkStart w:id="593" w:name="_Toc297048344"/>
      <w:bookmarkStart w:id="594" w:name="_Toc296944497"/>
      <w:bookmarkStart w:id="595" w:name="_Toc292559868"/>
      <w:bookmarkStart w:id="596" w:name="_Toc296347157"/>
      <w:bookmarkStart w:id="597" w:name="_Toc296890986"/>
      <w:bookmarkStart w:id="598" w:name="_Toc296346659"/>
      <w:bookmarkStart w:id="599" w:name="_Toc292559363"/>
      <w:r>
        <w:rPr>
          <w:rFonts w:hint="eastAsia" w:ascii="宋体" w:hAnsi="宋体" w:eastAsia="宋体" w:cs="宋体"/>
          <w:b w:val="0"/>
          <w:color w:val="auto"/>
          <w:sz w:val="24"/>
          <w:szCs w:val="24"/>
        </w:rPr>
        <w:t>. 承包人</w:t>
      </w:r>
      <w:bookmarkEnd w:id="589"/>
    </w:p>
    <w:bookmarkEnd w:id="590"/>
    <w:bookmarkEnd w:id="591"/>
    <w:bookmarkEnd w:id="592"/>
    <w:bookmarkEnd w:id="593"/>
    <w:bookmarkEnd w:id="594"/>
    <w:bookmarkEnd w:id="595"/>
    <w:bookmarkEnd w:id="596"/>
    <w:bookmarkEnd w:id="597"/>
    <w:bookmarkEnd w:id="598"/>
    <w:bookmarkEnd w:id="599"/>
    <w:p w14:paraId="7B4394D9">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3.1 承包人的一般义务</w:t>
      </w:r>
    </w:p>
    <w:p w14:paraId="368089A3">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（9）</w:t>
      </w:r>
      <w:r>
        <w:rPr>
          <w:rFonts w:hint="eastAsia" w:ascii="宋体" w:hAnsi="宋体" w:eastAsia="宋体" w:cs="宋体"/>
          <w:color w:val="auto"/>
          <w:sz w:val="24"/>
          <w:szCs w:val="24"/>
        </w:rPr>
        <w:t>承包人提交的竣工资料的内容：</w:t>
      </w:r>
      <w:r>
        <w:rPr>
          <w:rFonts w:hint="eastAsia" w:ascii="宋体" w:hAnsi="宋体" w:eastAsia="宋体" w:cs="宋体"/>
          <w:color w:val="auto"/>
          <w:sz w:val="24"/>
          <w:szCs w:val="24"/>
          <w:u w:val="single"/>
        </w:rPr>
        <w:t>工程竣工</w:t>
      </w:r>
      <w:r>
        <w:rPr>
          <w:rFonts w:hint="eastAsia" w:ascii="宋体" w:hAnsi="宋体" w:eastAsia="宋体" w:cs="宋体"/>
          <w:color w:val="auto"/>
          <w:sz w:val="24"/>
          <w:szCs w:val="24"/>
          <w:u w:val="single"/>
          <w:lang w:val="en-US" w:eastAsia="zh-CN"/>
        </w:rPr>
        <w:t xml:space="preserve">文件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5AFE2B63">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承包人需要提交的竣工资料套数：</w:t>
      </w:r>
      <w:r>
        <w:rPr>
          <w:rFonts w:hint="eastAsia" w:ascii="宋体" w:hAnsi="宋体" w:eastAsia="宋体" w:cs="宋体"/>
          <w:color w:val="auto"/>
          <w:sz w:val="24"/>
          <w:szCs w:val="24"/>
          <w:u w:val="single"/>
        </w:rPr>
        <w:t xml:space="preserve">       四套             </w:t>
      </w:r>
      <w:r>
        <w:rPr>
          <w:rFonts w:hint="eastAsia" w:ascii="宋体" w:hAnsi="宋体" w:eastAsia="宋体" w:cs="宋体"/>
          <w:color w:val="auto"/>
          <w:sz w:val="24"/>
          <w:szCs w:val="24"/>
        </w:rPr>
        <w:t>。</w:t>
      </w:r>
    </w:p>
    <w:p w14:paraId="0CC19A40">
      <w:pPr>
        <w:spacing w:line="460" w:lineRule="exact"/>
        <w:ind w:left="424" w:leftChars="202"/>
        <w:jc w:val="left"/>
        <w:rPr>
          <w:rFonts w:hint="eastAsia" w:ascii="宋体" w:hAnsi="宋体" w:eastAsia="宋体" w:cs="宋体"/>
          <w:color w:val="auto"/>
          <w:sz w:val="24"/>
          <w:szCs w:val="24"/>
        </w:rPr>
      </w:pPr>
      <w:r>
        <w:rPr>
          <w:rFonts w:hint="eastAsia" w:ascii="宋体" w:hAnsi="宋体" w:eastAsia="宋体" w:cs="宋体"/>
          <w:color w:val="auto"/>
          <w:sz w:val="24"/>
          <w:szCs w:val="24"/>
        </w:rPr>
        <w:t>承包人提交的竣工资料的费用承担：</w:t>
      </w:r>
      <w:r>
        <w:rPr>
          <w:rFonts w:hint="eastAsia" w:ascii="宋体" w:hAnsi="宋体" w:eastAsia="宋体" w:cs="宋体"/>
          <w:color w:val="auto"/>
          <w:sz w:val="24"/>
          <w:szCs w:val="24"/>
          <w:u w:val="single"/>
        </w:rPr>
        <w:t xml:space="preserve">    由承包人承担       </w:t>
      </w:r>
      <w:r>
        <w:rPr>
          <w:rFonts w:hint="eastAsia" w:ascii="宋体" w:hAnsi="宋体" w:eastAsia="宋体" w:cs="宋体"/>
          <w:color w:val="auto"/>
          <w:sz w:val="24"/>
          <w:szCs w:val="24"/>
        </w:rPr>
        <w:t>。</w:t>
      </w:r>
    </w:p>
    <w:p w14:paraId="78D1C912">
      <w:pPr>
        <w:spacing w:line="460" w:lineRule="exact"/>
        <w:ind w:left="424" w:leftChars="202"/>
        <w:jc w:val="left"/>
        <w:rPr>
          <w:rFonts w:hint="eastAsia" w:ascii="宋体" w:hAnsi="宋体" w:eastAsia="宋体" w:cs="宋体"/>
          <w:color w:val="auto"/>
          <w:sz w:val="24"/>
          <w:szCs w:val="24"/>
        </w:rPr>
      </w:pPr>
      <w:r>
        <w:rPr>
          <w:rFonts w:hint="eastAsia" w:ascii="宋体" w:hAnsi="宋体" w:eastAsia="宋体" w:cs="宋体"/>
          <w:color w:val="auto"/>
          <w:sz w:val="24"/>
          <w:szCs w:val="24"/>
        </w:rPr>
        <w:t>承包人提交的竣工资料移交时间：</w:t>
      </w:r>
      <w:r>
        <w:rPr>
          <w:rFonts w:hint="eastAsia" w:ascii="宋体" w:hAnsi="宋体" w:eastAsia="宋体" w:cs="宋体"/>
          <w:color w:val="auto"/>
          <w:sz w:val="24"/>
          <w:szCs w:val="24"/>
          <w:u w:val="single"/>
        </w:rPr>
        <w:t xml:space="preserve"> 工程竣工验收合格后2个月内 </w:t>
      </w:r>
      <w:r>
        <w:rPr>
          <w:rFonts w:hint="eastAsia" w:ascii="宋体" w:hAnsi="宋体" w:eastAsia="宋体" w:cs="宋体"/>
          <w:color w:val="auto"/>
          <w:sz w:val="24"/>
          <w:szCs w:val="24"/>
        </w:rPr>
        <w:t>。</w:t>
      </w:r>
    </w:p>
    <w:p w14:paraId="38558556">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承包人提交的竣工资料形式要求：</w:t>
      </w:r>
      <w:r>
        <w:rPr>
          <w:rFonts w:hint="eastAsia" w:ascii="宋体" w:hAnsi="宋体" w:eastAsia="宋体" w:cs="宋体"/>
          <w:color w:val="auto"/>
          <w:sz w:val="24"/>
          <w:szCs w:val="24"/>
          <w:u w:val="single"/>
        </w:rPr>
        <w:t xml:space="preserve"> 书面及电子文档         </w:t>
      </w:r>
      <w:r>
        <w:rPr>
          <w:rFonts w:hint="eastAsia" w:ascii="宋体" w:hAnsi="宋体" w:eastAsia="宋体" w:cs="宋体"/>
          <w:color w:val="auto"/>
          <w:sz w:val="24"/>
          <w:szCs w:val="24"/>
        </w:rPr>
        <w:t>。</w:t>
      </w:r>
    </w:p>
    <w:p w14:paraId="2B1DDDC9">
      <w:pPr>
        <w:numPr>
          <w:ilvl w:val="0"/>
          <w:numId w:val="6"/>
        </w:num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承包人应履行的其他义务：</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kern w:val="0"/>
          <w:sz w:val="24"/>
          <w:szCs w:val="24"/>
          <w:u w:val="single"/>
        </w:rPr>
        <w:t>承包人应在开工前协助发包人做好土地及青苗树木补偿、房屋拆迁、清除地面、架空和障碍等</w:t>
      </w:r>
      <w:r>
        <w:rPr>
          <w:rFonts w:hint="eastAsia" w:ascii="宋体" w:hAnsi="宋体" w:eastAsia="宋体" w:cs="宋体"/>
          <w:color w:val="auto"/>
          <w:kern w:val="0"/>
          <w:sz w:val="24"/>
          <w:szCs w:val="24"/>
          <w:u w:val="single"/>
          <w:lang w:eastAsia="zh-CN"/>
        </w:rPr>
        <w:t>。</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p w14:paraId="73EEDF8E">
      <w:pPr>
        <w:numPr>
          <w:ilvl w:val="0"/>
          <w:numId w:val="0"/>
        </w:num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 xml:space="preserve">3.2.1 </w:t>
      </w:r>
      <w:r>
        <w:rPr>
          <w:rFonts w:hint="eastAsia" w:ascii="宋体" w:hAnsi="宋体" w:eastAsia="宋体" w:cs="宋体"/>
          <w:color w:val="auto"/>
          <w:sz w:val="24"/>
          <w:szCs w:val="24"/>
        </w:rPr>
        <w:t>项目经理：</w:t>
      </w:r>
    </w:p>
    <w:p w14:paraId="1208609E">
      <w:pPr>
        <w:spacing w:line="50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姓    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25CDD49">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建造师执业资格等级：</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A94D3A0">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建造师注册证书号：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E0C843B">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建造师执业印章号：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4F0541A">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安全生产考核合格证书号：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8212CF2">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1B0FB3BC">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409BE89">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5EFE1176">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承包人对项目经理的授权范围如下：</w:t>
      </w:r>
      <w:r>
        <w:rPr>
          <w:rFonts w:hint="eastAsia" w:ascii="宋体" w:hAnsi="宋体" w:eastAsia="宋体" w:cs="宋体"/>
          <w:color w:val="auto"/>
          <w:sz w:val="24"/>
          <w:szCs w:val="24"/>
          <w:u w:val="single"/>
        </w:rPr>
        <w:t xml:space="preserve">工程进度安全质量监控, 代表承包人履行本合同 </w:t>
      </w:r>
      <w:r>
        <w:rPr>
          <w:rFonts w:hint="eastAsia" w:ascii="宋体" w:hAnsi="宋体" w:eastAsia="宋体" w:cs="宋体"/>
          <w:color w:val="auto"/>
          <w:sz w:val="24"/>
          <w:szCs w:val="24"/>
        </w:rPr>
        <w:t>。</w:t>
      </w:r>
    </w:p>
    <w:p w14:paraId="60FA6277">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关于项目经理每月在施工现场的时间要求：</w:t>
      </w:r>
      <w:r>
        <w:rPr>
          <w:rFonts w:hint="eastAsia" w:ascii="宋体" w:hAnsi="宋体" w:eastAsia="宋体" w:cs="宋体"/>
          <w:color w:val="auto"/>
          <w:sz w:val="24"/>
          <w:szCs w:val="24"/>
          <w:u w:val="single"/>
        </w:rPr>
        <w:t xml:space="preserve"> 21天，且项目经理离开施工现场时，不得影响工程进展度   </w:t>
      </w:r>
      <w:r>
        <w:rPr>
          <w:rFonts w:hint="eastAsia" w:ascii="宋体" w:hAnsi="宋体" w:eastAsia="宋体" w:cs="宋体"/>
          <w:color w:val="auto"/>
          <w:sz w:val="24"/>
          <w:szCs w:val="24"/>
        </w:rPr>
        <w:t>。</w:t>
      </w:r>
    </w:p>
    <w:p w14:paraId="7082EF30">
      <w:pPr>
        <w:spacing w:line="46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承包人未提交劳动合同，以及没有为项目经理缴纳社会保险证明的违约责任：</w:t>
      </w:r>
      <w:r>
        <w:rPr>
          <w:rFonts w:hint="eastAsia" w:ascii="宋体" w:hAnsi="宋体" w:eastAsia="宋体" w:cs="宋体"/>
          <w:color w:val="auto"/>
          <w:sz w:val="24"/>
          <w:szCs w:val="24"/>
          <w:u w:val="single"/>
        </w:rPr>
        <w:t xml:space="preserve"> 发包人有权按承包人项目经理不到位或不委派项目经理处理 </w:t>
      </w:r>
      <w:r>
        <w:rPr>
          <w:rFonts w:hint="eastAsia" w:ascii="宋体" w:hAnsi="宋体" w:eastAsia="宋体" w:cs="宋体"/>
          <w:color w:val="auto"/>
          <w:sz w:val="24"/>
          <w:szCs w:val="24"/>
        </w:rPr>
        <w:t>。</w:t>
      </w:r>
    </w:p>
    <w:p w14:paraId="2427474F">
      <w:pPr>
        <w:spacing w:line="46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项目经理未经批准，擅自离开施工现场的违约责任：</w:t>
      </w:r>
      <w:r>
        <w:rPr>
          <w:rFonts w:hint="eastAsia" w:ascii="宋体" w:hAnsi="宋体" w:eastAsia="宋体" w:cs="宋体"/>
          <w:color w:val="auto"/>
          <w:sz w:val="24"/>
          <w:szCs w:val="24"/>
          <w:u w:val="single"/>
        </w:rPr>
        <w:t xml:space="preserve"> 向发包人支付违约金1000元/人·次</w:t>
      </w:r>
      <w:r>
        <w:rPr>
          <w:rFonts w:hint="eastAsia" w:ascii="宋体" w:hAnsi="宋体" w:eastAsia="宋体" w:cs="宋体"/>
          <w:color w:val="auto"/>
          <w:sz w:val="24"/>
          <w:szCs w:val="24"/>
        </w:rPr>
        <w:t>。</w:t>
      </w:r>
    </w:p>
    <w:p w14:paraId="18462E3E">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3.2.3 承包人擅自更换项目经理的违约责任：</w:t>
      </w:r>
      <w:r>
        <w:rPr>
          <w:rFonts w:hint="eastAsia" w:ascii="宋体" w:hAnsi="宋体" w:eastAsia="宋体" w:cs="宋体"/>
          <w:color w:val="auto"/>
          <w:sz w:val="24"/>
          <w:szCs w:val="24"/>
          <w:u w:val="single"/>
        </w:rPr>
        <w:t xml:space="preserve"> 未经发包人书面同意，承包人擅自更换项目经理的视为违约，违约金处 500元/人•次（人民币） </w:t>
      </w:r>
      <w:r>
        <w:rPr>
          <w:rFonts w:hint="eastAsia" w:ascii="宋体" w:hAnsi="宋体" w:eastAsia="宋体" w:cs="宋体"/>
          <w:color w:val="auto"/>
          <w:sz w:val="24"/>
          <w:szCs w:val="24"/>
        </w:rPr>
        <w:t>。</w:t>
      </w:r>
    </w:p>
    <w:p w14:paraId="084AD475">
      <w:pPr>
        <w:spacing w:line="460" w:lineRule="exact"/>
        <w:outlineLvl w:val="0"/>
        <w:rPr>
          <w:rFonts w:hint="eastAsia" w:ascii="宋体" w:hAnsi="宋体" w:eastAsia="宋体" w:cs="宋体"/>
          <w:color w:val="auto"/>
          <w:sz w:val="24"/>
          <w:szCs w:val="24"/>
        </w:rPr>
      </w:pPr>
      <w:r>
        <w:rPr>
          <w:rFonts w:hint="eastAsia" w:ascii="宋体" w:hAnsi="宋体" w:eastAsia="宋体" w:cs="宋体"/>
          <w:color w:val="auto"/>
          <w:sz w:val="24"/>
          <w:szCs w:val="24"/>
        </w:rPr>
        <w:t xml:space="preserve">    3.2.4 承包人无正当理由拒绝更换项目经理的违约责任：</w:t>
      </w:r>
      <w:r>
        <w:rPr>
          <w:rFonts w:hint="eastAsia" w:ascii="宋体" w:hAnsi="宋体" w:eastAsia="宋体" w:cs="宋体"/>
          <w:color w:val="auto"/>
          <w:sz w:val="24"/>
          <w:szCs w:val="24"/>
          <w:u w:val="single"/>
        </w:rPr>
        <w:t xml:space="preserve"> 因承包人项目经理不称职，发包人要求调换而未及时调换的，视为承包人违约，必须向发包人交纳处罚金500元/人•次（人民币）</w:t>
      </w:r>
      <w:r>
        <w:rPr>
          <w:rFonts w:hint="eastAsia" w:ascii="宋体" w:hAnsi="宋体" w:eastAsia="宋体" w:cs="宋体"/>
          <w:color w:val="auto"/>
          <w:sz w:val="24"/>
          <w:szCs w:val="24"/>
        </w:rPr>
        <w:t>。</w:t>
      </w:r>
    </w:p>
    <w:p w14:paraId="79E931C3">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 承包人人员</w:t>
      </w:r>
    </w:p>
    <w:p w14:paraId="074049D6">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3.3.1 承包人提交项目管理机构及施工现场管理人员安排报告的期限：</w:t>
      </w:r>
      <w:r>
        <w:rPr>
          <w:rFonts w:hint="eastAsia" w:ascii="宋体" w:hAnsi="宋体" w:eastAsia="宋体" w:cs="宋体"/>
          <w:color w:val="auto"/>
          <w:sz w:val="24"/>
          <w:szCs w:val="24"/>
          <w:u w:val="single"/>
        </w:rPr>
        <w:t xml:space="preserve"> 应在接到开工通知后7天内 </w:t>
      </w:r>
      <w:r>
        <w:rPr>
          <w:rFonts w:hint="eastAsia" w:ascii="宋体" w:hAnsi="宋体" w:eastAsia="宋体" w:cs="宋体"/>
          <w:color w:val="auto"/>
          <w:sz w:val="24"/>
          <w:szCs w:val="24"/>
        </w:rPr>
        <w:t>。</w:t>
      </w:r>
    </w:p>
    <w:p w14:paraId="5BEB1CE7">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3.3.3 承包人无正当理由拒绝撤换主要施工管理人员的违约责任：</w:t>
      </w:r>
      <w:r>
        <w:rPr>
          <w:rFonts w:hint="eastAsia" w:ascii="宋体" w:hAnsi="宋体" w:eastAsia="宋体" w:cs="宋体"/>
          <w:color w:val="auto"/>
          <w:sz w:val="24"/>
          <w:szCs w:val="24"/>
          <w:u w:val="single"/>
        </w:rPr>
        <w:t xml:space="preserve"> 由承包人自行承担  </w:t>
      </w:r>
      <w:r>
        <w:rPr>
          <w:rFonts w:hint="eastAsia" w:ascii="宋体" w:hAnsi="宋体" w:eastAsia="宋体" w:cs="宋体"/>
          <w:color w:val="auto"/>
          <w:sz w:val="24"/>
          <w:szCs w:val="24"/>
        </w:rPr>
        <w:t>。</w:t>
      </w:r>
    </w:p>
    <w:p w14:paraId="43191B3A">
      <w:pPr>
        <w:spacing w:line="460" w:lineRule="exact"/>
        <w:ind w:left="1316" w:leftChars="284" w:hanging="720" w:hangingChars="300"/>
        <w:rPr>
          <w:rFonts w:hint="eastAsia" w:ascii="宋体" w:hAnsi="宋体" w:eastAsia="宋体" w:cs="宋体"/>
          <w:color w:val="auto"/>
          <w:sz w:val="24"/>
          <w:szCs w:val="24"/>
          <w:u w:val="single"/>
        </w:rPr>
      </w:pPr>
      <w:r>
        <w:rPr>
          <w:rFonts w:hint="eastAsia" w:ascii="宋体" w:hAnsi="宋体" w:eastAsia="宋体" w:cs="宋体"/>
          <w:color w:val="auto"/>
          <w:sz w:val="24"/>
          <w:szCs w:val="24"/>
        </w:rPr>
        <w:t>3.3.4 承包人主要施工管理人员离开施工现场的批准要求：</w:t>
      </w:r>
      <w:r>
        <w:rPr>
          <w:rFonts w:hint="eastAsia" w:ascii="宋体" w:hAnsi="宋体" w:eastAsia="宋体" w:cs="宋体"/>
          <w:color w:val="auto"/>
          <w:sz w:val="24"/>
          <w:szCs w:val="24"/>
          <w:u w:val="single"/>
        </w:rPr>
        <w:t>无</w:t>
      </w:r>
      <w:r>
        <w:rPr>
          <w:rFonts w:hint="eastAsia" w:ascii="宋体" w:hAnsi="宋体" w:eastAsia="宋体" w:cs="宋体"/>
          <w:color w:val="auto"/>
          <w:sz w:val="24"/>
          <w:szCs w:val="24"/>
        </w:rPr>
        <w:t>。</w:t>
      </w:r>
    </w:p>
    <w:p w14:paraId="156B7545">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3.3.5承包人擅自更换主要施工管理人员的违约责任：</w:t>
      </w:r>
      <w:r>
        <w:rPr>
          <w:rFonts w:hint="eastAsia" w:ascii="宋体" w:hAnsi="宋体" w:eastAsia="宋体" w:cs="宋体"/>
          <w:color w:val="auto"/>
          <w:sz w:val="24"/>
          <w:szCs w:val="24"/>
          <w:u w:val="single"/>
        </w:rPr>
        <w:t xml:space="preserve"> 由承包人自行承担     </w:t>
      </w:r>
      <w:r>
        <w:rPr>
          <w:rFonts w:hint="eastAsia" w:ascii="宋体" w:hAnsi="宋体" w:eastAsia="宋体" w:cs="宋体"/>
          <w:color w:val="auto"/>
          <w:sz w:val="24"/>
          <w:szCs w:val="24"/>
        </w:rPr>
        <w:t>。</w:t>
      </w:r>
    </w:p>
    <w:p w14:paraId="1D3659B1">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承包人主要施工管理人员擅自离开施工现场的违约责任：</w:t>
      </w:r>
      <w:r>
        <w:rPr>
          <w:rFonts w:hint="eastAsia" w:ascii="宋体" w:hAnsi="宋体" w:eastAsia="宋体" w:cs="宋体"/>
          <w:color w:val="auto"/>
          <w:sz w:val="24"/>
          <w:szCs w:val="24"/>
          <w:u w:val="single"/>
        </w:rPr>
        <w:t xml:space="preserve"> 由承包人自行承担  </w:t>
      </w:r>
      <w:r>
        <w:rPr>
          <w:rFonts w:hint="eastAsia" w:ascii="宋体" w:hAnsi="宋体" w:eastAsia="宋体" w:cs="宋体"/>
          <w:color w:val="auto"/>
          <w:sz w:val="24"/>
          <w:szCs w:val="24"/>
        </w:rPr>
        <w:t>。</w:t>
      </w:r>
    </w:p>
    <w:p w14:paraId="4DC3A4ED">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bookmarkStart w:id="600" w:name="_Toc297123492"/>
      <w:bookmarkStart w:id="601" w:name="_Toc303539102"/>
      <w:bookmarkStart w:id="602" w:name="_Toc297048345"/>
      <w:bookmarkStart w:id="603" w:name="_Toc296347158"/>
      <w:bookmarkStart w:id="604" w:name="_Toc312677988"/>
      <w:bookmarkStart w:id="605" w:name="_Toc292559364"/>
      <w:bookmarkStart w:id="606" w:name="_Toc297120459"/>
      <w:bookmarkStart w:id="607" w:name="_Toc296944498"/>
      <w:bookmarkStart w:id="608" w:name="_Toc304295523"/>
      <w:bookmarkStart w:id="609" w:name="_Toc296346660"/>
      <w:bookmarkStart w:id="610" w:name="_Toc292559869"/>
      <w:bookmarkStart w:id="611" w:name="_Toc296891199"/>
      <w:bookmarkStart w:id="612" w:name="_Toc297216151"/>
      <w:bookmarkStart w:id="613" w:name="_Toc296890987"/>
      <w:bookmarkStart w:id="614" w:name="_Toc296503159"/>
      <w:bookmarkStart w:id="615" w:name="_Toc300934945"/>
      <w:r>
        <w:rPr>
          <w:rFonts w:hint="eastAsia" w:ascii="宋体" w:hAnsi="宋体" w:eastAsia="宋体" w:cs="宋体"/>
          <w:color w:val="auto"/>
          <w:sz w:val="24"/>
          <w:szCs w:val="24"/>
        </w:rPr>
        <w:t>.5 分包</w:t>
      </w:r>
    </w:p>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14:paraId="683868A8">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bookmarkStart w:id="616" w:name="_Toc292559365"/>
      <w:bookmarkStart w:id="617" w:name="_Toc292559870"/>
      <w:bookmarkStart w:id="618" w:name="_Toc296891200"/>
      <w:bookmarkStart w:id="619" w:name="_Toc296347159"/>
      <w:bookmarkStart w:id="620" w:name="_Toc297123493"/>
      <w:bookmarkStart w:id="621" w:name="_Toc297216152"/>
      <w:bookmarkStart w:id="622" w:name="_Toc297048346"/>
      <w:bookmarkStart w:id="623" w:name="_Toc296944499"/>
      <w:bookmarkStart w:id="624" w:name="_Toc296503160"/>
      <w:bookmarkStart w:id="625" w:name="_Toc296346661"/>
      <w:bookmarkStart w:id="626" w:name="_Toc304295524"/>
      <w:bookmarkStart w:id="627" w:name="_Toc303539103"/>
      <w:bookmarkStart w:id="628" w:name="_Toc296890988"/>
      <w:bookmarkStart w:id="629" w:name="_Toc300934946"/>
      <w:bookmarkStart w:id="630" w:name="_Toc297120460"/>
      <w:bookmarkStart w:id="631" w:name="_Toc318581158"/>
      <w:bookmarkStart w:id="632" w:name="_Toc312677989"/>
      <w:r>
        <w:rPr>
          <w:rFonts w:hint="eastAsia" w:ascii="宋体" w:hAnsi="宋体" w:eastAsia="宋体" w:cs="宋体"/>
          <w:color w:val="auto"/>
          <w:sz w:val="24"/>
          <w:szCs w:val="24"/>
        </w:rPr>
        <w:t>.5.1 分包的一般约定</w:t>
      </w:r>
    </w:p>
    <w:p w14:paraId="1C2993F9">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禁止分包的工程包括：</w:t>
      </w:r>
      <w:r>
        <w:rPr>
          <w:rFonts w:hint="eastAsia" w:ascii="宋体" w:hAnsi="宋体" w:eastAsia="宋体" w:cs="宋体"/>
          <w:color w:val="auto"/>
          <w:sz w:val="24"/>
          <w:szCs w:val="24"/>
          <w:u w:val="single"/>
        </w:rPr>
        <w:t xml:space="preserve">  本工程不得分包  </w:t>
      </w:r>
      <w:r>
        <w:rPr>
          <w:rFonts w:hint="eastAsia" w:ascii="宋体" w:hAnsi="宋体" w:eastAsia="宋体" w:cs="宋体"/>
          <w:color w:val="auto"/>
          <w:sz w:val="24"/>
          <w:szCs w:val="24"/>
        </w:rPr>
        <w:t>。</w:t>
      </w:r>
    </w:p>
    <w:p w14:paraId="677D8141">
      <w:pPr>
        <w:spacing w:line="460" w:lineRule="exact"/>
        <w:ind w:firstLine="480" w:firstLineChars="200"/>
        <w:jc w:val="left"/>
        <w:rPr>
          <w:rFonts w:hint="eastAsia" w:ascii="宋体" w:hAnsi="宋体" w:eastAsia="宋体" w:cs="宋体"/>
          <w:color w:val="auto"/>
          <w:sz w:val="24"/>
          <w:szCs w:val="24"/>
          <w:u w:val="single"/>
        </w:rPr>
      </w:pPr>
      <w:r>
        <w:rPr>
          <w:rFonts w:hint="eastAsia" w:ascii="宋体" w:hAnsi="宋体" w:eastAsia="宋体" w:cs="宋体"/>
          <w:color w:val="auto"/>
          <w:sz w:val="24"/>
          <w:szCs w:val="24"/>
        </w:rPr>
        <w:t>主体结构、关键性工作的范围：</w:t>
      </w:r>
      <w:r>
        <w:rPr>
          <w:rFonts w:hint="eastAsia" w:ascii="宋体" w:hAnsi="宋体" w:eastAsia="宋体" w:cs="宋体"/>
          <w:color w:val="auto"/>
          <w:sz w:val="24"/>
          <w:szCs w:val="24"/>
          <w:u w:val="single"/>
          <w:lang w:val="en-US" w:eastAsia="zh-CN"/>
        </w:rPr>
        <w:t>/</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Start w:id="633" w:name="_Toc297048347"/>
      <w:bookmarkStart w:id="634" w:name="_Toc296891201"/>
      <w:bookmarkStart w:id="635" w:name="_Toc296944500"/>
      <w:bookmarkStart w:id="636" w:name="_Toc303539104"/>
      <w:bookmarkStart w:id="637" w:name="_Toc296890989"/>
      <w:bookmarkStart w:id="638" w:name="_Toc296347160"/>
      <w:bookmarkStart w:id="639" w:name="_Toc297123494"/>
      <w:bookmarkStart w:id="640" w:name="_Toc296346662"/>
      <w:bookmarkStart w:id="641" w:name="_Toc296503161"/>
      <w:bookmarkStart w:id="642" w:name="_Toc300934947"/>
      <w:bookmarkStart w:id="643" w:name="_Toc304295525"/>
      <w:bookmarkStart w:id="644" w:name="_Toc297120461"/>
      <w:bookmarkStart w:id="645" w:name="_Toc297216153"/>
    </w:p>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14:paraId="60C59A31">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    3</w:t>
      </w:r>
      <w:bookmarkStart w:id="646" w:name="_Toc312677990"/>
      <w:bookmarkStart w:id="647" w:name="_Toc318581159"/>
      <w:r>
        <w:rPr>
          <w:rFonts w:hint="eastAsia" w:ascii="宋体" w:hAnsi="宋体" w:eastAsia="宋体" w:cs="宋体"/>
          <w:color w:val="auto"/>
          <w:sz w:val="24"/>
          <w:szCs w:val="24"/>
        </w:rPr>
        <w:t>.5.2分包的确定</w:t>
      </w:r>
    </w:p>
    <w:p w14:paraId="23D12BAE">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允许分包的专业工程包括：</w:t>
      </w:r>
      <w:r>
        <w:rPr>
          <w:rFonts w:hint="eastAsia" w:ascii="宋体" w:hAnsi="宋体" w:eastAsia="宋体" w:cs="宋体"/>
          <w:color w:val="auto"/>
          <w:sz w:val="24"/>
          <w:szCs w:val="24"/>
          <w:u w:val="single"/>
        </w:rPr>
        <w:t xml:space="preserve">无    </w:t>
      </w:r>
      <w:r>
        <w:rPr>
          <w:rFonts w:hint="eastAsia" w:ascii="宋体" w:hAnsi="宋体" w:eastAsia="宋体" w:cs="宋体"/>
          <w:color w:val="auto"/>
          <w:sz w:val="24"/>
          <w:szCs w:val="24"/>
        </w:rPr>
        <w:t>。</w:t>
      </w:r>
    </w:p>
    <w:p w14:paraId="298C08A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其他关于分包的约定：</w:t>
      </w:r>
      <w:r>
        <w:rPr>
          <w:rFonts w:hint="eastAsia" w:ascii="宋体" w:hAnsi="宋体" w:eastAsia="宋体" w:cs="宋体"/>
          <w:color w:val="auto"/>
          <w:sz w:val="24"/>
          <w:szCs w:val="24"/>
          <w:u w:val="single"/>
        </w:rPr>
        <w:t>无</w:t>
      </w:r>
      <w:r>
        <w:rPr>
          <w:rFonts w:hint="eastAsia" w:ascii="宋体" w:hAnsi="宋体" w:eastAsia="宋体" w:cs="宋体"/>
          <w:color w:val="auto"/>
          <w:sz w:val="24"/>
          <w:szCs w:val="24"/>
        </w:rPr>
        <w:t>。</w:t>
      </w:r>
    </w:p>
    <w:p w14:paraId="0A8E1A0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3.5.4 分包合同价款</w:t>
      </w:r>
    </w:p>
    <w:p w14:paraId="1C24918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关于分包合同价款支付的约定：</w:t>
      </w:r>
      <w:r>
        <w:rPr>
          <w:rFonts w:hint="eastAsia" w:ascii="宋体" w:hAnsi="宋体" w:eastAsia="宋体" w:cs="宋体"/>
          <w:color w:val="auto"/>
          <w:sz w:val="24"/>
          <w:szCs w:val="24"/>
          <w:u w:val="single"/>
        </w:rPr>
        <w:t xml:space="preserve">无 </w:t>
      </w:r>
      <w:r>
        <w:rPr>
          <w:rFonts w:hint="eastAsia" w:ascii="宋体" w:hAnsi="宋体" w:eastAsia="宋体" w:cs="宋体"/>
          <w:color w:val="auto"/>
          <w:sz w:val="24"/>
          <w:szCs w:val="24"/>
        </w:rPr>
        <w:t>。</w:t>
      </w:r>
    </w:p>
    <w:bookmarkEnd w:id="646"/>
    <w:bookmarkEnd w:id="647"/>
    <w:p w14:paraId="1247951D">
      <w:pPr>
        <w:keepNext w:val="0"/>
        <w:keepLines w:val="0"/>
        <w:pageBreakBefore w:val="0"/>
        <w:widowControl w:val="0"/>
        <w:kinsoku/>
        <w:wordWrap/>
        <w:overflowPunct/>
        <w:topLinePunct w:val="0"/>
        <w:autoSpaceDE/>
        <w:autoSpaceDN/>
        <w:bidi w:val="0"/>
        <w:adjustRightInd/>
        <w:snapToGrid/>
        <w:spacing w:after="120"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3.6 工程照管与成品、半成品保护</w:t>
      </w:r>
    </w:p>
    <w:p w14:paraId="48418A6E">
      <w:pPr>
        <w:keepNext w:val="0"/>
        <w:keepLines w:val="0"/>
        <w:pageBreakBefore w:val="0"/>
        <w:widowControl w:val="0"/>
        <w:kinsoku/>
        <w:wordWrap/>
        <w:overflowPunct/>
        <w:topLinePunct w:val="0"/>
        <w:autoSpaceDE/>
        <w:autoSpaceDN/>
        <w:bidi w:val="0"/>
        <w:adjustRightInd/>
        <w:snapToGrid/>
        <w:spacing w:before="120" w:after="120" w:line="460" w:lineRule="exact"/>
        <w:ind w:left="594" w:leftChars="283"/>
        <w:textAlignment w:val="auto"/>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承包人负责照管工程及工程相关的材料、工程设备的起始时间：</w:t>
      </w:r>
      <w:r>
        <w:rPr>
          <w:rFonts w:hint="eastAsia" w:ascii="宋体" w:hAnsi="宋体" w:eastAsia="宋体" w:cs="宋体"/>
          <w:color w:val="auto"/>
          <w:kern w:val="0"/>
          <w:sz w:val="24"/>
          <w:szCs w:val="24"/>
          <w:u w:val="single"/>
        </w:rPr>
        <w:t xml:space="preserve"> 无 </w:t>
      </w:r>
      <w:r>
        <w:rPr>
          <w:rFonts w:hint="eastAsia" w:ascii="宋体" w:hAnsi="宋体" w:eastAsia="宋体" w:cs="宋体"/>
          <w:color w:val="auto"/>
          <w:kern w:val="0"/>
          <w:sz w:val="24"/>
          <w:szCs w:val="24"/>
        </w:rPr>
        <w:t>。</w:t>
      </w:r>
    </w:p>
    <w:p w14:paraId="15E9DAA4">
      <w:pPr>
        <w:keepNext w:val="0"/>
        <w:keepLines w:val="0"/>
        <w:pageBreakBefore w:val="0"/>
        <w:widowControl w:val="0"/>
        <w:kinsoku/>
        <w:wordWrap/>
        <w:overflowPunct/>
        <w:topLinePunct w:val="0"/>
        <w:autoSpaceDE/>
        <w:autoSpaceDN/>
        <w:bidi w:val="0"/>
        <w:adjustRightInd/>
        <w:snapToGrid/>
        <w:spacing w:after="120"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3.7 履约担保</w:t>
      </w:r>
    </w:p>
    <w:p w14:paraId="0F61086B">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承包人是否提供履约担保：</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否</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0A2756F">
      <w:pPr>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sz w:val="24"/>
          <w:szCs w:val="24"/>
        </w:rPr>
        <w:t>承包人提供履约担保的形式、金额及期限的：</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 xml:space="preserve">  /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bookmarkStart w:id="648" w:name="_Toc351203636"/>
      <w:r>
        <w:rPr>
          <w:rFonts w:hint="eastAsia" w:ascii="宋体" w:hAnsi="宋体" w:eastAsia="宋体" w:cs="宋体"/>
          <w:color w:val="auto"/>
          <w:kern w:val="0"/>
          <w:sz w:val="24"/>
          <w:szCs w:val="24"/>
        </w:rPr>
        <w:t>履约保证金在施工合同按约定履行完毕后无息退回。</w:t>
      </w:r>
    </w:p>
    <w:p w14:paraId="0198BD5B">
      <w:pPr>
        <w:spacing w:line="460" w:lineRule="exact"/>
        <w:ind w:firstLine="482" w:firstLineChars="200"/>
        <w:jc w:val="left"/>
        <w:rPr>
          <w:rFonts w:hint="eastAsia" w:ascii="宋体" w:hAnsi="宋体" w:eastAsia="宋体" w:cs="宋体"/>
          <w:b/>
          <w:color w:val="auto"/>
          <w:sz w:val="24"/>
          <w:szCs w:val="24"/>
        </w:rPr>
      </w:pPr>
      <w:r>
        <w:rPr>
          <w:rFonts w:hint="eastAsia" w:ascii="宋体" w:hAnsi="宋体" w:eastAsia="宋体" w:cs="宋体"/>
          <w:b/>
          <w:color w:val="auto"/>
          <w:sz w:val="24"/>
          <w:szCs w:val="24"/>
        </w:rPr>
        <w:t>4</w:t>
      </w:r>
      <w:bookmarkStart w:id="649" w:name="_Toc297048348"/>
      <w:bookmarkStart w:id="650" w:name="_Toc297120462"/>
      <w:bookmarkStart w:id="651" w:name="_Toc296503162"/>
      <w:bookmarkStart w:id="652" w:name="_Toc292559366"/>
      <w:bookmarkStart w:id="653" w:name="_Toc296891202"/>
      <w:bookmarkStart w:id="654" w:name="_Toc296347161"/>
      <w:bookmarkStart w:id="655" w:name="_Toc267251413"/>
      <w:bookmarkStart w:id="656" w:name="_Toc292559871"/>
      <w:bookmarkStart w:id="657" w:name="_Toc296346663"/>
      <w:bookmarkStart w:id="658" w:name="_Toc296890990"/>
      <w:bookmarkStart w:id="659" w:name="_Toc296944501"/>
      <w:r>
        <w:rPr>
          <w:rFonts w:hint="eastAsia" w:ascii="宋体" w:hAnsi="宋体" w:eastAsia="宋体" w:cs="宋体"/>
          <w:b/>
          <w:color w:val="auto"/>
          <w:sz w:val="24"/>
          <w:szCs w:val="24"/>
        </w:rPr>
        <w:t>. 监</w:t>
      </w:r>
      <w:bookmarkEnd w:id="649"/>
      <w:bookmarkEnd w:id="650"/>
      <w:bookmarkEnd w:id="651"/>
      <w:bookmarkEnd w:id="652"/>
      <w:bookmarkEnd w:id="653"/>
      <w:bookmarkEnd w:id="654"/>
      <w:bookmarkEnd w:id="655"/>
      <w:bookmarkEnd w:id="656"/>
      <w:bookmarkEnd w:id="657"/>
      <w:bookmarkEnd w:id="658"/>
      <w:bookmarkEnd w:id="659"/>
      <w:r>
        <w:rPr>
          <w:rFonts w:hint="eastAsia" w:ascii="宋体" w:hAnsi="宋体" w:eastAsia="宋体" w:cs="宋体"/>
          <w:b/>
          <w:color w:val="auto"/>
          <w:sz w:val="24"/>
          <w:szCs w:val="24"/>
        </w:rPr>
        <w:t>理人</w:t>
      </w:r>
      <w:bookmarkEnd w:id="648"/>
    </w:p>
    <w:p w14:paraId="552D0EFF">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4.1监理人的一般规定</w:t>
      </w:r>
    </w:p>
    <w:p w14:paraId="6D3A012D">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关于监理人的监理内容：</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20519B0C">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关于监理人的监理权限：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5781A9BF">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关于监理人在施工现场的办公场所、生活场所的提供和费用承担的约定：</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6C6F37A1">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4.2 监理人员</w:t>
      </w:r>
    </w:p>
    <w:p w14:paraId="5911B58B">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总监理工程师：</w:t>
      </w:r>
    </w:p>
    <w:p w14:paraId="4C3FA5CE">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姓   名：</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eastAsia="zh-CN"/>
        </w:rPr>
        <w:t>无</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0BC5D901">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职    务：</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1B3E7257">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监理工程师执业资格证书号：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70D5DA46">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7AC39047">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0234A266">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880DFCB">
      <w:pPr>
        <w:spacing w:line="460" w:lineRule="exact"/>
        <w:ind w:firstLine="480" w:firstLineChars="200"/>
        <w:rPr>
          <w:rFonts w:hint="eastAsia" w:ascii="宋体" w:hAnsi="宋体" w:eastAsia="宋体" w:cs="宋体"/>
          <w:color w:val="auto"/>
          <w:sz w:val="28"/>
          <w:szCs w:val="28"/>
        </w:rPr>
      </w:pPr>
      <w:r>
        <w:rPr>
          <w:rFonts w:hint="eastAsia" w:ascii="宋体" w:hAnsi="宋体" w:eastAsia="宋体" w:cs="宋体"/>
          <w:color w:val="auto"/>
          <w:sz w:val="24"/>
          <w:szCs w:val="24"/>
        </w:rPr>
        <w:t>关于监理人的其他约定：</w:t>
      </w:r>
      <w:r>
        <w:rPr>
          <w:rFonts w:hint="eastAsia" w:ascii="宋体" w:hAnsi="宋体" w:eastAsia="宋体" w:cs="宋体"/>
          <w:color w:val="auto"/>
          <w:sz w:val="24"/>
          <w:szCs w:val="24"/>
          <w:u w:val="single"/>
        </w:rPr>
        <w:t>  </w:t>
      </w:r>
      <w:r>
        <w:rPr>
          <w:rFonts w:hint="eastAsia" w:ascii="宋体" w:hAnsi="宋体" w:eastAsia="宋体" w:cs="宋体"/>
          <w:color w:val="auto"/>
          <w:sz w:val="28"/>
          <w:szCs w:val="28"/>
        </w:rPr>
        <w:t>。</w:t>
      </w:r>
    </w:p>
    <w:p w14:paraId="0AD06E73">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4.4 商定或确定</w:t>
      </w:r>
    </w:p>
    <w:p w14:paraId="3A6AA313">
      <w:pPr>
        <w:spacing w:line="460" w:lineRule="exact"/>
        <w:ind w:firstLine="480" w:firstLineChars="200"/>
        <w:rPr>
          <w:rFonts w:hint="eastAsia" w:ascii="宋体" w:hAnsi="宋体" w:eastAsia="宋体" w:cs="宋体"/>
          <w:color w:val="auto"/>
          <w:sz w:val="24"/>
          <w:szCs w:val="24"/>
        </w:rPr>
      </w:pPr>
      <w:bookmarkStart w:id="660" w:name="_Toc267251418"/>
      <w:r>
        <w:rPr>
          <w:rFonts w:hint="eastAsia" w:ascii="宋体" w:hAnsi="宋体" w:eastAsia="宋体" w:cs="宋体"/>
          <w:color w:val="auto"/>
          <w:sz w:val="24"/>
          <w:szCs w:val="24"/>
        </w:rPr>
        <w:t>在发包人和承包人不能通过协商达成一致意见时，发包人授权监理人对以下事项进行确定：</w:t>
      </w:r>
    </w:p>
    <w:p w14:paraId="678D885D">
      <w:pPr>
        <w:autoSpaceDE w:val="0"/>
        <w:autoSpaceDN w:val="0"/>
        <w:adjustRightInd w:val="0"/>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6CEB8FC7">
      <w:pPr>
        <w:autoSpaceDE w:val="0"/>
        <w:autoSpaceDN w:val="0"/>
        <w:adjustRightInd w:val="0"/>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5F942AD4">
      <w:pPr>
        <w:autoSpaceDE w:val="0"/>
        <w:autoSpaceDN w:val="0"/>
        <w:adjustRightInd w:val="0"/>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2F0ABBAA">
      <w:pPr>
        <w:pStyle w:val="5"/>
        <w:spacing w:before="120" w:after="120" w:line="460" w:lineRule="exact"/>
        <w:rPr>
          <w:rFonts w:hint="eastAsia" w:ascii="宋体" w:hAnsi="宋体" w:eastAsia="宋体" w:cs="宋体"/>
          <w:b w:val="0"/>
          <w:color w:val="auto"/>
          <w:sz w:val="24"/>
          <w:szCs w:val="24"/>
        </w:rPr>
      </w:pPr>
      <w:bookmarkStart w:id="661" w:name="_Toc351203637"/>
      <w:r>
        <w:rPr>
          <w:rFonts w:hint="eastAsia" w:ascii="宋体" w:hAnsi="宋体" w:eastAsia="宋体" w:cs="宋体"/>
          <w:b w:val="0"/>
          <w:color w:val="auto"/>
          <w:sz w:val="24"/>
          <w:szCs w:val="24"/>
        </w:rPr>
        <w:t>5</w:t>
      </w:r>
      <w:bookmarkEnd w:id="660"/>
      <w:bookmarkStart w:id="662" w:name="_Toc296346664"/>
      <w:bookmarkStart w:id="663" w:name="_Toc296503163"/>
      <w:bookmarkStart w:id="664" w:name="_Toc296347162"/>
      <w:bookmarkStart w:id="665" w:name="_Toc292559872"/>
      <w:bookmarkStart w:id="666" w:name="_Toc296891203"/>
      <w:bookmarkStart w:id="667" w:name="_Toc297120463"/>
      <w:bookmarkStart w:id="668" w:name="_Toc296944502"/>
      <w:bookmarkStart w:id="669" w:name="_Toc292559367"/>
      <w:bookmarkStart w:id="670" w:name="_Toc297048349"/>
      <w:bookmarkStart w:id="671" w:name="_Toc296890991"/>
      <w:r>
        <w:rPr>
          <w:rFonts w:hint="eastAsia" w:ascii="宋体" w:hAnsi="宋体" w:eastAsia="宋体" w:cs="宋体"/>
          <w:b w:val="0"/>
          <w:color w:val="auto"/>
          <w:sz w:val="24"/>
          <w:szCs w:val="24"/>
        </w:rPr>
        <w:t>. 工程质量</w:t>
      </w:r>
      <w:bookmarkEnd w:id="661"/>
    </w:p>
    <w:p w14:paraId="297BC999">
      <w:pPr>
        <w:spacing w:after="120" w:line="460" w:lineRule="exact"/>
        <w:outlineLvl w:val="0"/>
        <w:rPr>
          <w:rFonts w:hint="eastAsia" w:ascii="宋体" w:hAnsi="宋体" w:eastAsia="宋体" w:cs="宋体"/>
          <w:color w:val="auto"/>
          <w:sz w:val="24"/>
          <w:szCs w:val="24"/>
        </w:rPr>
      </w:pPr>
      <w:r>
        <w:rPr>
          <w:rFonts w:hint="eastAsia" w:ascii="宋体" w:hAnsi="宋体" w:eastAsia="宋体" w:cs="宋体"/>
          <w:color w:val="auto"/>
          <w:sz w:val="24"/>
          <w:szCs w:val="24"/>
        </w:rPr>
        <w:t>5.1 质量要求</w:t>
      </w:r>
    </w:p>
    <w:p w14:paraId="186D4EA1">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w:t>
      </w:r>
      <w:bookmarkStart w:id="672" w:name="_Toc318581164"/>
      <w:bookmarkStart w:id="673" w:name="_Toc304295527"/>
      <w:bookmarkStart w:id="674" w:name="_Toc297216155"/>
      <w:bookmarkStart w:id="675" w:name="_Toc297123496"/>
      <w:bookmarkStart w:id="676" w:name="_Toc303539106"/>
      <w:bookmarkStart w:id="677" w:name="_Toc312677997"/>
      <w:bookmarkStart w:id="678" w:name="_Toc300934949"/>
      <w:r>
        <w:rPr>
          <w:rFonts w:hint="eastAsia" w:ascii="宋体" w:hAnsi="宋体" w:eastAsia="宋体" w:cs="宋体"/>
          <w:color w:val="auto"/>
          <w:sz w:val="24"/>
          <w:szCs w:val="24"/>
        </w:rPr>
        <w:t>.1.1 特殊质量标准和要求：</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308A6DF0">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关于工程奖项的约定：</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11CF5131">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5.3 隐蔽工程检查</w:t>
      </w:r>
    </w:p>
    <w:p w14:paraId="72A18057">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5.3.2承包人提前通知监理人隐蔽工程检查的期限的约定：</w:t>
      </w:r>
      <w:r>
        <w:rPr>
          <w:rFonts w:hint="eastAsia" w:ascii="宋体" w:hAnsi="宋体" w:eastAsia="宋体" w:cs="宋体"/>
          <w:color w:val="auto"/>
          <w:sz w:val="24"/>
          <w:szCs w:val="24"/>
          <w:u w:val="single"/>
        </w:rPr>
        <w:t xml:space="preserve"> </w:t>
      </w:r>
      <w:r>
        <w:rPr>
          <w:rFonts w:hint="eastAsia" w:ascii="宋体" w:hAnsi="宋体" w:eastAsia="宋体" w:cs="宋体"/>
          <w:bCs/>
          <w:color w:val="auto"/>
          <w:sz w:val="24"/>
          <w:szCs w:val="24"/>
          <w:u w:val="single"/>
          <w:lang w:val="en-US" w:eastAsia="zh-CN"/>
        </w:rPr>
        <w:t>/</w:t>
      </w:r>
      <w:r>
        <w:rPr>
          <w:rFonts w:hint="eastAsia" w:ascii="宋体" w:hAnsi="宋体" w:eastAsia="宋体" w:cs="宋体"/>
          <w:color w:val="auto"/>
          <w:sz w:val="24"/>
          <w:szCs w:val="24"/>
        </w:rPr>
        <w:t>。</w:t>
      </w:r>
    </w:p>
    <w:p w14:paraId="0C66442E">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监理人不能按时进行检查时，应提前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小时提交书面延期要求。</w:t>
      </w:r>
    </w:p>
    <w:p w14:paraId="2CC4461C">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关于延期最长不得超过：</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小时。</w:t>
      </w:r>
    </w:p>
    <w:p w14:paraId="19AAD642">
      <w:pPr>
        <w:pStyle w:val="5"/>
        <w:spacing w:before="120" w:after="120" w:line="460" w:lineRule="exact"/>
        <w:rPr>
          <w:rFonts w:hint="eastAsia" w:ascii="宋体" w:hAnsi="宋体" w:eastAsia="宋体" w:cs="宋体"/>
          <w:b w:val="0"/>
          <w:color w:val="auto"/>
          <w:sz w:val="24"/>
          <w:szCs w:val="24"/>
        </w:rPr>
      </w:pPr>
      <w:bookmarkStart w:id="679" w:name="_Toc351203638"/>
      <w:r>
        <w:rPr>
          <w:rFonts w:hint="eastAsia" w:ascii="宋体" w:hAnsi="宋体" w:eastAsia="宋体" w:cs="宋体"/>
          <w:b w:val="0"/>
          <w:color w:val="auto"/>
          <w:sz w:val="24"/>
          <w:szCs w:val="24"/>
        </w:rPr>
        <w:t>6. 安全文明施工与环境保护</w:t>
      </w:r>
      <w:bookmarkEnd w:id="679"/>
    </w:p>
    <w:p w14:paraId="75319EFB">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6.1安全文明施工</w:t>
      </w:r>
    </w:p>
    <w:p w14:paraId="6CD81A59">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6.1.1 项目安全生产的达标目标及相应事项的约定：</w:t>
      </w:r>
      <w:r>
        <w:rPr>
          <w:rFonts w:hint="eastAsia" w:ascii="宋体" w:hAnsi="宋体" w:eastAsia="宋体" w:cs="宋体"/>
          <w:color w:val="auto"/>
          <w:sz w:val="24"/>
          <w:szCs w:val="24"/>
          <w:u w:val="single"/>
        </w:rPr>
        <w:t xml:space="preserve"> 达到行政主管部门的要求标准  </w:t>
      </w:r>
      <w:r>
        <w:rPr>
          <w:rFonts w:hint="eastAsia" w:ascii="宋体" w:hAnsi="宋体" w:eastAsia="宋体" w:cs="宋体"/>
          <w:color w:val="auto"/>
          <w:sz w:val="24"/>
          <w:szCs w:val="24"/>
        </w:rPr>
        <w:t>。</w:t>
      </w:r>
    </w:p>
    <w:p w14:paraId="5AFCEA65">
      <w:pPr>
        <w:spacing w:line="460" w:lineRule="exact"/>
        <w:ind w:firstLine="480" w:firstLineChars="200"/>
        <w:jc w:val="left"/>
        <w:rPr>
          <w:rFonts w:hint="eastAsia" w:ascii="宋体" w:hAnsi="宋体" w:eastAsia="宋体" w:cs="宋体"/>
          <w:color w:val="auto"/>
          <w:spacing w:val="-11"/>
          <w:sz w:val="24"/>
          <w:szCs w:val="24"/>
        </w:rPr>
      </w:pPr>
      <w:r>
        <w:rPr>
          <w:rFonts w:hint="eastAsia" w:ascii="宋体" w:hAnsi="宋体" w:eastAsia="宋体" w:cs="宋体"/>
          <w:color w:val="auto"/>
          <w:sz w:val="24"/>
          <w:szCs w:val="24"/>
        </w:rPr>
        <w:t>6.1.4 关于治安保卫的特别约定：</w:t>
      </w:r>
      <w:r>
        <w:rPr>
          <w:rFonts w:hint="eastAsia" w:ascii="宋体" w:hAnsi="宋体" w:eastAsia="宋体" w:cs="宋体"/>
          <w:color w:val="auto"/>
          <w:sz w:val="24"/>
          <w:szCs w:val="24"/>
          <w:u w:val="single"/>
        </w:rPr>
        <w:t xml:space="preserve"> </w:t>
      </w:r>
      <w:r>
        <w:rPr>
          <w:rFonts w:hint="eastAsia" w:ascii="宋体" w:hAnsi="宋体" w:eastAsia="宋体" w:cs="宋体"/>
          <w:color w:val="auto"/>
          <w:spacing w:val="-11"/>
          <w:sz w:val="24"/>
          <w:szCs w:val="24"/>
          <w:u w:val="single"/>
        </w:rPr>
        <w:t>由承包人负责施工现场治安保卫工作</w:t>
      </w:r>
      <w:r>
        <w:rPr>
          <w:rFonts w:hint="eastAsia" w:ascii="宋体" w:hAnsi="宋体" w:eastAsia="宋体" w:cs="宋体"/>
          <w:color w:val="auto"/>
          <w:spacing w:val="-11"/>
          <w:sz w:val="24"/>
          <w:szCs w:val="24"/>
        </w:rPr>
        <w:t>。</w:t>
      </w:r>
    </w:p>
    <w:p w14:paraId="7CBD0E58">
      <w:pPr>
        <w:spacing w:line="460" w:lineRule="exact"/>
        <w:ind w:firstLine="480" w:firstLineChars="200"/>
        <w:jc w:val="left"/>
        <w:rPr>
          <w:rFonts w:hint="eastAsia" w:ascii="宋体" w:hAnsi="宋体" w:eastAsia="宋体" w:cs="宋体"/>
          <w:color w:val="auto"/>
          <w:spacing w:val="-6"/>
          <w:sz w:val="24"/>
          <w:szCs w:val="24"/>
        </w:rPr>
      </w:pPr>
      <w:r>
        <w:rPr>
          <w:rFonts w:hint="eastAsia" w:ascii="宋体" w:hAnsi="宋体" w:eastAsia="宋体" w:cs="宋体"/>
          <w:color w:val="auto"/>
          <w:sz w:val="24"/>
          <w:szCs w:val="24"/>
        </w:rPr>
        <w:t>关于编制施工场地治安管理计划的约定：</w:t>
      </w:r>
      <w:r>
        <w:rPr>
          <w:rFonts w:hint="eastAsia" w:ascii="宋体" w:hAnsi="宋体" w:eastAsia="宋体" w:cs="宋体"/>
          <w:color w:val="auto"/>
          <w:spacing w:val="-6"/>
          <w:sz w:val="24"/>
          <w:szCs w:val="24"/>
          <w:u w:val="single"/>
        </w:rPr>
        <w:t>由承包人负责编制</w:t>
      </w:r>
      <w:r>
        <w:rPr>
          <w:rFonts w:hint="eastAsia" w:ascii="宋体" w:hAnsi="宋体" w:eastAsia="宋体" w:cs="宋体"/>
          <w:color w:val="auto"/>
          <w:spacing w:val="-6"/>
          <w:sz w:val="24"/>
          <w:szCs w:val="24"/>
          <w:u w:val="single"/>
          <w:lang w:val="en-US" w:eastAsia="zh-CN"/>
        </w:rPr>
        <w:t xml:space="preserve"> </w:t>
      </w:r>
      <w:r>
        <w:rPr>
          <w:rFonts w:hint="eastAsia" w:ascii="宋体" w:hAnsi="宋体" w:eastAsia="宋体" w:cs="宋体"/>
          <w:color w:val="auto"/>
          <w:spacing w:val="-6"/>
          <w:sz w:val="24"/>
          <w:szCs w:val="24"/>
        </w:rPr>
        <w:t>。</w:t>
      </w:r>
    </w:p>
    <w:p w14:paraId="1B96CD3C">
      <w:pPr>
        <w:keepNext w:val="0"/>
        <w:keepLines w:val="0"/>
        <w:pageBreakBefore w:val="0"/>
        <w:widowControl w:val="0"/>
        <w:kinsoku/>
        <w:wordWrap/>
        <w:overflowPunct/>
        <w:topLinePunct w:val="0"/>
        <w:bidi w:val="0"/>
        <w:adjustRightInd/>
        <w:snapToGrid/>
        <w:spacing w:line="46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6.1.5 文明施工</w:t>
      </w:r>
    </w:p>
    <w:p w14:paraId="1529D027">
      <w:pPr>
        <w:keepNext w:val="0"/>
        <w:keepLines w:val="0"/>
        <w:pageBreakBefore w:val="0"/>
        <w:widowControl w:val="0"/>
        <w:kinsoku/>
        <w:wordWrap/>
        <w:overflowPunct/>
        <w:topLinePunct w:val="0"/>
        <w:bidi w:val="0"/>
        <w:adjustRightInd/>
        <w:snapToGrid/>
        <w:spacing w:line="46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合同当事人对文明施工的要求：</w:t>
      </w:r>
      <w:r>
        <w:rPr>
          <w:rFonts w:hint="eastAsia" w:ascii="宋体" w:hAnsi="宋体" w:eastAsia="宋体" w:cs="宋体"/>
          <w:color w:val="auto"/>
          <w:sz w:val="24"/>
          <w:szCs w:val="24"/>
          <w:u w:val="single"/>
        </w:rPr>
        <w:t xml:space="preserve"> 符合行政主管部门的相关要求  </w:t>
      </w:r>
      <w:r>
        <w:rPr>
          <w:rFonts w:hint="eastAsia" w:ascii="宋体" w:hAnsi="宋体" w:eastAsia="宋体" w:cs="宋体"/>
          <w:color w:val="auto"/>
          <w:sz w:val="24"/>
          <w:szCs w:val="24"/>
        </w:rPr>
        <w:t>。</w:t>
      </w:r>
    </w:p>
    <w:p w14:paraId="29D14356">
      <w:pPr>
        <w:pStyle w:val="40"/>
        <w:keepNext w:val="0"/>
        <w:keepLines w:val="0"/>
        <w:pageBreakBefore w:val="0"/>
        <w:widowControl w:val="0"/>
        <w:tabs>
          <w:tab w:val="left" w:pos="1318"/>
          <w:tab w:val="left" w:pos="5626"/>
        </w:tabs>
        <w:kinsoku/>
        <w:wordWrap/>
        <w:overflowPunct/>
        <w:topLinePunct w:val="0"/>
        <w:autoSpaceDE w:val="0"/>
        <w:autoSpaceDN w:val="0"/>
        <w:bidi w:val="0"/>
        <w:adjustRightInd/>
        <w:snapToGrid/>
        <w:spacing w:line="460" w:lineRule="exact"/>
        <w:ind w:left="797" w:firstLine="0" w:firstLineChars="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6.1.6 关于安全文明施工费支付比例和支付期限的约定：</w:t>
      </w:r>
      <w:bookmarkEnd w:id="672"/>
      <w:bookmarkEnd w:id="673"/>
      <w:bookmarkEnd w:id="674"/>
      <w:bookmarkEnd w:id="675"/>
      <w:bookmarkEnd w:id="676"/>
      <w:bookmarkEnd w:id="677"/>
      <w:bookmarkEnd w:id="678"/>
      <w:bookmarkStart w:id="680" w:name="_Toc351203639"/>
      <w:r>
        <w:rPr>
          <w:rFonts w:hint="eastAsia" w:ascii="宋体" w:hAnsi="宋体" w:eastAsia="宋体" w:cs="宋体"/>
          <w:color w:val="auto"/>
          <w:sz w:val="24"/>
          <w:szCs w:val="24"/>
          <w:u w:val="single"/>
          <w:lang w:val="en-US" w:eastAsia="zh-CN"/>
        </w:rPr>
        <w:t xml:space="preserve"> / </w:t>
      </w:r>
      <w:r>
        <w:rPr>
          <w:rFonts w:hint="eastAsia" w:ascii="宋体" w:hAnsi="宋体" w:eastAsia="宋体" w:cs="宋体"/>
          <w:color w:val="auto"/>
          <w:sz w:val="24"/>
          <w:szCs w:val="24"/>
          <w:u w:val="none"/>
          <w:lang w:val="en-US" w:eastAsia="zh-CN"/>
        </w:rPr>
        <w:t>。</w:t>
      </w:r>
    </w:p>
    <w:p w14:paraId="27E0F76B">
      <w:pPr>
        <w:keepNext w:val="0"/>
        <w:keepLines w:val="0"/>
        <w:pageBreakBefore w:val="0"/>
        <w:widowControl w:val="0"/>
        <w:kinsoku/>
        <w:wordWrap/>
        <w:overflowPunct/>
        <w:topLinePunct w:val="0"/>
        <w:bidi w:val="0"/>
        <w:adjustRightInd/>
        <w:snapToGrid/>
        <w:spacing w:before="198" w:line="460" w:lineRule="exact"/>
        <w:ind w:left="377"/>
        <w:textAlignment w:val="auto"/>
        <w:rPr>
          <w:rFonts w:hint="eastAsia" w:ascii="宋体" w:hAnsi="宋体" w:eastAsia="宋体" w:cs="宋体"/>
          <w:b/>
          <w:color w:val="auto"/>
          <w:sz w:val="24"/>
          <w:szCs w:val="24"/>
        </w:rPr>
      </w:pPr>
      <w:bookmarkStart w:id="681" w:name="6.3_环境保护"/>
      <w:bookmarkEnd w:id="681"/>
      <w:r>
        <w:rPr>
          <w:rFonts w:hint="eastAsia" w:ascii="宋体" w:hAnsi="宋体" w:eastAsia="宋体" w:cs="宋体"/>
          <w:b/>
          <w:color w:val="auto"/>
          <w:sz w:val="24"/>
          <w:szCs w:val="24"/>
        </w:rPr>
        <w:t>6.3</w:t>
      </w:r>
      <w:r>
        <w:rPr>
          <w:rFonts w:hint="eastAsia" w:ascii="宋体" w:hAnsi="宋体" w:eastAsia="宋体" w:cs="宋体"/>
          <w:b/>
          <w:color w:val="auto"/>
          <w:spacing w:val="10"/>
          <w:sz w:val="24"/>
          <w:szCs w:val="24"/>
        </w:rPr>
        <w:t xml:space="preserve"> 环境保护</w:t>
      </w:r>
    </w:p>
    <w:p w14:paraId="45736E91">
      <w:pPr>
        <w:keepNext w:val="0"/>
        <w:keepLines w:val="0"/>
        <w:pageBreakBefore w:val="0"/>
        <w:widowControl w:val="0"/>
        <w:kinsoku/>
        <w:wordWrap/>
        <w:overflowPunct/>
        <w:topLinePunct w:val="0"/>
        <w:bidi w:val="0"/>
        <w:adjustRightInd/>
        <w:snapToGrid/>
        <w:spacing w:line="460" w:lineRule="exact"/>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u w:val="single"/>
        </w:rPr>
        <w:t>经过城市道路的施工车辆，必须按</w:t>
      </w:r>
      <w:r>
        <w:rPr>
          <w:rFonts w:hint="eastAsia" w:ascii="宋体" w:hAnsi="宋体" w:eastAsia="宋体" w:cs="宋体"/>
          <w:color w:val="auto"/>
          <w:sz w:val="24"/>
          <w:szCs w:val="24"/>
          <w:u w:val="single"/>
          <w:lang w:eastAsia="zh-CN"/>
        </w:rPr>
        <w:t>市政</w:t>
      </w:r>
      <w:r>
        <w:rPr>
          <w:rFonts w:hint="eastAsia" w:ascii="宋体" w:hAnsi="宋体" w:eastAsia="宋体" w:cs="宋体"/>
          <w:color w:val="auto"/>
          <w:sz w:val="24"/>
          <w:szCs w:val="24"/>
          <w:u w:val="single"/>
        </w:rPr>
        <w:t>相关规定执行。由于施工车辆造成的道路、环境等污染，其责任和费用均由承包人承担。</w:t>
      </w:r>
    </w:p>
    <w:p w14:paraId="45EE95CE">
      <w:pPr>
        <w:spacing w:line="460" w:lineRule="exact"/>
        <w:ind w:firstLine="482" w:firstLineChars="200"/>
        <w:jc w:val="left"/>
        <w:rPr>
          <w:rFonts w:hint="eastAsia" w:ascii="宋体" w:hAnsi="宋体" w:eastAsia="宋体" w:cs="宋体"/>
          <w:b/>
          <w:color w:val="auto"/>
          <w:sz w:val="24"/>
          <w:szCs w:val="24"/>
        </w:rPr>
      </w:pPr>
      <w:r>
        <w:rPr>
          <w:rFonts w:hint="eastAsia" w:ascii="宋体" w:hAnsi="宋体" w:eastAsia="宋体" w:cs="宋体"/>
          <w:b/>
          <w:color w:val="auto"/>
          <w:sz w:val="24"/>
          <w:szCs w:val="24"/>
        </w:rPr>
        <w:t>7. 工期和进度</w:t>
      </w:r>
      <w:bookmarkEnd w:id="680"/>
    </w:p>
    <w:p w14:paraId="0BD0D88C">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7.1 施工组织设计</w:t>
      </w:r>
    </w:p>
    <w:p w14:paraId="5C902A0B">
      <w:pPr>
        <w:autoSpaceDE w:val="0"/>
        <w:autoSpaceDN w:val="0"/>
        <w:adjustRightInd w:val="0"/>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sz w:val="24"/>
          <w:szCs w:val="24"/>
        </w:rPr>
        <w:t>7.1.1 合</w:t>
      </w:r>
      <w:r>
        <w:rPr>
          <w:rFonts w:hint="eastAsia" w:ascii="宋体" w:hAnsi="宋体" w:eastAsia="宋体" w:cs="宋体"/>
          <w:color w:val="auto"/>
          <w:kern w:val="0"/>
          <w:sz w:val="24"/>
          <w:szCs w:val="24"/>
        </w:rPr>
        <w:t>同当事人约定的施工组织设计应包括的其他内容：</w:t>
      </w:r>
      <w:r>
        <w:rPr>
          <w:rFonts w:hint="eastAsia" w:ascii="宋体" w:hAnsi="宋体" w:eastAsia="宋体" w:cs="宋体"/>
          <w:color w:val="auto"/>
          <w:sz w:val="24"/>
          <w:szCs w:val="24"/>
          <w:u w:val="single"/>
        </w:rPr>
        <w:t>无</w:t>
      </w:r>
      <w:r>
        <w:rPr>
          <w:rFonts w:hint="eastAsia" w:ascii="宋体" w:hAnsi="宋体" w:eastAsia="宋体" w:cs="宋体"/>
          <w:color w:val="auto"/>
          <w:sz w:val="24"/>
          <w:szCs w:val="24"/>
        </w:rPr>
        <w:t>。</w:t>
      </w:r>
    </w:p>
    <w:p w14:paraId="75985451">
      <w:pPr>
        <w:autoSpaceDE w:val="0"/>
        <w:autoSpaceDN w:val="0"/>
        <w:adjustRightInd w:val="0"/>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sz w:val="24"/>
          <w:szCs w:val="24"/>
        </w:rPr>
        <w:t xml:space="preserve">7.1.2 </w:t>
      </w:r>
      <w:r>
        <w:rPr>
          <w:rFonts w:hint="eastAsia" w:ascii="宋体" w:hAnsi="宋体" w:eastAsia="宋体" w:cs="宋体"/>
          <w:color w:val="auto"/>
          <w:kern w:val="0"/>
          <w:sz w:val="24"/>
          <w:szCs w:val="24"/>
        </w:rPr>
        <w:t>施工组织设计的提交和修改</w:t>
      </w:r>
    </w:p>
    <w:p w14:paraId="57BE721D">
      <w:pPr>
        <w:autoSpaceDE w:val="0"/>
        <w:autoSpaceDN w:val="0"/>
        <w:adjustRightInd w:val="0"/>
        <w:spacing w:line="460" w:lineRule="exact"/>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承包人提交详细施工组织设计的期限的约定：</w:t>
      </w:r>
      <w:r>
        <w:rPr>
          <w:rFonts w:hint="eastAsia" w:ascii="宋体" w:hAnsi="宋体" w:eastAsia="宋体" w:cs="宋体"/>
          <w:color w:val="auto"/>
          <w:sz w:val="24"/>
          <w:szCs w:val="24"/>
          <w:u w:val="single"/>
        </w:rPr>
        <w:t xml:space="preserve">开工前7个工作日内 </w:t>
      </w:r>
      <w:r>
        <w:rPr>
          <w:rFonts w:hint="eastAsia" w:ascii="宋体" w:hAnsi="宋体" w:eastAsia="宋体" w:cs="宋体"/>
          <w:color w:val="auto"/>
          <w:sz w:val="24"/>
          <w:szCs w:val="24"/>
        </w:rPr>
        <w:t>。</w:t>
      </w:r>
    </w:p>
    <w:p w14:paraId="1D55BAB1">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发包人和监理人在收到详细的施工组织设计后确认或提出修改意见的期限：</w:t>
      </w:r>
      <w:r>
        <w:rPr>
          <w:rFonts w:hint="eastAsia" w:ascii="宋体" w:hAnsi="宋体" w:eastAsia="宋体" w:cs="宋体"/>
          <w:color w:val="auto"/>
          <w:sz w:val="24"/>
          <w:szCs w:val="24"/>
          <w:u w:val="single"/>
        </w:rPr>
        <w:t xml:space="preserve">  开工前3个工作日内   </w:t>
      </w:r>
      <w:r>
        <w:rPr>
          <w:rFonts w:hint="eastAsia" w:ascii="宋体" w:hAnsi="宋体" w:eastAsia="宋体" w:cs="宋体"/>
          <w:color w:val="auto"/>
          <w:sz w:val="24"/>
          <w:szCs w:val="24"/>
        </w:rPr>
        <w:t>。</w:t>
      </w:r>
    </w:p>
    <w:p w14:paraId="1ED016BB">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682" w:name="_Toc297216173"/>
      <w:bookmarkStart w:id="683" w:name="_Toc304295541"/>
      <w:bookmarkStart w:id="684" w:name="_Toc300934966"/>
      <w:bookmarkStart w:id="685" w:name="_Toc297123514"/>
      <w:bookmarkStart w:id="686" w:name="_Toc312678005"/>
      <w:bookmarkStart w:id="687" w:name="_Toc303539123"/>
      <w:bookmarkStart w:id="688" w:name="_Toc312677479"/>
      <w:r>
        <w:rPr>
          <w:rFonts w:hint="eastAsia" w:ascii="宋体" w:hAnsi="宋体" w:eastAsia="宋体" w:cs="宋体"/>
          <w:color w:val="auto"/>
          <w:sz w:val="24"/>
          <w:szCs w:val="24"/>
        </w:rPr>
        <w:t>.2 施工进度计划</w:t>
      </w:r>
    </w:p>
    <w:p w14:paraId="003C81A9">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7.2.2 施工进度计划的修订</w:t>
      </w:r>
    </w:p>
    <w:p w14:paraId="6DD6A86C">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发包人和监理人在收到修订的施工进度计划后确认或提出修改意见的期限：</w:t>
      </w:r>
      <w:r>
        <w:rPr>
          <w:rFonts w:hint="eastAsia" w:ascii="宋体" w:hAnsi="宋体" w:eastAsia="宋体" w:cs="宋体"/>
          <w:color w:val="auto"/>
          <w:sz w:val="24"/>
          <w:szCs w:val="24"/>
          <w:u w:val="single"/>
        </w:rPr>
        <w:t xml:space="preserve">  收到承包人提供的书面文件之日起3个工作日内 </w:t>
      </w:r>
      <w:r>
        <w:rPr>
          <w:rFonts w:hint="eastAsia" w:ascii="宋体" w:hAnsi="宋体" w:eastAsia="宋体" w:cs="宋体"/>
          <w:color w:val="auto"/>
          <w:sz w:val="24"/>
          <w:szCs w:val="24"/>
        </w:rPr>
        <w:t>。</w:t>
      </w:r>
    </w:p>
    <w:p w14:paraId="2BB21887">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7.3 开工</w:t>
      </w:r>
    </w:p>
    <w:p w14:paraId="634A43A3">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7.3.1 开工准备</w:t>
      </w:r>
    </w:p>
    <w:p w14:paraId="169771D3">
      <w:pPr>
        <w:spacing w:line="460" w:lineRule="exact"/>
        <w:ind w:firstLine="645"/>
        <w:jc w:val="left"/>
        <w:rPr>
          <w:rFonts w:hint="eastAsia" w:ascii="宋体" w:hAnsi="宋体" w:eastAsia="宋体" w:cs="宋体"/>
          <w:color w:val="auto"/>
          <w:sz w:val="24"/>
          <w:szCs w:val="24"/>
          <w:u w:val="single"/>
        </w:rPr>
      </w:pPr>
      <w:r>
        <w:rPr>
          <w:rFonts w:hint="eastAsia" w:ascii="宋体" w:hAnsi="宋体" w:eastAsia="宋体" w:cs="宋体"/>
          <w:color w:val="auto"/>
          <w:sz w:val="24"/>
          <w:szCs w:val="24"/>
        </w:rPr>
        <w:t>关于承包人提交</w:t>
      </w:r>
      <w:r>
        <w:rPr>
          <w:rFonts w:hint="eastAsia" w:ascii="宋体" w:hAnsi="宋体" w:eastAsia="宋体" w:cs="宋体"/>
          <w:color w:val="auto"/>
          <w:kern w:val="0"/>
          <w:sz w:val="24"/>
          <w:szCs w:val="24"/>
        </w:rPr>
        <w:t>工程开工报审表的期限：</w:t>
      </w:r>
      <w:r>
        <w:rPr>
          <w:rFonts w:hint="eastAsia" w:ascii="宋体" w:hAnsi="宋体" w:eastAsia="宋体" w:cs="宋体"/>
          <w:color w:val="auto"/>
          <w:sz w:val="24"/>
          <w:szCs w:val="24"/>
          <w:u w:val="single"/>
        </w:rPr>
        <w:t>承包人进场后7天内</w:t>
      </w:r>
      <w:r>
        <w:rPr>
          <w:rFonts w:hint="eastAsia" w:ascii="宋体" w:hAnsi="宋体" w:eastAsia="宋体" w:cs="宋体"/>
          <w:color w:val="auto"/>
          <w:sz w:val="24"/>
          <w:szCs w:val="24"/>
        </w:rPr>
        <w:t>。</w:t>
      </w:r>
    </w:p>
    <w:p w14:paraId="1633ECFD">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关于发包人应完成的其他开工准备工作及期限：</w:t>
      </w:r>
      <w:r>
        <w:rPr>
          <w:rFonts w:hint="eastAsia" w:ascii="宋体" w:hAnsi="宋体" w:eastAsia="宋体" w:cs="宋体"/>
          <w:color w:val="auto"/>
          <w:sz w:val="24"/>
          <w:szCs w:val="24"/>
          <w:u w:val="single"/>
        </w:rPr>
        <w:t xml:space="preserve"> 满足开工条件所需的相关手续，承包人进场后5天内    </w:t>
      </w:r>
      <w:r>
        <w:rPr>
          <w:rFonts w:hint="eastAsia" w:ascii="宋体" w:hAnsi="宋体" w:eastAsia="宋体" w:cs="宋体"/>
          <w:color w:val="auto"/>
          <w:sz w:val="24"/>
          <w:szCs w:val="24"/>
        </w:rPr>
        <w:t>。</w:t>
      </w:r>
    </w:p>
    <w:p w14:paraId="65255255">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关于承包人应完成的其他开工准备工作及期限：</w:t>
      </w:r>
      <w:r>
        <w:rPr>
          <w:rFonts w:hint="eastAsia" w:ascii="宋体" w:hAnsi="宋体" w:eastAsia="宋体" w:cs="宋体"/>
          <w:color w:val="auto"/>
          <w:sz w:val="24"/>
          <w:szCs w:val="24"/>
          <w:u w:val="single"/>
        </w:rPr>
        <w:t xml:space="preserve">  进场后7天内  </w:t>
      </w:r>
      <w:r>
        <w:rPr>
          <w:rFonts w:hint="eastAsia" w:ascii="宋体" w:hAnsi="宋体" w:eastAsia="宋体" w:cs="宋体"/>
          <w:color w:val="auto"/>
          <w:sz w:val="24"/>
          <w:szCs w:val="24"/>
        </w:rPr>
        <w:t>。</w:t>
      </w:r>
    </w:p>
    <w:p w14:paraId="45D40543">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7.3.2开工通知</w:t>
      </w:r>
    </w:p>
    <w:p w14:paraId="4AA5DA9F">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因发包人原因造成监理人未能在计划开工日期之日起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天内发出开工通知的，承包人有权提出价格调整要求，或者解除合同。</w:t>
      </w:r>
    </w:p>
    <w:bookmarkEnd w:id="682"/>
    <w:bookmarkEnd w:id="683"/>
    <w:bookmarkEnd w:id="684"/>
    <w:bookmarkEnd w:id="685"/>
    <w:bookmarkEnd w:id="686"/>
    <w:bookmarkEnd w:id="687"/>
    <w:bookmarkEnd w:id="688"/>
    <w:p w14:paraId="4DB55B2C">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7.4 测量放线</w:t>
      </w:r>
    </w:p>
    <w:p w14:paraId="34224854">
      <w:pPr>
        <w:spacing w:line="460" w:lineRule="exact"/>
        <w:ind w:firstLine="480" w:firstLineChars="200"/>
        <w:jc w:val="left"/>
        <w:rPr>
          <w:rFonts w:hint="eastAsia" w:ascii="宋体" w:hAnsi="宋体" w:eastAsia="宋体" w:cs="宋体"/>
          <w:color w:val="auto"/>
          <w:sz w:val="24"/>
          <w:szCs w:val="24"/>
          <w:u w:val="single"/>
        </w:rPr>
      </w:pPr>
      <w:r>
        <w:rPr>
          <w:rFonts w:hint="eastAsia" w:ascii="宋体" w:hAnsi="宋体" w:eastAsia="宋体" w:cs="宋体"/>
          <w:color w:val="auto"/>
          <w:sz w:val="24"/>
          <w:szCs w:val="24"/>
        </w:rPr>
        <w:t>7.4.1发包人通过监理人向承包人提供测量基准点、基准线和水准点及其书面资料的期限：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649BE38D">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689" w:name="_Toc300934968"/>
      <w:bookmarkStart w:id="690" w:name="_Toc312678010"/>
      <w:bookmarkStart w:id="691" w:name="_Toc297216175"/>
      <w:bookmarkStart w:id="692" w:name="_Toc304295546"/>
      <w:bookmarkStart w:id="693" w:name="_Toc303539125"/>
      <w:bookmarkStart w:id="694" w:name="_Toc297123516"/>
      <w:bookmarkStart w:id="695" w:name="_Toc312677484"/>
      <w:r>
        <w:rPr>
          <w:rFonts w:hint="eastAsia" w:ascii="宋体" w:hAnsi="宋体" w:eastAsia="宋体" w:cs="宋体"/>
          <w:color w:val="auto"/>
          <w:sz w:val="24"/>
          <w:szCs w:val="24"/>
        </w:rPr>
        <w:t>.5 工期延误</w:t>
      </w:r>
    </w:p>
    <w:bookmarkEnd w:id="689"/>
    <w:bookmarkEnd w:id="690"/>
    <w:bookmarkEnd w:id="691"/>
    <w:bookmarkEnd w:id="692"/>
    <w:bookmarkEnd w:id="693"/>
    <w:bookmarkEnd w:id="694"/>
    <w:bookmarkEnd w:id="695"/>
    <w:p w14:paraId="6856F137">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7.5.1 因发包人原因导致工期延误</w:t>
      </w:r>
    </w:p>
    <w:p w14:paraId="4D5D9AB5">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（7）因发包人原因导致工期延误的其他情形：</w:t>
      </w:r>
      <w:r>
        <w:rPr>
          <w:rFonts w:hint="eastAsia" w:ascii="宋体" w:hAnsi="宋体" w:eastAsia="宋体" w:cs="宋体"/>
          <w:color w:val="auto"/>
          <w:sz w:val="24"/>
          <w:szCs w:val="24"/>
          <w:u w:val="single"/>
        </w:rPr>
        <w:t xml:space="preserve"> 按通用条款7.8.1执行 </w:t>
      </w:r>
      <w:r>
        <w:rPr>
          <w:rFonts w:hint="eastAsia" w:ascii="宋体" w:hAnsi="宋体" w:eastAsia="宋体" w:cs="宋体"/>
          <w:color w:val="auto"/>
          <w:sz w:val="24"/>
          <w:szCs w:val="24"/>
        </w:rPr>
        <w:t>。</w:t>
      </w:r>
    </w:p>
    <w:p w14:paraId="2EF0F992">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696" w:name="_Toc312678012"/>
      <w:bookmarkStart w:id="697" w:name="_Toc318581169"/>
      <w:bookmarkStart w:id="698" w:name="_Toc312677486"/>
      <w:bookmarkStart w:id="699" w:name="_Toc297123518"/>
      <w:bookmarkStart w:id="700" w:name="_Toc297216177"/>
      <w:bookmarkStart w:id="701" w:name="_Toc300934970"/>
      <w:bookmarkStart w:id="702" w:name="_Toc303539127"/>
      <w:bookmarkStart w:id="703" w:name="_Toc304295548"/>
      <w:r>
        <w:rPr>
          <w:rFonts w:hint="eastAsia" w:ascii="宋体" w:hAnsi="宋体" w:eastAsia="宋体" w:cs="宋体"/>
          <w:color w:val="auto"/>
          <w:sz w:val="24"/>
          <w:szCs w:val="24"/>
        </w:rPr>
        <w:t>.5.2 因承包人原因导致工期延误</w:t>
      </w:r>
    </w:p>
    <w:bookmarkEnd w:id="696"/>
    <w:bookmarkEnd w:id="697"/>
    <w:bookmarkEnd w:id="698"/>
    <w:p w14:paraId="35AA48AE">
      <w:pPr>
        <w:spacing w:line="460" w:lineRule="exact"/>
        <w:ind w:firstLine="480" w:firstLineChars="200"/>
        <w:jc w:val="left"/>
        <w:rPr>
          <w:rFonts w:hint="eastAsia" w:ascii="宋体" w:hAnsi="宋体" w:eastAsia="宋体" w:cs="宋体"/>
          <w:color w:val="auto"/>
          <w:sz w:val="24"/>
          <w:szCs w:val="24"/>
          <w:u w:val="single"/>
        </w:rPr>
      </w:pPr>
      <w:r>
        <w:rPr>
          <w:rFonts w:hint="eastAsia" w:ascii="宋体" w:hAnsi="宋体" w:eastAsia="宋体" w:cs="宋体"/>
          <w:color w:val="auto"/>
          <w:sz w:val="24"/>
          <w:szCs w:val="24"/>
        </w:rPr>
        <w:t>因</w:t>
      </w:r>
      <w:bookmarkStart w:id="704" w:name="_Toc312678013"/>
      <w:bookmarkStart w:id="705" w:name="_Toc312677487"/>
      <w:bookmarkStart w:id="706" w:name="_Toc318581170"/>
      <w:r>
        <w:rPr>
          <w:rFonts w:hint="eastAsia" w:ascii="宋体" w:hAnsi="宋体" w:eastAsia="宋体" w:cs="宋体"/>
          <w:color w:val="auto"/>
          <w:sz w:val="24"/>
          <w:szCs w:val="24"/>
        </w:rPr>
        <w:t>承包人原因造成工期延误，逾期竣工违约金的计算方法为：</w:t>
      </w:r>
    </w:p>
    <w:p w14:paraId="50B2B01F">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每逾期一天按工程合同造价的万分之一计算 </w:t>
      </w:r>
      <w:r>
        <w:rPr>
          <w:rFonts w:hint="eastAsia" w:ascii="宋体" w:hAnsi="宋体" w:eastAsia="宋体" w:cs="宋体"/>
          <w:color w:val="auto"/>
          <w:sz w:val="24"/>
          <w:szCs w:val="24"/>
        </w:rPr>
        <w:t>。</w:t>
      </w:r>
      <w:bookmarkEnd w:id="699"/>
      <w:bookmarkEnd w:id="700"/>
      <w:bookmarkEnd w:id="701"/>
      <w:bookmarkEnd w:id="702"/>
      <w:bookmarkEnd w:id="703"/>
      <w:bookmarkEnd w:id="704"/>
      <w:bookmarkEnd w:id="705"/>
    </w:p>
    <w:bookmarkEnd w:id="706"/>
    <w:p w14:paraId="6AB18F6F">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因承包人原因造成工期延误，逾</w:t>
      </w:r>
      <w:bookmarkStart w:id="707" w:name="_Toc312678014"/>
      <w:bookmarkStart w:id="708" w:name="_Toc318581171"/>
      <w:r>
        <w:rPr>
          <w:rFonts w:hint="eastAsia" w:ascii="宋体" w:hAnsi="宋体" w:eastAsia="宋体" w:cs="宋体"/>
          <w:color w:val="auto"/>
          <w:sz w:val="24"/>
          <w:szCs w:val="24"/>
        </w:rPr>
        <w:t>期竣工违约金的上限：</w:t>
      </w:r>
      <w:r>
        <w:rPr>
          <w:rFonts w:hint="eastAsia" w:ascii="宋体" w:hAnsi="宋体" w:eastAsia="宋体" w:cs="宋体"/>
          <w:color w:val="auto"/>
          <w:sz w:val="24"/>
          <w:szCs w:val="24"/>
          <w:u w:val="single"/>
        </w:rPr>
        <w:t xml:space="preserve"> 不超过工程合同价的百分之一 </w:t>
      </w:r>
      <w:r>
        <w:rPr>
          <w:rFonts w:hint="eastAsia" w:ascii="宋体" w:hAnsi="宋体" w:eastAsia="宋体" w:cs="宋体"/>
          <w:color w:val="auto"/>
          <w:sz w:val="24"/>
          <w:szCs w:val="24"/>
        </w:rPr>
        <w:t>。</w:t>
      </w:r>
    </w:p>
    <w:bookmarkEnd w:id="707"/>
    <w:bookmarkEnd w:id="708"/>
    <w:p w14:paraId="09061385">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709" w:name="_Toc312678015"/>
      <w:bookmarkStart w:id="710" w:name="_Toc300934971"/>
      <w:bookmarkStart w:id="711" w:name="_Toc297216178"/>
      <w:bookmarkStart w:id="712" w:name="_Toc297123519"/>
      <w:bookmarkStart w:id="713" w:name="_Toc303539128"/>
      <w:bookmarkStart w:id="714" w:name="_Toc304295549"/>
      <w:r>
        <w:rPr>
          <w:rFonts w:hint="eastAsia" w:ascii="宋体" w:hAnsi="宋体" w:eastAsia="宋体" w:cs="宋体"/>
          <w:color w:val="auto"/>
          <w:sz w:val="24"/>
          <w:szCs w:val="24"/>
        </w:rPr>
        <w:t>.6 不</w:t>
      </w:r>
      <w:bookmarkEnd w:id="709"/>
      <w:bookmarkEnd w:id="710"/>
      <w:bookmarkEnd w:id="711"/>
      <w:bookmarkEnd w:id="712"/>
      <w:bookmarkEnd w:id="713"/>
      <w:bookmarkEnd w:id="714"/>
      <w:r>
        <w:rPr>
          <w:rFonts w:hint="eastAsia" w:ascii="宋体" w:hAnsi="宋体" w:eastAsia="宋体" w:cs="宋体"/>
          <w:color w:val="auto"/>
          <w:sz w:val="24"/>
          <w:szCs w:val="24"/>
        </w:rPr>
        <w:t>利物质条件</w:t>
      </w:r>
    </w:p>
    <w:p w14:paraId="2467B6EB">
      <w:pPr>
        <w:spacing w:line="460" w:lineRule="exact"/>
        <w:jc w:val="left"/>
        <w:rPr>
          <w:rFonts w:hint="eastAsia" w:ascii="宋体" w:hAnsi="宋体" w:eastAsia="宋体" w:cs="宋体"/>
          <w:color w:val="auto"/>
          <w:sz w:val="24"/>
          <w:szCs w:val="24"/>
        </w:rPr>
      </w:pPr>
      <w:bookmarkStart w:id="715" w:name="_Toc303539129"/>
      <w:bookmarkStart w:id="716" w:name="_Toc297123520"/>
      <w:bookmarkStart w:id="717" w:name="_Toc300934972"/>
      <w:bookmarkStart w:id="718" w:name="_Toc312678016"/>
      <w:bookmarkStart w:id="719" w:name="_Toc297216179"/>
      <w:bookmarkStart w:id="720" w:name="_Toc304295550"/>
      <w:bookmarkStart w:id="721" w:name="_Toc318581172"/>
      <w:r>
        <w:rPr>
          <w:rFonts w:hint="eastAsia" w:ascii="宋体" w:hAnsi="宋体" w:eastAsia="宋体" w:cs="宋体"/>
          <w:color w:val="auto"/>
          <w:sz w:val="24"/>
          <w:szCs w:val="24"/>
        </w:rPr>
        <w:t>不利物质条件的其他情形和有关约定：</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bookmarkEnd w:id="715"/>
    <w:bookmarkEnd w:id="716"/>
    <w:bookmarkEnd w:id="717"/>
    <w:bookmarkEnd w:id="718"/>
    <w:bookmarkEnd w:id="719"/>
    <w:bookmarkEnd w:id="720"/>
    <w:bookmarkEnd w:id="721"/>
    <w:p w14:paraId="0B433ACA">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722" w:name="_Toc303539130"/>
      <w:bookmarkStart w:id="723" w:name="_Toc297216180"/>
      <w:bookmarkStart w:id="724" w:name="_Toc312678017"/>
      <w:bookmarkStart w:id="725" w:name="_Toc297123521"/>
      <w:bookmarkStart w:id="726" w:name="_Toc304295551"/>
      <w:bookmarkStart w:id="727" w:name="_Toc300934973"/>
      <w:r>
        <w:rPr>
          <w:rFonts w:hint="eastAsia" w:ascii="宋体" w:hAnsi="宋体" w:eastAsia="宋体" w:cs="宋体"/>
          <w:color w:val="auto"/>
          <w:sz w:val="24"/>
          <w:szCs w:val="24"/>
        </w:rPr>
        <w:t>.7异常恶劣的气候条件</w:t>
      </w:r>
    </w:p>
    <w:bookmarkEnd w:id="722"/>
    <w:bookmarkEnd w:id="723"/>
    <w:bookmarkEnd w:id="724"/>
    <w:bookmarkEnd w:id="725"/>
    <w:bookmarkEnd w:id="726"/>
    <w:bookmarkEnd w:id="727"/>
    <w:p w14:paraId="6A98057A">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发包人和承包人同意以下情形视为异常恶劣的气候条件：</w:t>
      </w:r>
    </w:p>
    <w:p w14:paraId="491177F3">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 xml:space="preserve">   6级以上的地震及10级以上持续1天的大风   </w:t>
      </w:r>
      <w:r>
        <w:rPr>
          <w:rFonts w:hint="eastAsia" w:ascii="宋体" w:hAnsi="宋体" w:eastAsia="宋体" w:cs="宋体"/>
          <w:color w:val="auto"/>
          <w:sz w:val="24"/>
          <w:szCs w:val="24"/>
        </w:rPr>
        <w:t>；</w:t>
      </w:r>
    </w:p>
    <w:p w14:paraId="3A495F19">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u w:val="single"/>
        </w:rPr>
        <w:t xml:space="preserve">  暴雨级以上持续1天的大雨     </w:t>
      </w:r>
      <w:r>
        <w:rPr>
          <w:rFonts w:hint="eastAsia" w:ascii="宋体" w:hAnsi="宋体" w:eastAsia="宋体" w:cs="宋体"/>
          <w:color w:val="auto"/>
          <w:sz w:val="24"/>
          <w:szCs w:val="24"/>
        </w:rPr>
        <w:t>；</w:t>
      </w:r>
    </w:p>
    <w:p w14:paraId="0C65546E">
      <w:pPr>
        <w:spacing w:after="120" w:line="460" w:lineRule="exact"/>
        <w:ind w:left="479" w:leftChars="228" w:firstLine="0" w:firstLineChars="0"/>
        <w:outlineLvl w:val="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u w:val="single"/>
        </w:rPr>
        <w:t xml:space="preserve">  50年以上未发生过，持续2天的低温天气及50年以上未发生过的洪水   </w:t>
      </w:r>
      <w:r>
        <w:rPr>
          <w:rFonts w:hint="eastAsia" w:ascii="宋体" w:hAnsi="宋体" w:eastAsia="宋体" w:cs="宋体"/>
          <w:color w:val="auto"/>
          <w:sz w:val="24"/>
          <w:szCs w:val="24"/>
        </w:rPr>
        <w:t>。7.9 提前竣工的奖励</w:t>
      </w:r>
    </w:p>
    <w:p w14:paraId="36494983">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7.9.2提前竣工的奖励：</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3F027CBC">
      <w:pPr>
        <w:pStyle w:val="5"/>
        <w:spacing w:before="120" w:after="120" w:line="460" w:lineRule="exact"/>
        <w:rPr>
          <w:rFonts w:hint="eastAsia" w:ascii="宋体" w:hAnsi="宋体" w:eastAsia="宋体" w:cs="宋体"/>
          <w:b w:val="0"/>
          <w:color w:val="auto"/>
          <w:sz w:val="24"/>
          <w:szCs w:val="24"/>
        </w:rPr>
      </w:pPr>
      <w:bookmarkStart w:id="728" w:name="_Toc351203640"/>
      <w:r>
        <w:rPr>
          <w:rFonts w:hint="eastAsia" w:ascii="宋体" w:hAnsi="宋体" w:eastAsia="宋体" w:cs="宋体"/>
          <w:b w:val="0"/>
          <w:color w:val="auto"/>
          <w:sz w:val="24"/>
          <w:szCs w:val="24"/>
        </w:rPr>
        <w:t>8. 材料与设备</w:t>
      </w:r>
      <w:bookmarkEnd w:id="728"/>
    </w:p>
    <w:bookmarkEnd w:id="662"/>
    <w:bookmarkEnd w:id="663"/>
    <w:bookmarkEnd w:id="664"/>
    <w:bookmarkEnd w:id="665"/>
    <w:bookmarkEnd w:id="666"/>
    <w:bookmarkEnd w:id="667"/>
    <w:bookmarkEnd w:id="668"/>
    <w:bookmarkEnd w:id="669"/>
    <w:bookmarkEnd w:id="670"/>
    <w:bookmarkEnd w:id="671"/>
    <w:p w14:paraId="304EF11B">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8</w:t>
      </w:r>
      <w:bookmarkStart w:id="729" w:name="_Toc296347166"/>
      <w:bookmarkStart w:id="730" w:name="_Toc292559372"/>
      <w:bookmarkStart w:id="731" w:name="_Toc296890995"/>
      <w:bookmarkStart w:id="732" w:name="_Toc297120467"/>
      <w:bookmarkStart w:id="733" w:name="_Toc292559877"/>
      <w:bookmarkStart w:id="734" w:name="_Toc312677493"/>
      <w:bookmarkStart w:id="735" w:name="_Toc280868654"/>
      <w:bookmarkStart w:id="736" w:name="_Toc297123527"/>
      <w:bookmarkStart w:id="737" w:name="_Toc296346668"/>
      <w:bookmarkStart w:id="738" w:name="_Toc304295556"/>
      <w:bookmarkStart w:id="739" w:name="_Toc296891207"/>
      <w:bookmarkStart w:id="740" w:name="_Toc296944506"/>
      <w:bookmarkStart w:id="741" w:name="_Toc297216186"/>
      <w:bookmarkStart w:id="742" w:name="_Toc296503167"/>
      <w:bookmarkStart w:id="743" w:name="_Toc303539136"/>
      <w:bookmarkStart w:id="744" w:name="_Toc297048353"/>
      <w:bookmarkStart w:id="745" w:name="_Toc300934979"/>
      <w:bookmarkStart w:id="746" w:name="_Toc312678019"/>
      <w:bookmarkStart w:id="747" w:name="_Toc280868656"/>
      <w:bookmarkStart w:id="748" w:name="_Toc280868655"/>
      <w:bookmarkStart w:id="749" w:name="_Toc267251424"/>
      <w:r>
        <w:rPr>
          <w:rFonts w:hint="eastAsia" w:ascii="宋体" w:hAnsi="宋体" w:eastAsia="宋体" w:cs="宋体"/>
          <w:color w:val="auto"/>
          <w:sz w:val="24"/>
          <w:szCs w:val="24"/>
        </w:rPr>
        <w:t>.4材料与工程设备的保管与使用</w:t>
      </w:r>
    </w:p>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14:paraId="5D9F372A">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8</w:t>
      </w:r>
      <w:bookmarkStart w:id="750" w:name="_Toc292559878"/>
      <w:bookmarkStart w:id="751" w:name="_Toc292559373"/>
      <w:bookmarkStart w:id="752" w:name="_Toc297123528"/>
      <w:bookmarkStart w:id="753" w:name="_Toc296891208"/>
      <w:bookmarkStart w:id="754" w:name="_Toc297120468"/>
      <w:bookmarkStart w:id="755" w:name="_Toc297216187"/>
      <w:bookmarkStart w:id="756" w:name="_Toc297048354"/>
      <w:bookmarkStart w:id="757" w:name="_Toc300934980"/>
      <w:bookmarkStart w:id="758" w:name="_Toc304295557"/>
      <w:bookmarkStart w:id="759" w:name="_Toc312678020"/>
      <w:bookmarkStart w:id="760" w:name="_Toc312677494"/>
      <w:bookmarkStart w:id="761" w:name="_Toc296944507"/>
      <w:bookmarkStart w:id="762" w:name="_Toc296347167"/>
      <w:bookmarkStart w:id="763" w:name="_Toc318581173"/>
      <w:bookmarkStart w:id="764" w:name="_Toc303539137"/>
      <w:bookmarkStart w:id="765" w:name="_Toc296503168"/>
      <w:bookmarkStart w:id="766" w:name="_Toc296890996"/>
      <w:bookmarkStart w:id="767" w:name="_Toc296346669"/>
      <w:r>
        <w:rPr>
          <w:rFonts w:hint="eastAsia" w:ascii="宋体" w:hAnsi="宋体" w:eastAsia="宋体" w:cs="宋体"/>
          <w:color w:val="auto"/>
          <w:sz w:val="24"/>
          <w:szCs w:val="24"/>
        </w:rPr>
        <w:t>.4.1发包人供应的材料设备的保管费用的承担：</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无</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bookmarkEnd w:id="750"/>
      <w:bookmarkEnd w:id="751"/>
    </w:p>
    <w:p w14:paraId="0B73CC32">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8.6 样品</w:t>
      </w:r>
    </w:p>
    <w:p w14:paraId="6FA384BC">
      <w:pPr>
        <w:autoSpaceDE w:val="0"/>
        <w:autoSpaceDN w:val="0"/>
        <w:adjustRightInd w:val="0"/>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8.6.1</w:t>
      </w:r>
      <w:r>
        <w:rPr>
          <w:rFonts w:hint="eastAsia" w:ascii="宋体" w:hAnsi="宋体" w:eastAsia="宋体" w:cs="宋体"/>
          <w:color w:val="auto"/>
          <w:kern w:val="0"/>
          <w:sz w:val="24"/>
          <w:szCs w:val="24"/>
        </w:rPr>
        <w:tab/>
      </w:r>
      <w:r>
        <w:rPr>
          <w:rFonts w:hint="eastAsia" w:ascii="宋体" w:hAnsi="宋体" w:eastAsia="宋体" w:cs="宋体"/>
          <w:color w:val="auto"/>
          <w:kern w:val="0"/>
          <w:sz w:val="24"/>
          <w:szCs w:val="24"/>
        </w:rPr>
        <w:t>样品的报送与封存</w:t>
      </w:r>
    </w:p>
    <w:p w14:paraId="07B0A3BB">
      <w:pPr>
        <w:autoSpaceDE w:val="0"/>
        <w:autoSpaceDN w:val="0"/>
        <w:adjustRightInd w:val="0"/>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需要承包人报送样品的材料或工程设备，样品的种类、名称、规格、数量要求：</w:t>
      </w:r>
      <w:r>
        <w:rPr>
          <w:rFonts w:hint="eastAsia" w:ascii="宋体" w:hAnsi="宋体" w:eastAsia="宋体" w:cs="宋体"/>
          <w:color w:val="auto"/>
          <w:sz w:val="24"/>
          <w:szCs w:val="24"/>
          <w:u w:val="single"/>
        </w:rPr>
        <w:t xml:space="preserve">  根据行政主管部门要求报送  </w:t>
      </w:r>
      <w:r>
        <w:rPr>
          <w:rFonts w:hint="eastAsia" w:ascii="宋体" w:hAnsi="宋体" w:eastAsia="宋体" w:cs="宋体"/>
          <w:color w:val="auto"/>
          <w:sz w:val="24"/>
          <w:szCs w:val="24"/>
        </w:rPr>
        <w:t>。</w:t>
      </w:r>
    </w:p>
    <w:p w14:paraId="6AE8CBD9">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8.8 施工设备和临时设施</w:t>
      </w:r>
    </w:p>
    <w:p w14:paraId="046758F5">
      <w:pPr>
        <w:autoSpaceDE w:val="0"/>
        <w:autoSpaceDN w:val="0"/>
        <w:adjustRightInd w:val="0"/>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8.8.1 承包人提供的施工设备和临时设施</w:t>
      </w:r>
    </w:p>
    <w:p w14:paraId="15FE56A4">
      <w:pPr>
        <w:autoSpaceDE w:val="0"/>
        <w:autoSpaceDN w:val="0"/>
        <w:adjustRightInd w:val="0"/>
        <w:spacing w:line="42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lang w:bidi="ar"/>
        </w:rPr>
        <w:t>发包人提供的施工设备和临时设施：</w:t>
      </w:r>
      <w:r>
        <w:rPr>
          <w:rFonts w:hint="eastAsia" w:ascii="宋体" w:hAnsi="宋体" w:eastAsia="宋体" w:cs="宋体"/>
          <w:color w:val="auto"/>
          <w:sz w:val="24"/>
          <w:szCs w:val="24"/>
          <w:u w:val="single"/>
          <w:lang w:bidi="ar"/>
        </w:rPr>
        <w:t xml:space="preserve">   无    </w:t>
      </w:r>
      <w:r>
        <w:rPr>
          <w:rFonts w:hint="eastAsia" w:ascii="宋体" w:hAnsi="宋体" w:eastAsia="宋体" w:cs="宋体"/>
          <w:color w:val="auto"/>
          <w:sz w:val="24"/>
          <w:szCs w:val="24"/>
          <w:lang w:bidi="ar"/>
        </w:rPr>
        <w:t>。</w:t>
      </w:r>
    </w:p>
    <w:p w14:paraId="61A80EDD">
      <w:pPr>
        <w:autoSpaceDE w:val="0"/>
        <w:autoSpaceDN w:val="0"/>
        <w:adjustRightInd w:val="0"/>
        <w:spacing w:line="460" w:lineRule="exact"/>
        <w:ind w:firstLine="240" w:firstLineChars="100"/>
        <w:jc w:val="left"/>
        <w:rPr>
          <w:rFonts w:hint="eastAsia" w:ascii="宋体" w:hAnsi="宋体" w:eastAsia="宋体" w:cs="宋体"/>
          <w:color w:val="auto"/>
          <w:sz w:val="24"/>
          <w:szCs w:val="24"/>
        </w:rPr>
      </w:pPr>
      <w:r>
        <w:rPr>
          <w:rFonts w:hint="eastAsia" w:ascii="宋体" w:hAnsi="宋体" w:eastAsia="宋体" w:cs="宋体"/>
          <w:color w:val="auto"/>
          <w:sz w:val="24"/>
          <w:szCs w:val="24"/>
          <w:lang w:bidi="ar"/>
        </w:rPr>
        <w:t>发包人提供的施工设备和临时设施的运行、维护、拆除、清运费用的承担人：</w:t>
      </w:r>
      <w:r>
        <w:rPr>
          <w:rFonts w:hint="eastAsia" w:ascii="宋体" w:hAnsi="宋体" w:eastAsia="宋体" w:cs="宋体"/>
          <w:color w:val="auto"/>
          <w:sz w:val="24"/>
          <w:szCs w:val="24"/>
          <w:u w:val="single"/>
          <w:lang w:bidi="ar"/>
        </w:rPr>
        <w:t xml:space="preserve">   无   </w:t>
      </w:r>
      <w:r>
        <w:rPr>
          <w:rFonts w:hint="eastAsia" w:ascii="宋体" w:hAnsi="宋体" w:eastAsia="宋体" w:cs="宋体"/>
          <w:color w:val="auto"/>
          <w:sz w:val="24"/>
          <w:szCs w:val="24"/>
          <w:lang w:bidi="ar"/>
        </w:rPr>
        <w:t>。</w:t>
      </w:r>
    </w:p>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14:paraId="18E10C76">
      <w:pPr>
        <w:pStyle w:val="5"/>
        <w:spacing w:before="120" w:after="120" w:line="460" w:lineRule="exact"/>
        <w:rPr>
          <w:rFonts w:hint="eastAsia" w:ascii="宋体" w:hAnsi="宋体" w:eastAsia="宋体" w:cs="宋体"/>
          <w:b w:val="0"/>
          <w:color w:val="auto"/>
          <w:sz w:val="24"/>
          <w:szCs w:val="24"/>
        </w:rPr>
      </w:pPr>
      <w:bookmarkStart w:id="768" w:name="_Toc351203641"/>
      <w:r>
        <w:rPr>
          <w:rFonts w:hint="eastAsia" w:ascii="宋体" w:hAnsi="宋体" w:eastAsia="宋体" w:cs="宋体"/>
          <w:b w:val="0"/>
          <w:color w:val="auto"/>
          <w:sz w:val="24"/>
          <w:szCs w:val="24"/>
        </w:rPr>
        <w:t>9</w:t>
      </w:r>
      <w:bookmarkEnd w:id="747"/>
      <w:bookmarkEnd w:id="748"/>
      <w:bookmarkEnd w:id="749"/>
      <w:bookmarkStart w:id="769" w:name="_Toc297123533"/>
      <w:bookmarkStart w:id="770" w:name="_Toc312677495"/>
      <w:bookmarkStart w:id="771" w:name="_Toc300934982"/>
      <w:bookmarkStart w:id="772" w:name="_Toc297216192"/>
      <w:bookmarkStart w:id="773" w:name="_Toc304295559"/>
      <w:bookmarkStart w:id="774" w:name="_Toc312678021"/>
      <w:bookmarkStart w:id="775" w:name="_Toc303539139"/>
      <w:bookmarkStart w:id="776" w:name="_Toc297048359"/>
      <w:bookmarkStart w:id="777" w:name="_Toc297120473"/>
      <w:bookmarkStart w:id="778" w:name="_Toc296891213"/>
      <w:bookmarkStart w:id="779" w:name="_Toc296347172"/>
      <w:bookmarkStart w:id="780" w:name="_Toc296503173"/>
      <w:bookmarkStart w:id="781" w:name="_Toc296346674"/>
      <w:bookmarkStart w:id="782" w:name="_Toc267251428"/>
      <w:bookmarkStart w:id="783" w:name="_Toc296944512"/>
      <w:bookmarkStart w:id="784" w:name="_Toc296891001"/>
      <w:bookmarkStart w:id="785" w:name="_Toc292559883"/>
      <w:bookmarkStart w:id="786" w:name="_Toc292559378"/>
      <w:bookmarkStart w:id="787" w:name="_Toc267251427"/>
      <w:r>
        <w:rPr>
          <w:rFonts w:hint="eastAsia" w:ascii="宋体" w:hAnsi="宋体" w:eastAsia="宋体" w:cs="宋体"/>
          <w:b w:val="0"/>
          <w:color w:val="auto"/>
          <w:sz w:val="24"/>
          <w:szCs w:val="24"/>
        </w:rPr>
        <w:t>. 试验与检验</w:t>
      </w:r>
      <w:bookmarkEnd w:id="768"/>
    </w:p>
    <w:bookmarkEnd w:id="769"/>
    <w:bookmarkEnd w:id="770"/>
    <w:bookmarkEnd w:id="771"/>
    <w:bookmarkEnd w:id="772"/>
    <w:bookmarkEnd w:id="773"/>
    <w:bookmarkEnd w:id="774"/>
    <w:bookmarkEnd w:id="775"/>
    <w:p w14:paraId="02540DB5">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9</w:t>
      </w:r>
      <w:bookmarkStart w:id="788" w:name="_Toc303539140"/>
      <w:bookmarkStart w:id="789" w:name="_Toc297216193"/>
      <w:bookmarkStart w:id="790" w:name="_Toc304295560"/>
      <w:bookmarkStart w:id="791" w:name="_Toc300934983"/>
      <w:bookmarkStart w:id="792" w:name="_Toc297123534"/>
      <w:bookmarkStart w:id="793" w:name="_Toc312678022"/>
      <w:bookmarkStart w:id="794" w:name="_Toc312677496"/>
      <w:r>
        <w:rPr>
          <w:rFonts w:hint="eastAsia" w:ascii="宋体" w:hAnsi="宋体" w:eastAsia="宋体" w:cs="宋体"/>
          <w:color w:val="auto"/>
          <w:sz w:val="24"/>
          <w:szCs w:val="24"/>
        </w:rPr>
        <w:t>.1试验设备与试验人员</w:t>
      </w:r>
    </w:p>
    <w:bookmarkEnd w:id="788"/>
    <w:bookmarkEnd w:id="789"/>
    <w:bookmarkEnd w:id="790"/>
    <w:bookmarkEnd w:id="791"/>
    <w:bookmarkEnd w:id="792"/>
    <w:bookmarkEnd w:id="793"/>
    <w:bookmarkEnd w:id="794"/>
    <w:p w14:paraId="1BF41798">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9</w:t>
      </w:r>
      <w:bookmarkStart w:id="795" w:name="_Toc304295561"/>
      <w:bookmarkStart w:id="796" w:name="_Toc312677497"/>
      <w:bookmarkStart w:id="797" w:name="_Toc297123535"/>
      <w:bookmarkStart w:id="798" w:name="_Toc312678023"/>
      <w:bookmarkStart w:id="799" w:name="_Toc303539141"/>
      <w:bookmarkStart w:id="800" w:name="_Toc297216194"/>
      <w:bookmarkStart w:id="801" w:name="_Toc300934984"/>
      <w:bookmarkStart w:id="802" w:name="_Toc318581174"/>
      <w:r>
        <w:rPr>
          <w:rFonts w:hint="eastAsia" w:ascii="宋体" w:hAnsi="宋体" w:eastAsia="宋体" w:cs="宋体"/>
          <w:color w:val="auto"/>
          <w:sz w:val="24"/>
          <w:szCs w:val="24"/>
        </w:rPr>
        <w:t>.1.2 试验设备</w:t>
      </w:r>
    </w:p>
    <w:p w14:paraId="505680A4">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施工现场需要配置的试验场所：</w:t>
      </w:r>
      <w:bookmarkEnd w:id="795"/>
      <w:bookmarkEnd w:id="796"/>
      <w:bookmarkEnd w:id="797"/>
      <w:bookmarkEnd w:id="798"/>
      <w:bookmarkEnd w:id="799"/>
      <w:bookmarkEnd w:id="800"/>
      <w:bookmarkEnd w:id="801"/>
      <w:bookmarkStart w:id="803" w:name="_Toc304295562"/>
      <w:bookmarkStart w:id="804" w:name="_Toc300934985"/>
      <w:bookmarkStart w:id="805" w:name="_Toc312677498"/>
      <w:bookmarkStart w:id="806" w:name="_Toc297123536"/>
      <w:bookmarkStart w:id="807" w:name="_Toc303539142"/>
      <w:bookmarkStart w:id="808" w:name="_Toc297216195"/>
      <w:bookmarkStart w:id="809" w:name="_Toc312678024"/>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 xml:space="preserve">。 </w:t>
      </w:r>
    </w:p>
    <w:p w14:paraId="43649B2D">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施工现场需要配备的试验设备：</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1D3E6F1D">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施工现场需要具备的其他试验条件：</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42D07AF3">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 xml:space="preserve">9.4 现场工艺试验 </w:t>
      </w:r>
    </w:p>
    <w:p w14:paraId="61894A49">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现场工艺试验的有关约定：</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bookmarkEnd w:id="802"/>
    <w:bookmarkEnd w:id="803"/>
    <w:bookmarkEnd w:id="804"/>
    <w:bookmarkEnd w:id="805"/>
    <w:bookmarkEnd w:id="806"/>
    <w:bookmarkEnd w:id="807"/>
    <w:bookmarkEnd w:id="808"/>
    <w:bookmarkEnd w:id="809"/>
    <w:p w14:paraId="78F8D4F3">
      <w:pPr>
        <w:pStyle w:val="5"/>
        <w:spacing w:before="120" w:after="120" w:line="460" w:lineRule="exact"/>
        <w:rPr>
          <w:rFonts w:hint="eastAsia" w:ascii="宋体" w:hAnsi="宋体" w:eastAsia="宋体" w:cs="宋体"/>
          <w:b w:val="0"/>
          <w:color w:val="auto"/>
          <w:sz w:val="24"/>
          <w:szCs w:val="24"/>
        </w:rPr>
      </w:pPr>
      <w:bookmarkStart w:id="810" w:name="_Toc351203642"/>
      <w:r>
        <w:rPr>
          <w:rFonts w:hint="eastAsia" w:ascii="宋体" w:hAnsi="宋体" w:eastAsia="宋体" w:cs="宋体"/>
          <w:b w:val="0"/>
          <w:color w:val="auto"/>
          <w:sz w:val="24"/>
          <w:szCs w:val="24"/>
        </w:rPr>
        <w:t>1</w:t>
      </w:r>
      <w:bookmarkEnd w:id="776"/>
      <w:bookmarkEnd w:id="777"/>
      <w:bookmarkEnd w:id="778"/>
      <w:bookmarkEnd w:id="779"/>
      <w:bookmarkEnd w:id="780"/>
      <w:bookmarkEnd w:id="781"/>
      <w:bookmarkEnd w:id="782"/>
      <w:bookmarkEnd w:id="783"/>
      <w:bookmarkEnd w:id="784"/>
      <w:bookmarkEnd w:id="785"/>
      <w:bookmarkEnd w:id="786"/>
      <w:bookmarkEnd w:id="787"/>
      <w:bookmarkStart w:id="811" w:name="_Toc297120493"/>
      <w:bookmarkStart w:id="812" w:name="_Toc300934989"/>
      <w:bookmarkStart w:id="813" w:name="_Toc297123540"/>
      <w:bookmarkStart w:id="814" w:name="_Toc303539146"/>
      <w:bookmarkStart w:id="815" w:name="_Toc297216199"/>
      <w:bookmarkStart w:id="816" w:name="_Toc296891233"/>
      <w:bookmarkStart w:id="817" w:name="_Toc296891021"/>
      <w:bookmarkStart w:id="818" w:name="_Toc297048379"/>
      <w:bookmarkStart w:id="819" w:name="_Toc304295566"/>
      <w:bookmarkStart w:id="820" w:name="_Toc296347192"/>
      <w:bookmarkStart w:id="821" w:name="_Toc296503193"/>
      <w:bookmarkStart w:id="822" w:name="_Toc292559398"/>
      <w:bookmarkStart w:id="823" w:name="_Toc292559903"/>
      <w:bookmarkStart w:id="824" w:name="_Toc296346694"/>
      <w:bookmarkStart w:id="825" w:name="_Toc296944532"/>
      <w:bookmarkStart w:id="826" w:name="_Toc312678025"/>
      <w:bookmarkStart w:id="827" w:name="_Toc312677499"/>
      <w:bookmarkStart w:id="828" w:name="_Toc267251440"/>
      <w:bookmarkStart w:id="829" w:name="_Toc267251435"/>
      <w:bookmarkStart w:id="830" w:name="_Toc267251441"/>
      <w:bookmarkStart w:id="831" w:name="_Toc267251437"/>
      <w:bookmarkStart w:id="832" w:name="_Toc267251439"/>
      <w:bookmarkStart w:id="833" w:name="_Toc267251433"/>
      <w:bookmarkStart w:id="834" w:name="_Toc267251442"/>
      <w:r>
        <w:rPr>
          <w:rFonts w:hint="eastAsia" w:ascii="宋体" w:hAnsi="宋体" w:eastAsia="宋体" w:cs="宋体"/>
          <w:b w:val="0"/>
          <w:color w:val="auto"/>
          <w:sz w:val="24"/>
          <w:szCs w:val="24"/>
        </w:rPr>
        <w:t>0. 变更</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bookmarkEnd w:id="826"/>
    <w:bookmarkEnd w:id="827"/>
    <w:p w14:paraId="6610595F">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835" w:name="_Toc292559904"/>
      <w:bookmarkStart w:id="836" w:name="_Toc297123541"/>
      <w:bookmarkStart w:id="837" w:name="_Toc297120494"/>
      <w:bookmarkStart w:id="838" w:name="_Toc297216200"/>
      <w:bookmarkStart w:id="839" w:name="_Toc296503194"/>
      <w:bookmarkStart w:id="840" w:name="_Toc303539147"/>
      <w:bookmarkStart w:id="841" w:name="_Toc296347193"/>
      <w:bookmarkStart w:id="842" w:name="_Toc296891022"/>
      <w:bookmarkStart w:id="843" w:name="_Toc296891234"/>
      <w:bookmarkStart w:id="844" w:name="_Toc297048380"/>
      <w:bookmarkStart w:id="845" w:name="_Toc296944533"/>
      <w:bookmarkStart w:id="846" w:name="_Toc300934990"/>
      <w:bookmarkStart w:id="847" w:name="_Toc292559399"/>
      <w:bookmarkStart w:id="848" w:name="_Toc312678026"/>
      <w:bookmarkStart w:id="849" w:name="_Toc312677500"/>
      <w:bookmarkStart w:id="850" w:name="_Toc304295567"/>
      <w:bookmarkStart w:id="851" w:name="_Toc296346695"/>
      <w:r>
        <w:rPr>
          <w:rFonts w:hint="eastAsia" w:ascii="宋体" w:hAnsi="宋体" w:eastAsia="宋体" w:cs="宋体"/>
          <w:color w:val="auto"/>
          <w:sz w:val="24"/>
          <w:szCs w:val="24"/>
        </w:rPr>
        <w:t>0.1变更的范围</w:t>
      </w:r>
    </w:p>
    <w:p w14:paraId="2B4913CD">
      <w:pPr>
        <w:autoSpaceDE w:val="0"/>
        <w:autoSpaceDN w:val="0"/>
        <w:adjustRightInd w:val="0"/>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关于变更的范围的约定：</w:t>
      </w:r>
    </w:p>
    <w:p w14:paraId="28B47873">
      <w:pPr>
        <w:autoSpaceDE w:val="0"/>
        <w:autoSpaceDN w:val="0"/>
        <w:adjustRightInd w:val="0"/>
        <w:spacing w:line="46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1）增加或减少合同中任何工作，或追加额外的工作</w:t>
      </w:r>
      <w:r>
        <w:rPr>
          <w:rFonts w:hint="eastAsia" w:ascii="宋体" w:hAnsi="宋体" w:eastAsia="宋体" w:cs="宋体"/>
          <w:color w:val="auto"/>
          <w:sz w:val="24"/>
          <w:szCs w:val="24"/>
        </w:rPr>
        <w:t>；</w:t>
      </w:r>
    </w:p>
    <w:p w14:paraId="51865E58">
      <w:pPr>
        <w:autoSpaceDE w:val="0"/>
        <w:autoSpaceDN w:val="0"/>
        <w:adjustRightInd w:val="0"/>
        <w:spacing w:line="46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u w:val="single"/>
        </w:rPr>
        <w:t>（2）取消合同中任何工作，但转由他人实施的工作除外</w:t>
      </w:r>
      <w:r>
        <w:rPr>
          <w:rFonts w:hint="eastAsia" w:ascii="宋体" w:hAnsi="宋体" w:eastAsia="宋体" w:cs="宋体"/>
          <w:color w:val="auto"/>
          <w:sz w:val="24"/>
          <w:szCs w:val="24"/>
        </w:rPr>
        <w:t>；</w:t>
      </w:r>
    </w:p>
    <w:p w14:paraId="079B6E97">
      <w:pPr>
        <w:autoSpaceDE w:val="0"/>
        <w:autoSpaceDN w:val="0"/>
        <w:adjustRightInd w:val="0"/>
        <w:spacing w:line="46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u w:val="single"/>
        </w:rPr>
        <w:t>（3）改变合同中任何工作的质量标准或其他特性</w:t>
      </w:r>
      <w:r>
        <w:rPr>
          <w:rFonts w:hint="eastAsia" w:ascii="宋体" w:hAnsi="宋体" w:eastAsia="宋体" w:cs="宋体"/>
          <w:color w:val="auto"/>
          <w:sz w:val="24"/>
          <w:szCs w:val="24"/>
        </w:rPr>
        <w:t>；</w:t>
      </w:r>
    </w:p>
    <w:p w14:paraId="058DDAD8">
      <w:pPr>
        <w:autoSpaceDE w:val="0"/>
        <w:autoSpaceDN w:val="0"/>
        <w:adjustRightInd w:val="0"/>
        <w:spacing w:line="46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u w:val="single"/>
        </w:rPr>
        <w:t>（4）改变工程的基线、标高、位置和尺寸</w:t>
      </w:r>
      <w:r>
        <w:rPr>
          <w:rFonts w:hint="eastAsia" w:ascii="宋体" w:hAnsi="宋体" w:eastAsia="宋体" w:cs="宋体"/>
          <w:color w:val="auto"/>
          <w:sz w:val="24"/>
          <w:szCs w:val="24"/>
        </w:rPr>
        <w:t>；</w:t>
      </w:r>
    </w:p>
    <w:p w14:paraId="4F0FB87F">
      <w:pPr>
        <w:autoSpaceDE w:val="0"/>
        <w:autoSpaceDN w:val="0"/>
        <w:adjustRightInd w:val="0"/>
        <w:spacing w:line="460" w:lineRule="exact"/>
        <w:ind w:firstLine="480" w:firstLineChars="200"/>
        <w:rPr>
          <w:rFonts w:hint="eastAsia" w:ascii="宋体" w:hAnsi="宋体" w:eastAsia="宋体" w:cs="宋体"/>
          <w:b/>
          <w:color w:val="auto"/>
          <w:sz w:val="24"/>
          <w:szCs w:val="24"/>
        </w:rPr>
      </w:pPr>
      <w:r>
        <w:rPr>
          <w:rFonts w:hint="eastAsia" w:ascii="宋体" w:hAnsi="宋体" w:eastAsia="宋体" w:cs="宋体"/>
          <w:color w:val="auto"/>
          <w:sz w:val="24"/>
          <w:szCs w:val="24"/>
          <w:u w:val="single"/>
        </w:rPr>
        <w:t xml:space="preserve">（5）改变工程的时间安排或实施顺序    </w:t>
      </w:r>
      <w:r>
        <w:rPr>
          <w:rFonts w:hint="eastAsia" w:ascii="宋体" w:hAnsi="宋体" w:eastAsia="宋体" w:cs="宋体"/>
          <w:color w:val="auto"/>
          <w:sz w:val="24"/>
          <w:szCs w:val="24"/>
        </w:rPr>
        <w:t>。</w:t>
      </w:r>
    </w:p>
    <w:p w14:paraId="3F1164A6">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10.4 变更估价</w:t>
      </w:r>
    </w:p>
    <w:p w14:paraId="40C79E33">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10.4.1 变更估价原则</w:t>
      </w:r>
    </w:p>
    <w:p w14:paraId="228D8EAE">
      <w:pPr>
        <w:spacing w:line="460" w:lineRule="exact"/>
        <w:ind w:firstLine="480" w:firstLineChars="200"/>
        <w:jc w:val="left"/>
        <w:rPr>
          <w:rFonts w:hint="eastAsia" w:ascii="宋体" w:hAnsi="宋体" w:eastAsia="宋体" w:cs="宋体"/>
          <w:color w:val="auto"/>
          <w:sz w:val="24"/>
          <w:szCs w:val="24"/>
          <w:u w:val="single"/>
        </w:rPr>
      </w:pPr>
      <w:r>
        <w:rPr>
          <w:rFonts w:hint="eastAsia" w:ascii="宋体" w:hAnsi="宋体" w:eastAsia="宋体" w:cs="宋体"/>
          <w:color w:val="auto"/>
          <w:sz w:val="24"/>
          <w:szCs w:val="24"/>
        </w:rPr>
        <w:t>关于变更估价的约定:</w:t>
      </w:r>
      <w:r>
        <w:rPr>
          <w:rFonts w:hint="eastAsia" w:ascii="宋体" w:hAnsi="宋体" w:eastAsia="宋体" w:cs="宋体"/>
          <w:color w:val="auto"/>
          <w:sz w:val="24"/>
          <w:szCs w:val="24"/>
          <w:u w:val="single"/>
        </w:rPr>
        <w:t xml:space="preserve"> </w:t>
      </w:r>
      <w:r>
        <w:rPr>
          <w:rFonts w:hint="eastAsia" w:ascii="宋体" w:hAnsi="宋体" w:eastAsia="宋体" w:cs="宋体"/>
          <w:color w:val="auto"/>
          <w:sz w:val="30"/>
          <w:szCs w:val="24"/>
          <w:u w:val="single"/>
          <w:lang w:val="en-US" w:eastAsia="zh-CN"/>
        </w:rPr>
        <w:t>/</w:t>
      </w:r>
      <w:r>
        <w:rPr>
          <w:rFonts w:hint="eastAsia" w:ascii="宋体" w:hAnsi="宋体" w:eastAsia="宋体" w:cs="宋体"/>
          <w:color w:val="auto"/>
          <w:sz w:val="24"/>
          <w:szCs w:val="24"/>
        </w:rPr>
        <w:t>。</w:t>
      </w:r>
    </w:p>
    <w:p w14:paraId="050D3205">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Start w:id="852" w:name="_Toc296503197"/>
      <w:bookmarkStart w:id="853" w:name="_Toc296347196"/>
      <w:bookmarkStart w:id="854" w:name="_Toc297216203"/>
      <w:bookmarkStart w:id="855" w:name="_Toc297048383"/>
      <w:bookmarkStart w:id="856" w:name="_Toc296891237"/>
      <w:bookmarkStart w:id="857" w:name="_Toc296944536"/>
      <w:bookmarkStart w:id="858" w:name="_Toc292559402"/>
      <w:bookmarkStart w:id="859" w:name="_Toc292559907"/>
      <w:bookmarkStart w:id="860" w:name="_Toc303539150"/>
      <w:bookmarkStart w:id="861" w:name="_Toc296891025"/>
      <w:bookmarkStart w:id="862" w:name="_Toc296346698"/>
      <w:bookmarkStart w:id="863" w:name="_Toc297123544"/>
      <w:bookmarkStart w:id="864" w:name="_Toc297120497"/>
      <w:bookmarkStart w:id="865" w:name="_Toc300934993"/>
      <w:bookmarkStart w:id="866" w:name="_Toc312677503"/>
      <w:bookmarkStart w:id="867" w:name="_Toc312678029"/>
      <w:bookmarkStart w:id="868" w:name="_Toc304295570"/>
      <w:r>
        <w:rPr>
          <w:rFonts w:hint="eastAsia" w:ascii="宋体" w:hAnsi="宋体" w:eastAsia="宋体" w:cs="宋体"/>
          <w:color w:val="auto"/>
          <w:sz w:val="24"/>
          <w:szCs w:val="24"/>
        </w:rPr>
        <w:t>0.5承</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Start w:id="869" w:name="_Toc292559408"/>
      <w:bookmarkStart w:id="870" w:name="_Toc297048389"/>
      <w:bookmarkStart w:id="871" w:name="_Toc297120503"/>
      <w:bookmarkStart w:id="872" w:name="_Toc292559913"/>
      <w:bookmarkStart w:id="873" w:name="_Toc300934994"/>
      <w:bookmarkStart w:id="874" w:name="_Toc296944542"/>
      <w:bookmarkStart w:id="875" w:name="_Toc296347202"/>
      <w:bookmarkStart w:id="876" w:name="_Toc297123545"/>
      <w:bookmarkStart w:id="877" w:name="_Toc296346704"/>
      <w:bookmarkStart w:id="878" w:name="_Toc296891243"/>
      <w:bookmarkStart w:id="879" w:name="_Toc296891031"/>
      <w:bookmarkStart w:id="880" w:name="_Toc296503203"/>
      <w:bookmarkStart w:id="881" w:name="_Toc297216204"/>
      <w:bookmarkStart w:id="882" w:name="_Toc303539151"/>
      <w:r>
        <w:rPr>
          <w:rFonts w:hint="eastAsia" w:ascii="宋体" w:hAnsi="宋体" w:eastAsia="宋体" w:cs="宋体"/>
          <w:color w:val="auto"/>
          <w:sz w:val="24"/>
          <w:szCs w:val="24"/>
        </w:rPr>
        <w:t>包人的合理化建议</w:t>
      </w:r>
    </w:p>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14:paraId="343DB034">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监理人审查承包人合理化建议的期限：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7F9A8BF">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发包人审批承包人合理化建议的期限：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2B14509B">
      <w:pPr>
        <w:spacing w:line="460" w:lineRule="exact"/>
        <w:ind w:firstLine="480" w:firstLineChars="200"/>
        <w:jc w:val="left"/>
        <w:rPr>
          <w:rFonts w:hint="eastAsia" w:ascii="宋体" w:hAnsi="宋体" w:eastAsia="宋体" w:cs="宋体"/>
          <w:color w:val="auto"/>
          <w:sz w:val="24"/>
          <w:szCs w:val="24"/>
          <w:u w:val="single"/>
        </w:rPr>
      </w:pPr>
      <w:r>
        <w:rPr>
          <w:rFonts w:hint="eastAsia" w:ascii="宋体" w:hAnsi="宋体" w:eastAsia="宋体" w:cs="宋体"/>
          <w:color w:val="auto"/>
          <w:sz w:val="24"/>
          <w:szCs w:val="24"/>
        </w:rPr>
        <w:t>承</w:t>
      </w:r>
      <w:bookmarkStart w:id="883" w:name="_Toc296944543"/>
      <w:bookmarkStart w:id="884" w:name="_Toc297216205"/>
      <w:bookmarkStart w:id="885" w:name="_Toc300934995"/>
      <w:bookmarkStart w:id="886" w:name="_Toc292559409"/>
      <w:bookmarkStart w:id="887" w:name="_Toc296347203"/>
      <w:bookmarkStart w:id="888" w:name="_Toc296891244"/>
      <w:bookmarkStart w:id="889" w:name="_Toc297123546"/>
      <w:bookmarkStart w:id="890" w:name="_Toc312678030"/>
      <w:bookmarkStart w:id="891" w:name="_Toc296891032"/>
      <w:bookmarkStart w:id="892" w:name="_Toc292559914"/>
      <w:bookmarkStart w:id="893" w:name="_Toc297120504"/>
      <w:bookmarkStart w:id="894" w:name="_Toc296503204"/>
      <w:bookmarkStart w:id="895" w:name="_Toc296346705"/>
      <w:bookmarkStart w:id="896" w:name="_Toc303539152"/>
      <w:bookmarkStart w:id="897" w:name="_Toc304295571"/>
      <w:bookmarkStart w:id="898" w:name="_Toc297048390"/>
      <w:bookmarkStart w:id="899" w:name="_Toc318581175"/>
      <w:bookmarkStart w:id="900" w:name="_Toc312677504"/>
      <w:r>
        <w:rPr>
          <w:rFonts w:hint="eastAsia" w:ascii="宋体" w:hAnsi="宋体" w:eastAsia="宋体" w:cs="宋体"/>
          <w:color w:val="auto"/>
          <w:sz w:val="24"/>
          <w:szCs w:val="24"/>
        </w:rPr>
        <w:t>包人提出的合理化建议降低了合同价格或者提高了工程经济效益的奖励的方法和金额为：</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14:paraId="585970E3">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901" w:name="_Toc296944538"/>
      <w:bookmarkStart w:id="902" w:name="_Toc304295574"/>
      <w:bookmarkStart w:id="903" w:name="_Toc296503199"/>
      <w:bookmarkStart w:id="904" w:name="_Toc296891239"/>
      <w:bookmarkStart w:id="905" w:name="_Toc296347198"/>
      <w:bookmarkStart w:id="906" w:name="_Toc312678033"/>
      <w:bookmarkStart w:id="907" w:name="_Toc297123548"/>
      <w:bookmarkStart w:id="908" w:name="_Toc297216207"/>
      <w:bookmarkStart w:id="909" w:name="_Toc296346700"/>
      <w:bookmarkStart w:id="910" w:name="_Toc300934997"/>
      <w:bookmarkStart w:id="911" w:name="_Toc297048385"/>
      <w:bookmarkStart w:id="912" w:name="_Toc292559909"/>
      <w:bookmarkStart w:id="913" w:name="_Toc296891027"/>
      <w:bookmarkStart w:id="914" w:name="_Toc312677507"/>
      <w:bookmarkStart w:id="915" w:name="_Toc292559404"/>
      <w:bookmarkStart w:id="916" w:name="_Toc297120499"/>
      <w:bookmarkStart w:id="917" w:name="_Toc303539154"/>
      <w:r>
        <w:rPr>
          <w:rFonts w:hint="eastAsia" w:ascii="宋体" w:hAnsi="宋体" w:eastAsia="宋体" w:cs="宋体"/>
          <w:color w:val="auto"/>
          <w:sz w:val="24"/>
          <w:szCs w:val="24"/>
        </w:rPr>
        <w:t>0.7 暂估价</w:t>
      </w:r>
    </w:p>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14:paraId="57078449">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暂</w:t>
      </w:r>
      <w:bookmarkStart w:id="918" w:name="_Toc318581176"/>
      <w:bookmarkStart w:id="919" w:name="_Toc312677508"/>
      <w:bookmarkStart w:id="920" w:name="_Toc312678034"/>
      <w:r>
        <w:rPr>
          <w:rFonts w:hint="eastAsia" w:ascii="宋体" w:hAnsi="宋体" w:eastAsia="宋体" w:cs="宋体"/>
          <w:color w:val="auto"/>
          <w:kern w:val="0"/>
          <w:sz w:val="24"/>
          <w:szCs w:val="24"/>
        </w:rPr>
        <w:t>估价材料和工程设备的明细详见附件11：《</w:t>
      </w:r>
      <w:r>
        <w:rPr>
          <w:rFonts w:hint="eastAsia" w:ascii="宋体" w:hAnsi="宋体" w:eastAsia="宋体" w:cs="宋体"/>
          <w:color w:val="auto"/>
          <w:sz w:val="24"/>
          <w:szCs w:val="24"/>
        </w:rPr>
        <w:t>暂估价一览表》</w:t>
      </w:r>
      <w:r>
        <w:rPr>
          <w:rFonts w:hint="eastAsia" w:ascii="宋体" w:hAnsi="宋体" w:eastAsia="宋体" w:cs="宋体"/>
          <w:color w:val="auto"/>
          <w:kern w:val="0"/>
          <w:sz w:val="24"/>
          <w:szCs w:val="24"/>
        </w:rPr>
        <w:t>。</w:t>
      </w:r>
    </w:p>
    <w:bookmarkEnd w:id="918"/>
    <w:bookmarkEnd w:id="919"/>
    <w:bookmarkEnd w:id="920"/>
    <w:p w14:paraId="7F13F18A">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921" w:name="_Toc312677509"/>
      <w:bookmarkStart w:id="922" w:name="_Toc312678035"/>
      <w:bookmarkStart w:id="923" w:name="_Toc318581177"/>
      <w:r>
        <w:rPr>
          <w:rFonts w:hint="eastAsia" w:ascii="宋体" w:hAnsi="宋体" w:eastAsia="宋体" w:cs="宋体"/>
          <w:color w:val="auto"/>
          <w:sz w:val="24"/>
          <w:szCs w:val="24"/>
        </w:rPr>
        <w:t>0.7.1 依法必须招标的暂估价项目</w:t>
      </w:r>
    </w:p>
    <w:bookmarkEnd w:id="921"/>
    <w:bookmarkEnd w:id="922"/>
    <w:bookmarkEnd w:id="923"/>
    <w:p w14:paraId="6382C347">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对于依法必须招标的暂估价项目的确认和批准采取第</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种方式确定。</w:t>
      </w:r>
    </w:p>
    <w:p w14:paraId="430E5EA2">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10.7.2 不属于依法必须招标的暂估价项目</w:t>
      </w:r>
    </w:p>
    <w:p w14:paraId="1DA04F7A">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对于不属于依法必须招标的暂估价项目的确认和批准采取第</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种方式确定。</w:t>
      </w:r>
    </w:p>
    <w:p w14:paraId="55F0AF94">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sz w:val="24"/>
          <w:szCs w:val="24"/>
        </w:rPr>
        <w:t>第3种方式：</w:t>
      </w:r>
      <w:r>
        <w:rPr>
          <w:rFonts w:hint="eastAsia" w:ascii="宋体" w:hAnsi="宋体" w:eastAsia="宋体" w:cs="宋体"/>
          <w:color w:val="auto"/>
          <w:kern w:val="0"/>
          <w:sz w:val="24"/>
          <w:szCs w:val="24"/>
        </w:rPr>
        <w:t>承包人直接实施的暂估价项目</w:t>
      </w:r>
    </w:p>
    <w:p w14:paraId="6B62D09D">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承包人直接实施的暂估价项目的约定：</w:t>
      </w:r>
      <w:r>
        <w:rPr>
          <w:rFonts w:hint="eastAsia" w:ascii="宋体" w:hAnsi="宋体" w:eastAsia="宋体" w:cs="宋体"/>
          <w:color w:val="auto"/>
          <w:sz w:val="24"/>
          <w:szCs w:val="24"/>
          <w:u w:val="single"/>
        </w:rPr>
        <w:t xml:space="preserve"> 暂估价项目的定价程序：①先由承包人把所需要定价的设备（或材料）的调查价格报给发包人（并报监理单位、造价管理站等相关部门）；②由发包人汇同相关部门核查相关的设备（或材料）的价格；③相关的设备（或材料）价格的签证（由发包人、承包人、监理单位会同相关部门共同签证） </w:t>
      </w:r>
      <w:r>
        <w:rPr>
          <w:rFonts w:hint="eastAsia" w:ascii="宋体" w:hAnsi="宋体" w:eastAsia="宋体" w:cs="宋体"/>
          <w:color w:val="auto"/>
          <w:sz w:val="24"/>
          <w:szCs w:val="24"/>
        </w:rPr>
        <w:t>。</w:t>
      </w:r>
    </w:p>
    <w:p w14:paraId="650D613D">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10.8 暂列金额</w:t>
      </w:r>
    </w:p>
    <w:p w14:paraId="6911DB5A">
      <w:pPr>
        <w:autoSpaceDE w:val="0"/>
        <w:autoSpaceDN w:val="0"/>
        <w:adjustRightInd w:val="0"/>
        <w:spacing w:line="460" w:lineRule="exac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合同当事人关于暂列金额使用的约定：</w:t>
      </w:r>
      <w:r>
        <w:rPr>
          <w:rFonts w:hint="eastAsia" w:ascii="宋体" w:hAnsi="宋体" w:eastAsia="宋体" w:cs="宋体"/>
          <w:color w:val="auto"/>
          <w:sz w:val="24"/>
          <w:szCs w:val="24"/>
          <w:u w:val="single"/>
        </w:rPr>
        <w:t xml:space="preserve"> 无 </w:t>
      </w:r>
      <w:r>
        <w:rPr>
          <w:rFonts w:hint="eastAsia" w:ascii="宋体" w:hAnsi="宋体" w:eastAsia="宋体" w:cs="宋体"/>
          <w:color w:val="auto"/>
          <w:kern w:val="0"/>
          <w:sz w:val="24"/>
          <w:szCs w:val="24"/>
        </w:rPr>
        <w:t>。</w:t>
      </w:r>
    </w:p>
    <w:p w14:paraId="36E4E52F">
      <w:pPr>
        <w:pStyle w:val="5"/>
        <w:spacing w:before="120" w:after="120" w:line="460" w:lineRule="exact"/>
        <w:rPr>
          <w:rFonts w:hint="eastAsia" w:ascii="宋体" w:hAnsi="宋体" w:eastAsia="宋体" w:cs="宋体"/>
          <w:b w:val="0"/>
          <w:color w:val="auto"/>
          <w:sz w:val="24"/>
          <w:szCs w:val="24"/>
        </w:rPr>
      </w:pPr>
      <w:bookmarkStart w:id="924" w:name="_Toc351203643"/>
      <w:r>
        <w:rPr>
          <w:rFonts w:hint="eastAsia" w:ascii="宋体" w:hAnsi="宋体" w:eastAsia="宋体" w:cs="宋体"/>
          <w:b w:val="0"/>
          <w:color w:val="auto"/>
          <w:sz w:val="24"/>
          <w:szCs w:val="24"/>
        </w:rPr>
        <w:t>11. 价格调整</w:t>
      </w:r>
      <w:bookmarkEnd w:id="924"/>
    </w:p>
    <w:p w14:paraId="352B909B">
      <w:pPr>
        <w:spacing w:after="120" w:line="460" w:lineRule="exact"/>
        <w:ind w:firstLine="480" w:firstLineChars="200"/>
        <w:rPr>
          <w:rFonts w:hint="eastAsia" w:ascii="宋体" w:hAnsi="宋体" w:eastAsia="宋体" w:cs="宋体"/>
          <w:color w:val="auto"/>
          <w:sz w:val="24"/>
          <w:szCs w:val="24"/>
        </w:rPr>
      </w:pPr>
      <w:bookmarkStart w:id="925" w:name="_Toc296346702"/>
      <w:bookmarkStart w:id="926" w:name="_Toc292559406"/>
      <w:bookmarkStart w:id="927" w:name="_Toc297048387"/>
      <w:bookmarkStart w:id="928" w:name="_Toc300935000"/>
      <w:bookmarkStart w:id="929" w:name="_Toc312678039"/>
      <w:bookmarkStart w:id="930" w:name="_Toc296891241"/>
      <w:bookmarkStart w:id="931" w:name="_Toc296347200"/>
      <w:bookmarkStart w:id="932" w:name="_Toc297120501"/>
      <w:bookmarkStart w:id="933" w:name="_Toc297123550"/>
      <w:bookmarkStart w:id="934" w:name="_Toc296944540"/>
      <w:bookmarkStart w:id="935" w:name="_Toc303539157"/>
      <w:bookmarkStart w:id="936" w:name="_Toc292559911"/>
      <w:bookmarkStart w:id="937" w:name="_Toc297216209"/>
      <w:bookmarkStart w:id="938" w:name="_Toc296503201"/>
      <w:bookmarkStart w:id="939" w:name="_Toc304295577"/>
      <w:bookmarkStart w:id="940" w:name="_Toc296891029"/>
      <w:r>
        <w:rPr>
          <w:rFonts w:hint="eastAsia" w:ascii="宋体" w:hAnsi="宋体" w:eastAsia="宋体" w:cs="宋体"/>
          <w:color w:val="auto"/>
          <w:sz w:val="24"/>
          <w:szCs w:val="24"/>
        </w:rPr>
        <w:t>11.1 市场价格波动引起的调整</w:t>
      </w:r>
    </w:p>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14:paraId="1DE8FF84">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市场价格波动是否调整合同价格的约定：</w:t>
      </w:r>
      <w:r>
        <w:rPr>
          <w:rFonts w:hint="eastAsia" w:ascii="宋体" w:hAnsi="宋体" w:eastAsia="宋体" w:cs="宋体"/>
          <w:color w:val="auto"/>
          <w:sz w:val="24"/>
          <w:szCs w:val="24"/>
          <w:u w:val="single"/>
        </w:rPr>
        <w:t xml:space="preserve">  否  </w:t>
      </w:r>
      <w:r>
        <w:rPr>
          <w:rFonts w:hint="eastAsia" w:ascii="宋体" w:hAnsi="宋体" w:eastAsia="宋体" w:cs="宋体"/>
          <w:color w:val="auto"/>
          <w:sz w:val="24"/>
          <w:szCs w:val="24"/>
        </w:rPr>
        <w:t>。</w:t>
      </w:r>
    </w:p>
    <w:p w14:paraId="09D86B38">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因市场价格波动调整合同价格，采用以下第</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种方式对合同价格进行调整：</w:t>
      </w:r>
    </w:p>
    <w:p w14:paraId="3464EC51">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第1种方式：采用价格指数进行价格调整。</w:t>
      </w:r>
    </w:p>
    <w:p w14:paraId="56280BCF">
      <w:pPr>
        <w:spacing w:line="460" w:lineRule="exact"/>
        <w:ind w:firstLine="480" w:firstLineChars="200"/>
        <w:jc w:val="left"/>
        <w:rPr>
          <w:rFonts w:hint="eastAsia" w:ascii="宋体" w:hAnsi="宋体" w:eastAsia="宋体" w:cs="宋体"/>
          <w:color w:val="auto"/>
          <w:sz w:val="24"/>
          <w:szCs w:val="24"/>
          <w:u w:val="single"/>
        </w:rPr>
      </w:pPr>
      <w:r>
        <w:rPr>
          <w:rFonts w:hint="eastAsia" w:ascii="宋体" w:hAnsi="宋体" w:eastAsia="宋体" w:cs="宋体"/>
          <w:color w:val="auto"/>
          <w:sz w:val="24"/>
          <w:szCs w:val="24"/>
        </w:rPr>
        <w:t>关于各可调因子、定值和变值权重，以及基本价格指数及其来源的约定：</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 xml:space="preserve">；  </w:t>
      </w:r>
    </w:p>
    <w:p w14:paraId="4841CDF3">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第2种方式：采用造价信息进行价格调整。</w:t>
      </w:r>
    </w:p>
    <w:p w14:paraId="780EC8FC">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（1）关于基准价格的约定：</w:t>
      </w:r>
      <w:r>
        <w:rPr>
          <w:rFonts w:hint="eastAsia" w:ascii="宋体" w:hAnsi="宋体" w:eastAsia="宋体" w:cs="宋体"/>
          <w:color w:val="auto"/>
          <w:sz w:val="24"/>
          <w:szCs w:val="24"/>
          <w:u w:val="single"/>
        </w:rPr>
        <w:t xml:space="preserve"> 主要材料信息价参考202</w:t>
      </w:r>
      <w:r>
        <w:rPr>
          <w:rFonts w:hint="eastAsia" w:ascii="宋体" w:hAnsi="宋体" w:eastAsia="宋体" w:cs="宋体"/>
          <w:color w:val="auto"/>
          <w:sz w:val="24"/>
          <w:szCs w:val="24"/>
          <w:u w:val="single"/>
          <w:lang w:val="en-US" w:eastAsia="zh-CN"/>
        </w:rPr>
        <w:t>5</w:t>
      </w:r>
      <w:r>
        <w:rPr>
          <w:rFonts w:hint="eastAsia" w:ascii="宋体" w:hAnsi="宋体" w:eastAsia="宋体" w:cs="宋体"/>
          <w:color w:val="auto"/>
          <w:sz w:val="24"/>
          <w:szCs w:val="24"/>
          <w:u w:val="single"/>
        </w:rPr>
        <w:t>年第</w:t>
      </w:r>
      <w:r>
        <w:rPr>
          <w:rFonts w:hint="eastAsia" w:ascii="宋体" w:hAnsi="宋体" w:cs="宋体"/>
          <w:color w:val="auto"/>
          <w:sz w:val="24"/>
          <w:szCs w:val="24"/>
          <w:u w:val="single"/>
          <w:lang w:val="en-US" w:eastAsia="zh-CN"/>
        </w:rPr>
        <w:t>11</w:t>
      </w:r>
      <w:r>
        <w:rPr>
          <w:rFonts w:hint="eastAsia" w:ascii="宋体" w:hAnsi="宋体" w:eastAsia="宋体" w:cs="宋体"/>
          <w:color w:val="auto"/>
          <w:sz w:val="24"/>
          <w:szCs w:val="24"/>
          <w:u w:val="single"/>
        </w:rPr>
        <w:t xml:space="preserve">期《钦州市建设工程造价信息》浦北价，没有的材料信息价则参考浦北或钦州市场调查价 </w:t>
      </w:r>
      <w:r>
        <w:rPr>
          <w:rFonts w:hint="eastAsia" w:ascii="宋体" w:hAnsi="宋体" w:eastAsia="宋体" w:cs="宋体"/>
          <w:color w:val="auto"/>
          <w:sz w:val="24"/>
          <w:szCs w:val="24"/>
        </w:rPr>
        <w:t>。</w:t>
      </w:r>
    </w:p>
    <w:p w14:paraId="5FC9E7C9">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专用合同条款①承包人在已标价工程量清单或预算书中载明的材料单价低于基准价格的：专用合同条款合同履行期间材料单价涨幅以基准价格为基础超过</w:t>
      </w:r>
      <w:r>
        <w:rPr>
          <w:rFonts w:hint="eastAsia" w:ascii="宋体" w:hAnsi="宋体" w:eastAsia="宋体" w:cs="宋体"/>
          <w:color w:val="auto"/>
          <w:sz w:val="24"/>
          <w:szCs w:val="24"/>
          <w:u w:val="single"/>
        </w:rPr>
        <w:t xml:space="preserve"> ±5 </w:t>
      </w:r>
      <w:r>
        <w:rPr>
          <w:rFonts w:hint="eastAsia" w:ascii="宋体" w:hAnsi="宋体" w:eastAsia="宋体" w:cs="宋体"/>
          <w:color w:val="auto"/>
          <w:sz w:val="24"/>
          <w:szCs w:val="24"/>
        </w:rPr>
        <w:t>%时，或材料单价跌幅以已标价工程量清单或预算书中载明材料单价为基础超过</w:t>
      </w:r>
      <w:r>
        <w:rPr>
          <w:rFonts w:hint="eastAsia" w:ascii="宋体" w:hAnsi="宋体" w:eastAsia="宋体" w:cs="宋体"/>
          <w:color w:val="auto"/>
          <w:sz w:val="24"/>
          <w:szCs w:val="24"/>
          <w:u w:val="single"/>
        </w:rPr>
        <w:t xml:space="preserve"> ±5  </w:t>
      </w:r>
      <w:r>
        <w:rPr>
          <w:rFonts w:hint="eastAsia" w:ascii="宋体" w:hAnsi="宋体" w:eastAsia="宋体" w:cs="宋体"/>
          <w:color w:val="auto"/>
          <w:sz w:val="24"/>
          <w:szCs w:val="24"/>
        </w:rPr>
        <w:t>%时，其超过部分据实调整。</w:t>
      </w:r>
    </w:p>
    <w:p w14:paraId="771FE6E7">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②承包人在已标价工程量清单或预算书中载明的材料单价高于基准价格的：专用合同条款合同履行期间材料单价跌幅以基准价格为基础超过</w:t>
      </w:r>
      <w:r>
        <w:rPr>
          <w:rFonts w:hint="eastAsia" w:ascii="宋体" w:hAnsi="宋体" w:eastAsia="宋体" w:cs="宋体"/>
          <w:color w:val="auto"/>
          <w:sz w:val="24"/>
          <w:szCs w:val="24"/>
          <w:u w:val="single"/>
        </w:rPr>
        <w:t xml:space="preserve"> ±5 </w:t>
      </w:r>
      <w:r>
        <w:rPr>
          <w:rFonts w:hint="eastAsia" w:ascii="宋体" w:hAnsi="宋体" w:eastAsia="宋体" w:cs="宋体"/>
          <w:color w:val="auto"/>
          <w:sz w:val="24"/>
          <w:szCs w:val="24"/>
        </w:rPr>
        <w:t>%时，材料单价涨幅以已标价工程量清单或预算书中载明材料单价为基础超过</w:t>
      </w:r>
      <w:r>
        <w:rPr>
          <w:rFonts w:hint="eastAsia" w:ascii="宋体" w:hAnsi="宋体" w:eastAsia="宋体" w:cs="宋体"/>
          <w:color w:val="auto"/>
          <w:sz w:val="24"/>
          <w:szCs w:val="24"/>
          <w:u w:val="single"/>
        </w:rPr>
        <w:t xml:space="preserve"> ±5  </w:t>
      </w:r>
      <w:r>
        <w:rPr>
          <w:rFonts w:hint="eastAsia" w:ascii="宋体" w:hAnsi="宋体" w:eastAsia="宋体" w:cs="宋体"/>
          <w:color w:val="auto"/>
          <w:sz w:val="24"/>
          <w:szCs w:val="24"/>
        </w:rPr>
        <w:t>%时，其超过部分据实调整。</w:t>
      </w:r>
    </w:p>
    <w:p w14:paraId="6F7A7497">
      <w:pPr>
        <w:spacing w:line="460" w:lineRule="exact"/>
        <w:ind w:firstLine="645"/>
        <w:jc w:val="left"/>
        <w:rPr>
          <w:rFonts w:hint="eastAsia" w:ascii="宋体" w:hAnsi="宋体" w:eastAsia="宋体" w:cs="宋体"/>
          <w:color w:val="auto"/>
          <w:sz w:val="24"/>
          <w:szCs w:val="24"/>
        </w:rPr>
      </w:pPr>
      <w:r>
        <w:rPr>
          <w:rFonts w:hint="eastAsia" w:ascii="宋体" w:hAnsi="宋体" w:eastAsia="宋体" w:cs="宋体"/>
          <w:color w:val="auto"/>
          <w:sz w:val="24"/>
          <w:szCs w:val="24"/>
        </w:rPr>
        <w:t>③承包人在已标价工程量清单或预算书中载明的材料单价等于基准单价的：专用合同条款合同履行期间材料单价涨跌幅以基准单价为基础超过</w:t>
      </w:r>
      <w:r>
        <w:rPr>
          <w:rFonts w:hint="eastAsia" w:ascii="宋体" w:hAnsi="宋体" w:eastAsia="宋体" w:cs="宋体"/>
          <w:color w:val="auto"/>
          <w:sz w:val="24"/>
          <w:szCs w:val="24"/>
          <w:u w:val="single"/>
        </w:rPr>
        <w:t xml:space="preserve">±5  </w:t>
      </w:r>
      <w:r>
        <w:rPr>
          <w:rFonts w:hint="eastAsia" w:ascii="宋体" w:hAnsi="宋体" w:eastAsia="宋体" w:cs="宋体"/>
          <w:color w:val="auto"/>
          <w:sz w:val="24"/>
          <w:szCs w:val="24"/>
        </w:rPr>
        <w:t>%时，其超过部分据实调整。</w:t>
      </w:r>
    </w:p>
    <w:p w14:paraId="6484EF95">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第3种方式：其他价格调整方式：</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bookmarkEnd w:id="828"/>
    <w:bookmarkEnd w:id="829"/>
    <w:bookmarkEnd w:id="830"/>
    <w:bookmarkEnd w:id="831"/>
    <w:bookmarkEnd w:id="832"/>
    <w:bookmarkEnd w:id="833"/>
    <w:p w14:paraId="4A2289FD">
      <w:pPr>
        <w:pStyle w:val="5"/>
        <w:spacing w:before="120" w:after="120" w:line="460" w:lineRule="exact"/>
        <w:rPr>
          <w:rFonts w:hint="eastAsia" w:ascii="宋体" w:hAnsi="宋体" w:eastAsia="宋体" w:cs="宋体"/>
          <w:b w:val="0"/>
          <w:color w:val="auto"/>
          <w:sz w:val="24"/>
          <w:szCs w:val="24"/>
        </w:rPr>
      </w:pPr>
      <w:bookmarkStart w:id="941" w:name="_Toc297048391"/>
      <w:bookmarkStart w:id="942" w:name="_Toc296891245"/>
      <w:bookmarkStart w:id="943" w:name="_Toc296891033"/>
      <w:bookmarkStart w:id="944" w:name="_Toc296944544"/>
      <w:bookmarkStart w:id="945" w:name="_Toc292559915"/>
      <w:bookmarkStart w:id="946" w:name="_Toc297120505"/>
      <w:bookmarkStart w:id="947" w:name="_Toc296346706"/>
      <w:bookmarkStart w:id="948" w:name="_Toc292559410"/>
      <w:bookmarkStart w:id="949" w:name="_Toc296347204"/>
      <w:bookmarkStart w:id="950" w:name="_Toc296503205"/>
      <w:bookmarkStart w:id="951" w:name="_Toc351203644"/>
      <w:bookmarkStart w:id="952" w:name="_Toc303539159"/>
      <w:bookmarkStart w:id="953" w:name="_Toc297216211"/>
      <w:bookmarkStart w:id="954" w:name="_Toc304295579"/>
      <w:bookmarkStart w:id="955" w:name="_Toc300935002"/>
      <w:bookmarkStart w:id="956" w:name="_Toc312678040"/>
      <w:bookmarkStart w:id="957" w:name="_Toc297123552"/>
      <w:r>
        <w:rPr>
          <w:rFonts w:hint="eastAsia" w:ascii="宋体" w:hAnsi="宋体" w:eastAsia="宋体" w:cs="宋体"/>
          <w:b w:val="0"/>
          <w:color w:val="auto"/>
          <w:sz w:val="24"/>
          <w:szCs w:val="24"/>
        </w:rPr>
        <w:t xml:space="preserve">12. </w:t>
      </w:r>
      <w:bookmarkEnd w:id="941"/>
      <w:bookmarkEnd w:id="942"/>
      <w:bookmarkEnd w:id="943"/>
      <w:bookmarkEnd w:id="944"/>
      <w:bookmarkEnd w:id="945"/>
      <w:bookmarkEnd w:id="946"/>
      <w:bookmarkEnd w:id="947"/>
      <w:bookmarkEnd w:id="948"/>
      <w:bookmarkEnd w:id="949"/>
      <w:bookmarkEnd w:id="950"/>
      <w:r>
        <w:rPr>
          <w:rFonts w:hint="eastAsia" w:ascii="宋体" w:hAnsi="宋体" w:eastAsia="宋体" w:cs="宋体"/>
          <w:b w:val="0"/>
          <w:color w:val="auto"/>
          <w:sz w:val="24"/>
          <w:szCs w:val="24"/>
        </w:rPr>
        <w:t>合同价格、计量与支付</w:t>
      </w:r>
      <w:bookmarkEnd w:id="951"/>
    </w:p>
    <w:bookmarkEnd w:id="952"/>
    <w:bookmarkEnd w:id="953"/>
    <w:bookmarkEnd w:id="954"/>
    <w:bookmarkEnd w:id="955"/>
    <w:bookmarkEnd w:id="956"/>
    <w:bookmarkEnd w:id="957"/>
    <w:p w14:paraId="7C94CEEC">
      <w:pPr>
        <w:spacing w:after="120" w:line="460" w:lineRule="exact"/>
        <w:ind w:firstLine="480" w:firstLineChars="200"/>
        <w:rPr>
          <w:rFonts w:hint="eastAsia" w:ascii="宋体" w:hAnsi="宋体" w:eastAsia="宋体" w:cs="宋体"/>
          <w:color w:val="auto"/>
          <w:sz w:val="24"/>
          <w:szCs w:val="24"/>
        </w:rPr>
      </w:pPr>
      <w:bookmarkStart w:id="958" w:name="_Toc267251461"/>
      <w:bookmarkStart w:id="959" w:name="_Toc292559411"/>
      <w:bookmarkStart w:id="960" w:name="_Toc292559916"/>
      <w:bookmarkStart w:id="961" w:name="_Toc296346707"/>
      <w:bookmarkStart w:id="962" w:name="_Toc296347205"/>
      <w:bookmarkStart w:id="963" w:name="_Toc297120506"/>
      <w:bookmarkStart w:id="964" w:name="_Toc296944545"/>
      <w:bookmarkStart w:id="965" w:name="_Toc297048392"/>
      <w:bookmarkStart w:id="966" w:name="_Toc296891246"/>
      <w:bookmarkStart w:id="967" w:name="_Toc296891034"/>
      <w:bookmarkStart w:id="968" w:name="_Toc296503206"/>
      <w:bookmarkStart w:id="969" w:name="_Toc297216212"/>
      <w:bookmarkStart w:id="970" w:name="_Toc312678041"/>
      <w:bookmarkStart w:id="971" w:name="_Toc297123553"/>
      <w:bookmarkStart w:id="972" w:name="_Toc303539160"/>
      <w:bookmarkStart w:id="973" w:name="_Toc300935003"/>
      <w:bookmarkStart w:id="974" w:name="_Toc304295580"/>
      <w:r>
        <w:rPr>
          <w:rFonts w:hint="eastAsia" w:ascii="宋体" w:hAnsi="宋体" w:eastAsia="宋体" w:cs="宋体"/>
          <w:color w:val="auto"/>
          <w:sz w:val="24"/>
          <w:szCs w:val="24"/>
        </w:rPr>
        <w:t>12.1 合</w:t>
      </w:r>
      <w:bookmarkEnd w:id="958"/>
      <w:bookmarkEnd w:id="959"/>
      <w:bookmarkEnd w:id="960"/>
      <w:r>
        <w:rPr>
          <w:rFonts w:hint="eastAsia" w:ascii="宋体" w:hAnsi="宋体" w:eastAsia="宋体" w:cs="宋体"/>
          <w:color w:val="auto"/>
          <w:sz w:val="24"/>
          <w:szCs w:val="24"/>
        </w:rPr>
        <w:t>同价</w:t>
      </w:r>
      <w:bookmarkEnd w:id="961"/>
      <w:bookmarkEnd w:id="962"/>
      <w:bookmarkEnd w:id="963"/>
      <w:bookmarkEnd w:id="964"/>
      <w:bookmarkEnd w:id="965"/>
      <w:bookmarkEnd w:id="966"/>
      <w:bookmarkEnd w:id="967"/>
      <w:bookmarkEnd w:id="968"/>
      <w:r>
        <w:rPr>
          <w:rFonts w:hint="eastAsia" w:ascii="宋体" w:hAnsi="宋体" w:eastAsia="宋体" w:cs="宋体"/>
          <w:color w:val="auto"/>
          <w:sz w:val="24"/>
          <w:szCs w:val="24"/>
        </w:rPr>
        <w:t>格形式</w:t>
      </w:r>
    </w:p>
    <w:bookmarkEnd w:id="969"/>
    <w:bookmarkEnd w:id="970"/>
    <w:bookmarkEnd w:id="971"/>
    <w:bookmarkEnd w:id="972"/>
    <w:bookmarkEnd w:id="973"/>
    <w:bookmarkEnd w:id="974"/>
    <w:p w14:paraId="4953C09B">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1、单价合同。</w:t>
      </w:r>
    </w:p>
    <w:p w14:paraId="3B36BE09">
      <w:pPr>
        <w:spacing w:line="460" w:lineRule="exact"/>
        <w:ind w:firstLine="480" w:firstLineChars="200"/>
        <w:jc w:val="left"/>
        <w:rPr>
          <w:rFonts w:hint="eastAsia" w:ascii="宋体" w:hAnsi="宋体" w:eastAsia="宋体" w:cs="宋体"/>
          <w:color w:val="auto"/>
          <w:sz w:val="24"/>
        </w:rPr>
      </w:pPr>
      <w:r>
        <w:rPr>
          <w:rFonts w:hint="eastAsia" w:ascii="宋体" w:hAnsi="宋体" w:eastAsia="宋体" w:cs="宋体"/>
          <w:color w:val="auto"/>
          <w:sz w:val="24"/>
          <w:szCs w:val="24"/>
        </w:rPr>
        <w:t>本合同价款采用</w:t>
      </w:r>
      <w:r>
        <w:rPr>
          <w:rFonts w:hint="eastAsia" w:ascii="宋体" w:hAnsi="宋体" w:eastAsia="宋体" w:cs="宋体"/>
          <w:bCs/>
          <w:color w:val="auto"/>
          <w:sz w:val="24"/>
          <w:szCs w:val="24"/>
          <w:u w:val="single"/>
        </w:rPr>
        <w:t>固定综合单价</w:t>
      </w:r>
      <w:r>
        <w:rPr>
          <w:rFonts w:hint="eastAsia" w:ascii="宋体" w:hAnsi="宋体" w:eastAsia="宋体" w:cs="宋体"/>
          <w:color w:val="auto"/>
          <w:sz w:val="24"/>
          <w:szCs w:val="24"/>
        </w:rPr>
        <w:t>方式确定。</w:t>
      </w:r>
    </w:p>
    <w:p w14:paraId="44A1D193">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综合单价包含的风险范围：</w:t>
      </w:r>
      <w:r>
        <w:rPr>
          <w:rFonts w:hint="eastAsia" w:ascii="宋体" w:hAnsi="宋体" w:eastAsia="宋体" w:cs="宋体"/>
          <w:color w:val="auto"/>
          <w:sz w:val="24"/>
          <w:szCs w:val="24"/>
          <w:u w:val="single"/>
        </w:rPr>
        <w:t xml:space="preserve">  按通用条款12.1条来执行  </w:t>
      </w:r>
      <w:r>
        <w:rPr>
          <w:rFonts w:hint="eastAsia" w:ascii="宋体" w:hAnsi="宋体" w:eastAsia="宋体" w:cs="宋体"/>
          <w:color w:val="auto"/>
          <w:sz w:val="24"/>
          <w:szCs w:val="24"/>
        </w:rPr>
        <w:t>。</w:t>
      </w:r>
    </w:p>
    <w:p w14:paraId="46B99D4A">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风险费用的计算方法：</w:t>
      </w:r>
      <w:r>
        <w:rPr>
          <w:rFonts w:hint="eastAsia" w:ascii="宋体" w:hAnsi="宋体" w:eastAsia="宋体" w:cs="宋体"/>
          <w:color w:val="auto"/>
          <w:sz w:val="24"/>
          <w:szCs w:val="24"/>
          <w:u w:val="single"/>
        </w:rPr>
        <w:t xml:space="preserve">  按专用条款11.1条执行        </w:t>
      </w:r>
      <w:r>
        <w:rPr>
          <w:rFonts w:hint="eastAsia" w:ascii="宋体" w:hAnsi="宋体" w:eastAsia="宋体" w:cs="宋体"/>
          <w:color w:val="auto"/>
          <w:sz w:val="24"/>
          <w:szCs w:val="24"/>
        </w:rPr>
        <w:t>。</w:t>
      </w:r>
    </w:p>
    <w:p w14:paraId="306255EC">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风险范围以外合同价格的调整方法：</w:t>
      </w:r>
      <w:r>
        <w:rPr>
          <w:rFonts w:hint="eastAsia" w:ascii="宋体" w:hAnsi="宋体" w:eastAsia="宋体" w:cs="宋体"/>
          <w:color w:val="auto"/>
          <w:sz w:val="24"/>
          <w:szCs w:val="24"/>
          <w:u w:val="single"/>
        </w:rPr>
        <w:t xml:space="preserve">  按专用条款11.1条执行  </w:t>
      </w:r>
      <w:r>
        <w:rPr>
          <w:rFonts w:hint="eastAsia" w:ascii="宋体" w:hAnsi="宋体" w:eastAsia="宋体" w:cs="宋体"/>
          <w:color w:val="auto"/>
          <w:sz w:val="24"/>
          <w:szCs w:val="24"/>
        </w:rPr>
        <w:t>。</w:t>
      </w:r>
    </w:p>
    <w:p w14:paraId="3EC0EFC4">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2、总价合同。</w:t>
      </w:r>
    </w:p>
    <w:p w14:paraId="56B952D4">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总价包含的风险范围：</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0EB3E3A8">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风险费用的计算方法：</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079BC09F">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风险范围以外合同价格的调整方法：</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10714010">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3、其他价格方式：</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6617A658">
      <w:pPr>
        <w:spacing w:after="120" w:line="460" w:lineRule="exact"/>
        <w:ind w:firstLine="480" w:firstLineChars="200"/>
        <w:rPr>
          <w:rFonts w:hint="eastAsia" w:ascii="宋体" w:hAnsi="宋体" w:eastAsia="宋体" w:cs="宋体"/>
          <w:color w:val="auto"/>
          <w:sz w:val="24"/>
          <w:szCs w:val="24"/>
        </w:rPr>
      </w:pPr>
      <w:bookmarkStart w:id="975" w:name="_Toc303539161"/>
      <w:bookmarkStart w:id="976" w:name="_Toc312678042"/>
      <w:bookmarkStart w:id="977" w:name="_Toc300935004"/>
      <w:bookmarkStart w:id="978" w:name="_Toc297216213"/>
      <w:bookmarkStart w:id="979" w:name="_Toc304295581"/>
      <w:bookmarkStart w:id="980" w:name="_Toc297123554"/>
      <w:bookmarkStart w:id="981" w:name="_Toc297048393"/>
      <w:bookmarkStart w:id="982" w:name="_Toc296347206"/>
      <w:bookmarkStart w:id="983" w:name="_Toc297120507"/>
      <w:bookmarkStart w:id="984" w:name="_Toc296891035"/>
      <w:bookmarkStart w:id="985" w:name="_Toc292559412"/>
      <w:bookmarkStart w:id="986" w:name="_Toc296891247"/>
      <w:bookmarkStart w:id="987" w:name="_Toc296944546"/>
      <w:bookmarkStart w:id="988" w:name="_Toc296346708"/>
      <w:bookmarkStart w:id="989" w:name="_Toc296503207"/>
      <w:bookmarkStart w:id="990" w:name="_Toc292559917"/>
      <w:r>
        <w:rPr>
          <w:rFonts w:hint="eastAsia" w:ascii="宋体" w:hAnsi="宋体" w:eastAsia="宋体" w:cs="宋体"/>
          <w:color w:val="auto"/>
          <w:sz w:val="24"/>
          <w:szCs w:val="24"/>
        </w:rPr>
        <w:t>12.2 预付款</w:t>
      </w:r>
    </w:p>
    <w:bookmarkEnd w:id="975"/>
    <w:bookmarkEnd w:id="976"/>
    <w:bookmarkEnd w:id="977"/>
    <w:bookmarkEnd w:id="978"/>
    <w:bookmarkEnd w:id="979"/>
    <w:bookmarkEnd w:id="980"/>
    <w:p w14:paraId="10305119">
      <w:pPr>
        <w:pageBreakBefore w:val="0"/>
        <w:widowControl w:val="0"/>
        <w:shd w:val="clear" w:color="auto" w:fill="auto"/>
        <w:kinsoku/>
        <w:wordWrap/>
        <w:overflowPunct/>
        <w:topLinePunct w:val="0"/>
        <w:autoSpaceDE/>
        <w:autoSpaceDN/>
        <w:bidi w:val="0"/>
        <w:spacing w:line="380" w:lineRule="exact"/>
        <w:ind w:firstLine="480" w:firstLineChars="200"/>
        <w:jc w:val="left"/>
        <w:textAlignment w:val="auto"/>
        <w:rPr>
          <w:rFonts w:hint="eastAsia" w:ascii="宋体" w:hAnsi="宋体" w:eastAsia="宋体" w:cs="宋体"/>
          <w:color w:val="auto"/>
          <w:spacing w:val="20"/>
          <w:sz w:val="24"/>
          <w:szCs w:val="24"/>
          <w:highlight w:val="none"/>
        </w:rPr>
      </w:pPr>
      <w:r>
        <w:rPr>
          <w:rFonts w:hint="eastAsia" w:ascii="宋体" w:hAnsi="宋体" w:eastAsia="宋体" w:cs="宋体"/>
          <w:color w:val="auto"/>
          <w:sz w:val="24"/>
          <w:szCs w:val="24"/>
        </w:rPr>
        <w:t>12.2.1 预付款的支付</w:t>
      </w:r>
    </w:p>
    <w:p w14:paraId="6E2F1B73">
      <w:pPr>
        <w:pStyle w:val="10"/>
        <w:spacing w:line="460" w:lineRule="exact"/>
        <w:ind w:right="63" w:firstLine="472" w:firstLineChars="200"/>
        <w:jc w:val="both"/>
        <w:rPr>
          <w:rFonts w:hint="eastAsia" w:ascii="宋体" w:hAnsi="宋体" w:eastAsia="宋体" w:cs="宋体"/>
          <w:color w:val="auto"/>
          <w:sz w:val="24"/>
          <w:szCs w:val="24"/>
        </w:rPr>
      </w:pPr>
      <w:r>
        <w:rPr>
          <w:rFonts w:hint="eastAsia" w:ascii="宋体" w:hAnsi="宋体" w:eastAsia="宋体" w:cs="宋体"/>
          <w:color w:val="auto"/>
          <w:spacing w:val="-2"/>
          <w:sz w:val="24"/>
          <w:szCs w:val="24"/>
        </w:rPr>
        <w:t>预付款支付比例或金额：</w:t>
      </w:r>
      <w:r>
        <w:rPr>
          <w:rFonts w:hint="eastAsia" w:ascii="宋体" w:hAnsi="宋体" w:eastAsia="宋体" w:cs="宋体"/>
          <w:color w:val="auto"/>
          <w:spacing w:val="-2"/>
          <w:sz w:val="24"/>
          <w:szCs w:val="24"/>
          <w:u w:val="single"/>
        </w:rPr>
        <w:t>合同价扣除暂列金额后的 30%</w:t>
      </w:r>
      <w:r>
        <w:rPr>
          <w:rFonts w:hint="eastAsia" w:ascii="宋体" w:hAnsi="宋体" w:eastAsia="宋体" w:cs="宋体"/>
          <w:color w:val="auto"/>
          <w:spacing w:val="-10"/>
          <w:sz w:val="24"/>
          <w:szCs w:val="24"/>
        </w:rPr>
        <w:t>。</w:t>
      </w:r>
    </w:p>
    <w:p w14:paraId="63808BFE">
      <w:pPr>
        <w:pStyle w:val="10"/>
        <w:spacing w:before="24" w:line="460" w:lineRule="exact"/>
        <w:ind w:left="63" w:right="63"/>
        <w:jc w:val="left"/>
        <w:rPr>
          <w:rFonts w:hint="eastAsia" w:ascii="宋体" w:hAnsi="宋体" w:eastAsia="宋体" w:cs="宋体"/>
          <w:color w:val="auto"/>
          <w:sz w:val="24"/>
          <w:szCs w:val="24"/>
        </w:rPr>
      </w:pPr>
      <w:r>
        <w:rPr>
          <w:rFonts w:hint="eastAsia" w:ascii="宋体" w:hAnsi="宋体" w:eastAsia="宋体" w:cs="宋体"/>
          <w:color w:val="auto"/>
          <w:spacing w:val="-2"/>
          <w:sz w:val="24"/>
          <w:szCs w:val="24"/>
          <w:lang w:eastAsia="zh-CN"/>
        </w:rPr>
        <w:t xml:space="preserve">    </w:t>
      </w:r>
      <w:r>
        <w:rPr>
          <w:rFonts w:hint="eastAsia" w:ascii="宋体" w:hAnsi="宋体" w:eastAsia="宋体" w:cs="宋体"/>
          <w:color w:val="auto"/>
          <w:spacing w:val="-2"/>
          <w:sz w:val="24"/>
          <w:szCs w:val="24"/>
        </w:rPr>
        <w:t>预付款支付期限：</w:t>
      </w:r>
      <w:r>
        <w:rPr>
          <w:rFonts w:hint="eastAsia" w:ascii="宋体" w:hAnsi="宋体" w:eastAsia="宋体" w:cs="宋体"/>
          <w:color w:val="auto"/>
          <w:sz w:val="24"/>
          <w:szCs w:val="24"/>
          <w:u w:val="single"/>
        </w:rPr>
        <w:t xml:space="preserve">   </w:t>
      </w:r>
      <w:r>
        <w:rPr>
          <w:rFonts w:hint="eastAsia" w:ascii="宋体" w:hAnsi="宋体" w:eastAsia="宋体" w:cs="宋体"/>
          <w:color w:val="auto"/>
          <w:kern w:val="0"/>
          <w:sz w:val="24"/>
          <w:szCs w:val="24"/>
          <w:highlight w:val="none"/>
          <w:u w:val="single"/>
          <w:lang w:val="en-US" w:eastAsia="zh-CN"/>
        </w:rPr>
        <w:t>/</w:t>
      </w:r>
      <w:r>
        <w:rPr>
          <w:rFonts w:hint="eastAsia" w:ascii="宋体" w:hAnsi="宋体" w:eastAsia="宋体" w:cs="宋体"/>
          <w:color w:val="auto"/>
          <w:spacing w:val="-3"/>
          <w:sz w:val="24"/>
          <w:szCs w:val="24"/>
          <w:u w:val="single"/>
        </w:rPr>
        <w:t>。</w:t>
      </w:r>
    </w:p>
    <w:p w14:paraId="1C3C2C55">
      <w:pPr>
        <w:pStyle w:val="10"/>
        <w:spacing w:line="460" w:lineRule="exact"/>
        <w:ind w:left="63" w:right="63"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预付款扣回的方式：</w:t>
      </w:r>
      <w:r>
        <w:rPr>
          <w:rFonts w:hint="eastAsia" w:ascii="宋体" w:hAnsi="宋体" w:eastAsia="宋体" w:cs="宋体"/>
          <w:color w:val="auto"/>
          <w:sz w:val="24"/>
          <w:szCs w:val="24"/>
          <w:u w:val="single"/>
        </w:rPr>
        <w:t xml:space="preserve"> 工程进度款达到合同价款 50%时一次性扣回 </w:t>
      </w:r>
      <w:r>
        <w:rPr>
          <w:rFonts w:hint="eastAsia" w:ascii="宋体" w:hAnsi="宋体" w:eastAsia="宋体" w:cs="宋体"/>
          <w:color w:val="auto"/>
          <w:spacing w:val="-1"/>
          <w:sz w:val="24"/>
          <w:szCs w:val="24"/>
          <w:u w:val="single"/>
        </w:rPr>
        <w:t>。</w:t>
      </w:r>
    </w:p>
    <w:p w14:paraId="1098884B">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12.2.2 预付款担保</w:t>
      </w:r>
    </w:p>
    <w:p w14:paraId="4D11B551">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承包人提交预付款担保的期限：</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2D9897DE">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预付款担保的形式为：</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bookmarkEnd w:id="981"/>
    <w:bookmarkEnd w:id="982"/>
    <w:bookmarkEnd w:id="983"/>
    <w:bookmarkEnd w:id="984"/>
    <w:bookmarkEnd w:id="985"/>
    <w:bookmarkEnd w:id="986"/>
    <w:bookmarkEnd w:id="987"/>
    <w:bookmarkEnd w:id="988"/>
    <w:bookmarkEnd w:id="989"/>
    <w:bookmarkEnd w:id="990"/>
    <w:p w14:paraId="3D934D44">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12.3 计量</w:t>
      </w:r>
    </w:p>
    <w:p w14:paraId="059C92AB">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12.3.1 计量原则</w:t>
      </w:r>
    </w:p>
    <w:p w14:paraId="38261213">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工程量计算规则：</w:t>
      </w:r>
      <w:r>
        <w:rPr>
          <w:rFonts w:hint="eastAsia" w:ascii="宋体" w:hAnsi="宋体" w:eastAsia="宋体" w:cs="宋体"/>
          <w:color w:val="auto"/>
          <w:sz w:val="24"/>
          <w:szCs w:val="24"/>
          <w:u w:val="single"/>
        </w:rPr>
        <w:t xml:space="preserve">  按每月实际完成工程量计算，签证及变更均计入每月实际完成工程量  </w:t>
      </w:r>
      <w:r>
        <w:rPr>
          <w:rFonts w:hint="eastAsia" w:ascii="宋体" w:hAnsi="宋体" w:eastAsia="宋体" w:cs="宋体"/>
          <w:color w:val="auto"/>
          <w:sz w:val="24"/>
          <w:szCs w:val="24"/>
        </w:rPr>
        <w:t>。</w:t>
      </w:r>
    </w:p>
    <w:p w14:paraId="066A18C8">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12.3.2 计量周期</w:t>
      </w:r>
    </w:p>
    <w:p w14:paraId="7100CA49">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关于计量周期的约定：</w:t>
      </w:r>
      <w:r>
        <w:rPr>
          <w:rFonts w:hint="eastAsia" w:ascii="宋体" w:hAnsi="宋体" w:eastAsia="宋体" w:cs="宋体"/>
          <w:color w:val="auto"/>
          <w:sz w:val="24"/>
          <w:szCs w:val="24"/>
          <w:u w:val="single"/>
        </w:rPr>
        <w:t xml:space="preserve">  </w:t>
      </w:r>
      <w:r>
        <w:rPr>
          <w:rFonts w:hint="eastAsia" w:ascii="宋体" w:hAnsi="宋体" w:eastAsia="宋体" w:cs="宋体"/>
          <w:color w:val="auto"/>
          <w:spacing w:val="-17"/>
          <w:sz w:val="24"/>
          <w:szCs w:val="24"/>
          <w:u w:val="single"/>
        </w:rPr>
        <w:t xml:space="preserve">每月 </w:t>
      </w:r>
      <w:r>
        <w:rPr>
          <w:rFonts w:hint="eastAsia" w:ascii="宋体" w:hAnsi="宋体" w:eastAsia="宋体" w:cs="宋体"/>
          <w:color w:val="auto"/>
          <w:sz w:val="24"/>
          <w:szCs w:val="24"/>
          <w:u w:val="single"/>
        </w:rPr>
        <w:t>25</w:t>
      </w:r>
      <w:r>
        <w:rPr>
          <w:rFonts w:hint="eastAsia" w:ascii="宋体" w:hAnsi="宋体" w:eastAsia="宋体" w:cs="宋体"/>
          <w:color w:val="auto"/>
          <w:spacing w:val="-16"/>
          <w:sz w:val="24"/>
          <w:szCs w:val="24"/>
          <w:u w:val="single"/>
        </w:rPr>
        <w:t xml:space="preserve"> 日前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2EDF8E26">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12.3.3 单价合同的计量</w:t>
      </w:r>
    </w:p>
    <w:p w14:paraId="3B6377A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关于单价合同计量的约定：</w:t>
      </w:r>
      <w:r>
        <w:rPr>
          <w:rFonts w:hint="eastAsia" w:ascii="宋体" w:hAnsi="宋体" w:eastAsia="宋体" w:cs="宋体"/>
          <w:color w:val="auto"/>
          <w:sz w:val="24"/>
          <w:szCs w:val="24"/>
          <w:u w:val="single"/>
        </w:rPr>
        <w:t xml:space="preserve"> 按每月实际完成工程量计算，签证及变更均计入每月实际完成工程量  </w:t>
      </w:r>
      <w:r>
        <w:rPr>
          <w:rFonts w:hint="eastAsia" w:ascii="宋体" w:hAnsi="宋体" w:eastAsia="宋体" w:cs="宋体"/>
          <w:color w:val="auto"/>
          <w:sz w:val="24"/>
          <w:szCs w:val="24"/>
        </w:rPr>
        <w:t>。</w:t>
      </w:r>
    </w:p>
    <w:p w14:paraId="628A34B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12.3.4 总价合同的计量</w:t>
      </w:r>
    </w:p>
    <w:p w14:paraId="4C41B4F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关于总价合同计量的约定：</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07464A5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12.3.5总价合同采用支付分解表计量支付的，是否适用第</w:t>
      </w:r>
      <w:r>
        <w:rPr>
          <w:rFonts w:hint="eastAsia" w:ascii="宋体" w:hAnsi="宋体" w:eastAsia="宋体" w:cs="宋体"/>
          <w:color w:val="auto"/>
          <w:kern w:val="0"/>
          <w:sz w:val="24"/>
          <w:szCs w:val="24"/>
        </w:rPr>
        <w:t xml:space="preserve">12.3.4 </w:t>
      </w:r>
      <w:r>
        <w:rPr>
          <w:rFonts w:hint="eastAsia" w:ascii="宋体" w:hAnsi="宋体" w:eastAsia="宋体" w:cs="宋体"/>
          <w:color w:val="auto"/>
          <w:sz w:val="24"/>
          <w:szCs w:val="24"/>
        </w:rPr>
        <w:t>项</w:t>
      </w:r>
      <w:r>
        <w:rPr>
          <w:rFonts w:hint="eastAsia" w:ascii="宋体" w:hAnsi="宋体" w:eastAsia="宋体" w:cs="宋体"/>
          <w:color w:val="auto"/>
          <w:kern w:val="0"/>
          <w:sz w:val="24"/>
          <w:szCs w:val="24"/>
        </w:rPr>
        <w:t>〔总价合同的计量〕</w:t>
      </w:r>
      <w:r>
        <w:rPr>
          <w:rFonts w:hint="eastAsia" w:ascii="宋体" w:hAnsi="宋体" w:eastAsia="宋体" w:cs="宋体"/>
          <w:color w:val="auto"/>
          <w:sz w:val="24"/>
          <w:szCs w:val="24"/>
        </w:rPr>
        <w:t>约定进行计量：</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27C5956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12.3.6 其他价格形式合同的计量</w:t>
      </w:r>
    </w:p>
    <w:p w14:paraId="7817BB7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其他价格形式的计量方式和程序：</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089E5AF1">
      <w:pPr>
        <w:keepNext w:val="0"/>
        <w:keepLines w:val="0"/>
        <w:pageBreakBefore w:val="0"/>
        <w:widowControl w:val="0"/>
        <w:kinsoku/>
        <w:wordWrap/>
        <w:overflowPunct/>
        <w:topLinePunct w:val="0"/>
        <w:autoSpaceDE/>
        <w:autoSpaceDN/>
        <w:bidi w:val="0"/>
        <w:adjustRightInd/>
        <w:snapToGrid/>
        <w:spacing w:after="120" w:line="4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12.4 工程进度款支付</w:t>
      </w:r>
    </w:p>
    <w:p w14:paraId="07E7DEB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12.4.1 付款周期</w:t>
      </w:r>
    </w:p>
    <w:p w14:paraId="1E93BE0F">
      <w:pPr>
        <w:keepNext w:val="0"/>
        <w:keepLines w:val="0"/>
        <w:pageBreakBefore w:val="0"/>
        <w:widowControl w:val="0"/>
        <w:kinsoku/>
        <w:wordWrap/>
        <w:overflowPunct/>
        <w:topLinePunct w:val="0"/>
        <w:autoSpaceDE/>
        <w:autoSpaceDN/>
        <w:bidi w:val="0"/>
        <w:adjustRightInd/>
        <w:snapToGrid/>
        <w:spacing w:after="120" w:line="480" w:lineRule="exact"/>
        <w:ind w:firstLine="480" w:firstLineChars="200"/>
        <w:textAlignment w:val="auto"/>
        <w:rPr>
          <w:rFonts w:hint="eastAsia" w:ascii="宋体" w:hAnsi="宋体" w:eastAsia="宋体" w:cs="宋体"/>
          <w:color w:val="auto"/>
          <w:sz w:val="24"/>
          <w:szCs w:val="24"/>
          <w:u w:val="single"/>
          <w:lang w:eastAsia="zh-CN"/>
        </w:rPr>
      </w:pPr>
      <w:r>
        <w:rPr>
          <w:rFonts w:hint="eastAsia" w:ascii="宋体" w:hAnsi="宋体" w:eastAsia="宋体" w:cs="宋体"/>
          <w:color w:val="auto"/>
          <w:sz w:val="24"/>
          <w:szCs w:val="24"/>
          <w:lang w:bidi="ar"/>
        </w:rPr>
        <w:t>关于付款周期的约定：</w:t>
      </w:r>
      <w:r>
        <w:rPr>
          <w:rFonts w:hint="eastAsia" w:ascii="宋体" w:hAnsi="宋体" w:eastAsia="宋体" w:cs="宋体"/>
          <w:color w:val="auto"/>
          <w:sz w:val="24"/>
          <w:szCs w:val="24"/>
          <w:u w:val="single"/>
          <w:lang w:bidi="ar"/>
        </w:rPr>
        <w:t>合同内进度款支付限额为己完成工程量的90%，工程变更部分进度款支付限额为已完成工程量的80%;工程完工验收达到质量要求，结算经浦北县审计中心审定后，工程款支付至结算总价的97%;发包人按工程价款结算总额的3%预留工程质量保修金，待工程缺陷责任期满后返还。</w:t>
      </w:r>
    </w:p>
    <w:p w14:paraId="3869DA0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rPr>
      </w:pPr>
      <w:bookmarkStart w:id="991" w:name="_Toc296891251"/>
      <w:bookmarkStart w:id="992" w:name="_Toc297123556"/>
      <w:bookmarkStart w:id="993" w:name="_Toc297216215"/>
      <w:bookmarkStart w:id="994" w:name="_Toc296503211"/>
      <w:bookmarkStart w:id="995" w:name="_Toc300935006"/>
      <w:bookmarkStart w:id="996" w:name="_Toc297048397"/>
      <w:bookmarkStart w:id="997" w:name="_Toc296944550"/>
      <w:bookmarkStart w:id="998" w:name="_Toc296346712"/>
      <w:bookmarkStart w:id="999" w:name="_Toc303539163"/>
      <w:bookmarkStart w:id="1000" w:name="_Toc292559416"/>
      <w:bookmarkStart w:id="1001" w:name="_Toc292559921"/>
      <w:bookmarkStart w:id="1002" w:name="_Toc297120511"/>
      <w:bookmarkStart w:id="1003" w:name="_Toc296347210"/>
      <w:bookmarkStart w:id="1004" w:name="_Toc296891039"/>
      <w:r>
        <w:rPr>
          <w:rFonts w:hint="eastAsia" w:ascii="宋体" w:hAnsi="宋体" w:eastAsia="宋体" w:cs="宋体"/>
          <w:color w:val="auto"/>
          <w:sz w:val="24"/>
          <w:szCs w:val="24"/>
        </w:rPr>
        <w:t>12.4.2 进度付款申请单的编制</w:t>
      </w:r>
    </w:p>
    <w:p w14:paraId="49D5A50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关于进度付款申请单编制的约定：</w:t>
      </w:r>
      <w:r>
        <w:rPr>
          <w:rFonts w:hint="eastAsia" w:ascii="宋体" w:hAnsi="宋体" w:eastAsia="宋体" w:cs="宋体"/>
          <w:color w:val="auto"/>
          <w:sz w:val="24"/>
          <w:szCs w:val="24"/>
          <w:u w:val="single"/>
        </w:rPr>
        <w:t xml:space="preserve">  由承包人进行编制  </w:t>
      </w:r>
      <w:r>
        <w:rPr>
          <w:rFonts w:hint="eastAsia" w:ascii="宋体" w:hAnsi="宋体" w:eastAsia="宋体" w:cs="宋体"/>
          <w:color w:val="auto"/>
          <w:sz w:val="24"/>
          <w:szCs w:val="24"/>
        </w:rPr>
        <w:t>。</w:t>
      </w:r>
    </w:p>
    <w:p w14:paraId="3F45BC0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Fonts w:hint="eastAsia" w:ascii="宋体" w:hAnsi="宋体" w:eastAsia="宋体" w:cs="宋体"/>
          <w:color w:val="auto"/>
          <w:sz w:val="24"/>
          <w:szCs w:val="24"/>
        </w:rPr>
        <w:t>2.4.3 进度付款申请单的提交</w:t>
      </w:r>
    </w:p>
    <w:p w14:paraId="0453D5A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bidi="ar"/>
        </w:rPr>
        <w:t>（1）单价合同进度付款申请单提交的约定：</w:t>
      </w:r>
      <w:r>
        <w:rPr>
          <w:rFonts w:hint="eastAsia" w:ascii="宋体" w:hAnsi="宋体" w:eastAsia="宋体" w:cs="宋体"/>
          <w:color w:val="auto"/>
          <w:sz w:val="24"/>
          <w:szCs w:val="24"/>
          <w:u w:val="single"/>
          <w:lang w:bidi="ar"/>
        </w:rPr>
        <w:t>承包人应配合发包人提供</w:t>
      </w:r>
      <w:r>
        <w:rPr>
          <w:rFonts w:hint="eastAsia" w:ascii="宋体" w:hAnsi="宋体" w:cs="宋体"/>
          <w:color w:val="auto"/>
          <w:sz w:val="24"/>
          <w:szCs w:val="24"/>
          <w:u w:val="single"/>
          <w:lang w:eastAsia="zh-CN" w:bidi="ar"/>
        </w:rPr>
        <w:t>相关</w:t>
      </w:r>
      <w:r>
        <w:rPr>
          <w:rFonts w:hint="eastAsia" w:ascii="宋体" w:hAnsi="宋体" w:eastAsia="宋体" w:cs="宋体"/>
          <w:color w:val="auto"/>
          <w:sz w:val="24"/>
          <w:szCs w:val="24"/>
          <w:u w:val="single"/>
          <w:lang w:bidi="ar"/>
        </w:rPr>
        <w:t>资料</w:t>
      </w:r>
      <w:r>
        <w:rPr>
          <w:rFonts w:hint="eastAsia" w:ascii="宋体" w:hAnsi="宋体" w:cs="宋体"/>
          <w:color w:val="auto"/>
          <w:sz w:val="24"/>
          <w:szCs w:val="24"/>
          <w:u w:val="single"/>
          <w:lang w:eastAsia="zh-CN" w:bidi="ar"/>
        </w:rPr>
        <w:t>。</w:t>
      </w:r>
    </w:p>
    <w:p w14:paraId="29B6226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bidi="ar"/>
        </w:rPr>
        <w:t>（2）总价合同进度付款申请单提交的约定：</w:t>
      </w:r>
      <w:r>
        <w:rPr>
          <w:rFonts w:hint="eastAsia" w:ascii="宋体" w:hAnsi="宋体" w:eastAsia="宋体" w:cs="宋体"/>
          <w:color w:val="auto"/>
          <w:sz w:val="24"/>
          <w:szCs w:val="24"/>
          <w:u w:val="single"/>
          <w:lang w:bidi="ar"/>
        </w:rPr>
        <w:t xml:space="preserve">            /               。</w:t>
      </w:r>
    </w:p>
    <w:p w14:paraId="2D9B362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lang w:bidi="ar"/>
        </w:rPr>
        <w:t>（3）其他价格形式合同进度付款申请单提交的约定：</w:t>
      </w:r>
      <w:r>
        <w:rPr>
          <w:rFonts w:hint="eastAsia" w:ascii="宋体" w:hAnsi="宋体" w:eastAsia="宋体" w:cs="宋体"/>
          <w:color w:val="auto"/>
          <w:sz w:val="24"/>
          <w:szCs w:val="24"/>
          <w:u w:val="single"/>
          <w:lang w:bidi="ar"/>
        </w:rPr>
        <w:t xml:space="preserve">    /        </w:t>
      </w:r>
      <w:r>
        <w:rPr>
          <w:rFonts w:hint="eastAsia" w:ascii="宋体" w:hAnsi="宋体" w:eastAsia="宋体" w:cs="宋体"/>
          <w:color w:val="auto"/>
          <w:sz w:val="24"/>
          <w:szCs w:val="24"/>
          <w:lang w:bidi="ar"/>
        </w:rPr>
        <w:t>。</w:t>
      </w:r>
    </w:p>
    <w:p w14:paraId="6612FBA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）其他价格形式合同进度付款申请单提交的约定：</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5C1A849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12.4.4 进度款审核和支付</w:t>
      </w:r>
    </w:p>
    <w:p w14:paraId="058C66B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（1）监理人审查并报送发包人的期限：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1DDE8C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发包人完成审批并签发进度款支付证书的期限：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208898D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（2）发包人支付进度款的期限：</w:t>
      </w:r>
      <w:r>
        <w:rPr>
          <w:rFonts w:hint="eastAsia" w:ascii="宋体" w:hAnsi="宋体" w:eastAsia="宋体" w:cs="宋体"/>
          <w:color w:val="auto"/>
          <w:sz w:val="24"/>
          <w:szCs w:val="24"/>
          <w:u w:val="single"/>
        </w:rPr>
        <w:t xml:space="preserve">  以财政部门支付资金日期为准 </w:t>
      </w:r>
      <w:r>
        <w:rPr>
          <w:rFonts w:hint="eastAsia" w:ascii="宋体" w:hAnsi="宋体" w:eastAsia="宋体" w:cs="宋体"/>
          <w:color w:val="auto"/>
          <w:sz w:val="24"/>
          <w:szCs w:val="24"/>
        </w:rPr>
        <w:t>。</w:t>
      </w:r>
    </w:p>
    <w:p w14:paraId="36DC928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发包人逾期支付进度款的违约金的计算方式：</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62D8038E">
      <w:pPr>
        <w:keepNext w:val="0"/>
        <w:keepLines w:val="0"/>
        <w:pageBreakBefore w:val="0"/>
        <w:widowControl w:val="0"/>
        <w:kinsoku/>
        <w:wordWrap/>
        <w:overflowPunct/>
        <w:topLinePunct w:val="0"/>
        <w:autoSpaceDE/>
        <w:autoSpaceDN/>
        <w:bidi w:val="0"/>
        <w:adjustRightInd/>
        <w:snapToGrid/>
        <w:spacing w:line="480" w:lineRule="exact"/>
        <w:ind w:firstLine="600" w:firstLineChars="25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12.4.6 支付分解表的编制</w:t>
      </w:r>
    </w:p>
    <w:p w14:paraId="1F64B3A5">
      <w:pPr>
        <w:keepNext w:val="0"/>
        <w:keepLines w:val="0"/>
        <w:pageBreakBefore w:val="0"/>
        <w:widowControl w:val="0"/>
        <w:kinsoku/>
        <w:wordWrap/>
        <w:overflowPunct/>
        <w:topLinePunct w:val="0"/>
        <w:autoSpaceDE/>
        <w:autoSpaceDN/>
        <w:bidi w:val="0"/>
        <w:adjustRightInd/>
        <w:snapToGrid/>
        <w:spacing w:line="480" w:lineRule="exact"/>
        <w:ind w:left="4799" w:leftChars="228" w:hanging="4320" w:hangingChars="18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2、总价合同支付分解表的编制与审批：</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1B736B3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3、单价合同的总价项目支付分解表的编制与审批：</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bookmarkEnd w:id="834"/>
    <w:p w14:paraId="0F312B9E">
      <w:pPr>
        <w:pStyle w:val="5"/>
        <w:spacing w:before="120" w:after="120" w:line="460" w:lineRule="exact"/>
        <w:rPr>
          <w:rFonts w:hint="eastAsia" w:ascii="宋体" w:hAnsi="宋体" w:eastAsia="宋体" w:cs="宋体"/>
          <w:b w:val="0"/>
          <w:color w:val="auto"/>
          <w:sz w:val="24"/>
          <w:szCs w:val="24"/>
        </w:rPr>
      </w:pPr>
      <w:bookmarkStart w:id="1005" w:name="_Toc351203645"/>
      <w:bookmarkStart w:id="1006" w:name="_Toc300935015"/>
      <w:bookmarkStart w:id="1007" w:name="_Toc296503219"/>
      <w:bookmarkStart w:id="1008" w:name="_Toc304295593"/>
      <w:bookmarkStart w:id="1009" w:name="_Toc312678053"/>
      <w:bookmarkStart w:id="1010" w:name="_Toc297216223"/>
      <w:bookmarkStart w:id="1011" w:name="_Toc297123564"/>
      <w:bookmarkStart w:id="1012" w:name="_Toc296347218"/>
      <w:bookmarkStart w:id="1013" w:name="_Toc296346720"/>
      <w:bookmarkStart w:id="1014" w:name="_Toc297120519"/>
      <w:bookmarkStart w:id="1015" w:name="_Toc292559424"/>
      <w:bookmarkStart w:id="1016" w:name="_Toc296891047"/>
      <w:bookmarkStart w:id="1017" w:name="_Toc303539172"/>
      <w:bookmarkStart w:id="1018" w:name="_Toc296944558"/>
      <w:bookmarkStart w:id="1019" w:name="_Toc296891259"/>
      <w:bookmarkStart w:id="1020" w:name="_Toc292559929"/>
      <w:bookmarkStart w:id="1021" w:name="_Toc297048405"/>
      <w:r>
        <w:rPr>
          <w:rFonts w:hint="eastAsia" w:ascii="宋体" w:hAnsi="宋体" w:eastAsia="宋体" w:cs="宋体"/>
          <w:b w:val="0"/>
          <w:color w:val="auto"/>
          <w:sz w:val="24"/>
          <w:szCs w:val="24"/>
        </w:rPr>
        <w:t>13. 验收和工程试车</w:t>
      </w:r>
      <w:bookmarkEnd w:id="1005"/>
    </w:p>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14:paraId="2AC6FD3A">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13.1 分部分项工程验收</w:t>
      </w:r>
    </w:p>
    <w:p w14:paraId="1150A356">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13.1.2监理人不能按时进行验收时，应提前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小时提交书面延期要求。</w:t>
      </w:r>
    </w:p>
    <w:p w14:paraId="271CCFEB">
      <w:pPr>
        <w:spacing w:line="460" w:lineRule="exact"/>
        <w:ind w:firstLine="480" w:firstLineChars="200"/>
        <w:jc w:val="left"/>
        <w:rPr>
          <w:rFonts w:hint="eastAsia" w:ascii="宋体" w:hAnsi="宋体" w:eastAsia="宋体" w:cs="宋体"/>
          <w:b/>
          <w:color w:val="auto"/>
          <w:sz w:val="24"/>
          <w:szCs w:val="24"/>
        </w:rPr>
      </w:pPr>
      <w:r>
        <w:rPr>
          <w:rFonts w:hint="eastAsia" w:ascii="宋体" w:hAnsi="宋体" w:eastAsia="宋体" w:cs="宋体"/>
          <w:color w:val="auto"/>
          <w:sz w:val="24"/>
          <w:szCs w:val="24"/>
        </w:rPr>
        <w:t>关于延期最长不得超过：</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小时。</w:t>
      </w:r>
    </w:p>
    <w:p w14:paraId="0F09C61A">
      <w:pPr>
        <w:spacing w:after="120" w:line="460" w:lineRule="exact"/>
        <w:ind w:firstLine="480" w:firstLineChars="200"/>
        <w:rPr>
          <w:rFonts w:hint="eastAsia" w:ascii="宋体" w:hAnsi="宋体" w:eastAsia="宋体" w:cs="宋体"/>
          <w:color w:val="auto"/>
          <w:sz w:val="24"/>
          <w:szCs w:val="24"/>
        </w:rPr>
      </w:pPr>
      <w:bookmarkStart w:id="1022" w:name="_Toc296347222"/>
      <w:bookmarkStart w:id="1023" w:name="_Toc296891263"/>
      <w:bookmarkStart w:id="1024" w:name="_Toc292559933"/>
      <w:bookmarkStart w:id="1025" w:name="_Toc303539173"/>
      <w:bookmarkStart w:id="1026" w:name="_Toc296503223"/>
      <w:bookmarkStart w:id="1027" w:name="_Toc296346724"/>
      <w:bookmarkStart w:id="1028" w:name="_Toc304295596"/>
      <w:bookmarkStart w:id="1029" w:name="_Toc297216224"/>
      <w:bookmarkStart w:id="1030" w:name="_Toc296944562"/>
      <w:bookmarkStart w:id="1031" w:name="_Toc296891051"/>
      <w:bookmarkStart w:id="1032" w:name="_Toc297120523"/>
      <w:bookmarkStart w:id="1033" w:name="_Toc292559428"/>
      <w:bookmarkStart w:id="1034" w:name="_Toc312678056"/>
      <w:bookmarkStart w:id="1035" w:name="_Toc300935016"/>
      <w:bookmarkStart w:id="1036" w:name="_Toc297123565"/>
      <w:bookmarkStart w:id="1037" w:name="_Toc297048409"/>
      <w:bookmarkStart w:id="1038" w:name="_Toc267251471"/>
      <w:bookmarkStart w:id="1039" w:name="_Toc267251470"/>
      <w:bookmarkStart w:id="1040" w:name="_Toc267251474"/>
      <w:bookmarkStart w:id="1041" w:name="_Toc267251476"/>
      <w:bookmarkStart w:id="1042" w:name="_Toc267251472"/>
      <w:bookmarkStart w:id="1043" w:name="_Toc267251473"/>
      <w:bookmarkStart w:id="1044" w:name="_Toc267251475"/>
      <w:r>
        <w:rPr>
          <w:rFonts w:hint="eastAsia" w:ascii="宋体" w:hAnsi="宋体" w:eastAsia="宋体" w:cs="宋体"/>
          <w:color w:val="auto"/>
          <w:sz w:val="24"/>
          <w:szCs w:val="24"/>
        </w:rPr>
        <w:t>13.2 竣工验收</w:t>
      </w:r>
    </w:p>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14:paraId="1A40FB3A">
      <w:pPr>
        <w:spacing w:line="460" w:lineRule="exact"/>
        <w:ind w:firstLine="480" w:firstLineChars="200"/>
        <w:jc w:val="left"/>
        <w:rPr>
          <w:rFonts w:hint="eastAsia" w:ascii="宋体" w:hAnsi="宋体" w:eastAsia="宋体" w:cs="宋体"/>
          <w:color w:val="auto"/>
          <w:sz w:val="24"/>
          <w:szCs w:val="24"/>
        </w:rPr>
      </w:pPr>
      <w:bookmarkStart w:id="1045" w:name="_Toc280868704"/>
      <w:bookmarkStart w:id="1046" w:name="_Toc280868705"/>
      <w:bookmarkStart w:id="1047" w:name="_Toc280868706"/>
      <w:bookmarkStart w:id="1048" w:name="_Toc280868707"/>
      <w:bookmarkStart w:id="1049" w:name="_Toc280868708"/>
      <w:bookmarkStart w:id="1050" w:name="_Toc280868709"/>
      <w:r>
        <w:rPr>
          <w:rFonts w:hint="eastAsia" w:ascii="宋体" w:hAnsi="宋体" w:eastAsia="宋体" w:cs="宋体"/>
          <w:color w:val="auto"/>
          <w:sz w:val="24"/>
          <w:szCs w:val="24"/>
        </w:rPr>
        <w:t>13.2.2竣工验收程序</w:t>
      </w:r>
    </w:p>
    <w:bookmarkEnd w:id="1045"/>
    <w:p w14:paraId="6A080134">
      <w:pPr>
        <w:spacing w:line="460" w:lineRule="exact"/>
        <w:ind w:left="13" w:leftChars="6" w:firstLine="578" w:firstLineChars="241"/>
        <w:rPr>
          <w:rFonts w:hint="eastAsia" w:ascii="宋体" w:hAnsi="宋体" w:eastAsia="宋体" w:cs="宋体"/>
          <w:color w:val="auto"/>
          <w:sz w:val="24"/>
          <w:szCs w:val="24"/>
        </w:rPr>
      </w:pPr>
      <w:r>
        <w:rPr>
          <w:rFonts w:hint="eastAsia" w:ascii="宋体" w:hAnsi="宋体" w:eastAsia="宋体" w:cs="宋体"/>
          <w:color w:val="auto"/>
          <w:kern w:val="0"/>
          <w:sz w:val="24"/>
          <w:szCs w:val="24"/>
        </w:rPr>
        <w:t>关于竣工验收程序的约定：</w:t>
      </w:r>
      <w:r>
        <w:rPr>
          <w:rFonts w:hint="eastAsia" w:ascii="宋体" w:hAnsi="宋体" w:eastAsia="宋体" w:cs="宋体"/>
          <w:color w:val="auto"/>
          <w:sz w:val="24"/>
          <w:szCs w:val="24"/>
          <w:u w:val="single"/>
        </w:rPr>
        <w:t xml:space="preserve"> 由发包人根据相关法律法规及行政主管部门的相关要求组织验收</w:t>
      </w:r>
      <w:r>
        <w:rPr>
          <w:rFonts w:hint="eastAsia" w:ascii="宋体" w:hAnsi="宋体" w:eastAsia="宋体" w:cs="宋体"/>
          <w:color w:val="auto"/>
          <w:sz w:val="24"/>
          <w:szCs w:val="24"/>
        </w:rPr>
        <w:t>。</w:t>
      </w:r>
    </w:p>
    <w:p w14:paraId="2A4E00F9">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发包人不按照本项约定组织竣工验收、颁发工程接收证书的违约金的计算方法：</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bookmarkEnd w:id="1046"/>
    <w:p w14:paraId="24337131">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13.2.5移交、接收全部与部分工程</w:t>
      </w:r>
    </w:p>
    <w:bookmarkEnd w:id="1047"/>
    <w:p w14:paraId="0D083267">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承包人向发包人移交工程的期限：</w:t>
      </w:r>
      <w:r>
        <w:rPr>
          <w:rFonts w:hint="eastAsia" w:ascii="宋体" w:hAnsi="宋体" w:eastAsia="宋体" w:cs="宋体"/>
          <w:color w:val="auto"/>
          <w:sz w:val="24"/>
          <w:szCs w:val="24"/>
          <w:u w:val="single"/>
        </w:rPr>
        <w:t xml:space="preserve">  该工程竣工验收合格之日起15日内</w:t>
      </w:r>
      <w:r>
        <w:rPr>
          <w:rFonts w:hint="eastAsia" w:ascii="宋体" w:hAnsi="宋体" w:eastAsia="宋体" w:cs="宋体"/>
          <w:color w:val="auto"/>
          <w:sz w:val="24"/>
          <w:szCs w:val="24"/>
        </w:rPr>
        <w:t>。</w:t>
      </w:r>
    </w:p>
    <w:p w14:paraId="55ED281A">
      <w:pPr>
        <w:spacing w:line="460" w:lineRule="exact"/>
        <w:ind w:firstLine="480" w:firstLineChars="200"/>
        <w:jc w:val="left"/>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发包人未按本合同约定接收全部或部分工程的，违约金的计算方法为：</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bookmarkEnd w:id="1048"/>
    <w:p w14:paraId="1B341F1F">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承包人未按时移交工程的，违约金的计算方法为：</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0781CCF0">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13.3 工程试车</w:t>
      </w:r>
    </w:p>
    <w:bookmarkEnd w:id="1049"/>
    <w:p w14:paraId="5D2E23FB">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13.3.1 试车程序</w:t>
      </w:r>
    </w:p>
    <w:p w14:paraId="6D47F733">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工程试车内容：</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69C6A86E">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（1）单机无负荷试车费用由</w:t>
      </w:r>
      <w:r>
        <w:rPr>
          <w:rFonts w:hint="eastAsia" w:ascii="宋体" w:hAnsi="宋体" w:eastAsia="宋体" w:cs="宋体"/>
          <w:color w:val="auto"/>
          <w:sz w:val="24"/>
          <w:szCs w:val="24"/>
          <w:u w:val="single"/>
        </w:rPr>
        <w:t xml:space="preserve">    无   </w:t>
      </w:r>
      <w:r>
        <w:rPr>
          <w:rFonts w:hint="eastAsia" w:ascii="宋体" w:hAnsi="宋体" w:eastAsia="宋体" w:cs="宋体"/>
          <w:color w:val="auto"/>
          <w:kern w:val="0"/>
          <w:sz w:val="24"/>
          <w:szCs w:val="24"/>
        </w:rPr>
        <w:t>承担；</w:t>
      </w:r>
    </w:p>
    <w:p w14:paraId="0202B467">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（2）无负荷联动试车费用由</w:t>
      </w:r>
      <w:r>
        <w:rPr>
          <w:rFonts w:hint="eastAsia" w:ascii="宋体" w:hAnsi="宋体" w:eastAsia="宋体" w:cs="宋体"/>
          <w:color w:val="auto"/>
          <w:sz w:val="24"/>
          <w:szCs w:val="24"/>
          <w:u w:val="single"/>
        </w:rPr>
        <w:t xml:space="preserve">    无   </w:t>
      </w:r>
      <w:r>
        <w:rPr>
          <w:rFonts w:hint="eastAsia" w:ascii="宋体" w:hAnsi="宋体" w:eastAsia="宋体" w:cs="宋体"/>
          <w:color w:val="auto"/>
          <w:kern w:val="0"/>
          <w:sz w:val="24"/>
          <w:szCs w:val="24"/>
        </w:rPr>
        <w:t>承担。</w:t>
      </w:r>
    </w:p>
    <w:p w14:paraId="6FD52325">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13.3.3 投料试车</w:t>
      </w:r>
    </w:p>
    <w:p w14:paraId="5B6CF3D2">
      <w:pPr>
        <w:spacing w:line="460" w:lineRule="exac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关于投料试车相关事项的约定：</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6EAC1390">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13.6 竣工退场</w:t>
      </w:r>
    </w:p>
    <w:p w14:paraId="4409270B">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13.6.1 竣工退场</w:t>
      </w:r>
    </w:p>
    <w:p w14:paraId="019F4EA6">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承包人完成竣工退场的期限：</w:t>
      </w:r>
      <w:r>
        <w:rPr>
          <w:rFonts w:hint="eastAsia" w:ascii="宋体" w:hAnsi="宋体" w:eastAsia="宋体" w:cs="宋体"/>
          <w:color w:val="auto"/>
          <w:sz w:val="24"/>
          <w:szCs w:val="24"/>
          <w:u w:val="single"/>
        </w:rPr>
        <w:t xml:space="preserve">   竣工验收合格之日起15日内  </w:t>
      </w:r>
      <w:r>
        <w:rPr>
          <w:rFonts w:hint="eastAsia" w:ascii="宋体" w:hAnsi="宋体" w:eastAsia="宋体" w:cs="宋体"/>
          <w:color w:val="auto"/>
          <w:kern w:val="0"/>
          <w:sz w:val="24"/>
          <w:szCs w:val="24"/>
        </w:rPr>
        <w:t>。</w:t>
      </w:r>
    </w:p>
    <w:p w14:paraId="4B33A3BD">
      <w:pPr>
        <w:pStyle w:val="5"/>
        <w:spacing w:before="120" w:after="120" w:line="460" w:lineRule="exact"/>
        <w:rPr>
          <w:rFonts w:hint="eastAsia" w:ascii="宋体" w:hAnsi="宋体" w:eastAsia="宋体" w:cs="宋体"/>
          <w:b w:val="0"/>
          <w:color w:val="auto"/>
          <w:sz w:val="24"/>
          <w:szCs w:val="24"/>
        </w:rPr>
      </w:pPr>
      <w:bookmarkStart w:id="1051" w:name="_Toc351203646"/>
      <w:r>
        <w:rPr>
          <w:rFonts w:hint="eastAsia" w:ascii="宋体" w:hAnsi="宋体" w:eastAsia="宋体" w:cs="宋体"/>
          <w:b w:val="0"/>
          <w:color w:val="auto"/>
          <w:sz w:val="24"/>
          <w:szCs w:val="24"/>
        </w:rPr>
        <w:t>14. 竣工结算</w:t>
      </w:r>
      <w:bookmarkEnd w:id="1051"/>
    </w:p>
    <w:p w14:paraId="7DD4E4A8">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14.1 竣工结算申请</w:t>
      </w:r>
    </w:p>
    <w:p w14:paraId="47E5E878">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承包人提交竣工结算申请单的期限：</w:t>
      </w:r>
      <w:r>
        <w:rPr>
          <w:rFonts w:hint="eastAsia" w:ascii="宋体" w:hAnsi="宋体" w:eastAsia="宋体" w:cs="宋体"/>
          <w:color w:val="auto"/>
          <w:sz w:val="24"/>
          <w:szCs w:val="24"/>
          <w:u w:val="single"/>
        </w:rPr>
        <w:t xml:space="preserve"> 竣工验收合格之日起40天内 </w:t>
      </w:r>
      <w:r>
        <w:rPr>
          <w:rFonts w:hint="eastAsia" w:ascii="宋体" w:hAnsi="宋体" w:eastAsia="宋体" w:cs="宋体"/>
          <w:color w:val="auto"/>
          <w:sz w:val="24"/>
          <w:szCs w:val="24"/>
        </w:rPr>
        <w:t>。</w:t>
      </w:r>
    </w:p>
    <w:p w14:paraId="4466F9D2">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竣工结算申请单应包括的内容：</w:t>
      </w:r>
      <w:r>
        <w:rPr>
          <w:rFonts w:hint="eastAsia" w:ascii="宋体" w:hAnsi="宋体" w:eastAsia="宋体" w:cs="宋体"/>
          <w:color w:val="auto"/>
          <w:sz w:val="24"/>
          <w:szCs w:val="24"/>
          <w:u w:val="single"/>
        </w:rPr>
        <w:t xml:space="preserve">  符合国家现行法律法规及行政主管部门的要求 </w:t>
      </w:r>
      <w:r>
        <w:rPr>
          <w:rFonts w:hint="eastAsia" w:ascii="宋体" w:hAnsi="宋体" w:eastAsia="宋体" w:cs="宋体"/>
          <w:color w:val="auto"/>
          <w:sz w:val="24"/>
          <w:szCs w:val="24"/>
        </w:rPr>
        <w:t>。</w:t>
      </w:r>
    </w:p>
    <w:p w14:paraId="0B5FEF18">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14.2 竣工结算审核</w:t>
      </w:r>
    </w:p>
    <w:p w14:paraId="1C83FC28">
      <w:pPr>
        <w:spacing w:line="460" w:lineRule="exact"/>
        <w:ind w:firstLine="480" w:firstLineChars="200"/>
        <w:jc w:val="left"/>
        <w:rPr>
          <w:rFonts w:hint="eastAsia" w:ascii="宋体" w:hAnsi="宋体" w:eastAsia="宋体" w:cs="宋体"/>
          <w:color w:val="auto"/>
          <w:spacing w:val="-6"/>
          <w:sz w:val="24"/>
          <w:szCs w:val="24"/>
        </w:rPr>
      </w:pPr>
      <w:r>
        <w:rPr>
          <w:rFonts w:hint="eastAsia" w:ascii="宋体" w:hAnsi="宋体" w:eastAsia="宋体" w:cs="宋体"/>
          <w:color w:val="auto"/>
          <w:sz w:val="24"/>
          <w:szCs w:val="24"/>
        </w:rPr>
        <w:t>发包人审批竣工付款申请单的期限：</w:t>
      </w:r>
      <w:r>
        <w:rPr>
          <w:rFonts w:hint="eastAsia" w:ascii="宋体" w:hAnsi="宋体" w:eastAsia="宋体" w:cs="宋体"/>
          <w:color w:val="auto"/>
          <w:spacing w:val="-6"/>
          <w:sz w:val="24"/>
          <w:szCs w:val="24"/>
          <w:u w:val="single"/>
        </w:rPr>
        <w:t>收到承包人提交的竣工结算文件之日起28天内</w:t>
      </w:r>
      <w:r>
        <w:rPr>
          <w:rFonts w:hint="eastAsia" w:ascii="宋体" w:hAnsi="宋体" w:eastAsia="宋体" w:cs="宋体"/>
          <w:color w:val="auto"/>
          <w:spacing w:val="-6"/>
          <w:sz w:val="24"/>
          <w:szCs w:val="24"/>
        </w:rPr>
        <w:t>。</w:t>
      </w:r>
    </w:p>
    <w:p w14:paraId="1BA65CFC">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发包人完成竣工付款的期限：</w:t>
      </w:r>
      <w:r>
        <w:rPr>
          <w:rFonts w:hint="eastAsia" w:ascii="宋体" w:hAnsi="宋体" w:eastAsia="宋体" w:cs="宋体"/>
          <w:color w:val="auto"/>
          <w:sz w:val="24"/>
          <w:szCs w:val="24"/>
          <w:u w:val="single"/>
        </w:rPr>
        <w:t xml:space="preserve"> 双方签字确认工程结算造价之日起60天内 </w:t>
      </w:r>
      <w:r>
        <w:rPr>
          <w:rFonts w:hint="eastAsia" w:ascii="宋体" w:hAnsi="宋体" w:eastAsia="宋体" w:cs="宋体"/>
          <w:color w:val="auto"/>
          <w:sz w:val="24"/>
          <w:szCs w:val="24"/>
        </w:rPr>
        <w:t>。</w:t>
      </w:r>
    </w:p>
    <w:p w14:paraId="4DE133FF">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关于竣工付款证书异议部分复核的方式和程序：</w:t>
      </w:r>
      <w:r>
        <w:rPr>
          <w:rFonts w:hint="eastAsia" w:ascii="宋体" w:hAnsi="宋体" w:eastAsia="宋体" w:cs="宋体"/>
          <w:color w:val="auto"/>
          <w:sz w:val="24"/>
          <w:szCs w:val="24"/>
          <w:u w:val="single"/>
        </w:rPr>
        <w:t xml:space="preserve"> 双方委托有资质的第三方进行审核  </w:t>
      </w:r>
      <w:r>
        <w:rPr>
          <w:rFonts w:hint="eastAsia" w:ascii="宋体" w:hAnsi="宋体" w:eastAsia="宋体" w:cs="宋体"/>
          <w:color w:val="auto"/>
          <w:sz w:val="24"/>
          <w:szCs w:val="24"/>
        </w:rPr>
        <w:t>。</w:t>
      </w:r>
    </w:p>
    <w:p w14:paraId="04585C79">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14.4 最终结清</w:t>
      </w:r>
    </w:p>
    <w:p w14:paraId="742DDE73">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14.4.1 最终结清申请单</w:t>
      </w:r>
    </w:p>
    <w:p w14:paraId="1985B138">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承包人提交最终结清申请单的份数：</w:t>
      </w:r>
      <w:r>
        <w:rPr>
          <w:rFonts w:hint="eastAsia" w:ascii="宋体" w:hAnsi="宋体" w:eastAsia="宋体" w:cs="宋体"/>
          <w:color w:val="auto"/>
          <w:sz w:val="24"/>
          <w:szCs w:val="24"/>
          <w:u w:val="single"/>
        </w:rPr>
        <w:t xml:space="preserve">   叁份   </w:t>
      </w:r>
      <w:r>
        <w:rPr>
          <w:rFonts w:hint="eastAsia" w:ascii="宋体" w:hAnsi="宋体" w:eastAsia="宋体" w:cs="宋体"/>
          <w:color w:val="auto"/>
          <w:sz w:val="24"/>
          <w:szCs w:val="24"/>
        </w:rPr>
        <w:t>。</w:t>
      </w:r>
    </w:p>
    <w:p w14:paraId="7679B9F3">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承包人提交最终结算申请单的期限：</w:t>
      </w:r>
      <w:r>
        <w:rPr>
          <w:rFonts w:hint="eastAsia" w:ascii="宋体" w:hAnsi="宋体" w:eastAsia="宋体" w:cs="宋体"/>
          <w:color w:val="auto"/>
          <w:sz w:val="24"/>
          <w:szCs w:val="24"/>
          <w:u w:val="single"/>
        </w:rPr>
        <w:t xml:space="preserve"> 双方签字确认工程结算造价之日起15天内 </w:t>
      </w:r>
      <w:r>
        <w:rPr>
          <w:rFonts w:hint="eastAsia" w:ascii="宋体" w:hAnsi="宋体" w:eastAsia="宋体" w:cs="宋体"/>
          <w:color w:val="auto"/>
          <w:sz w:val="24"/>
          <w:szCs w:val="24"/>
        </w:rPr>
        <w:t xml:space="preserve">。 </w:t>
      </w:r>
    </w:p>
    <w:p w14:paraId="6816F998">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14.4.2 最终结清证书和支付</w:t>
      </w:r>
    </w:p>
    <w:p w14:paraId="60628578">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（1）发包人完成最终结清申请单的审批并颁发最终结清证书的期限：</w:t>
      </w:r>
      <w:r>
        <w:rPr>
          <w:rFonts w:hint="eastAsia" w:ascii="宋体" w:hAnsi="宋体" w:eastAsia="宋体" w:cs="宋体"/>
          <w:color w:val="auto"/>
          <w:sz w:val="24"/>
          <w:szCs w:val="24"/>
          <w:u w:val="single"/>
        </w:rPr>
        <w:t xml:space="preserve"> 双方签字确认工程结算造价之日起60天内  </w:t>
      </w:r>
      <w:r>
        <w:rPr>
          <w:rFonts w:hint="eastAsia" w:ascii="宋体" w:hAnsi="宋体" w:eastAsia="宋体" w:cs="宋体"/>
          <w:color w:val="auto"/>
          <w:sz w:val="24"/>
          <w:szCs w:val="24"/>
        </w:rPr>
        <w:t>。</w:t>
      </w:r>
    </w:p>
    <w:p w14:paraId="5A981BAD">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（2）发包人完成支付的期限：</w:t>
      </w:r>
      <w:r>
        <w:rPr>
          <w:rFonts w:hint="eastAsia" w:ascii="宋体" w:hAnsi="宋体" w:eastAsia="宋体" w:cs="宋体"/>
          <w:color w:val="auto"/>
          <w:sz w:val="24"/>
          <w:szCs w:val="24"/>
          <w:u w:val="single"/>
        </w:rPr>
        <w:t xml:space="preserve"> 以财政部门支付资金日期为准 </w:t>
      </w:r>
      <w:r>
        <w:rPr>
          <w:rFonts w:hint="eastAsia" w:ascii="宋体" w:hAnsi="宋体" w:eastAsia="宋体" w:cs="宋体"/>
          <w:color w:val="auto"/>
          <w:sz w:val="24"/>
          <w:szCs w:val="24"/>
        </w:rPr>
        <w:t>。</w:t>
      </w:r>
    </w:p>
    <w:bookmarkEnd w:id="1038"/>
    <w:bookmarkEnd w:id="1039"/>
    <w:bookmarkEnd w:id="1040"/>
    <w:bookmarkEnd w:id="1041"/>
    <w:bookmarkEnd w:id="1042"/>
    <w:bookmarkEnd w:id="1043"/>
    <w:bookmarkEnd w:id="1044"/>
    <w:bookmarkEnd w:id="1050"/>
    <w:p w14:paraId="79AFA358">
      <w:pPr>
        <w:pStyle w:val="5"/>
        <w:spacing w:before="120" w:after="120" w:line="460" w:lineRule="exact"/>
        <w:rPr>
          <w:rFonts w:hint="eastAsia" w:ascii="宋体" w:hAnsi="宋体" w:eastAsia="宋体" w:cs="宋体"/>
          <w:b w:val="0"/>
          <w:color w:val="auto"/>
          <w:sz w:val="24"/>
          <w:szCs w:val="24"/>
        </w:rPr>
      </w:pPr>
      <w:bookmarkStart w:id="1052" w:name="_Toc351203647"/>
      <w:bookmarkStart w:id="1053" w:name="_Toc267251483"/>
      <w:bookmarkStart w:id="1054" w:name="_Toc267251482"/>
      <w:bookmarkStart w:id="1055" w:name="_Toc267251484"/>
      <w:bookmarkStart w:id="1056" w:name="_Toc267251485"/>
      <w:bookmarkStart w:id="1057" w:name="_Toc267251490"/>
      <w:bookmarkStart w:id="1058" w:name="_Toc267251488"/>
      <w:bookmarkStart w:id="1059" w:name="_Toc267251489"/>
      <w:bookmarkStart w:id="1060" w:name="_Toc267251486"/>
      <w:bookmarkStart w:id="1061" w:name="_Toc267251491"/>
      <w:bookmarkStart w:id="1062" w:name="_Toc267251497"/>
      <w:bookmarkStart w:id="1063" w:name="_Toc267251493"/>
      <w:bookmarkStart w:id="1064" w:name="_Toc267251494"/>
      <w:bookmarkStart w:id="1065" w:name="_Toc267251501"/>
      <w:bookmarkStart w:id="1066" w:name="_Toc267251492"/>
      <w:bookmarkStart w:id="1067" w:name="_Toc267251496"/>
      <w:bookmarkStart w:id="1068" w:name="_Toc267251498"/>
      <w:bookmarkStart w:id="1069" w:name="_Toc267251503"/>
      <w:bookmarkStart w:id="1070" w:name="_Toc267251499"/>
      <w:bookmarkStart w:id="1071" w:name="_Toc267251502"/>
      <w:bookmarkStart w:id="1072" w:name="_Toc267251495"/>
      <w:bookmarkStart w:id="1073" w:name="_Toc267251506"/>
      <w:bookmarkStart w:id="1074" w:name="_Toc267251504"/>
      <w:bookmarkStart w:id="1075" w:name="_Toc267251507"/>
      <w:bookmarkStart w:id="1076" w:name="_Toc267251508"/>
      <w:bookmarkStart w:id="1077" w:name="_Toc267251509"/>
      <w:bookmarkStart w:id="1078" w:name="_Toc267251515"/>
      <w:bookmarkStart w:id="1079" w:name="_Toc267251510"/>
      <w:bookmarkStart w:id="1080" w:name="_Toc267251514"/>
      <w:bookmarkStart w:id="1081" w:name="_Toc267251511"/>
      <w:bookmarkStart w:id="1082" w:name="_Toc267251513"/>
      <w:r>
        <w:rPr>
          <w:rFonts w:hint="eastAsia" w:ascii="宋体" w:hAnsi="宋体" w:eastAsia="宋体" w:cs="宋体"/>
          <w:b w:val="0"/>
          <w:color w:val="auto"/>
          <w:sz w:val="24"/>
          <w:szCs w:val="24"/>
        </w:rPr>
        <w:t>15. 缺陷责任期与保修</w:t>
      </w:r>
      <w:bookmarkEnd w:id="1052"/>
    </w:p>
    <w:p w14:paraId="163E7849">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15.2缺陷责任期</w:t>
      </w:r>
      <w:bookmarkEnd w:id="1053"/>
    </w:p>
    <w:p w14:paraId="211DC367">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缺陷责任期的具体期限：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无</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7799D7C">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15.3 质量保证金</w:t>
      </w:r>
    </w:p>
    <w:p w14:paraId="726310EB">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关于是否扣留质量保证金的约定：</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。在工程项目竣工前，承包人按专用合同条款第3.7条提供履约担保的，发包人不得同时预留工程质量保证金。</w:t>
      </w:r>
    </w:p>
    <w:p w14:paraId="36165057">
      <w:pPr>
        <w:spacing w:line="460" w:lineRule="exact"/>
        <w:ind w:firstLine="480" w:firstLineChars="200"/>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rPr>
        <w:t>15.3.1 承包人提供质量保证金的方式</w:t>
      </w:r>
    </w:p>
    <w:p w14:paraId="320213F2">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质量保证金采用以下第</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种方式：</w:t>
      </w:r>
    </w:p>
    <w:p w14:paraId="67BA401C">
      <w:pPr>
        <w:autoSpaceDE w:val="0"/>
        <w:autoSpaceDN w:val="0"/>
        <w:adjustRightInd w:val="0"/>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（1）质量保证金保函，保证金额为：</w:t>
      </w:r>
      <w:r>
        <w:rPr>
          <w:rFonts w:hint="eastAsia" w:ascii="宋体" w:hAnsi="宋体" w:eastAsia="宋体" w:cs="宋体"/>
          <w:color w:val="auto"/>
          <w:kern w:val="0"/>
          <w:sz w:val="24"/>
          <w:szCs w:val="24"/>
          <w:u w:val="single"/>
        </w:rPr>
        <w:t xml:space="preserve">    /         </w:t>
      </w:r>
      <w:r>
        <w:rPr>
          <w:rFonts w:hint="eastAsia" w:ascii="宋体" w:hAnsi="宋体" w:eastAsia="宋体" w:cs="宋体"/>
          <w:color w:val="auto"/>
          <w:kern w:val="0"/>
          <w:sz w:val="24"/>
          <w:szCs w:val="24"/>
        </w:rPr>
        <w:t xml:space="preserve">； </w:t>
      </w:r>
    </w:p>
    <w:p w14:paraId="1A2F1B19">
      <w:pPr>
        <w:autoSpaceDE w:val="0"/>
        <w:autoSpaceDN w:val="0"/>
        <w:adjustRightInd w:val="0"/>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的工程款；</w:t>
      </w:r>
    </w:p>
    <w:p w14:paraId="4CB6A1C7">
      <w:pPr>
        <w:autoSpaceDE w:val="0"/>
        <w:autoSpaceDN w:val="0"/>
        <w:adjustRightInd w:val="0"/>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（3）其他方式:</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w:t>
      </w:r>
    </w:p>
    <w:p w14:paraId="1D4C193A">
      <w:pPr>
        <w:spacing w:line="460" w:lineRule="exact"/>
        <w:ind w:firstLine="480" w:firstLineChars="200"/>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rPr>
        <w:t xml:space="preserve">15.3.2 质量保证金的扣留 </w:t>
      </w:r>
    </w:p>
    <w:p w14:paraId="3CC91CF0">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质量保证金的扣留采取以下第</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种方式：</w:t>
      </w:r>
    </w:p>
    <w:p w14:paraId="4067AD84">
      <w:pPr>
        <w:autoSpaceDE w:val="0"/>
        <w:autoSpaceDN w:val="0"/>
        <w:adjustRightInd w:val="0"/>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（1）在支付工程进度款时逐次扣留，在此情形下，质量保证金的计算基数不包括预付款的支付、扣回以及价格调整的金额；</w:t>
      </w:r>
    </w:p>
    <w:p w14:paraId="78604286">
      <w:pPr>
        <w:autoSpaceDE w:val="0"/>
        <w:autoSpaceDN w:val="0"/>
        <w:adjustRightInd w:val="0"/>
        <w:spacing w:line="460" w:lineRule="exact"/>
        <w:ind w:firstLine="480" w:firstLineChars="200"/>
        <w:jc w:val="left"/>
        <w:outlineLvl w:val="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（2）工程竣工结算时一次性扣留质量保证金；</w:t>
      </w:r>
    </w:p>
    <w:p w14:paraId="784EAC37">
      <w:pPr>
        <w:autoSpaceDE w:val="0"/>
        <w:autoSpaceDN w:val="0"/>
        <w:adjustRightInd w:val="0"/>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（3）其他扣留式:</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w:t>
      </w:r>
    </w:p>
    <w:p w14:paraId="4176BAB8">
      <w:pPr>
        <w:spacing w:line="460" w:lineRule="exact"/>
        <w:ind w:firstLine="720" w:firstLineChars="300"/>
        <w:jc w:val="left"/>
        <w:rPr>
          <w:rFonts w:hint="eastAsia" w:ascii="宋体" w:hAnsi="宋体" w:eastAsia="宋体" w:cs="宋体"/>
          <w:color w:val="auto"/>
          <w:sz w:val="24"/>
          <w:szCs w:val="24"/>
        </w:rPr>
      </w:pPr>
      <w:r>
        <w:rPr>
          <w:rFonts w:hint="eastAsia" w:ascii="宋体" w:hAnsi="宋体" w:eastAsia="宋体" w:cs="宋体"/>
          <w:color w:val="auto"/>
          <w:sz w:val="24"/>
          <w:szCs w:val="24"/>
        </w:rPr>
        <w:t>关于质量保证金的补充约定：</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u w:val="single"/>
          <w:lang w:val="en-US" w:eastAsia="zh-CN"/>
        </w:rPr>
        <w:t>/</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w:t>
      </w:r>
    </w:p>
    <w:bookmarkEnd w:id="1054"/>
    <w:bookmarkEnd w:id="1055"/>
    <w:p w14:paraId="1E3B2F43">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15.4保修</w:t>
      </w:r>
    </w:p>
    <w:bookmarkEnd w:id="1056"/>
    <w:p w14:paraId="5BE5A401">
      <w:pPr>
        <w:spacing w:line="460" w:lineRule="exact"/>
        <w:ind w:firstLine="468" w:firstLineChars="195"/>
        <w:jc w:val="left"/>
        <w:rPr>
          <w:rFonts w:hint="eastAsia" w:ascii="宋体" w:hAnsi="宋体" w:eastAsia="宋体" w:cs="宋体"/>
          <w:color w:val="auto"/>
          <w:sz w:val="24"/>
          <w:szCs w:val="24"/>
        </w:rPr>
      </w:pPr>
      <w:r>
        <w:rPr>
          <w:rFonts w:hint="eastAsia" w:ascii="宋体" w:hAnsi="宋体" w:eastAsia="宋体" w:cs="宋体"/>
          <w:color w:val="auto"/>
          <w:sz w:val="24"/>
          <w:szCs w:val="24"/>
        </w:rPr>
        <w:t>15.4.1 保修责任</w:t>
      </w:r>
    </w:p>
    <w:p w14:paraId="232EA9B3">
      <w:pPr>
        <w:spacing w:line="460" w:lineRule="exact"/>
        <w:jc w:val="left"/>
        <w:rPr>
          <w:rFonts w:hint="eastAsia" w:ascii="宋体" w:hAnsi="宋体" w:eastAsia="宋体" w:cs="宋体"/>
          <w:color w:val="auto"/>
          <w:kern w:val="0"/>
          <w:sz w:val="24"/>
          <w:szCs w:val="24"/>
        </w:rPr>
      </w:pPr>
      <w:r>
        <w:rPr>
          <w:rFonts w:hint="eastAsia" w:ascii="宋体" w:hAnsi="宋体" w:eastAsia="宋体" w:cs="宋体"/>
          <w:color w:val="auto"/>
          <w:sz w:val="24"/>
          <w:szCs w:val="24"/>
        </w:rPr>
        <w:t>工程保修期为：</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u w:val="single"/>
          <w:lang w:val="en-US" w:eastAsia="zh-CN"/>
        </w:rPr>
        <w:t>无</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w:t>
      </w:r>
    </w:p>
    <w:p w14:paraId="7FD48971">
      <w:pPr>
        <w:spacing w:line="460" w:lineRule="exact"/>
        <w:ind w:firstLine="468" w:firstLineChars="195"/>
        <w:jc w:val="left"/>
        <w:rPr>
          <w:rFonts w:hint="eastAsia" w:ascii="宋体" w:hAnsi="宋体" w:eastAsia="宋体" w:cs="宋体"/>
          <w:color w:val="auto"/>
          <w:sz w:val="24"/>
          <w:szCs w:val="24"/>
        </w:rPr>
      </w:pPr>
      <w:r>
        <w:rPr>
          <w:rFonts w:hint="eastAsia" w:ascii="宋体" w:hAnsi="宋体" w:eastAsia="宋体" w:cs="宋体"/>
          <w:color w:val="auto"/>
          <w:sz w:val="24"/>
          <w:szCs w:val="24"/>
        </w:rPr>
        <w:t>15.4.3 修复通知</w:t>
      </w:r>
    </w:p>
    <w:p w14:paraId="009DF313">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承包人收到保修通知并到达工程现场的合理时间：</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u w:val="single"/>
          <w:lang w:val="en-US" w:eastAsia="zh-CN"/>
        </w:rPr>
        <w:t>/</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w:t>
      </w:r>
    </w:p>
    <w:bookmarkEnd w:id="1057"/>
    <w:bookmarkEnd w:id="1058"/>
    <w:bookmarkEnd w:id="1059"/>
    <w:bookmarkEnd w:id="1060"/>
    <w:p w14:paraId="2E14E61B">
      <w:pPr>
        <w:pStyle w:val="5"/>
        <w:spacing w:before="120" w:after="120" w:line="460" w:lineRule="exact"/>
        <w:rPr>
          <w:rFonts w:hint="eastAsia" w:ascii="宋体" w:hAnsi="宋体" w:eastAsia="宋体" w:cs="宋体"/>
          <w:b w:val="0"/>
          <w:color w:val="auto"/>
          <w:sz w:val="24"/>
          <w:szCs w:val="24"/>
        </w:rPr>
      </w:pPr>
      <w:bookmarkStart w:id="1083" w:name="_Toc351203648"/>
      <w:bookmarkStart w:id="1084" w:name="_Toc280868717"/>
      <w:bookmarkStart w:id="1085" w:name="_Toc280868718"/>
      <w:r>
        <w:rPr>
          <w:rFonts w:hint="eastAsia" w:ascii="宋体" w:hAnsi="宋体" w:eastAsia="宋体" w:cs="宋体"/>
          <w:b w:val="0"/>
          <w:color w:val="auto"/>
          <w:sz w:val="24"/>
          <w:szCs w:val="24"/>
        </w:rPr>
        <w:t>16. 违约</w:t>
      </w:r>
      <w:bookmarkEnd w:id="1083"/>
    </w:p>
    <w:p w14:paraId="656C5007">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16.1 发包人违约</w:t>
      </w:r>
    </w:p>
    <w:p w14:paraId="4FDEAE64">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16.1.1发包人违约的情形</w:t>
      </w:r>
    </w:p>
    <w:p w14:paraId="23BE0464">
      <w:pPr>
        <w:spacing w:line="460" w:lineRule="exact"/>
        <w:ind w:left="13" w:leftChars="6" w:firstLine="578" w:firstLineChars="241"/>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发包人违约的其他情形：</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u w:val="single"/>
          <w:lang w:eastAsia="zh-CN"/>
        </w:rPr>
        <w:t>无</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w:t>
      </w:r>
    </w:p>
    <w:p w14:paraId="56355AF5">
      <w:pPr>
        <w:spacing w:line="460" w:lineRule="exact"/>
        <w:ind w:left="1200" w:hanging="1200" w:hangingChars="5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    16.1.2 发包人违约的责任</w:t>
      </w:r>
    </w:p>
    <w:p w14:paraId="79201EE4">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发包人违约责任的承担方式和计算方法：</w:t>
      </w:r>
    </w:p>
    <w:p w14:paraId="3B5387DC">
      <w:pPr>
        <w:spacing w:line="460" w:lineRule="exact"/>
        <w:ind w:firstLine="480" w:firstLineChars="200"/>
        <w:jc w:val="left"/>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（1）因发包人原因未能在计划开工日期前7天内下达开工通知的违约责任：</w:t>
      </w:r>
      <w:r>
        <w:rPr>
          <w:rFonts w:hint="eastAsia" w:ascii="宋体" w:hAnsi="宋体" w:eastAsia="宋体" w:cs="宋体"/>
          <w:color w:val="auto"/>
          <w:kern w:val="0"/>
          <w:sz w:val="24"/>
          <w:szCs w:val="24"/>
          <w:u w:val="single"/>
        </w:rPr>
        <w:t xml:space="preserve"> </w:t>
      </w:r>
      <w:r>
        <w:rPr>
          <w:rFonts w:hint="eastAsia" w:ascii="仿宋_GB2312" w:eastAsia="仿宋_GB2312"/>
          <w:color w:val="auto"/>
          <w:kern w:val="0"/>
          <w:sz w:val="28"/>
          <w:szCs w:val="28"/>
          <w:u w:val="single"/>
        </w:rPr>
        <w:t>开工时间相应顺延</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w:t>
      </w:r>
    </w:p>
    <w:p w14:paraId="722F4EE0">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（2）因发包人原因未能按合同约定支付合同价款的违约责任：</w:t>
      </w:r>
      <w:r>
        <w:rPr>
          <w:rFonts w:hint="eastAsia" w:ascii="宋体" w:hAnsi="宋体" w:eastAsia="宋体" w:cs="宋体"/>
          <w:color w:val="auto"/>
          <w:kern w:val="0"/>
          <w:sz w:val="24"/>
          <w:szCs w:val="24"/>
          <w:u w:val="single"/>
          <w:lang w:val="en-US" w:eastAsia="zh-CN"/>
        </w:rPr>
        <w:t>/</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w:t>
      </w:r>
    </w:p>
    <w:p w14:paraId="4A76C4A6">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（3）发包人违反第10.1款〔变更的范围〕第（2）项约定，自行实施被取消的工作或转由他人实施的违约责任：</w:t>
      </w:r>
      <w:r>
        <w:rPr>
          <w:rFonts w:hint="eastAsia" w:ascii="宋体" w:hAnsi="宋体" w:eastAsia="宋体" w:cs="宋体"/>
          <w:color w:val="auto"/>
          <w:kern w:val="0"/>
          <w:sz w:val="24"/>
          <w:szCs w:val="24"/>
          <w:u w:val="single"/>
        </w:rPr>
        <w:t xml:space="preserve"> 双方另行商定，如承包人不同意实施的除外 </w:t>
      </w:r>
      <w:r>
        <w:rPr>
          <w:rFonts w:hint="eastAsia" w:ascii="宋体" w:hAnsi="宋体" w:eastAsia="宋体" w:cs="宋体"/>
          <w:color w:val="auto"/>
          <w:kern w:val="0"/>
          <w:sz w:val="24"/>
          <w:szCs w:val="24"/>
        </w:rPr>
        <w:t>。</w:t>
      </w:r>
    </w:p>
    <w:p w14:paraId="5CEEDE14">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（4）发包人提供的材料、工程设备的规格、数量或质量不符合合同约定，或因发包人原因导致交货日期延误或交货地点变更等情况的违约责任：</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u w:val="single"/>
          <w:lang w:eastAsia="zh-CN"/>
        </w:rPr>
        <w:t>无</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w:t>
      </w:r>
    </w:p>
    <w:p w14:paraId="07127E34">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（5）因发包人违反合同约定造成暂停施工的违约责任：</w:t>
      </w:r>
      <w:r>
        <w:rPr>
          <w:rFonts w:hint="eastAsia" w:ascii="宋体" w:hAnsi="宋体" w:eastAsia="宋体" w:cs="宋体"/>
          <w:color w:val="auto"/>
          <w:kern w:val="0"/>
          <w:sz w:val="24"/>
          <w:szCs w:val="24"/>
          <w:u w:val="single"/>
        </w:rPr>
        <w:t xml:space="preserve"> 工期顺延  </w:t>
      </w:r>
      <w:r>
        <w:rPr>
          <w:rFonts w:hint="eastAsia" w:ascii="宋体" w:hAnsi="宋体" w:eastAsia="宋体" w:cs="宋体"/>
          <w:color w:val="auto"/>
          <w:kern w:val="0"/>
          <w:sz w:val="24"/>
          <w:szCs w:val="24"/>
        </w:rPr>
        <w:t>。</w:t>
      </w:r>
    </w:p>
    <w:p w14:paraId="52914721">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（6）发包人无正当理由没有在约定期限内发出复工指示，导致承包人无法复工的违约责任：</w:t>
      </w:r>
      <w:r>
        <w:rPr>
          <w:rFonts w:hint="eastAsia" w:ascii="宋体" w:hAnsi="宋体" w:eastAsia="宋体" w:cs="宋体"/>
          <w:color w:val="auto"/>
          <w:kern w:val="0"/>
          <w:sz w:val="24"/>
          <w:szCs w:val="24"/>
          <w:u w:val="single"/>
        </w:rPr>
        <w:t xml:space="preserve">工期顺延  </w:t>
      </w:r>
      <w:r>
        <w:rPr>
          <w:rFonts w:hint="eastAsia" w:ascii="宋体" w:hAnsi="宋体" w:eastAsia="宋体" w:cs="宋体"/>
          <w:color w:val="auto"/>
          <w:kern w:val="0"/>
          <w:sz w:val="24"/>
          <w:szCs w:val="24"/>
        </w:rPr>
        <w:t>。</w:t>
      </w:r>
    </w:p>
    <w:p w14:paraId="10BFD7E3">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（7）其他：</w:t>
      </w:r>
      <w:r>
        <w:rPr>
          <w:rFonts w:hint="eastAsia" w:ascii="宋体" w:hAnsi="宋体" w:eastAsia="宋体" w:cs="宋体"/>
          <w:color w:val="auto"/>
          <w:kern w:val="0"/>
          <w:sz w:val="24"/>
          <w:szCs w:val="24"/>
          <w:u w:val="single"/>
        </w:rPr>
        <w:t xml:space="preserve">  无  </w:t>
      </w:r>
      <w:r>
        <w:rPr>
          <w:rFonts w:hint="eastAsia" w:ascii="宋体" w:hAnsi="宋体" w:eastAsia="宋体" w:cs="宋体"/>
          <w:color w:val="auto"/>
          <w:kern w:val="0"/>
          <w:sz w:val="24"/>
          <w:szCs w:val="24"/>
        </w:rPr>
        <w:t>。</w:t>
      </w:r>
    </w:p>
    <w:p w14:paraId="77D57566">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16.1.3 因发包人违约解除合同</w:t>
      </w:r>
    </w:p>
    <w:p w14:paraId="3992459B">
      <w:pPr>
        <w:autoSpaceDE w:val="0"/>
        <w:autoSpaceDN w:val="0"/>
        <w:adjustRightInd w:val="0"/>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承包人按16.1.1项〔发包人违约的情形〕约定暂停施工满</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u w:val="single"/>
          <w:lang w:val="en-US" w:eastAsia="zh-CN"/>
        </w:rPr>
        <w:t>6</w:t>
      </w:r>
      <w:r>
        <w:rPr>
          <w:rFonts w:hint="eastAsia" w:ascii="宋体" w:hAnsi="宋体" w:eastAsia="宋体" w:cs="宋体"/>
          <w:color w:val="auto"/>
          <w:kern w:val="0"/>
          <w:sz w:val="24"/>
          <w:szCs w:val="24"/>
          <w:u w:val="single"/>
        </w:rPr>
        <w:t xml:space="preserve">0 </w:t>
      </w:r>
      <w:r>
        <w:rPr>
          <w:rFonts w:hint="eastAsia" w:ascii="宋体" w:hAnsi="宋体" w:eastAsia="宋体" w:cs="宋体"/>
          <w:color w:val="auto"/>
          <w:kern w:val="0"/>
          <w:sz w:val="24"/>
          <w:szCs w:val="24"/>
        </w:rPr>
        <w:t>天后发包人仍不纠正其违约行为并致使合同目的不能实现的，承包人有权解除合同。</w:t>
      </w:r>
    </w:p>
    <w:p w14:paraId="162E7E99">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16.2 承包人违约</w:t>
      </w:r>
    </w:p>
    <w:p w14:paraId="6188EAB7">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16.2.1 承包人违约的情形</w:t>
      </w:r>
    </w:p>
    <w:p w14:paraId="135317B7">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承包人违约的其他情形：</w:t>
      </w:r>
      <w:r>
        <w:rPr>
          <w:rFonts w:hint="eastAsia" w:ascii="宋体" w:hAnsi="宋体" w:eastAsia="宋体" w:cs="宋体"/>
          <w:color w:val="auto"/>
          <w:kern w:val="0"/>
          <w:sz w:val="24"/>
          <w:szCs w:val="24"/>
          <w:u w:val="single"/>
        </w:rPr>
        <w:t xml:space="preserve"> 擅自将工程转包、分包 </w:t>
      </w:r>
      <w:r>
        <w:rPr>
          <w:rFonts w:hint="eastAsia" w:ascii="宋体" w:hAnsi="宋体" w:eastAsia="宋体" w:cs="宋体"/>
          <w:color w:val="auto"/>
          <w:kern w:val="0"/>
          <w:sz w:val="24"/>
          <w:szCs w:val="24"/>
        </w:rPr>
        <w:t>。</w:t>
      </w:r>
    </w:p>
    <w:p w14:paraId="42878769">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16.2.2承包人违约的责任</w:t>
      </w:r>
    </w:p>
    <w:p w14:paraId="09E21475">
      <w:pPr>
        <w:spacing w:line="460" w:lineRule="exact"/>
        <w:ind w:left="19" w:leftChars="9" w:firstLine="458" w:firstLineChars="191"/>
        <w:jc w:val="left"/>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承包人违约责任的承担方式和计算方法：</w:t>
      </w:r>
      <w:r>
        <w:rPr>
          <w:rFonts w:hint="eastAsia" w:ascii="宋体" w:hAnsi="宋体" w:eastAsia="宋体" w:cs="宋体"/>
          <w:color w:val="auto"/>
          <w:kern w:val="0"/>
          <w:sz w:val="24"/>
          <w:szCs w:val="24"/>
          <w:u w:val="single"/>
        </w:rPr>
        <w:t xml:space="preserve"> 承包人违反合同约定进行转包或违法分包的，发包人可向承包人发出整改通知，要求其在指定的期限内改正 </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 xml:space="preserve">    </w:t>
      </w:r>
    </w:p>
    <w:p w14:paraId="0D4CDB29">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16.2.3 因承包人违约解除合同</w:t>
      </w:r>
    </w:p>
    <w:p w14:paraId="3884314F">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关于承包人违约解除合同的特别约定：</w:t>
      </w:r>
      <w:r>
        <w:rPr>
          <w:rFonts w:hint="eastAsia" w:ascii="宋体" w:hAnsi="宋体" w:eastAsia="宋体" w:cs="宋体"/>
          <w:color w:val="auto"/>
          <w:kern w:val="0"/>
          <w:sz w:val="24"/>
          <w:szCs w:val="24"/>
          <w:u w:val="single"/>
        </w:rPr>
        <w:t xml:space="preserve"> 由承包人承担由此给发包人带来的全部经济损失及相关法律责任并按合同约定向发包人支付违约金 </w:t>
      </w:r>
      <w:r>
        <w:rPr>
          <w:rFonts w:hint="eastAsia" w:ascii="宋体" w:hAnsi="宋体" w:eastAsia="宋体" w:cs="宋体"/>
          <w:color w:val="auto"/>
          <w:kern w:val="0"/>
          <w:sz w:val="24"/>
          <w:szCs w:val="24"/>
        </w:rPr>
        <w:t>。</w:t>
      </w:r>
    </w:p>
    <w:p w14:paraId="0FB08C3B">
      <w:pPr>
        <w:spacing w:before="120" w:after="120" w:line="46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发包人继续使用承包人在施工现场的材料、设备、临时工程、承包人文件和由承包人或以其名义编制的其他文件的费用承担方式：</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u w:val="single"/>
          <w:lang w:eastAsia="zh-CN"/>
        </w:rPr>
        <w:t>双方另行商定</w:t>
      </w:r>
      <w:r>
        <w:rPr>
          <w:rFonts w:hint="eastAsia" w:ascii="宋体" w:hAnsi="宋体" w:eastAsia="宋体" w:cs="宋体"/>
          <w:color w:val="auto"/>
          <w:kern w:val="0"/>
          <w:sz w:val="24"/>
          <w:szCs w:val="24"/>
        </w:rPr>
        <w:t>。</w:t>
      </w:r>
    </w:p>
    <w:p w14:paraId="420DEF36">
      <w:pPr>
        <w:pStyle w:val="5"/>
        <w:spacing w:before="120" w:after="120" w:line="460" w:lineRule="exact"/>
        <w:rPr>
          <w:rFonts w:hint="eastAsia" w:ascii="宋体" w:hAnsi="宋体" w:eastAsia="宋体" w:cs="宋体"/>
          <w:b w:val="0"/>
          <w:color w:val="auto"/>
          <w:sz w:val="24"/>
          <w:szCs w:val="24"/>
        </w:rPr>
      </w:pPr>
      <w:bookmarkStart w:id="1086" w:name="_Toc351203649"/>
      <w:r>
        <w:rPr>
          <w:rFonts w:hint="eastAsia" w:ascii="宋体" w:hAnsi="宋体" w:eastAsia="宋体" w:cs="宋体"/>
          <w:b w:val="0"/>
          <w:color w:val="auto"/>
          <w:sz w:val="24"/>
          <w:szCs w:val="24"/>
        </w:rPr>
        <w:t>17. 不可抗力</w:t>
      </w:r>
      <w:bookmarkEnd w:id="1086"/>
      <w:r>
        <w:rPr>
          <w:rFonts w:hint="eastAsia" w:ascii="宋体" w:hAnsi="宋体" w:eastAsia="宋体" w:cs="宋体"/>
          <w:b w:val="0"/>
          <w:color w:val="auto"/>
          <w:sz w:val="24"/>
          <w:szCs w:val="24"/>
        </w:rPr>
        <w:t xml:space="preserve"> </w:t>
      </w:r>
      <w:bookmarkEnd w:id="1084"/>
    </w:p>
    <w:p w14:paraId="038F11B9">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17.1 不可抗力的确认</w:t>
      </w:r>
    </w:p>
    <w:p w14:paraId="6BA330A9">
      <w:pPr>
        <w:spacing w:line="460" w:lineRule="exact"/>
        <w:ind w:firstLine="480" w:firstLineChars="200"/>
        <w:jc w:val="left"/>
        <w:rPr>
          <w:rFonts w:hint="eastAsia" w:ascii="宋体" w:hAnsi="宋体" w:eastAsia="宋体" w:cs="宋体"/>
          <w:color w:val="auto"/>
          <w:kern w:val="0"/>
          <w:sz w:val="24"/>
          <w:szCs w:val="24"/>
          <w:u w:val="single"/>
        </w:rPr>
      </w:pPr>
      <w:r>
        <w:rPr>
          <w:rFonts w:hint="eastAsia" w:ascii="宋体" w:hAnsi="宋体" w:eastAsia="宋体" w:cs="宋体"/>
          <w:color w:val="auto"/>
          <w:sz w:val="24"/>
          <w:szCs w:val="24"/>
        </w:rPr>
        <w:t xml:space="preserve">除通用合同条款约定的不可抗力事件之外，视为不可抗力的其他情形： </w:t>
      </w:r>
      <w:r>
        <w:rPr>
          <w:rFonts w:hint="eastAsia" w:ascii="仿宋_GB2312" w:hAnsi="宋体" w:eastAsia="仿宋_GB2312"/>
          <w:color w:val="auto"/>
          <w:kern w:val="0"/>
          <w:sz w:val="28"/>
          <w:szCs w:val="28"/>
          <w:u w:val="single"/>
        </w:rPr>
        <w:t xml:space="preserve">  </w:t>
      </w:r>
      <w:r>
        <w:rPr>
          <w:rFonts w:hint="eastAsia" w:ascii="宋体" w:hAnsi="宋体" w:eastAsia="宋体" w:cs="宋体"/>
          <w:color w:val="auto"/>
          <w:kern w:val="0"/>
          <w:sz w:val="24"/>
          <w:szCs w:val="24"/>
          <w:u w:val="single"/>
        </w:rPr>
        <w:t xml:space="preserve">十级以上的台风、连续3小时降雨达100毫米以上的暴雨、四级以上的地震、十年以上未发生过的洪水 </w:t>
      </w:r>
      <w:r>
        <w:rPr>
          <w:rFonts w:hint="eastAsia" w:ascii="宋体" w:hAnsi="宋体" w:eastAsia="宋体" w:cs="宋体"/>
          <w:color w:val="auto"/>
          <w:kern w:val="0"/>
          <w:sz w:val="24"/>
          <w:szCs w:val="24"/>
        </w:rPr>
        <w:t>。</w:t>
      </w:r>
    </w:p>
    <w:p w14:paraId="180559B7">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17.4 因不可抗力解除合同</w:t>
      </w:r>
    </w:p>
    <w:p w14:paraId="1ACE3ED8">
      <w:pPr>
        <w:spacing w:line="460" w:lineRule="exact"/>
        <w:ind w:firstLine="436" w:firstLineChars="200"/>
        <w:jc w:val="left"/>
        <w:rPr>
          <w:rFonts w:hint="eastAsia" w:ascii="宋体" w:hAnsi="宋体" w:eastAsia="宋体" w:cs="宋体"/>
          <w:color w:val="auto"/>
          <w:spacing w:val="-11"/>
          <w:sz w:val="24"/>
          <w:szCs w:val="24"/>
        </w:rPr>
      </w:pPr>
      <w:r>
        <w:rPr>
          <w:rFonts w:hint="eastAsia" w:ascii="宋体" w:hAnsi="宋体" w:eastAsia="宋体" w:cs="宋体"/>
          <w:color w:val="auto"/>
          <w:spacing w:val="-11"/>
          <w:sz w:val="24"/>
          <w:szCs w:val="24"/>
        </w:rPr>
        <w:t>合同解除后，发包人应在商定或确定发包人应支付款项后</w:t>
      </w:r>
      <w:r>
        <w:rPr>
          <w:rFonts w:hint="eastAsia" w:ascii="宋体" w:hAnsi="宋体" w:eastAsia="宋体" w:cs="宋体"/>
          <w:color w:val="auto"/>
          <w:spacing w:val="-11"/>
          <w:sz w:val="24"/>
          <w:szCs w:val="24"/>
          <w:u w:val="single"/>
        </w:rPr>
        <w:t xml:space="preserve"> </w:t>
      </w:r>
      <w:r>
        <w:rPr>
          <w:rFonts w:hint="eastAsia" w:ascii="宋体" w:hAnsi="宋体" w:eastAsia="宋体" w:cs="宋体"/>
          <w:color w:val="auto"/>
          <w:spacing w:val="-11"/>
          <w:sz w:val="24"/>
          <w:szCs w:val="24"/>
          <w:u w:val="single"/>
          <w:lang w:val="en-US" w:eastAsia="zh-CN"/>
        </w:rPr>
        <w:t>90</w:t>
      </w:r>
      <w:r>
        <w:rPr>
          <w:rFonts w:hint="eastAsia" w:ascii="宋体" w:hAnsi="宋体" w:eastAsia="宋体" w:cs="宋体"/>
          <w:color w:val="auto"/>
          <w:spacing w:val="-11"/>
          <w:sz w:val="24"/>
          <w:szCs w:val="24"/>
          <w:u w:val="single"/>
        </w:rPr>
        <w:t xml:space="preserve"> </w:t>
      </w:r>
      <w:r>
        <w:rPr>
          <w:rFonts w:hint="eastAsia" w:ascii="宋体" w:hAnsi="宋体" w:eastAsia="宋体" w:cs="宋体"/>
          <w:color w:val="auto"/>
          <w:spacing w:val="-11"/>
          <w:sz w:val="24"/>
          <w:szCs w:val="24"/>
        </w:rPr>
        <w:t>天内完成款项的支付。</w:t>
      </w:r>
    </w:p>
    <w:p w14:paraId="6C28B651">
      <w:pPr>
        <w:pStyle w:val="5"/>
        <w:spacing w:before="120" w:after="120" w:line="460" w:lineRule="exact"/>
        <w:rPr>
          <w:rFonts w:hint="eastAsia" w:ascii="宋体" w:hAnsi="宋体" w:eastAsia="宋体" w:cs="宋体"/>
          <w:b w:val="0"/>
          <w:color w:val="auto"/>
          <w:sz w:val="24"/>
          <w:szCs w:val="24"/>
        </w:rPr>
      </w:pPr>
      <w:bookmarkStart w:id="1087" w:name="_Toc351203650"/>
      <w:r>
        <w:rPr>
          <w:rFonts w:hint="eastAsia" w:ascii="宋体" w:hAnsi="宋体" w:eastAsia="宋体" w:cs="宋体"/>
          <w:b w:val="0"/>
          <w:color w:val="auto"/>
          <w:sz w:val="24"/>
          <w:szCs w:val="24"/>
        </w:rPr>
        <w:t>18. 保险</w:t>
      </w:r>
      <w:bookmarkEnd w:id="1087"/>
    </w:p>
    <w:bookmarkEnd w:id="1085"/>
    <w:p w14:paraId="3D5E5BCE">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18.1 工程保险</w:t>
      </w:r>
    </w:p>
    <w:p w14:paraId="0F8A7250">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关于工程保险的特别约定：</w:t>
      </w:r>
      <w:r>
        <w:rPr>
          <w:rFonts w:hint="eastAsia" w:ascii="宋体" w:hAnsi="宋体" w:eastAsia="宋体" w:cs="宋体"/>
          <w:color w:val="auto"/>
          <w:kern w:val="0"/>
          <w:sz w:val="24"/>
          <w:szCs w:val="24"/>
          <w:u w:val="single"/>
        </w:rPr>
        <w:t xml:space="preserve"> 工伤保险由承包人按照规定标准为职工进行投保  </w:t>
      </w:r>
      <w:r>
        <w:rPr>
          <w:rFonts w:hint="eastAsia" w:ascii="宋体" w:hAnsi="宋体" w:eastAsia="宋体" w:cs="宋体"/>
          <w:color w:val="auto"/>
          <w:kern w:val="0"/>
          <w:sz w:val="24"/>
          <w:szCs w:val="24"/>
        </w:rPr>
        <w:t>。</w:t>
      </w:r>
    </w:p>
    <w:p w14:paraId="55125EC3">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18.3 其他保险</w:t>
      </w:r>
    </w:p>
    <w:p w14:paraId="2FC1A214">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sz w:val="24"/>
          <w:szCs w:val="24"/>
        </w:rPr>
        <w:t>关于其他保险的约定：</w:t>
      </w:r>
      <w:r>
        <w:rPr>
          <w:rFonts w:hint="eastAsia" w:ascii="宋体" w:hAnsi="宋体" w:eastAsia="宋体" w:cs="宋体"/>
          <w:color w:val="auto"/>
          <w:kern w:val="0"/>
          <w:sz w:val="24"/>
          <w:szCs w:val="24"/>
          <w:u w:val="single"/>
        </w:rPr>
        <w:t xml:space="preserve"> 无 </w:t>
      </w:r>
      <w:r>
        <w:rPr>
          <w:rFonts w:hint="eastAsia" w:ascii="宋体" w:hAnsi="宋体" w:eastAsia="宋体" w:cs="宋体"/>
          <w:color w:val="auto"/>
          <w:kern w:val="0"/>
          <w:sz w:val="24"/>
          <w:szCs w:val="24"/>
        </w:rPr>
        <w:t>。</w:t>
      </w:r>
    </w:p>
    <w:p w14:paraId="0F2D9A96">
      <w:pPr>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sz w:val="24"/>
          <w:szCs w:val="24"/>
        </w:rPr>
        <w:t>承包人是否应为其施工设备等办理财产保险：</w:t>
      </w:r>
      <w:r>
        <w:rPr>
          <w:rFonts w:hint="eastAsia" w:ascii="宋体" w:hAnsi="宋体" w:eastAsia="宋体" w:cs="宋体"/>
          <w:color w:val="auto"/>
          <w:sz w:val="24"/>
          <w:szCs w:val="24"/>
          <w:u w:val="single"/>
        </w:rPr>
        <w:t xml:space="preserve"> 按通用条款执行 </w:t>
      </w:r>
      <w:r>
        <w:rPr>
          <w:rFonts w:hint="eastAsia" w:ascii="宋体" w:hAnsi="宋体" w:eastAsia="宋体" w:cs="宋体"/>
          <w:color w:val="auto"/>
          <w:sz w:val="24"/>
          <w:szCs w:val="24"/>
        </w:rPr>
        <w:t>。</w:t>
      </w:r>
    </w:p>
    <w:p w14:paraId="2E15EE8D">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18.7 通知义务</w:t>
      </w:r>
    </w:p>
    <w:p w14:paraId="5166DBB0">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关于变更保险合同时的通知义务的约定：</w:t>
      </w:r>
      <w:r>
        <w:rPr>
          <w:rFonts w:hint="eastAsia" w:ascii="宋体" w:hAnsi="宋体" w:eastAsia="宋体" w:cs="宋体"/>
          <w:color w:val="auto"/>
          <w:sz w:val="24"/>
          <w:szCs w:val="24"/>
          <w:u w:val="single"/>
        </w:rPr>
        <w:t xml:space="preserve"> 按通用条款18.7条执行 </w:t>
      </w:r>
      <w:r>
        <w:rPr>
          <w:rFonts w:hint="eastAsia" w:ascii="宋体" w:hAnsi="宋体" w:eastAsia="宋体" w:cs="宋体"/>
          <w:color w:val="auto"/>
          <w:sz w:val="24"/>
          <w:szCs w:val="24"/>
        </w:rPr>
        <w:t>。</w:t>
      </w:r>
    </w:p>
    <w:bookmarkEnd w:id="1061"/>
    <w:bookmarkEnd w:id="1062"/>
    <w:bookmarkEnd w:id="1063"/>
    <w:bookmarkEnd w:id="1064"/>
    <w:bookmarkEnd w:id="1065"/>
    <w:bookmarkEnd w:id="1066"/>
    <w:bookmarkEnd w:id="1067"/>
    <w:bookmarkEnd w:id="1068"/>
    <w:bookmarkEnd w:id="1069"/>
    <w:bookmarkEnd w:id="1070"/>
    <w:bookmarkEnd w:id="1071"/>
    <w:bookmarkEnd w:id="1072"/>
    <w:p w14:paraId="5D52AFE6">
      <w:pPr>
        <w:pStyle w:val="5"/>
        <w:spacing w:before="120" w:after="120" w:line="460" w:lineRule="exact"/>
        <w:rPr>
          <w:rFonts w:hint="eastAsia" w:ascii="宋体" w:hAnsi="宋体" w:eastAsia="宋体" w:cs="宋体"/>
          <w:b w:val="0"/>
          <w:color w:val="auto"/>
          <w:sz w:val="24"/>
          <w:szCs w:val="24"/>
        </w:rPr>
      </w:pPr>
      <w:bookmarkStart w:id="1088" w:name="_Toc351203651"/>
      <w:r>
        <w:rPr>
          <w:rFonts w:hint="eastAsia" w:ascii="宋体" w:hAnsi="宋体" w:eastAsia="宋体" w:cs="宋体"/>
          <w:b w:val="0"/>
          <w:color w:val="auto"/>
          <w:sz w:val="24"/>
          <w:szCs w:val="24"/>
        </w:rPr>
        <w:t>20. 争议解决</w:t>
      </w:r>
      <w:bookmarkEnd w:id="1088"/>
    </w:p>
    <w:bookmarkEnd w:id="1073"/>
    <w:bookmarkEnd w:id="1074"/>
    <w:p w14:paraId="4BCC63D0">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20.3 争</w:t>
      </w:r>
      <w:bookmarkEnd w:id="1075"/>
      <w:r>
        <w:rPr>
          <w:rFonts w:hint="eastAsia" w:ascii="宋体" w:hAnsi="宋体" w:eastAsia="宋体" w:cs="宋体"/>
          <w:color w:val="auto"/>
          <w:sz w:val="24"/>
          <w:szCs w:val="24"/>
        </w:rPr>
        <w:t>议评审</w:t>
      </w:r>
    </w:p>
    <w:p w14:paraId="09E5AD8C">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合同当事人是否同意将工程争议提交争议评审小组决定：</w:t>
      </w:r>
      <w:r>
        <w:rPr>
          <w:rFonts w:hint="eastAsia" w:ascii="宋体" w:hAnsi="宋体" w:eastAsia="宋体" w:cs="宋体"/>
          <w:color w:val="auto"/>
          <w:sz w:val="24"/>
          <w:szCs w:val="24"/>
          <w:u w:val="single"/>
        </w:rPr>
        <w:t xml:space="preserve"> 否 </w:t>
      </w:r>
      <w:r>
        <w:rPr>
          <w:rFonts w:hint="eastAsia" w:ascii="宋体" w:hAnsi="宋体" w:eastAsia="宋体" w:cs="宋体"/>
          <w:color w:val="auto"/>
          <w:sz w:val="24"/>
          <w:szCs w:val="24"/>
        </w:rPr>
        <w:t xml:space="preserve">。  </w:t>
      </w:r>
    </w:p>
    <w:p w14:paraId="4049027D">
      <w:pPr>
        <w:spacing w:line="460" w:lineRule="exact"/>
        <w:ind w:firstLine="480" w:firstLineChars="200"/>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rPr>
        <w:t>20.3.1 争议评审小组的确定</w:t>
      </w:r>
    </w:p>
    <w:p w14:paraId="1BFF5F10">
      <w:pPr>
        <w:spacing w:line="460" w:lineRule="exact"/>
        <w:ind w:firstLine="480" w:firstLineChars="200"/>
        <w:jc w:val="left"/>
        <w:rPr>
          <w:rFonts w:hint="eastAsia" w:ascii="宋体" w:hAnsi="宋体" w:eastAsia="宋体" w:cs="宋体"/>
          <w:color w:val="auto"/>
          <w:sz w:val="24"/>
          <w:szCs w:val="24"/>
          <w:u w:val="single"/>
        </w:rPr>
      </w:pPr>
      <w:r>
        <w:rPr>
          <w:rFonts w:hint="eastAsia" w:ascii="宋体" w:hAnsi="宋体" w:eastAsia="宋体" w:cs="宋体"/>
          <w:color w:val="auto"/>
          <w:sz w:val="24"/>
          <w:szCs w:val="24"/>
        </w:rPr>
        <w:t>争议评审小组成员的确定：</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219BABA7">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选定争议评审员的期限：</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1B29C8BD">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争议评审小组成员的报酬承担方式：</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48573D81">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其他事项的约定：</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3AD7971E">
      <w:pPr>
        <w:autoSpaceDE w:val="0"/>
        <w:autoSpaceDN w:val="0"/>
        <w:adjustRightInd w:val="0"/>
        <w:spacing w:line="460" w:lineRule="exact"/>
        <w:ind w:firstLine="480" w:firstLineChars="200"/>
        <w:jc w:val="left"/>
        <w:outlineLvl w:val="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20.3.2 争议评审小组的决定</w:t>
      </w:r>
    </w:p>
    <w:p w14:paraId="5FBBFF02">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合同当事人关于本项的约定：</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41876941">
      <w:pPr>
        <w:spacing w:after="120" w:line="46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20.4仲裁或诉讼</w:t>
      </w:r>
      <w:bookmarkEnd w:id="1076"/>
    </w:p>
    <w:p w14:paraId="73CEB08D">
      <w:pPr>
        <w:spacing w:after="12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因合同及合同有关事项发生的争议，按下列第</w:t>
      </w:r>
      <w:r>
        <w:rPr>
          <w:rFonts w:hint="eastAsia" w:ascii="宋体" w:hAnsi="宋体" w:eastAsia="宋体" w:cs="宋体"/>
          <w:color w:val="auto"/>
          <w:sz w:val="24"/>
          <w:szCs w:val="24"/>
          <w:u w:val="single"/>
        </w:rPr>
        <w:t xml:space="preserve"> （2） </w:t>
      </w:r>
      <w:r>
        <w:rPr>
          <w:rFonts w:hint="eastAsia" w:ascii="宋体" w:hAnsi="宋体" w:eastAsia="宋体" w:cs="宋体"/>
          <w:color w:val="auto"/>
          <w:sz w:val="24"/>
          <w:szCs w:val="24"/>
        </w:rPr>
        <w:t>种方式解决：</w:t>
      </w:r>
    </w:p>
    <w:p w14:paraId="57518B38">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（1）向</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仲裁委员会申请仲裁；</w:t>
      </w:r>
    </w:p>
    <w:p w14:paraId="0B0AF40A">
      <w:pPr>
        <w:spacing w:line="460" w:lineRule="exact"/>
        <w:ind w:firstLine="480" w:firstLineChars="200"/>
        <w:jc w:val="left"/>
        <w:rPr>
          <w:rFonts w:hint="eastAsia" w:ascii="宋体" w:hAnsi="宋体" w:eastAsia="宋体" w:cs="宋体"/>
          <w:color w:val="auto"/>
          <w:sz w:val="24"/>
          <w:szCs w:val="24"/>
        </w:rPr>
        <w:sectPr>
          <w:footerReference r:id="rId8" w:type="first"/>
          <w:footerReference r:id="rId7" w:type="default"/>
          <w:pgSz w:w="11906" w:h="16838"/>
          <w:pgMar w:top="1417" w:right="1417" w:bottom="1417" w:left="1417" w:header="851" w:footer="992" w:gutter="0"/>
          <w:cols w:space="720" w:num="1"/>
          <w:titlePg/>
          <w:docGrid w:type="lines" w:linePitch="312" w:charSpace="0"/>
        </w:sectPr>
      </w:pPr>
      <w:r>
        <w:rPr>
          <w:rFonts w:hint="eastAsia" w:ascii="宋体" w:hAnsi="宋体" w:eastAsia="宋体" w:cs="宋体"/>
          <w:color w:val="auto"/>
          <w:sz w:val="24"/>
          <w:szCs w:val="24"/>
        </w:rPr>
        <w:t>（2）向</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eastAsia="zh-CN"/>
        </w:rPr>
        <w:t>项目所在地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人民法院起诉。</w:t>
      </w:r>
      <w:bookmarkEnd w:id="1077"/>
      <w:bookmarkEnd w:id="1078"/>
      <w:bookmarkEnd w:id="1079"/>
      <w:bookmarkEnd w:id="1080"/>
      <w:bookmarkEnd w:id="1081"/>
      <w:bookmarkEnd w:id="1082"/>
    </w:p>
    <w:p w14:paraId="7AB59E7F">
      <w:pPr>
        <w:spacing w:beforeLines="50" w:afterLines="50" w:line="360" w:lineRule="auto"/>
        <w:rPr>
          <w:rFonts w:hint="default" w:ascii="宋体" w:hAnsi="宋体" w:eastAsia="宋体" w:cs="宋体"/>
          <w:color w:val="auto"/>
          <w:spacing w:val="20"/>
          <w:sz w:val="24"/>
          <w:highlight w:val="none"/>
          <w:lang w:val="en-US" w:eastAsia="zh-CN"/>
        </w:rPr>
      </w:pPr>
      <w:r>
        <w:rPr>
          <w:rFonts w:hint="eastAsia" w:ascii="宋体" w:hAnsi="宋体" w:eastAsia="宋体" w:cs="宋体"/>
          <w:color w:val="auto"/>
          <w:spacing w:val="20"/>
          <w:sz w:val="24"/>
          <w:highlight w:val="none"/>
          <w:lang w:val="en-US" w:eastAsia="zh-CN"/>
        </w:rPr>
        <w:t>附件</w:t>
      </w:r>
      <w:r>
        <w:rPr>
          <w:rFonts w:hint="eastAsia" w:ascii="宋体" w:hAnsi="宋体" w:cs="宋体"/>
          <w:color w:val="auto"/>
          <w:spacing w:val="20"/>
          <w:sz w:val="24"/>
          <w:highlight w:val="none"/>
          <w:lang w:val="en-US" w:eastAsia="zh-CN"/>
        </w:rPr>
        <w:t>1</w:t>
      </w:r>
    </w:p>
    <w:p w14:paraId="7BF43EFA">
      <w:pPr>
        <w:spacing w:line="480" w:lineRule="auto"/>
        <w:jc w:val="center"/>
        <w:outlineLvl w:val="3"/>
        <w:rPr>
          <w:rFonts w:hint="eastAsia" w:ascii="宋体" w:hAnsi="宋体" w:eastAsia="宋体" w:cs="宋体"/>
          <w:b/>
          <w:bCs/>
          <w:color w:val="auto"/>
          <w:kern w:val="1"/>
          <w:sz w:val="24"/>
          <w:szCs w:val="24"/>
          <w:highlight w:val="none"/>
        </w:rPr>
      </w:pPr>
      <w:r>
        <w:rPr>
          <w:rFonts w:hint="eastAsia" w:ascii="宋体" w:hAnsi="宋体" w:eastAsia="宋体" w:cs="宋体"/>
          <w:b/>
          <w:bCs/>
          <w:color w:val="auto"/>
          <w:sz w:val="24"/>
          <w:szCs w:val="24"/>
          <w:highlight w:val="none"/>
        </w:rPr>
        <w:t>安全生产合同</w:t>
      </w:r>
    </w:p>
    <w:p w14:paraId="0256C5B0">
      <w:pPr>
        <w:rPr>
          <w:rFonts w:hint="eastAsia" w:ascii="宋体" w:hAnsi="宋体" w:eastAsia="宋体" w:cs="宋体"/>
          <w:color w:val="auto"/>
          <w:kern w:val="1"/>
          <w:sz w:val="24"/>
          <w:szCs w:val="24"/>
          <w:highlight w:val="none"/>
        </w:rPr>
      </w:pPr>
    </w:p>
    <w:p w14:paraId="2A56980E">
      <w:pP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为在</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cs="宋体"/>
          <w:b/>
          <w:color w:val="auto"/>
          <w:sz w:val="24"/>
          <w:szCs w:val="24"/>
          <w:highlight w:val="none"/>
          <w:u w:val="single"/>
          <w:lang w:val="en-US" w:eastAsia="zh-CN"/>
        </w:rPr>
        <w:t xml:space="preserve">             </w:t>
      </w:r>
      <w:r>
        <w:rPr>
          <w:rFonts w:hint="eastAsia" w:ascii="宋体" w:hAnsi="宋体" w:eastAsia="宋体" w:cs="宋体"/>
          <w:color w:val="auto"/>
          <w:kern w:val="1"/>
          <w:sz w:val="24"/>
          <w:szCs w:val="24"/>
          <w:highlight w:val="none"/>
        </w:rPr>
        <w:t>的实施过程中创造安全、高效的施工环境，切实搞好本项目的安全管理工作，本项目业主</w:t>
      </w:r>
      <w:r>
        <w:rPr>
          <w:rFonts w:hint="eastAsia" w:ascii="宋体" w:hAnsi="宋体" w:eastAsia="宋体" w:cs="宋体"/>
          <w:color w:val="auto"/>
          <w:kern w:val="1"/>
          <w:sz w:val="24"/>
          <w:szCs w:val="24"/>
          <w:highlight w:val="none"/>
          <w:u w:val="single"/>
        </w:rPr>
        <w:t xml:space="preserve"> </w:t>
      </w:r>
      <w:r>
        <w:rPr>
          <w:rFonts w:hint="eastAsia" w:ascii="宋体" w:hAnsi="宋体" w:cs="宋体"/>
          <w:color w:val="auto"/>
          <w:kern w:val="1"/>
          <w:sz w:val="24"/>
          <w:szCs w:val="24"/>
          <w:highlight w:val="none"/>
          <w:u w:val="single"/>
          <w:lang w:val="en-US" w:eastAsia="zh-CN"/>
        </w:rPr>
        <w:t xml:space="preserve">      </w:t>
      </w:r>
      <w:r>
        <w:rPr>
          <w:rFonts w:hint="eastAsia" w:ascii="宋体" w:hAnsi="宋体" w:eastAsia="宋体" w:cs="宋体"/>
          <w:color w:val="auto"/>
          <w:kern w:val="1"/>
          <w:sz w:val="24"/>
          <w:szCs w:val="24"/>
          <w:highlight w:val="none"/>
          <w:u w:val="single"/>
        </w:rPr>
        <w:t xml:space="preserve"> </w:t>
      </w:r>
      <w:r>
        <w:rPr>
          <w:rFonts w:hint="eastAsia" w:ascii="宋体" w:hAnsi="宋体" w:eastAsia="宋体" w:cs="宋体"/>
          <w:color w:val="auto"/>
          <w:kern w:val="1"/>
          <w:sz w:val="24"/>
          <w:szCs w:val="24"/>
          <w:highlight w:val="none"/>
        </w:rPr>
        <w:t>（以下简称“甲方”）与承包人</w:t>
      </w:r>
      <w:r>
        <w:rPr>
          <w:rFonts w:hint="eastAsia" w:ascii="宋体" w:hAnsi="宋体" w:eastAsia="宋体" w:cs="宋体"/>
          <w:b/>
          <w:bCs/>
          <w:color w:val="auto"/>
          <w:kern w:val="1"/>
          <w:sz w:val="24"/>
          <w:szCs w:val="24"/>
          <w:highlight w:val="none"/>
          <w:u w:val="single"/>
        </w:rPr>
        <w:t xml:space="preserve"> </w:t>
      </w:r>
      <w:r>
        <w:rPr>
          <w:rFonts w:hint="eastAsia" w:ascii="宋体" w:hAnsi="宋体" w:eastAsia="宋体" w:cs="宋体"/>
          <w:b w:val="0"/>
          <w:bCs w:val="0"/>
          <w:color w:val="auto"/>
          <w:sz w:val="24"/>
          <w:szCs w:val="24"/>
          <w:highlight w:val="none"/>
          <w:u w:val="single"/>
          <w:lang w:eastAsia="zh-CN"/>
        </w:rPr>
        <w:t xml:space="preserve">                                  </w:t>
      </w:r>
      <w:r>
        <w:rPr>
          <w:rFonts w:hint="eastAsia" w:ascii="宋体" w:hAnsi="宋体" w:eastAsia="宋体" w:cs="宋体"/>
          <w:color w:val="auto"/>
          <w:kern w:val="1"/>
          <w:sz w:val="24"/>
          <w:szCs w:val="24"/>
          <w:highlight w:val="none"/>
        </w:rPr>
        <w:t>（以下简称“乙方”）特此签订安全生产合同：</w:t>
      </w:r>
    </w:p>
    <w:p w14:paraId="2A6E039E">
      <w:pPr>
        <w:spacing w:line="360" w:lineRule="auto"/>
        <w:rPr>
          <w:rFonts w:hint="eastAsia" w:ascii="宋体" w:hAnsi="宋体" w:eastAsia="宋体" w:cs="宋体"/>
          <w:b/>
          <w:color w:val="auto"/>
          <w:kern w:val="1"/>
          <w:sz w:val="24"/>
          <w:szCs w:val="24"/>
          <w:highlight w:val="none"/>
        </w:rPr>
      </w:pPr>
      <w:r>
        <w:rPr>
          <w:rFonts w:hint="eastAsia" w:ascii="宋体" w:hAnsi="宋体" w:eastAsia="宋体" w:cs="宋体"/>
          <w:color w:val="auto"/>
          <w:kern w:val="1"/>
          <w:sz w:val="24"/>
          <w:szCs w:val="24"/>
          <w:highlight w:val="none"/>
        </w:rPr>
        <w:t xml:space="preserve">    </w:t>
      </w:r>
      <w:r>
        <w:rPr>
          <w:rFonts w:hint="eastAsia" w:ascii="宋体" w:hAnsi="宋体" w:eastAsia="宋体" w:cs="宋体"/>
          <w:b/>
          <w:color w:val="auto"/>
          <w:kern w:val="1"/>
          <w:sz w:val="24"/>
          <w:szCs w:val="24"/>
          <w:highlight w:val="none"/>
        </w:rPr>
        <w:t>一、甲方职责</w:t>
      </w:r>
    </w:p>
    <w:p w14:paraId="1BCAE364">
      <w:pP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1. 严格遵守国家有关安全生产的法律法规，认真执行工程承包合同中的有关安全要求。</w:t>
      </w:r>
    </w:p>
    <w:p w14:paraId="782D19C9">
      <w:pP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2. 按照“安全第一、预防为主”和坚持“管生产必须管安全”的原则进行安全生产管理，做到生产与安全工作同时计划、布置、检查、总结和评比。</w:t>
      </w:r>
    </w:p>
    <w:p w14:paraId="5FBA40F6">
      <w:pP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3. 重要的安全设施必须坚持与主体工程“三同时”的原则，即：同时设计、审批，同时施工，同时验收，投入使用。</w:t>
      </w:r>
    </w:p>
    <w:p w14:paraId="7E2379FD">
      <w:pP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4. 定期召开安全生产调度会，及时传达中央及地方有关安全生产的精神。</w:t>
      </w:r>
    </w:p>
    <w:p w14:paraId="769AE816">
      <w:pP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5. 组织对乙方施工现场安全生产检查，监督乙方及时处理发现的各种安全隐患。</w:t>
      </w:r>
    </w:p>
    <w:p w14:paraId="7B4AF406">
      <w:pPr>
        <w:spacing w:line="360" w:lineRule="auto"/>
        <w:rPr>
          <w:rFonts w:hint="eastAsia" w:ascii="宋体" w:hAnsi="宋体" w:eastAsia="宋体" w:cs="宋体"/>
          <w:b/>
          <w:color w:val="auto"/>
          <w:kern w:val="1"/>
          <w:sz w:val="24"/>
          <w:szCs w:val="24"/>
          <w:highlight w:val="none"/>
        </w:rPr>
      </w:pPr>
      <w:r>
        <w:rPr>
          <w:rFonts w:hint="eastAsia" w:ascii="宋体" w:hAnsi="宋体" w:eastAsia="宋体" w:cs="宋体"/>
          <w:color w:val="auto"/>
          <w:kern w:val="1"/>
          <w:sz w:val="24"/>
          <w:szCs w:val="24"/>
          <w:highlight w:val="none"/>
        </w:rPr>
        <w:t xml:space="preserve">    </w:t>
      </w:r>
      <w:r>
        <w:rPr>
          <w:rFonts w:hint="eastAsia" w:ascii="宋体" w:hAnsi="宋体" w:eastAsia="宋体" w:cs="宋体"/>
          <w:b/>
          <w:color w:val="auto"/>
          <w:kern w:val="1"/>
          <w:sz w:val="24"/>
          <w:szCs w:val="24"/>
          <w:highlight w:val="none"/>
        </w:rPr>
        <w:t>二、乙方职责</w:t>
      </w:r>
    </w:p>
    <w:p w14:paraId="6C21DF85">
      <w:pP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1. 严格遵守国家有关安全生产的法律法规、农业农村部、水利部颁发的有关安全生产的规定，认真执行工程承包合同中的有关安全要求。</w:t>
      </w:r>
    </w:p>
    <w:p w14:paraId="37890D18">
      <w:pP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2. 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256C7962">
      <w:pP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3. 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14:paraId="1F98AEC1">
      <w:pP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4. 乙方在任何时候都应采取各种合理的预防措施，防止其员工发生任何违法、违禁、暴力或妨碍治安的行为。</w:t>
      </w:r>
    </w:p>
    <w:p w14:paraId="6F3C1DD1">
      <w:pP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5. 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项目经理必须承担管理责任。</w:t>
      </w:r>
    </w:p>
    <w:p w14:paraId="59E6D638">
      <w:pP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6. 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14:paraId="28398DD0">
      <w:pP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7. 操作人员上岗，必须按规定穿戴防护用品。施工负责人和安全检查员应随时检查劳动防护用品的穿戴情况，不按规定穿戴防护用品的人员不得上岗。</w:t>
      </w:r>
    </w:p>
    <w:p w14:paraId="49F26BBE">
      <w:pP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8. 所有施工机具设备和高空作业的设备均应定期检查，并有安全员的签字记录，保证其经常处于完好状态；不合格的机具、设备和劳动保护用品严禁使用。</w:t>
      </w:r>
    </w:p>
    <w:p w14:paraId="06C77B7D">
      <w:pP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9. 施工中采用新技术、新工艺、新设备、新材料时，必须制定相应的安全技术措施，施工现场必须具有相关的安全标志牌。</w:t>
      </w:r>
    </w:p>
    <w:p w14:paraId="320B91FD">
      <w:pP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10. 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14:paraId="77062AC2">
      <w:pPr>
        <w:spacing w:line="360" w:lineRule="auto"/>
        <w:rPr>
          <w:rFonts w:hint="eastAsia" w:ascii="宋体" w:hAnsi="宋体" w:eastAsia="宋体" w:cs="宋体"/>
          <w:b/>
          <w:color w:val="auto"/>
          <w:kern w:val="1"/>
          <w:sz w:val="24"/>
          <w:szCs w:val="24"/>
          <w:highlight w:val="none"/>
        </w:rPr>
      </w:pPr>
      <w:r>
        <w:rPr>
          <w:rFonts w:hint="eastAsia" w:ascii="宋体" w:hAnsi="宋体" w:eastAsia="宋体" w:cs="宋体"/>
          <w:color w:val="auto"/>
          <w:kern w:val="1"/>
          <w:sz w:val="24"/>
          <w:szCs w:val="24"/>
          <w:highlight w:val="none"/>
        </w:rPr>
        <w:t xml:space="preserve">    </w:t>
      </w:r>
      <w:r>
        <w:rPr>
          <w:rFonts w:hint="eastAsia" w:ascii="宋体" w:hAnsi="宋体" w:eastAsia="宋体" w:cs="宋体"/>
          <w:b/>
          <w:color w:val="auto"/>
          <w:kern w:val="1"/>
          <w:sz w:val="24"/>
          <w:szCs w:val="24"/>
          <w:highlight w:val="none"/>
        </w:rPr>
        <w:t>三、违约责任</w:t>
      </w:r>
    </w:p>
    <w:p w14:paraId="218E7168">
      <w:pP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如因甲方或乙方违约造成安全事故，将依法追究责任。</w:t>
      </w:r>
    </w:p>
    <w:p w14:paraId="5BE6ACFD">
      <w:pPr>
        <w:adjustRightInd w:val="0"/>
        <w:snapToGrid w:val="0"/>
        <w:spacing w:line="360" w:lineRule="auto"/>
        <w:ind w:firstLine="840" w:firstLineChars="300"/>
        <w:rPr>
          <w:rFonts w:hint="eastAsia" w:ascii="宋体" w:hAnsi="宋体" w:eastAsia="宋体" w:cs="宋体"/>
          <w:color w:val="auto"/>
          <w:spacing w:val="20"/>
          <w:sz w:val="24"/>
          <w:highlight w:val="none"/>
        </w:rPr>
      </w:pPr>
    </w:p>
    <w:p w14:paraId="3840BA8A">
      <w:pP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发包人（公章）                        承包人（公章）</w:t>
      </w:r>
    </w:p>
    <w:p w14:paraId="579A9079">
      <w:pPr>
        <w:adjustRightInd w:val="0"/>
        <w:snapToGrid w:val="0"/>
        <w:spacing w:line="360" w:lineRule="auto"/>
        <w:rPr>
          <w:rFonts w:hint="eastAsia" w:ascii="宋体" w:hAnsi="宋体" w:eastAsia="宋体" w:cs="宋体"/>
          <w:color w:val="auto"/>
          <w:spacing w:val="20"/>
          <w:sz w:val="24"/>
          <w:highlight w:val="none"/>
          <w:u w:val="single"/>
          <w:lang w:eastAsia="zh-CN"/>
        </w:rPr>
      </w:pPr>
      <w:r>
        <w:rPr>
          <w:rFonts w:hint="eastAsia" w:ascii="宋体" w:hAnsi="宋体" w:cs="宋体"/>
          <w:color w:val="auto"/>
          <w:spacing w:val="20"/>
          <w:sz w:val="24"/>
          <w:highlight w:val="none"/>
          <w:lang w:val="en-US" w:eastAsia="zh-CN"/>
        </w:rPr>
        <w:t xml:space="preserve">                                             </w:t>
      </w:r>
      <w:r>
        <w:rPr>
          <w:rFonts w:hint="eastAsia" w:ascii="宋体" w:hAnsi="宋体" w:eastAsia="宋体" w:cs="宋体"/>
          <w:color w:val="auto"/>
          <w:spacing w:val="20"/>
          <w:sz w:val="24"/>
          <w:highlight w:val="none"/>
        </w:rPr>
        <w:t xml:space="preserve">             </w:t>
      </w:r>
      <w:r>
        <w:rPr>
          <w:rFonts w:hint="eastAsia" w:ascii="宋体" w:hAnsi="宋体" w:eastAsia="宋体" w:cs="宋体"/>
          <w:color w:val="auto"/>
          <w:spacing w:val="20"/>
          <w:sz w:val="24"/>
          <w:highlight w:val="none"/>
          <w:u w:val="single"/>
          <w:lang w:eastAsia="zh-CN"/>
        </w:rPr>
        <w:t xml:space="preserve">                                                       </w:t>
      </w:r>
    </w:p>
    <w:p w14:paraId="56CE6ED8">
      <w:pPr>
        <w:adjustRightInd w:val="0"/>
        <w:snapToGrid w:val="0"/>
        <w:spacing w:line="360" w:lineRule="auto"/>
        <w:rPr>
          <w:rFonts w:hint="eastAsia"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rPr>
        <w:t xml:space="preserve">法定代表人         </w:t>
      </w:r>
      <w:r>
        <w:rPr>
          <w:rFonts w:hint="eastAsia" w:ascii="宋体" w:hAnsi="宋体" w:cs="宋体"/>
          <w:color w:val="auto"/>
          <w:spacing w:val="20"/>
          <w:sz w:val="24"/>
          <w:highlight w:val="none"/>
          <w:lang w:val="en-US" w:eastAsia="zh-CN"/>
        </w:rPr>
        <w:t xml:space="preserve">                 </w:t>
      </w:r>
      <w:r>
        <w:rPr>
          <w:rFonts w:hint="eastAsia" w:ascii="宋体" w:hAnsi="宋体" w:eastAsia="宋体" w:cs="宋体"/>
          <w:color w:val="auto"/>
          <w:spacing w:val="20"/>
          <w:sz w:val="24"/>
          <w:highlight w:val="none"/>
        </w:rPr>
        <w:t xml:space="preserve">  法定代表人</w:t>
      </w:r>
    </w:p>
    <w:p w14:paraId="081AC7E4">
      <w:pPr>
        <w:adjustRightInd w:val="0"/>
        <w:snapToGrid w:val="0"/>
        <w:spacing w:line="360" w:lineRule="auto"/>
        <w:rPr>
          <w:rFonts w:hint="default" w:ascii="宋体" w:hAnsi="宋体" w:eastAsia="宋体" w:cs="宋体"/>
          <w:color w:val="auto"/>
          <w:spacing w:val="20"/>
          <w:sz w:val="24"/>
          <w:highlight w:val="none"/>
          <w:u w:val="single"/>
          <w:lang w:val="en-US" w:eastAsia="zh-CN"/>
        </w:rPr>
      </w:pPr>
      <w:r>
        <w:rPr>
          <w:rFonts w:hint="eastAsia" w:ascii="宋体" w:hAnsi="宋体" w:cs="宋体"/>
          <w:color w:val="auto"/>
          <w:spacing w:val="20"/>
          <w:sz w:val="24"/>
          <w:highlight w:val="none"/>
        </w:rPr>
        <w:t>或其委托代理人：</w:t>
      </w:r>
      <w:r>
        <w:rPr>
          <w:rFonts w:hint="eastAsia" w:ascii="宋体" w:hAnsi="宋体" w:cs="宋体"/>
          <w:color w:val="auto"/>
          <w:spacing w:val="20"/>
          <w:sz w:val="24"/>
          <w:highlight w:val="none"/>
          <w:lang w:val="en-US" w:eastAsia="zh-CN"/>
        </w:rPr>
        <w:t xml:space="preserve">                       </w:t>
      </w:r>
      <w:r>
        <w:rPr>
          <w:rFonts w:hint="eastAsia" w:ascii="宋体" w:hAnsi="宋体" w:cs="宋体"/>
          <w:color w:val="auto"/>
          <w:spacing w:val="20"/>
          <w:sz w:val="24"/>
          <w:highlight w:val="none"/>
        </w:rPr>
        <w:t>或其委托代理人：</w:t>
      </w:r>
    </w:p>
    <w:p w14:paraId="1E21C8BD">
      <w:pPr>
        <w:spacing w:line="360" w:lineRule="auto"/>
        <w:rPr>
          <w:rFonts w:hint="eastAsia" w:ascii="宋体" w:hAnsi="宋体" w:eastAsia="宋体" w:cs="宋体"/>
          <w:color w:val="auto"/>
          <w:spacing w:val="20"/>
          <w:sz w:val="24"/>
          <w:highlight w:val="none"/>
          <w:u w:val="single"/>
          <w:lang w:eastAsia="zh-CN"/>
        </w:rPr>
      </w:pPr>
      <w:r>
        <w:rPr>
          <w:rFonts w:hint="eastAsia" w:ascii="宋体" w:hAnsi="宋体" w:eastAsia="宋体" w:cs="宋体"/>
          <w:color w:val="auto"/>
          <w:spacing w:val="20"/>
          <w:sz w:val="24"/>
          <w:highlight w:val="none"/>
        </w:rPr>
        <w:t>电  话：</w:t>
      </w:r>
      <w:r>
        <w:rPr>
          <w:rFonts w:hint="eastAsia" w:ascii="宋体" w:hAnsi="宋体" w:eastAsia="宋体" w:cs="宋体"/>
          <w:color w:val="auto"/>
          <w:spacing w:val="20"/>
          <w:sz w:val="24"/>
          <w:highlight w:val="none"/>
          <w:u w:val="single"/>
        </w:rPr>
        <w:t xml:space="preserve">  </w:t>
      </w:r>
      <w:r>
        <w:rPr>
          <w:rFonts w:hint="eastAsia" w:ascii="宋体" w:hAnsi="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 xml:space="preserve">             电  话：</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eastAsia="zh-CN"/>
        </w:rPr>
        <w:t xml:space="preserve">            </w:t>
      </w:r>
      <w:bookmarkEnd w:id="105"/>
      <w:bookmarkEnd w:id="106"/>
      <w:bookmarkEnd w:id="107"/>
      <w:bookmarkEnd w:id="109"/>
      <w:bookmarkEnd w:id="110"/>
      <w:bookmarkEnd w:id="111"/>
      <w:bookmarkEnd w:id="112"/>
      <w:bookmarkEnd w:id="113"/>
      <w:bookmarkEnd w:id="114"/>
    </w:p>
    <w:p w14:paraId="0B3EA18F">
      <w:pPr>
        <w:spacing w:line="360" w:lineRule="auto"/>
        <w:rPr>
          <w:rFonts w:hint="eastAsia" w:ascii="宋体" w:hAnsi="宋体" w:eastAsia="宋体" w:cs="宋体"/>
          <w:color w:val="auto"/>
          <w:spacing w:val="20"/>
          <w:sz w:val="24"/>
          <w:highlight w:val="none"/>
          <w:u w:val="single"/>
          <w:lang w:eastAsia="zh-CN"/>
        </w:rPr>
      </w:pPr>
    </w:p>
    <w:p w14:paraId="25A786BB">
      <w:pPr>
        <w:spacing w:line="360" w:lineRule="auto"/>
        <w:ind w:firstLine="723"/>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施工合同补充协议书</w:t>
      </w:r>
    </w:p>
    <w:p w14:paraId="6488902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甲方：</w:t>
      </w:r>
    </w:p>
    <w:p w14:paraId="7BF92DB0">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乙方:</w:t>
      </w:r>
    </w:p>
    <w:p w14:paraId="3C12A375">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根据广西壮族自治区解决企业拖欠工资问题联席会议关于印发《广西壮族自治区工程建设领域工人工资支付专用账户管理办法》的通知（桂薪联发〔2016〕1号）的规定，经甲乙双方共同协商，达成如下补充协议：</w:t>
      </w:r>
    </w:p>
    <w:p w14:paraId="46E14820">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1、乙方必须按规定到国有专业银行开设工人工资支付专用账户。</w:t>
      </w:r>
    </w:p>
    <w:p w14:paraId="3213541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2、双方约定该项目工资占工程款的比例是</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w:t>
      </w:r>
    </w:p>
    <w:p w14:paraId="37C1CB9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3、乙方按规程办理工程进度款手续后，向甲方申请工程进度款时，甲方按约定工资比例将工程款部分划入乙方提供的工人工资支付专用账户（账户名称：</w:t>
      </w:r>
      <w:r>
        <w:rPr>
          <w:rFonts w:hint="eastAsia" w:ascii="宋体" w:hAnsi="宋体" w:eastAsia="宋体" w:cs="宋体"/>
          <w:color w:val="auto"/>
          <w:sz w:val="24"/>
          <w:szCs w:val="24"/>
          <w:lang w:val="en-US" w:eastAsia="zh-CN"/>
        </w:rPr>
        <w:t>（成交供应商名称）</w:t>
      </w:r>
      <w:r>
        <w:rPr>
          <w:rFonts w:hint="eastAsia" w:ascii="宋体" w:hAnsi="宋体" w:eastAsia="宋体" w:cs="宋体"/>
          <w:color w:val="auto"/>
          <w:sz w:val="24"/>
          <w:szCs w:val="24"/>
        </w:rPr>
        <w:t>农民工工资专户，开户银行：</w:t>
      </w:r>
      <w:r>
        <w:rPr>
          <w:rFonts w:hint="eastAsia" w:ascii="宋体" w:hAnsi="宋体" w:eastAsia="宋体" w:cs="宋体"/>
          <w:color w:val="auto"/>
          <w:sz w:val="24"/>
          <w:szCs w:val="24"/>
          <w:lang w:val="en-US" w:eastAsia="zh-CN"/>
        </w:rPr>
        <w:t>（成交供应商开户银行）</w:t>
      </w:r>
      <w:r>
        <w:rPr>
          <w:rFonts w:hint="eastAsia" w:ascii="宋体" w:hAnsi="宋体" w:eastAsia="宋体" w:cs="宋体"/>
          <w:color w:val="auto"/>
          <w:sz w:val="24"/>
          <w:szCs w:val="24"/>
        </w:rPr>
        <w:t>，账号：</w:t>
      </w:r>
      <w:r>
        <w:rPr>
          <w:rFonts w:hint="eastAsia" w:ascii="宋体" w:hAnsi="宋体" w:eastAsia="宋体" w:cs="宋体"/>
          <w:color w:val="auto"/>
          <w:sz w:val="24"/>
          <w:szCs w:val="24"/>
          <w:lang w:val="en-US" w:eastAsia="zh-CN"/>
        </w:rPr>
        <w:t>（成交供应商账号）</w:t>
      </w:r>
      <w:r>
        <w:rPr>
          <w:rFonts w:hint="eastAsia" w:ascii="宋体" w:hAnsi="宋体" w:eastAsia="宋体" w:cs="宋体"/>
          <w:color w:val="auto"/>
          <w:sz w:val="24"/>
          <w:szCs w:val="24"/>
        </w:rPr>
        <w:t xml:space="preserve"> ）用于支付工人工资，余款划入乙方提供的账户（账户名称：</w:t>
      </w:r>
      <w:r>
        <w:rPr>
          <w:rFonts w:hint="eastAsia" w:ascii="宋体" w:hAnsi="宋体" w:eastAsia="宋体" w:cs="宋体"/>
          <w:color w:val="auto"/>
          <w:sz w:val="24"/>
          <w:szCs w:val="24"/>
          <w:lang w:val="en-US" w:eastAsia="zh-CN"/>
        </w:rPr>
        <w:t>（成交供应商名称）</w:t>
      </w:r>
      <w:r>
        <w:rPr>
          <w:rFonts w:hint="eastAsia" w:ascii="宋体" w:hAnsi="宋体" w:eastAsia="宋体" w:cs="宋体"/>
          <w:color w:val="auto"/>
          <w:sz w:val="24"/>
          <w:szCs w:val="24"/>
        </w:rPr>
        <w:t>农民工工资专户，开户银行：</w:t>
      </w:r>
      <w:r>
        <w:rPr>
          <w:rFonts w:hint="eastAsia" w:ascii="宋体" w:hAnsi="宋体" w:eastAsia="宋体" w:cs="宋体"/>
          <w:color w:val="auto"/>
          <w:sz w:val="24"/>
          <w:szCs w:val="24"/>
          <w:lang w:val="en-US" w:eastAsia="zh-CN"/>
        </w:rPr>
        <w:t>（成交供应商开户银行）</w:t>
      </w:r>
      <w:r>
        <w:rPr>
          <w:rFonts w:hint="eastAsia" w:ascii="宋体" w:hAnsi="宋体" w:eastAsia="宋体" w:cs="宋体"/>
          <w:color w:val="auto"/>
          <w:sz w:val="24"/>
          <w:szCs w:val="24"/>
        </w:rPr>
        <w:t>，账号：</w:t>
      </w:r>
      <w:r>
        <w:rPr>
          <w:rFonts w:hint="eastAsia" w:ascii="宋体" w:hAnsi="宋体" w:eastAsia="宋体" w:cs="宋体"/>
          <w:color w:val="auto"/>
          <w:sz w:val="24"/>
          <w:szCs w:val="24"/>
          <w:lang w:val="en-US" w:eastAsia="zh-CN"/>
        </w:rPr>
        <w:t>（成交供应商账号）</w:t>
      </w:r>
      <w:r>
        <w:rPr>
          <w:rFonts w:hint="eastAsia" w:ascii="宋体" w:hAnsi="宋体" w:eastAsia="宋体" w:cs="宋体"/>
          <w:color w:val="auto"/>
          <w:sz w:val="24"/>
          <w:szCs w:val="24"/>
        </w:rPr>
        <w:t>）用于该工程的建设费用。</w:t>
      </w:r>
    </w:p>
    <w:p w14:paraId="07A65185">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4、乙方没提交工人工资支付专用账户的，甲方有权不拨付工程进度款。</w:t>
      </w:r>
    </w:p>
    <w:p w14:paraId="5C66A41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本合同一式陆份，甲乙双方各执叁份，并与原合同共同执行。</w:t>
      </w:r>
    </w:p>
    <w:p w14:paraId="1059550A">
      <w:pPr>
        <w:spacing w:line="360" w:lineRule="auto"/>
        <w:rPr>
          <w:rFonts w:hint="eastAsia" w:ascii="宋体" w:hAnsi="宋体" w:eastAsia="宋体" w:cs="宋体"/>
          <w:color w:val="auto"/>
          <w:sz w:val="24"/>
          <w:szCs w:val="24"/>
        </w:rPr>
      </w:pPr>
    </w:p>
    <w:p w14:paraId="05EB536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甲方：                            乙方：</w:t>
      </w:r>
    </w:p>
    <w:p w14:paraId="7C6B2020">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代表签名：                        代表签名：</w:t>
      </w:r>
    </w:p>
    <w:p w14:paraId="6F78104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签订日期：                        签订日期：</w:t>
      </w:r>
    </w:p>
    <w:p w14:paraId="058836D2">
      <w:pPr>
        <w:pStyle w:val="10"/>
        <w:rPr>
          <w:rFonts w:hint="eastAsia" w:ascii="宋体" w:hAnsi="宋体" w:eastAsia="宋体" w:cs="宋体"/>
          <w:color w:val="auto"/>
          <w:sz w:val="24"/>
          <w:szCs w:val="24"/>
          <w:highlight w:val="none"/>
        </w:rPr>
      </w:pPr>
    </w:p>
    <w:p w14:paraId="11276BB9">
      <w:pPr>
        <w:spacing w:line="360" w:lineRule="auto"/>
        <w:rPr>
          <w:rFonts w:hint="eastAsia" w:ascii="宋体" w:hAnsi="宋体" w:eastAsia="宋体" w:cs="宋体"/>
          <w:color w:val="auto"/>
          <w:spacing w:val="20"/>
          <w:sz w:val="24"/>
          <w:szCs w:val="24"/>
          <w:highlight w:val="none"/>
          <w:u w:val="single"/>
          <w:lang w:val="en-US" w:eastAsia="zh-CN"/>
        </w:rPr>
      </w:pPr>
    </w:p>
    <w:sectPr>
      <w:headerReference r:id="rId9" w:type="default"/>
      <w:footerReference r:id="rId10" w:type="default"/>
      <w:pgSz w:w="11906" w:h="16838"/>
      <w:pgMar w:top="1440" w:right="1080" w:bottom="1440" w:left="1080" w:header="567" w:footer="567" w:gutter="567"/>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DF03619-946D-45C1-9F0A-ACD7716401E4}"/>
  </w:font>
  <w:font w:name="黑体">
    <w:panose1 w:val="02010609060101010101"/>
    <w:charset w:val="86"/>
    <w:family w:val="auto"/>
    <w:pitch w:val="default"/>
    <w:sig w:usb0="800002BF" w:usb1="38CF7CFA" w:usb2="00000016" w:usb3="00000000" w:csb0="00040001" w:csb1="00000000"/>
    <w:embedRegular r:id="rId2" w:fontKey="{5DDE1724-7C86-4BB1-A625-21B56B63A8E0}"/>
  </w:font>
  <w:font w:name="Courier New">
    <w:panose1 w:val="02070309020205020404"/>
    <w:charset w:val="01"/>
    <w:family w:val="modern"/>
    <w:pitch w:val="default"/>
    <w:sig w:usb0="E0002EFF" w:usb1="C0007843" w:usb2="00000009" w:usb3="00000000" w:csb0="400001FF" w:csb1="FFFF0000"/>
    <w:embedRegular r:id="rId3" w:fontKey="{F0B1B793-6784-4E72-A57F-78DF7C39F8E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4" w:fontKey="{2560F5E5-B750-4141-B9E6-C726ACBC7670}"/>
  </w:font>
  <w:font w:name="Cambria">
    <w:panose1 w:val="02040503050406030204"/>
    <w:charset w:val="00"/>
    <w:family w:val="auto"/>
    <w:pitch w:val="default"/>
    <w:sig w:usb0="E00006FF" w:usb1="420024FF" w:usb2="02000000" w:usb3="00000000" w:csb0="2000019F" w:csb1="00000000"/>
    <w:embedRegular r:id="rId5" w:fontKey="{EEAB46FD-C35E-476A-B94B-6B957E77B9C6}"/>
  </w:font>
  <w:font w:name=".......">
    <w:altName w:val="宋体"/>
    <w:panose1 w:val="00000000000000000000"/>
    <w:charset w:val="86"/>
    <w:family w:val="roman"/>
    <w:pitch w:val="default"/>
    <w:sig w:usb0="00000000" w:usb1="00000000" w:usb2="00000010" w:usb3="00000000" w:csb0="00040000" w:csb1="00000000"/>
  </w:font>
  <w:font w:name="汉仪中宋简">
    <w:altName w:val="宋体"/>
    <w:panose1 w:val="02010609000101010101"/>
    <w:charset w:val="86"/>
    <w:family w:val="modern"/>
    <w:pitch w:val="default"/>
    <w:sig w:usb0="00000000" w:usb1="00000000" w:usb2="00000012" w:usb3="00000000" w:csb0="00040000" w:csb1="00000000"/>
  </w:font>
  <w:font w:name="汉仪字典宋简">
    <w:altName w:val="宋体"/>
    <w:panose1 w:val="02010609000101010101"/>
    <w:charset w:val="86"/>
    <w:family w:val="modern"/>
    <w:pitch w:val="default"/>
    <w:sig w:usb0="00000000" w:usb1="00000000" w:usb2="00000012" w:usb3="00000000" w:csb0="00040000" w:csb1="00000000"/>
  </w:font>
  <w:font w:name="Helvetica">
    <w:panose1 w:val="020B0504020202030204"/>
    <w:charset w:val="00"/>
    <w:family w:val="swiss"/>
    <w:pitch w:val="default"/>
    <w:sig w:usb0="00000007" w:usb1="00000000" w:usb2="00000000" w:usb3="00000000" w:csb0="00000093" w:csb1="00000000"/>
    <w:embedRegular r:id="rId6" w:fontKey="{1EEDEBDD-56C7-4DD9-8984-598CBF939BC2}"/>
  </w:font>
  <w:font w:name="方正小标宋简体">
    <w:panose1 w:val="02000000000000000000"/>
    <w:charset w:val="86"/>
    <w:family w:val="auto"/>
    <w:pitch w:val="default"/>
    <w:sig w:usb0="00000001" w:usb1="08000000" w:usb2="00000000" w:usb3="00000000" w:csb0="00040000" w:csb1="00000000"/>
    <w:embedRegular r:id="rId7" w:fontKey="{11710878-8E4C-45D2-BB9E-B6B9171CA7C4}"/>
  </w:font>
  <w:font w:name="Tahoma">
    <w:panose1 w:val="020B0604030504040204"/>
    <w:charset w:val="00"/>
    <w:family w:val="auto"/>
    <w:pitch w:val="default"/>
    <w:sig w:usb0="E1002EFF" w:usb1="C000605B" w:usb2="00000029" w:usb3="00000000" w:csb0="200101FF" w:csb1="20280000"/>
    <w:embedRegular r:id="rId8" w:fontKey="{B6AD44DE-EC12-4BE6-9B11-4190CD9B6605}"/>
  </w:font>
  <w:font w:name="仿宋">
    <w:panose1 w:val="02010609060101010101"/>
    <w:charset w:val="86"/>
    <w:family w:val="auto"/>
    <w:pitch w:val="default"/>
    <w:sig w:usb0="800002BF" w:usb1="38CF7CFA" w:usb2="00000016" w:usb3="00000000" w:csb0="00040001" w:csb1="00000000"/>
    <w:embedRegular r:id="rId9" w:fontKey="{FE5A1FB3-B50E-42CF-91C2-4E26D475EFD7}"/>
  </w:font>
  <w:font w:name="FangSong_GB2312">
    <w:altName w:val="仿宋"/>
    <w:panose1 w:val="02010609060101010101"/>
    <w:charset w:val="86"/>
    <w:family w:val="modern"/>
    <w:pitch w:val="default"/>
    <w:sig w:usb0="00000000" w:usb1="00000000" w:usb2="00000016" w:usb3="00000000" w:csb0="00040001" w:csb1="00000000"/>
    <w:embedRegular r:id="rId10" w:fontKey="{39007298-0928-4CB0-9B56-78BB67A72F98}"/>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92021">
    <w:pPr>
      <w:pStyle w:val="1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38B26A">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E38B26A">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AC56E">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B7ADF5">
                          <w:pPr>
                            <w:pStyle w:val="17"/>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7B7ADF5">
                    <w:pPr>
                      <w:pStyle w:val="17"/>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EA1D4">
    <w:pPr>
      <w:pStyle w:val="17"/>
      <w:jc w:val="center"/>
      <w:rPr>
        <w:rFonts w:eastAsia="FangSong_GB2312"/>
        <w:sz w:val="18"/>
        <w:szCs w:val="18"/>
      </w:rPr>
    </w:pPr>
    <w:r>
      <w:rPr>
        <w:rFonts w:eastAsia="FangSong_GB2312"/>
        <w:sz w:val="18"/>
        <w:szCs w:val="18"/>
      </w:rPr>
      <w:fldChar w:fldCharType="begin"/>
    </w:r>
    <w:r>
      <w:rPr>
        <w:rFonts w:eastAsia="FangSong_GB2312"/>
        <w:sz w:val="18"/>
        <w:szCs w:val="18"/>
      </w:rPr>
      <w:instrText xml:space="preserve"> PAGE  \* MERGEFORMAT </w:instrText>
    </w:r>
    <w:r>
      <w:rPr>
        <w:rFonts w:eastAsia="FangSong_GB2312"/>
        <w:sz w:val="18"/>
        <w:szCs w:val="18"/>
      </w:rPr>
      <w:fldChar w:fldCharType="separate"/>
    </w:r>
    <w:r>
      <w:rPr>
        <w:sz w:val="18"/>
        <w:szCs w:val="18"/>
      </w:rPr>
      <w:t>26</w:t>
    </w:r>
    <w:r>
      <w:rPr>
        <w:rFonts w:eastAsia="FangSong_GB2312"/>
        <w:sz w:val="18"/>
        <w:szCs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C4467">
    <w:pPr>
      <w:jc w:val="center"/>
      <w:rPr>
        <w:rFonts w:hint="eastAsia"/>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sz w:val="18"/>
        <w:szCs w:val="18"/>
      </w:rPr>
      <w:t>1</w:t>
    </w:r>
    <w:r>
      <w:rPr>
        <w:rFonts w:hint="eastAsia"/>
        <w:sz w:val="18"/>
        <w:szCs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FCBFA">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0A67B0">
                          <w:pPr>
                            <w:pStyle w:val="17"/>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70A67B0">
                    <w:pPr>
                      <w:pStyle w:val="17"/>
                    </w:pPr>
                    <w:r>
                      <w:fldChar w:fldCharType="begin"/>
                    </w:r>
                    <w:r>
                      <w:instrText xml:space="preserve"> PAGE  \* MERGEFORMAT </w:instrText>
                    </w:r>
                    <w:r>
                      <w:fldChar w:fldCharType="separate"/>
                    </w:r>
                    <w:r>
                      <w:t>68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DD952">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2078E">
    <w:pPr>
      <w:spacing w:line="400"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BB8AC">
    <w:pPr>
      <w:spacing w:line="40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2EA84D"/>
    <w:multiLevelType w:val="singleLevel"/>
    <w:tmpl w:val="872EA84D"/>
    <w:lvl w:ilvl="0" w:tentative="0">
      <w:start w:val="6"/>
      <w:numFmt w:val="chineseCounting"/>
      <w:suff w:val="space"/>
      <w:lvlText w:val="第%1章"/>
      <w:lvlJc w:val="left"/>
      <w:rPr>
        <w:rFonts w:hint="eastAsia"/>
      </w:rPr>
    </w:lvl>
  </w:abstractNum>
  <w:abstractNum w:abstractNumId="1">
    <w:nsid w:val="B29C11F2"/>
    <w:multiLevelType w:val="singleLevel"/>
    <w:tmpl w:val="B29C11F2"/>
    <w:lvl w:ilvl="0" w:tentative="0">
      <w:start w:val="10"/>
      <w:numFmt w:val="decimal"/>
      <w:suff w:val="nothing"/>
      <w:lvlText w:val="（%1）"/>
      <w:lvlJc w:val="left"/>
    </w:lvl>
  </w:abstractNum>
  <w:abstractNum w:abstractNumId="2">
    <w:nsid w:val="EDA70614"/>
    <w:multiLevelType w:val="singleLevel"/>
    <w:tmpl w:val="EDA70614"/>
    <w:lvl w:ilvl="0" w:tentative="0">
      <w:start w:val="1"/>
      <w:numFmt w:val="chineseCounting"/>
      <w:suff w:val="space"/>
      <w:lvlText w:val="第%1部分"/>
      <w:lvlJc w:val="left"/>
      <w:rPr>
        <w:rFonts w:hint="eastAsia"/>
        <w:sz w:val="40"/>
        <w:szCs w:val="40"/>
      </w:rPr>
    </w:lvl>
  </w:abstractNum>
  <w:abstractNum w:abstractNumId="3">
    <w:nsid w:val="00000006"/>
    <w:multiLevelType w:val="singleLevel"/>
    <w:tmpl w:val="00000006"/>
    <w:lvl w:ilvl="0" w:tentative="0">
      <w:start w:val="1"/>
      <w:numFmt w:val="decimal"/>
      <w:suff w:val="nothing"/>
      <w:lvlText w:val="（%1）"/>
      <w:lvlJc w:val="left"/>
    </w:lvl>
  </w:abstractNum>
  <w:abstractNum w:abstractNumId="4">
    <w:nsid w:val="21A205B0"/>
    <w:multiLevelType w:val="singleLevel"/>
    <w:tmpl w:val="21A205B0"/>
    <w:lvl w:ilvl="0" w:tentative="0">
      <w:start w:val="2"/>
      <w:numFmt w:val="chineseCounting"/>
      <w:suff w:val="space"/>
      <w:lvlText w:val="第%1章"/>
      <w:lvlJc w:val="left"/>
      <w:rPr>
        <w:rFonts w:hint="eastAsia"/>
      </w:rPr>
    </w:lvl>
  </w:abstractNum>
  <w:abstractNum w:abstractNumId="5">
    <w:nsid w:val="6A53F4EB"/>
    <w:multiLevelType w:val="singleLevel"/>
    <w:tmpl w:val="6A53F4EB"/>
    <w:lvl w:ilvl="0" w:tentative="0">
      <w:start w:val="11"/>
      <w:numFmt w:val="decimal"/>
      <w:suff w:val="space"/>
      <w:lvlText w:val="%1."/>
      <w:lvlJc w:val="left"/>
    </w:lvl>
  </w:abstractNum>
  <w:num w:numId="1">
    <w:abstractNumId w:val="4"/>
  </w:num>
  <w:num w:numId="2">
    <w:abstractNumId w:val="0"/>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jNDUyNTkxNGZhMjRiNGE5MTEzODI0NmJmZDdlMzAifQ=="/>
    <w:docVar w:name="KSO_WPS_MARK_KEY" w:val="0f36c477-a813-4eb2-9910-36f309e25514"/>
  </w:docVars>
  <w:rsids>
    <w:rsidRoot w:val="556F068E"/>
    <w:rsid w:val="00022272"/>
    <w:rsid w:val="00046300"/>
    <w:rsid w:val="00092EAF"/>
    <w:rsid w:val="000A365B"/>
    <w:rsid w:val="000C199D"/>
    <w:rsid w:val="000E03F8"/>
    <w:rsid w:val="001A5BFD"/>
    <w:rsid w:val="001C657D"/>
    <w:rsid w:val="002203C2"/>
    <w:rsid w:val="00222EAA"/>
    <w:rsid w:val="0028721A"/>
    <w:rsid w:val="002C2E79"/>
    <w:rsid w:val="00341A32"/>
    <w:rsid w:val="00344260"/>
    <w:rsid w:val="003479CE"/>
    <w:rsid w:val="00350E8A"/>
    <w:rsid w:val="003566F1"/>
    <w:rsid w:val="00396966"/>
    <w:rsid w:val="003B5B92"/>
    <w:rsid w:val="004302EE"/>
    <w:rsid w:val="00430665"/>
    <w:rsid w:val="00446559"/>
    <w:rsid w:val="004B25EB"/>
    <w:rsid w:val="00511007"/>
    <w:rsid w:val="0055311E"/>
    <w:rsid w:val="005F1692"/>
    <w:rsid w:val="006C03D0"/>
    <w:rsid w:val="006E49D4"/>
    <w:rsid w:val="006F4DB7"/>
    <w:rsid w:val="007051D0"/>
    <w:rsid w:val="0073092E"/>
    <w:rsid w:val="00740C23"/>
    <w:rsid w:val="00753155"/>
    <w:rsid w:val="00762457"/>
    <w:rsid w:val="0079775D"/>
    <w:rsid w:val="007B713C"/>
    <w:rsid w:val="00822614"/>
    <w:rsid w:val="0086498E"/>
    <w:rsid w:val="008A64A8"/>
    <w:rsid w:val="008D11E2"/>
    <w:rsid w:val="008D54D8"/>
    <w:rsid w:val="008E648C"/>
    <w:rsid w:val="008F1CDD"/>
    <w:rsid w:val="008F25AF"/>
    <w:rsid w:val="00921DE8"/>
    <w:rsid w:val="00922F24"/>
    <w:rsid w:val="00946919"/>
    <w:rsid w:val="009564A4"/>
    <w:rsid w:val="00985A95"/>
    <w:rsid w:val="009A2CCA"/>
    <w:rsid w:val="009B2168"/>
    <w:rsid w:val="009D2098"/>
    <w:rsid w:val="009E6A77"/>
    <w:rsid w:val="00A360B5"/>
    <w:rsid w:val="00A461D0"/>
    <w:rsid w:val="00A51D4B"/>
    <w:rsid w:val="00A74461"/>
    <w:rsid w:val="00A806A3"/>
    <w:rsid w:val="00A974A6"/>
    <w:rsid w:val="00AA6128"/>
    <w:rsid w:val="00AD4031"/>
    <w:rsid w:val="00AF24A3"/>
    <w:rsid w:val="00B27491"/>
    <w:rsid w:val="00B3531B"/>
    <w:rsid w:val="00B57815"/>
    <w:rsid w:val="00BA74DD"/>
    <w:rsid w:val="00BC04D1"/>
    <w:rsid w:val="00BC2F65"/>
    <w:rsid w:val="00C720D9"/>
    <w:rsid w:val="00CD32AF"/>
    <w:rsid w:val="00CE6497"/>
    <w:rsid w:val="00D12F80"/>
    <w:rsid w:val="00D17065"/>
    <w:rsid w:val="00D676B2"/>
    <w:rsid w:val="00D7037D"/>
    <w:rsid w:val="00DA25AA"/>
    <w:rsid w:val="00DD6B5C"/>
    <w:rsid w:val="00E828D2"/>
    <w:rsid w:val="00F447E0"/>
    <w:rsid w:val="00F5573C"/>
    <w:rsid w:val="00FA5913"/>
    <w:rsid w:val="00FF0247"/>
    <w:rsid w:val="00FF6368"/>
    <w:rsid w:val="01003FCC"/>
    <w:rsid w:val="01104A24"/>
    <w:rsid w:val="013730A5"/>
    <w:rsid w:val="01457570"/>
    <w:rsid w:val="014C3BDB"/>
    <w:rsid w:val="016D676E"/>
    <w:rsid w:val="01813E16"/>
    <w:rsid w:val="0190392E"/>
    <w:rsid w:val="01A340D1"/>
    <w:rsid w:val="01D152A8"/>
    <w:rsid w:val="01D16F05"/>
    <w:rsid w:val="01D9471B"/>
    <w:rsid w:val="01E112F3"/>
    <w:rsid w:val="01E5765B"/>
    <w:rsid w:val="01E8610D"/>
    <w:rsid w:val="0217360F"/>
    <w:rsid w:val="022C5DFD"/>
    <w:rsid w:val="02365E7D"/>
    <w:rsid w:val="02756169"/>
    <w:rsid w:val="027827AD"/>
    <w:rsid w:val="02806C74"/>
    <w:rsid w:val="028B665F"/>
    <w:rsid w:val="02932757"/>
    <w:rsid w:val="02B62811"/>
    <w:rsid w:val="02C47A2B"/>
    <w:rsid w:val="02D0521C"/>
    <w:rsid w:val="02DC227F"/>
    <w:rsid w:val="02E80E6A"/>
    <w:rsid w:val="02E93C7C"/>
    <w:rsid w:val="02F76F90"/>
    <w:rsid w:val="032075CD"/>
    <w:rsid w:val="03244D3B"/>
    <w:rsid w:val="03361F3B"/>
    <w:rsid w:val="034828B8"/>
    <w:rsid w:val="038B508C"/>
    <w:rsid w:val="03A41F96"/>
    <w:rsid w:val="03BE5C4F"/>
    <w:rsid w:val="03C57F1D"/>
    <w:rsid w:val="03D3354B"/>
    <w:rsid w:val="043C2B7C"/>
    <w:rsid w:val="045D6149"/>
    <w:rsid w:val="04631E56"/>
    <w:rsid w:val="047553ED"/>
    <w:rsid w:val="04832496"/>
    <w:rsid w:val="048838BB"/>
    <w:rsid w:val="04903C37"/>
    <w:rsid w:val="04924FE3"/>
    <w:rsid w:val="04A24CDA"/>
    <w:rsid w:val="04AF1326"/>
    <w:rsid w:val="04CD5D15"/>
    <w:rsid w:val="04E977A2"/>
    <w:rsid w:val="04FD0E31"/>
    <w:rsid w:val="050637A5"/>
    <w:rsid w:val="050B287F"/>
    <w:rsid w:val="054769B3"/>
    <w:rsid w:val="05480B39"/>
    <w:rsid w:val="05571F68"/>
    <w:rsid w:val="05A0262C"/>
    <w:rsid w:val="05F46366"/>
    <w:rsid w:val="06021BFE"/>
    <w:rsid w:val="061631B2"/>
    <w:rsid w:val="06191E33"/>
    <w:rsid w:val="061C3D5B"/>
    <w:rsid w:val="06352C8D"/>
    <w:rsid w:val="06376F97"/>
    <w:rsid w:val="065A3ABE"/>
    <w:rsid w:val="06836237"/>
    <w:rsid w:val="06A7419D"/>
    <w:rsid w:val="06E35353"/>
    <w:rsid w:val="06EC222A"/>
    <w:rsid w:val="07245A59"/>
    <w:rsid w:val="0745028B"/>
    <w:rsid w:val="075A22F1"/>
    <w:rsid w:val="075F1C26"/>
    <w:rsid w:val="07AD2721"/>
    <w:rsid w:val="07AF6F49"/>
    <w:rsid w:val="07BB664B"/>
    <w:rsid w:val="07C0440E"/>
    <w:rsid w:val="07F82E00"/>
    <w:rsid w:val="082006F3"/>
    <w:rsid w:val="083C3003"/>
    <w:rsid w:val="08406DEA"/>
    <w:rsid w:val="084367D4"/>
    <w:rsid w:val="085E4A09"/>
    <w:rsid w:val="086871CD"/>
    <w:rsid w:val="086E336F"/>
    <w:rsid w:val="087B43C8"/>
    <w:rsid w:val="0882554E"/>
    <w:rsid w:val="089112ED"/>
    <w:rsid w:val="089D5D6A"/>
    <w:rsid w:val="08AD7237"/>
    <w:rsid w:val="08B531C4"/>
    <w:rsid w:val="08B74801"/>
    <w:rsid w:val="08E06F07"/>
    <w:rsid w:val="0903492F"/>
    <w:rsid w:val="090A71E9"/>
    <w:rsid w:val="0916122C"/>
    <w:rsid w:val="094B34E5"/>
    <w:rsid w:val="0950282C"/>
    <w:rsid w:val="09516912"/>
    <w:rsid w:val="097035F9"/>
    <w:rsid w:val="099D12AF"/>
    <w:rsid w:val="09AD5E3C"/>
    <w:rsid w:val="09B12057"/>
    <w:rsid w:val="09C735AB"/>
    <w:rsid w:val="09D41DD9"/>
    <w:rsid w:val="09E6082E"/>
    <w:rsid w:val="09FB0360"/>
    <w:rsid w:val="0A312D88"/>
    <w:rsid w:val="0A443EE4"/>
    <w:rsid w:val="0A522CFE"/>
    <w:rsid w:val="0A6842D0"/>
    <w:rsid w:val="0A6D405E"/>
    <w:rsid w:val="0A6F7F41"/>
    <w:rsid w:val="0A9C7D1B"/>
    <w:rsid w:val="0ADB0DD6"/>
    <w:rsid w:val="0AE95D14"/>
    <w:rsid w:val="0AF95B2E"/>
    <w:rsid w:val="0AFA3F41"/>
    <w:rsid w:val="0B071FCC"/>
    <w:rsid w:val="0B163B89"/>
    <w:rsid w:val="0B1A6F5A"/>
    <w:rsid w:val="0B311F83"/>
    <w:rsid w:val="0B5374D4"/>
    <w:rsid w:val="0B5934C2"/>
    <w:rsid w:val="0B667091"/>
    <w:rsid w:val="0B7023F3"/>
    <w:rsid w:val="0B903ADE"/>
    <w:rsid w:val="0B9628CE"/>
    <w:rsid w:val="0B9665C6"/>
    <w:rsid w:val="0BC2585F"/>
    <w:rsid w:val="0BC4602F"/>
    <w:rsid w:val="0BC50665"/>
    <w:rsid w:val="0BE0389B"/>
    <w:rsid w:val="0C03028C"/>
    <w:rsid w:val="0C3F5BB7"/>
    <w:rsid w:val="0C5636E2"/>
    <w:rsid w:val="0C770701"/>
    <w:rsid w:val="0C776A4C"/>
    <w:rsid w:val="0C78199D"/>
    <w:rsid w:val="0C816B43"/>
    <w:rsid w:val="0CB060DE"/>
    <w:rsid w:val="0CB43D56"/>
    <w:rsid w:val="0CBA47E6"/>
    <w:rsid w:val="0CBF41E0"/>
    <w:rsid w:val="0CCC6BCF"/>
    <w:rsid w:val="0D001946"/>
    <w:rsid w:val="0D006A41"/>
    <w:rsid w:val="0D1A6DAB"/>
    <w:rsid w:val="0D236286"/>
    <w:rsid w:val="0D4357F1"/>
    <w:rsid w:val="0D4C6BDF"/>
    <w:rsid w:val="0D896A37"/>
    <w:rsid w:val="0D913B3D"/>
    <w:rsid w:val="0D98311E"/>
    <w:rsid w:val="0DB22432"/>
    <w:rsid w:val="0DB92613"/>
    <w:rsid w:val="0DC3449B"/>
    <w:rsid w:val="0DE8206B"/>
    <w:rsid w:val="0DF13383"/>
    <w:rsid w:val="0E1D31AF"/>
    <w:rsid w:val="0E2E5189"/>
    <w:rsid w:val="0E3B3FA0"/>
    <w:rsid w:val="0E4531F0"/>
    <w:rsid w:val="0E5114F5"/>
    <w:rsid w:val="0E8A703D"/>
    <w:rsid w:val="0E8E5690"/>
    <w:rsid w:val="0EB12B04"/>
    <w:rsid w:val="0EB8284C"/>
    <w:rsid w:val="0EBF4D9D"/>
    <w:rsid w:val="0EC853E9"/>
    <w:rsid w:val="0EDA48F5"/>
    <w:rsid w:val="0F1A028E"/>
    <w:rsid w:val="0F37609A"/>
    <w:rsid w:val="0F5E7FAF"/>
    <w:rsid w:val="0F666CCA"/>
    <w:rsid w:val="0F711E78"/>
    <w:rsid w:val="0F801C32"/>
    <w:rsid w:val="0FC73BE9"/>
    <w:rsid w:val="0FDD010F"/>
    <w:rsid w:val="0FDE1E1F"/>
    <w:rsid w:val="0FEC00EE"/>
    <w:rsid w:val="0FEE6836"/>
    <w:rsid w:val="101A1FFE"/>
    <w:rsid w:val="105253A5"/>
    <w:rsid w:val="10574280"/>
    <w:rsid w:val="108A2DF9"/>
    <w:rsid w:val="109218D9"/>
    <w:rsid w:val="109501C0"/>
    <w:rsid w:val="10A1515D"/>
    <w:rsid w:val="10AB7642"/>
    <w:rsid w:val="10B637C0"/>
    <w:rsid w:val="10E66141"/>
    <w:rsid w:val="10EB474A"/>
    <w:rsid w:val="11170ED8"/>
    <w:rsid w:val="11347157"/>
    <w:rsid w:val="11467149"/>
    <w:rsid w:val="114E2AEE"/>
    <w:rsid w:val="115B567E"/>
    <w:rsid w:val="11A823B3"/>
    <w:rsid w:val="11AD4D9B"/>
    <w:rsid w:val="11BF6701"/>
    <w:rsid w:val="11C436DA"/>
    <w:rsid w:val="11CC3E60"/>
    <w:rsid w:val="11DC229F"/>
    <w:rsid w:val="121E0907"/>
    <w:rsid w:val="12417917"/>
    <w:rsid w:val="12423A2C"/>
    <w:rsid w:val="1259320B"/>
    <w:rsid w:val="125C359D"/>
    <w:rsid w:val="12972A6D"/>
    <w:rsid w:val="12A03046"/>
    <w:rsid w:val="12F16C1F"/>
    <w:rsid w:val="132A0CBC"/>
    <w:rsid w:val="137F578F"/>
    <w:rsid w:val="138A5D40"/>
    <w:rsid w:val="138C7281"/>
    <w:rsid w:val="13B33EEB"/>
    <w:rsid w:val="13BC12BF"/>
    <w:rsid w:val="13BF768D"/>
    <w:rsid w:val="13C81DF4"/>
    <w:rsid w:val="13CF3AB0"/>
    <w:rsid w:val="14034BB8"/>
    <w:rsid w:val="14236617"/>
    <w:rsid w:val="14405D22"/>
    <w:rsid w:val="1444201F"/>
    <w:rsid w:val="14990D44"/>
    <w:rsid w:val="149961C2"/>
    <w:rsid w:val="149E3AC3"/>
    <w:rsid w:val="14BE5716"/>
    <w:rsid w:val="14C34F24"/>
    <w:rsid w:val="14EB19FB"/>
    <w:rsid w:val="14F670A8"/>
    <w:rsid w:val="151F00E8"/>
    <w:rsid w:val="153170A0"/>
    <w:rsid w:val="153C1486"/>
    <w:rsid w:val="1574696E"/>
    <w:rsid w:val="15907FBE"/>
    <w:rsid w:val="15BD2C4B"/>
    <w:rsid w:val="15C15585"/>
    <w:rsid w:val="15C6474A"/>
    <w:rsid w:val="15D613A5"/>
    <w:rsid w:val="15D762E2"/>
    <w:rsid w:val="15F232AA"/>
    <w:rsid w:val="15F46539"/>
    <w:rsid w:val="15F815D5"/>
    <w:rsid w:val="15FF1F8C"/>
    <w:rsid w:val="16135A37"/>
    <w:rsid w:val="161E3C66"/>
    <w:rsid w:val="16326427"/>
    <w:rsid w:val="16433642"/>
    <w:rsid w:val="16441BC9"/>
    <w:rsid w:val="164A3658"/>
    <w:rsid w:val="164E4553"/>
    <w:rsid w:val="16621C8D"/>
    <w:rsid w:val="1665243A"/>
    <w:rsid w:val="167E64D5"/>
    <w:rsid w:val="16827A28"/>
    <w:rsid w:val="16950C3B"/>
    <w:rsid w:val="16A13E1C"/>
    <w:rsid w:val="16E35DCD"/>
    <w:rsid w:val="16E77B3D"/>
    <w:rsid w:val="16F23CD8"/>
    <w:rsid w:val="16F45869"/>
    <w:rsid w:val="16FA4E2C"/>
    <w:rsid w:val="171C17FB"/>
    <w:rsid w:val="171D46C2"/>
    <w:rsid w:val="171F74F7"/>
    <w:rsid w:val="17580A4C"/>
    <w:rsid w:val="17593127"/>
    <w:rsid w:val="17607065"/>
    <w:rsid w:val="176F2E6E"/>
    <w:rsid w:val="17716EB9"/>
    <w:rsid w:val="17863661"/>
    <w:rsid w:val="17A24DB8"/>
    <w:rsid w:val="17A941B6"/>
    <w:rsid w:val="17BD28E0"/>
    <w:rsid w:val="17E2165E"/>
    <w:rsid w:val="180C7126"/>
    <w:rsid w:val="181C7503"/>
    <w:rsid w:val="18236833"/>
    <w:rsid w:val="18333BE2"/>
    <w:rsid w:val="185C0A48"/>
    <w:rsid w:val="18664E5B"/>
    <w:rsid w:val="18776039"/>
    <w:rsid w:val="188305B7"/>
    <w:rsid w:val="18836AA1"/>
    <w:rsid w:val="1910625E"/>
    <w:rsid w:val="191C7213"/>
    <w:rsid w:val="1977008B"/>
    <w:rsid w:val="19813A83"/>
    <w:rsid w:val="1983215A"/>
    <w:rsid w:val="19845EE9"/>
    <w:rsid w:val="199D157A"/>
    <w:rsid w:val="199D5C40"/>
    <w:rsid w:val="19A940E1"/>
    <w:rsid w:val="19BA6784"/>
    <w:rsid w:val="19E80221"/>
    <w:rsid w:val="1A0B3DC0"/>
    <w:rsid w:val="1A2F6BB8"/>
    <w:rsid w:val="1A397664"/>
    <w:rsid w:val="1A3F6DFB"/>
    <w:rsid w:val="1A700B7C"/>
    <w:rsid w:val="1A9C70C5"/>
    <w:rsid w:val="1AB8269D"/>
    <w:rsid w:val="1AE41258"/>
    <w:rsid w:val="1AEB00AB"/>
    <w:rsid w:val="1B070751"/>
    <w:rsid w:val="1B090479"/>
    <w:rsid w:val="1B093739"/>
    <w:rsid w:val="1B093B1D"/>
    <w:rsid w:val="1B305F40"/>
    <w:rsid w:val="1B356C3A"/>
    <w:rsid w:val="1B3A401D"/>
    <w:rsid w:val="1B4B17D0"/>
    <w:rsid w:val="1B5B1941"/>
    <w:rsid w:val="1B644C78"/>
    <w:rsid w:val="1B7156B8"/>
    <w:rsid w:val="1B757C39"/>
    <w:rsid w:val="1B770817"/>
    <w:rsid w:val="1B7B7487"/>
    <w:rsid w:val="1B7E7F14"/>
    <w:rsid w:val="1BC04FD1"/>
    <w:rsid w:val="1BD27D58"/>
    <w:rsid w:val="1BE54582"/>
    <w:rsid w:val="1BEA723A"/>
    <w:rsid w:val="1BF84AF8"/>
    <w:rsid w:val="1BFB09A3"/>
    <w:rsid w:val="1BFD6C7E"/>
    <w:rsid w:val="1C0B3C6C"/>
    <w:rsid w:val="1C164185"/>
    <w:rsid w:val="1C262354"/>
    <w:rsid w:val="1C4D58A1"/>
    <w:rsid w:val="1C75643E"/>
    <w:rsid w:val="1C93342E"/>
    <w:rsid w:val="1C986933"/>
    <w:rsid w:val="1CBD2679"/>
    <w:rsid w:val="1CC31008"/>
    <w:rsid w:val="1CCC3CBC"/>
    <w:rsid w:val="1CD566D8"/>
    <w:rsid w:val="1CD974FA"/>
    <w:rsid w:val="1CDF3B2A"/>
    <w:rsid w:val="1CE4752C"/>
    <w:rsid w:val="1CE83302"/>
    <w:rsid w:val="1CE92A10"/>
    <w:rsid w:val="1CEE68B6"/>
    <w:rsid w:val="1D123295"/>
    <w:rsid w:val="1D167EEA"/>
    <w:rsid w:val="1D2F2D17"/>
    <w:rsid w:val="1D495FAC"/>
    <w:rsid w:val="1D4C4A30"/>
    <w:rsid w:val="1D503E27"/>
    <w:rsid w:val="1D6D0123"/>
    <w:rsid w:val="1D7A639C"/>
    <w:rsid w:val="1D8206B5"/>
    <w:rsid w:val="1D8D58DE"/>
    <w:rsid w:val="1DB2375B"/>
    <w:rsid w:val="1DC05A19"/>
    <w:rsid w:val="1DDB47E2"/>
    <w:rsid w:val="1DF71A39"/>
    <w:rsid w:val="1DFB4A45"/>
    <w:rsid w:val="1DFC6FA3"/>
    <w:rsid w:val="1E005F9D"/>
    <w:rsid w:val="1E096100"/>
    <w:rsid w:val="1E1D673B"/>
    <w:rsid w:val="1E231AEA"/>
    <w:rsid w:val="1E3824DF"/>
    <w:rsid w:val="1E553AF6"/>
    <w:rsid w:val="1E5C7AA3"/>
    <w:rsid w:val="1E6426A0"/>
    <w:rsid w:val="1E8500B7"/>
    <w:rsid w:val="1E8D2FC4"/>
    <w:rsid w:val="1EAF7CA6"/>
    <w:rsid w:val="1ECA5910"/>
    <w:rsid w:val="1EEA2F16"/>
    <w:rsid w:val="1F5C5D3E"/>
    <w:rsid w:val="1F5E1AA4"/>
    <w:rsid w:val="1F655403"/>
    <w:rsid w:val="1F7171A3"/>
    <w:rsid w:val="1F807C45"/>
    <w:rsid w:val="1F86142A"/>
    <w:rsid w:val="1F8D47B9"/>
    <w:rsid w:val="1F8E2E26"/>
    <w:rsid w:val="1F905D42"/>
    <w:rsid w:val="1F9E53C0"/>
    <w:rsid w:val="1FAB4F33"/>
    <w:rsid w:val="1FBF453A"/>
    <w:rsid w:val="1FE67D3D"/>
    <w:rsid w:val="1FE80522"/>
    <w:rsid w:val="1FE9475C"/>
    <w:rsid w:val="1FFC7D8E"/>
    <w:rsid w:val="20254C0F"/>
    <w:rsid w:val="204E5A2F"/>
    <w:rsid w:val="20664963"/>
    <w:rsid w:val="20A420AE"/>
    <w:rsid w:val="20A9754C"/>
    <w:rsid w:val="20BA111E"/>
    <w:rsid w:val="20C454B5"/>
    <w:rsid w:val="20FE67E9"/>
    <w:rsid w:val="211713ED"/>
    <w:rsid w:val="21241618"/>
    <w:rsid w:val="21460B4D"/>
    <w:rsid w:val="218B0B78"/>
    <w:rsid w:val="219B7DE7"/>
    <w:rsid w:val="21B60313"/>
    <w:rsid w:val="21BA18CA"/>
    <w:rsid w:val="21BC3427"/>
    <w:rsid w:val="21C4457A"/>
    <w:rsid w:val="21C97397"/>
    <w:rsid w:val="21EC3353"/>
    <w:rsid w:val="21F05D61"/>
    <w:rsid w:val="21F3425F"/>
    <w:rsid w:val="22001A09"/>
    <w:rsid w:val="22096FE7"/>
    <w:rsid w:val="220D751F"/>
    <w:rsid w:val="221E50FA"/>
    <w:rsid w:val="222D1D02"/>
    <w:rsid w:val="227B4DAD"/>
    <w:rsid w:val="22AD31A5"/>
    <w:rsid w:val="22B4097F"/>
    <w:rsid w:val="22B5662B"/>
    <w:rsid w:val="22B64134"/>
    <w:rsid w:val="22D15291"/>
    <w:rsid w:val="22F22FF9"/>
    <w:rsid w:val="2302130E"/>
    <w:rsid w:val="230F42A2"/>
    <w:rsid w:val="231247D0"/>
    <w:rsid w:val="23141D1B"/>
    <w:rsid w:val="231470B2"/>
    <w:rsid w:val="23260413"/>
    <w:rsid w:val="232E5C5F"/>
    <w:rsid w:val="234571CE"/>
    <w:rsid w:val="236B31BC"/>
    <w:rsid w:val="236D4D88"/>
    <w:rsid w:val="237B3D5E"/>
    <w:rsid w:val="237D3953"/>
    <w:rsid w:val="23856F77"/>
    <w:rsid w:val="239177CA"/>
    <w:rsid w:val="23961D95"/>
    <w:rsid w:val="23CB3857"/>
    <w:rsid w:val="23F35D0C"/>
    <w:rsid w:val="23FA7E69"/>
    <w:rsid w:val="241412F8"/>
    <w:rsid w:val="242552B4"/>
    <w:rsid w:val="24315C04"/>
    <w:rsid w:val="244627A5"/>
    <w:rsid w:val="245323A6"/>
    <w:rsid w:val="2460107D"/>
    <w:rsid w:val="24756BA6"/>
    <w:rsid w:val="24B060A4"/>
    <w:rsid w:val="24B43F14"/>
    <w:rsid w:val="24E309A7"/>
    <w:rsid w:val="24E449CE"/>
    <w:rsid w:val="25116E92"/>
    <w:rsid w:val="251315B0"/>
    <w:rsid w:val="2532575D"/>
    <w:rsid w:val="25555D52"/>
    <w:rsid w:val="255D2553"/>
    <w:rsid w:val="25927C62"/>
    <w:rsid w:val="259A0584"/>
    <w:rsid w:val="25A247E7"/>
    <w:rsid w:val="25A87042"/>
    <w:rsid w:val="25B03EE3"/>
    <w:rsid w:val="25B111B0"/>
    <w:rsid w:val="25B92E0A"/>
    <w:rsid w:val="25BA7C53"/>
    <w:rsid w:val="25BE204F"/>
    <w:rsid w:val="26153106"/>
    <w:rsid w:val="261673CB"/>
    <w:rsid w:val="26220DC8"/>
    <w:rsid w:val="2629321D"/>
    <w:rsid w:val="262D2DD3"/>
    <w:rsid w:val="26322B7B"/>
    <w:rsid w:val="26361BCE"/>
    <w:rsid w:val="264A53DE"/>
    <w:rsid w:val="26501172"/>
    <w:rsid w:val="265509DB"/>
    <w:rsid w:val="26565B0A"/>
    <w:rsid w:val="26616E22"/>
    <w:rsid w:val="266B1340"/>
    <w:rsid w:val="2670250C"/>
    <w:rsid w:val="267257B3"/>
    <w:rsid w:val="267A636E"/>
    <w:rsid w:val="26845D15"/>
    <w:rsid w:val="268D7140"/>
    <w:rsid w:val="269711B9"/>
    <w:rsid w:val="26B26A7B"/>
    <w:rsid w:val="26BD6D0E"/>
    <w:rsid w:val="26D121AE"/>
    <w:rsid w:val="26E873DA"/>
    <w:rsid w:val="270933F2"/>
    <w:rsid w:val="27187560"/>
    <w:rsid w:val="27290C01"/>
    <w:rsid w:val="272A0C68"/>
    <w:rsid w:val="273D765A"/>
    <w:rsid w:val="27433C4E"/>
    <w:rsid w:val="27606603"/>
    <w:rsid w:val="27665E21"/>
    <w:rsid w:val="27736981"/>
    <w:rsid w:val="277C2603"/>
    <w:rsid w:val="278229CE"/>
    <w:rsid w:val="278230B3"/>
    <w:rsid w:val="279961FC"/>
    <w:rsid w:val="27AE44D5"/>
    <w:rsid w:val="27B75E91"/>
    <w:rsid w:val="27D80610"/>
    <w:rsid w:val="27E72880"/>
    <w:rsid w:val="27F52732"/>
    <w:rsid w:val="27F938F7"/>
    <w:rsid w:val="280944AF"/>
    <w:rsid w:val="282646EC"/>
    <w:rsid w:val="282C6E8B"/>
    <w:rsid w:val="283C2BCC"/>
    <w:rsid w:val="2855489F"/>
    <w:rsid w:val="28662581"/>
    <w:rsid w:val="28687751"/>
    <w:rsid w:val="286B4291"/>
    <w:rsid w:val="288A1B89"/>
    <w:rsid w:val="289A528E"/>
    <w:rsid w:val="28A8460E"/>
    <w:rsid w:val="28C130D1"/>
    <w:rsid w:val="28C24CA3"/>
    <w:rsid w:val="28F63507"/>
    <w:rsid w:val="28FC1E02"/>
    <w:rsid w:val="290E23D9"/>
    <w:rsid w:val="29157609"/>
    <w:rsid w:val="291D6FAC"/>
    <w:rsid w:val="29267D5D"/>
    <w:rsid w:val="292C56FA"/>
    <w:rsid w:val="29311834"/>
    <w:rsid w:val="29347D47"/>
    <w:rsid w:val="29611F8B"/>
    <w:rsid w:val="296C7C2C"/>
    <w:rsid w:val="299F4685"/>
    <w:rsid w:val="29AD67F7"/>
    <w:rsid w:val="29DA48E6"/>
    <w:rsid w:val="29DC62F2"/>
    <w:rsid w:val="2A021B3E"/>
    <w:rsid w:val="2A181417"/>
    <w:rsid w:val="2A290BDC"/>
    <w:rsid w:val="2A351F7B"/>
    <w:rsid w:val="2A3E35AD"/>
    <w:rsid w:val="2A4D76CB"/>
    <w:rsid w:val="2A5916A8"/>
    <w:rsid w:val="2A652BD4"/>
    <w:rsid w:val="2A6C420C"/>
    <w:rsid w:val="2AB26607"/>
    <w:rsid w:val="2ACE4FC6"/>
    <w:rsid w:val="2AD94755"/>
    <w:rsid w:val="2AF77367"/>
    <w:rsid w:val="2B0A0BD5"/>
    <w:rsid w:val="2B0A326E"/>
    <w:rsid w:val="2B381D70"/>
    <w:rsid w:val="2B411857"/>
    <w:rsid w:val="2B54148E"/>
    <w:rsid w:val="2B5C73EB"/>
    <w:rsid w:val="2B5E61B8"/>
    <w:rsid w:val="2B7118BF"/>
    <w:rsid w:val="2B724E22"/>
    <w:rsid w:val="2B8818D0"/>
    <w:rsid w:val="2B8A1EA0"/>
    <w:rsid w:val="2B9C27E4"/>
    <w:rsid w:val="2BE13188"/>
    <w:rsid w:val="2BE713FE"/>
    <w:rsid w:val="2C053476"/>
    <w:rsid w:val="2C113654"/>
    <w:rsid w:val="2C1B212D"/>
    <w:rsid w:val="2C3E2C44"/>
    <w:rsid w:val="2C44674C"/>
    <w:rsid w:val="2C575BBB"/>
    <w:rsid w:val="2C920372"/>
    <w:rsid w:val="2CDD2828"/>
    <w:rsid w:val="2D1D294F"/>
    <w:rsid w:val="2D28535E"/>
    <w:rsid w:val="2D735A67"/>
    <w:rsid w:val="2D8070AF"/>
    <w:rsid w:val="2DB94CBF"/>
    <w:rsid w:val="2DBA131A"/>
    <w:rsid w:val="2DBA5AC8"/>
    <w:rsid w:val="2DCB735A"/>
    <w:rsid w:val="2DD462C2"/>
    <w:rsid w:val="2DDD2134"/>
    <w:rsid w:val="2DDD4E5F"/>
    <w:rsid w:val="2DE16C77"/>
    <w:rsid w:val="2DE60BE9"/>
    <w:rsid w:val="2E2668E4"/>
    <w:rsid w:val="2E3615D0"/>
    <w:rsid w:val="2E3B5ECD"/>
    <w:rsid w:val="2E4403E2"/>
    <w:rsid w:val="2E451A7C"/>
    <w:rsid w:val="2E4C1EBA"/>
    <w:rsid w:val="2EAE301C"/>
    <w:rsid w:val="2ED36202"/>
    <w:rsid w:val="2EE13B2F"/>
    <w:rsid w:val="2EE15691"/>
    <w:rsid w:val="2F1F4FB0"/>
    <w:rsid w:val="2F4A5657"/>
    <w:rsid w:val="2F4D6B27"/>
    <w:rsid w:val="2F543A38"/>
    <w:rsid w:val="2F553B82"/>
    <w:rsid w:val="2F7B59FE"/>
    <w:rsid w:val="2F7D2448"/>
    <w:rsid w:val="2F9C2E37"/>
    <w:rsid w:val="2FB000FC"/>
    <w:rsid w:val="2FC1191E"/>
    <w:rsid w:val="2FC93316"/>
    <w:rsid w:val="2FCC5583"/>
    <w:rsid w:val="2FD61001"/>
    <w:rsid w:val="300852DE"/>
    <w:rsid w:val="301902C6"/>
    <w:rsid w:val="30464020"/>
    <w:rsid w:val="30497A4F"/>
    <w:rsid w:val="306B512F"/>
    <w:rsid w:val="306D5C41"/>
    <w:rsid w:val="30A83EC2"/>
    <w:rsid w:val="30B80D4C"/>
    <w:rsid w:val="30BD2B5F"/>
    <w:rsid w:val="30C114AB"/>
    <w:rsid w:val="30E1509C"/>
    <w:rsid w:val="30F84E6F"/>
    <w:rsid w:val="31127E0D"/>
    <w:rsid w:val="3129025F"/>
    <w:rsid w:val="31320998"/>
    <w:rsid w:val="31453C7B"/>
    <w:rsid w:val="314D312F"/>
    <w:rsid w:val="31542597"/>
    <w:rsid w:val="31615C49"/>
    <w:rsid w:val="316D7D22"/>
    <w:rsid w:val="31843543"/>
    <w:rsid w:val="31857990"/>
    <w:rsid w:val="318B126D"/>
    <w:rsid w:val="31A1157A"/>
    <w:rsid w:val="31C25309"/>
    <w:rsid w:val="31CB6D6E"/>
    <w:rsid w:val="31D67B45"/>
    <w:rsid w:val="31E35430"/>
    <w:rsid w:val="3210510A"/>
    <w:rsid w:val="321B1AA4"/>
    <w:rsid w:val="322055D3"/>
    <w:rsid w:val="322C2A8A"/>
    <w:rsid w:val="322E1180"/>
    <w:rsid w:val="324D07E6"/>
    <w:rsid w:val="32757B61"/>
    <w:rsid w:val="32822213"/>
    <w:rsid w:val="32867567"/>
    <w:rsid w:val="328F2B5E"/>
    <w:rsid w:val="32981347"/>
    <w:rsid w:val="329F7A2B"/>
    <w:rsid w:val="3311647A"/>
    <w:rsid w:val="332854D5"/>
    <w:rsid w:val="3329346A"/>
    <w:rsid w:val="333659DA"/>
    <w:rsid w:val="335553C6"/>
    <w:rsid w:val="3357102E"/>
    <w:rsid w:val="33572FB0"/>
    <w:rsid w:val="33633EB8"/>
    <w:rsid w:val="336D250C"/>
    <w:rsid w:val="338D2239"/>
    <w:rsid w:val="33AE5BBA"/>
    <w:rsid w:val="33B30672"/>
    <w:rsid w:val="33D579CF"/>
    <w:rsid w:val="33E836FB"/>
    <w:rsid w:val="33F205F7"/>
    <w:rsid w:val="33FF2179"/>
    <w:rsid w:val="345E13BA"/>
    <w:rsid w:val="345E3292"/>
    <w:rsid w:val="34664A0B"/>
    <w:rsid w:val="346E2D0F"/>
    <w:rsid w:val="347C61BE"/>
    <w:rsid w:val="349C35B5"/>
    <w:rsid w:val="34AE1E6A"/>
    <w:rsid w:val="34EC597A"/>
    <w:rsid w:val="34F85D6A"/>
    <w:rsid w:val="350E3B42"/>
    <w:rsid w:val="35125628"/>
    <w:rsid w:val="352100FF"/>
    <w:rsid w:val="352167CF"/>
    <w:rsid w:val="355B5EB9"/>
    <w:rsid w:val="35660444"/>
    <w:rsid w:val="3566212E"/>
    <w:rsid w:val="356B276A"/>
    <w:rsid w:val="358E654C"/>
    <w:rsid w:val="35965B9C"/>
    <w:rsid w:val="359F0A1F"/>
    <w:rsid w:val="35C43240"/>
    <w:rsid w:val="35D42CBE"/>
    <w:rsid w:val="360D03D3"/>
    <w:rsid w:val="361B3EDC"/>
    <w:rsid w:val="361F6493"/>
    <w:rsid w:val="365C025C"/>
    <w:rsid w:val="36626692"/>
    <w:rsid w:val="367242E0"/>
    <w:rsid w:val="36897340"/>
    <w:rsid w:val="36D05609"/>
    <w:rsid w:val="36E35E9F"/>
    <w:rsid w:val="36EC24B8"/>
    <w:rsid w:val="36FF2B34"/>
    <w:rsid w:val="37054AD1"/>
    <w:rsid w:val="3712448B"/>
    <w:rsid w:val="37274807"/>
    <w:rsid w:val="37712166"/>
    <w:rsid w:val="37734130"/>
    <w:rsid w:val="37936580"/>
    <w:rsid w:val="37A34A15"/>
    <w:rsid w:val="37A52ECC"/>
    <w:rsid w:val="37A54714"/>
    <w:rsid w:val="37C64260"/>
    <w:rsid w:val="38282D9D"/>
    <w:rsid w:val="38473444"/>
    <w:rsid w:val="38496EE5"/>
    <w:rsid w:val="385308AB"/>
    <w:rsid w:val="38854458"/>
    <w:rsid w:val="389A51EB"/>
    <w:rsid w:val="38A22B6B"/>
    <w:rsid w:val="38D563EE"/>
    <w:rsid w:val="38EA10A6"/>
    <w:rsid w:val="390441CE"/>
    <w:rsid w:val="390B5D7B"/>
    <w:rsid w:val="39166111"/>
    <w:rsid w:val="39255B75"/>
    <w:rsid w:val="395370EE"/>
    <w:rsid w:val="39545D8E"/>
    <w:rsid w:val="3985179C"/>
    <w:rsid w:val="39BF1CE5"/>
    <w:rsid w:val="3A0B1954"/>
    <w:rsid w:val="3A151FA0"/>
    <w:rsid w:val="3A2B232A"/>
    <w:rsid w:val="3A793A8F"/>
    <w:rsid w:val="3A8328DC"/>
    <w:rsid w:val="3ABF2507"/>
    <w:rsid w:val="3AC32E01"/>
    <w:rsid w:val="3AC9498B"/>
    <w:rsid w:val="3AE72E6B"/>
    <w:rsid w:val="3B256DAF"/>
    <w:rsid w:val="3B3616FD"/>
    <w:rsid w:val="3B533D48"/>
    <w:rsid w:val="3B5A1A2F"/>
    <w:rsid w:val="3B5B5758"/>
    <w:rsid w:val="3B8D3791"/>
    <w:rsid w:val="3BA27B10"/>
    <w:rsid w:val="3BA92E72"/>
    <w:rsid w:val="3BAA04FF"/>
    <w:rsid w:val="3BAD1686"/>
    <w:rsid w:val="3BAF6081"/>
    <w:rsid w:val="3BBD016F"/>
    <w:rsid w:val="3BE0479C"/>
    <w:rsid w:val="3BEE3761"/>
    <w:rsid w:val="3C0E5061"/>
    <w:rsid w:val="3C1F49BF"/>
    <w:rsid w:val="3C6D55F2"/>
    <w:rsid w:val="3C8051A6"/>
    <w:rsid w:val="3C8E5C34"/>
    <w:rsid w:val="3C9A335A"/>
    <w:rsid w:val="3CAD3C40"/>
    <w:rsid w:val="3CBB635D"/>
    <w:rsid w:val="3CC05722"/>
    <w:rsid w:val="3CDC396E"/>
    <w:rsid w:val="3CF248ED"/>
    <w:rsid w:val="3D0D4A0D"/>
    <w:rsid w:val="3D312940"/>
    <w:rsid w:val="3D681D5A"/>
    <w:rsid w:val="3D6A1C0B"/>
    <w:rsid w:val="3D6C76C2"/>
    <w:rsid w:val="3D8D6ED1"/>
    <w:rsid w:val="3D8F3E21"/>
    <w:rsid w:val="3DA2751D"/>
    <w:rsid w:val="3DC31ADA"/>
    <w:rsid w:val="3DFD7731"/>
    <w:rsid w:val="3E0C733A"/>
    <w:rsid w:val="3E356E35"/>
    <w:rsid w:val="3E492A9D"/>
    <w:rsid w:val="3E874902"/>
    <w:rsid w:val="3E921361"/>
    <w:rsid w:val="3EA96219"/>
    <w:rsid w:val="3EB06A0E"/>
    <w:rsid w:val="3EB31640"/>
    <w:rsid w:val="3EB54AE2"/>
    <w:rsid w:val="3EB92D62"/>
    <w:rsid w:val="3ECF7E9E"/>
    <w:rsid w:val="3EF16D0C"/>
    <w:rsid w:val="3F15023A"/>
    <w:rsid w:val="3F2476CE"/>
    <w:rsid w:val="3F273217"/>
    <w:rsid w:val="3F2A77CA"/>
    <w:rsid w:val="3F36616F"/>
    <w:rsid w:val="3F5C67E0"/>
    <w:rsid w:val="3F6046C3"/>
    <w:rsid w:val="3F816C8A"/>
    <w:rsid w:val="3FA93691"/>
    <w:rsid w:val="3FC568AC"/>
    <w:rsid w:val="3FD0385B"/>
    <w:rsid w:val="3FD16045"/>
    <w:rsid w:val="3FD417C3"/>
    <w:rsid w:val="3FE6347C"/>
    <w:rsid w:val="4024246B"/>
    <w:rsid w:val="402F6781"/>
    <w:rsid w:val="40394958"/>
    <w:rsid w:val="403A1C8F"/>
    <w:rsid w:val="404D5299"/>
    <w:rsid w:val="404E76D3"/>
    <w:rsid w:val="408560B2"/>
    <w:rsid w:val="408F3C3B"/>
    <w:rsid w:val="40AD0BEA"/>
    <w:rsid w:val="40B45FA1"/>
    <w:rsid w:val="40C50789"/>
    <w:rsid w:val="40E2404A"/>
    <w:rsid w:val="40F7192E"/>
    <w:rsid w:val="40FA0619"/>
    <w:rsid w:val="41141D46"/>
    <w:rsid w:val="41262582"/>
    <w:rsid w:val="41277321"/>
    <w:rsid w:val="413B5CBF"/>
    <w:rsid w:val="415C5513"/>
    <w:rsid w:val="41661CEC"/>
    <w:rsid w:val="417304D2"/>
    <w:rsid w:val="41756B51"/>
    <w:rsid w:val="41784401"/>
    <w:rsid w:val="41B67760"/>
    <w:rsid w:val="4200486D"/>
    <w:rsid w:val="42084854"/>
    <w:rsid w:val="420A4AA8"/>
    <w:rsid w:val="421B33FA"/>
    <w:rsid w:val="42204EB5"/>
    <w:rsid w:val="422E54B9"/>
    <w:rsid w:val="42341E3D"/>
    <w:rsid w:val="423C231C"/>
    <w:rsid w:val="424E5D3B"/>
    <w:rsid w:val="42894103"/>
    <w:rsid w:val="42DA35EB"/>
    <w:rsid w:val="42DC1373"/>
    <w:rsid w:val="42EB5F3F"/>
    <w:rsid w:val="42EE4ACA"/>
    <w:rsid w:val="433B4FAD"/>
    <w:rsid w:val="43494E83"/>
    <w:rsid w:val="434A1ED7"/>
    <w:rsid w:val="434B5F61"/>
    <w:rsid w:val="43715868"/>
    <w:rsid w:val="437769C4"/>
    <w:rsid w:val="439452CD"/>
    <w:rsid w:val="43987C3E"/>
    <w:rsid w:val="43DF168F"/>
    <w:rsid w:val="43F70347"/>
    <w:rsid w:val="440D2A75"/>
    <w:rsid w:val="44151500"/>
    <w:rsid w:val="44225771"/>
    <w:rsid w:val="442E2C0A"/>
    <w:rsid w:val="443415E8"/>
    <w:rsid w:val="44471AAC"/>
    <w:rsid w:val="447C2777"/>
    <w:rsid w:val="4491321B"/>
    <w:rsid w:val="449604FB"/>
    <w:rsid w:val="449A2A3E"/>
    <w:rsid w:val="44C0114A"/>
    <w:rsid w:val="44CA2639"/>
    <w:rsid w:val="44D50E68"/>
    <w:rsid w:val="44E25F72"/>
    <w:rsid w:val="44E32866"/>
    <w:rsid w:val="44EB189F"/>
    <w:rsid w:val="44ED3CA5"/>
    <w:rsid w:val="44EE129A"/>
    <w:rsid w:val="44F867C4"/>
    <w:rsid w:val="44FD7B3F"/>
    <w:rsid w:val="451136F6"/>
    <w:rsid w:val="45127E77"/>
    <w:rsid w:val="451417BD"/>
    <w:rsid w:val="45302BD4"/>
    <w:rsid w:val="45355F69"/>
    <w:rsid w:val="45387544"/>
    <w:rsid w:val="453975C8"/>
    <w:rsid w:val="453B0148"/>
    <w:rsid w:val="453B36EE"/>
    <w:rsid w:val="45611A6C"/>
    <w:rsid w:val="45681A93"/>
    <w:rsid w:val="458047D3"/>
    <w:rsid w:val="459020E6"/>
    <w:rsid w:val="45BF7797"/>
    <w:rsid w:val="45DB76CD"/>
    <w:rsid w:val="45EB5B41"/>
    <w:rsid w:val="45FC5122"/>
    <w:rsid w:val="4608625E"/>
    <w:rsid w:val="460E37F4"/>
    <w:rsid w:val="46284338"/>
    <w:rsid w:val="462E28FA"/>
    <w:rsid w:val="463D21F4"/>
    <w:rsid w:val="4674757D"/>
    <w:rsid w:val="46A9191C"/>
    <w:rsid w:val="46E17C2E"/>
    <w:rsid w:val="46E66176"/>
    <w:rsid w:val="46F618BC"/>
    <w:rsid w:val="47172FCE"/>
    <w:rsid w:val="472D20DA"/>
    <w:rsid w:val="47322751"/>
    <w:rsid w:val="473E0204"/>
    <w:rsid w:val="473E1081"/>
    <w:rsid w:val="475075B1"/>
    <w:rsid w:val="477301BF"/>
    <w:rsid w:val="47770F2B"/>
    <w:rsid w:val="47935022"/>
    <w:rsid w:val="47B42327"/>
    <w:rsid w:val="47D9109A"/>
    <w:rsid w:val="47DF1EDE"/>
    <w:rsid w:val="47E32A44"/>
    <w:rsid w:val="48001EB1"/>
    <w:rsid w:val="48321F62"/>
    <w:rsid w:val="485F067A"/>
    <w:rsid w:val="48A46FB5"/>
    <w:rsid w:val="48C60564"/>
    <w:rsid w:val="48C63978"/>
    <w:rsid w:val="48D16F09"/>
    <w:rsid w:val="48D931CF"/>
    <w:rsid w:val="48DB1A95"/>
    <w:rsid w:val="48DE4B3F"/>
    <w:rsid w:val="48E1155D"/>
    <w:rsid w:val="49095468"/>
    <w:rsid w:val="492B4F94"/>
    <w:rsid w:val="492E6967"/>
    <w:rsid w:val="49496DCE"/>
    <w:rsid w:val="496443D5"/>
    <w:rsid w:val="498D72D3"/>
    <w:rsid w:val="49A25D9E"/>
    <w:rsid w:val="49A96B07"/>
    <w:rsid w:val="49C51CAF"/>
    <w:rsid w:val="49F53957"/>
    <w:rsid w:val="4A1E3E10"/>
    <w:rsid w:val="4A2057D5"/>
    <w:rsid w:val="4A2A06C4"/>
    <w:rsid w:val="4A4A11FE"/>
    <w:rsid w:val="4A6819DC"/>
    <w:rsid w:val="4A8A479E"/>
    <w:rsid w:val="4A8F0E29"/>
    <w:rsid w:val="4A902D26"/>
    <w:rsid w:val="4AC17322"/>
    <w:rsid w:val="4AEB7F8C"/>
    <w:rsid w:val="4B017B7E"/>
    <w:rsid w:val="4B1506E1"/>
    <w:rsid w:val="4B182BCD"/>
    <w:rsid w:val="4B2E3F72"/>
    <w:rsid w:val="4B341A2A"/>
    <w:rsid w:val="4B375FBE"/>
    <w:rsid w:val="4B3B7B1E"/>
    <w:rsid w:val="4B414BEA"/>
    <w:rsid w:val="4B587F93"/>
    <w:rsid w:val="4B7103C2"/>
    <w:rsid w:val="4B812B8E"/>
    <w:rsid w:val="4B85737C"/>
    <w:rsid w:val="4B9F74CF"/>
    <w:rsid w:val="4BA34B8C"/>
    <w:rsid w:val="4BD22165"/>
    <w:rsid w:val="4BE6443D"/>
    <w:rsid w:val="4C073223"/>
    <w:rsid w:val="4C1A464A"/>
    <w:rsid w:val="4C274913"/>
    <w:rsid w:val="4C334B0F"/>
    <w:rsid w:val="4C941131"/>
    <w:rsid w:val="4CA14D01"/>
    <w:rsid w:val="4CAC3D23"/>
    <w:rsid w:val="4CBB0999"/>
    <w:rsid w:val="4CCC0113"/>
    <w:rsid w:val="4CCF792C"/>
    <w:rsid w:val="4CED7708"/>
    <w:rsid w:val="4CFB7F38"/>
    <w:rsid w:val="4CFE7AD0"/>
    <w:rsid w:val="4D033455"/>
    <w:rsid w:val="4D10719D"/>
    <w:rsid w:val="4D2211D8"/>
    <w:rsid w:val="4D250288"/>
    <w:rsid w:val="4D381304"/>
    <w:rsid w:val="4D583F97"/>
    <w:rsid w:val="4D725764"/>
    <w:rsid w:val="4DC002E1"/>
    <w:rsid w:val="4DC07059"/>
    <w:rsid w:val="4DC332C4"/>
    <w:rsid w:val="4DD44A19"/>
    <w:rsid w:val="4DE75FC1"/>
    <w:rsid w:val="4E23527B"/>
    <w:rsid w:val="4E3721BB"/>
    <w:rsid w:val="4E6E58E7"/>
    <w:rsid w:val="4E9B5FEF"/>
    <w:rsid w:val="4EA551CE"/>
    <w:rsid w:val="4EA57992"/>
    <w:rsid w:val="4EBE2807"/>
    <w:rsid w:val="4EC86811"/>
    <w:rsid w:val="4F112BD8"/>
    <w:rsid w:val="4F2359D6"/>
    <w:rsid w:val="4F27534F"/>
    <w:rsid w:val="4F3A6B04"/>
    <w:rsid w:val="4F6621C1"/>
    <w:rsid w:val="4F69181E"/>
    <w:rsid w:val="4F9A2167"/>
    <w:rsid w:val="4FD0029E"/>
    <w:rsid w:val="4FD96283"/>
    <w:rsid w:val="4FEA6A82"/>
    <w:rsid w:val="502B1AD6"/>
    <w:rsid w:val="50596932"/>
    <w:rsid w:val="50731A41"/>
    <w:rsid w:val="50833C49"/>
    <w:rsid w:val="50880633"/>
    <w:rsid w:val="508F5958"/>
    <w:rsid w:val="509F4C2A"/>
    <w:rsid w:val="50A32944"/>
    <w:rsid w:val="50A32F39"/>
    <w:rsid w:val="50C37B52"/>
    <w:rsid w:val="50D44FF3"/>
    <w:rsid w:val="50D650BC"/>
    <w:rsid w:val="50DD469C"/>
    <w:rsid w:val="50E26118"/>
    <w:rsid w:val="50E41AF7"/>
    <w:rsid w:val="50EC3EA9"/>
    <w:rsid w:val="50ED0E10"/>
    <w:rsid w:val="51053BF3"/>
    <w:rsid w:val="511931FB"/>
    <w:rsid w:val="513B0119"/>
    <w:rsid w:val="513C7D41"/>
    <w:rsid w:val="515A0C65"/>
    <w:rsid w:val="515E27BB"/>
    <w:rsid w:val="518C4D4D"/>
    <w:rsid w:val="51A45F6D"/>
    <w:rsid w:val="51AA4F17"/>
    <w:rsid w:val="51B907B6"/>
    <w:rsid w:val="51DF0CDF"/>
    <w:rsid w:val="51E30B98"/>
    <w:rsid w:val="51E97071"/>
    <w:rsid w:val="51EF73F9"/>
    <w:rsid w:val="51F20B5F"/>
    <w:rsid w:val="51FD61FC"/>
    <w:rsid w:val="52203D61"/>
    <w:rsid w:val="52386D39"/>
    <w:rsid w:val="523C3645"/>
    <w:rsid w:val="5242431B"/>
    <w:rsid w:val="5245699D"/>
    <w:rsid w:val="524877D4"/>
    <w:rsid w:val="524F0DF4"/>
    <w:rsid w:val="525A4087"/>
    <w:rsid w:val="52A00B52"/>
    <w:rsid w:val="52A651A9"/>
    <w:rsid w:val="52C04276"/>
    <w:rsid w:val="52CB4CC5"/>
    <w:rsid w:val="52D0584F"/>
    <w:rsid w:val="52E23DAC"/>
    <w:rsid w:val="52EB770C"/>
    <w:rsid w:val="52F6441F"/>
    <w:rsid w:val="5309719A"/>
    <w:rsid w:val="53140C09"/>
    <w:rsid w:val="531E1115"/>
    <w:rsid w:val="531E5096"/>
    <w:rsid w:val="53311A2E"/>
    <w:rsid w:val="5366484D"/>
    <w:rsid w:val="53731EF1"/>
    <w:rsid w:val="53733493"/>
    <w:rsid w:val="53912B90"/>
    <w:rsid w:val="53A5684B"/>
    <w:rsid w:val="53AC07DC"/>
    <w:rsid w:val="53C41B44"/>
    <w:rsid w:val="53D61877"/>
    <w:rsid w:val="53E75832"/>
    <w:rsid w:val="53F969C4"/>
    <w:rsid w:val="5404740A"/>
    <w:rsid w:val="54050B1A"/>
    <w:rsid w:val="542362A5"/>
    <w:rsid w:val="54280325"/>
    <w:rsid w:val="546D41B1"/>
    <w:rsid w:val="547701CD"/>
    <w:rsid w:val="549501D8"/>
    <w:rsid w:val="54A65B3A"/>
    <w:rsid w:val="54CD01EC"/>
    <w:rsid w:val="54E35FFA"/>
    <w:rsid w:val="54F558F9"/>
    <w:rsid w:val="54FA6EB3"/>
    <w:rsid w:val="550348EE"/>
    <w:rsid w:val="550E3200"/>
    <w:rsid w:val="55135050"/>
    <w:rsid w:val="551E35E3"/>
    <w:rsid w:val="5520072C"/>
    <w:rsid w:val="55373ACE"/>
    <w:rsid w:val="556A2277"/>
    <w:rsid w:val="556F068E"/>
    <w:rsid w:val="558D4430"/>
    <w:rsid w:val="559427CA"/>
    <w:rsid w:val="55C8191C"/>
    <w:rsid w:val="55C8432B"/>
    <w:rsid w:val="55D33DE7"/>
    <w:rsid w:val="56223544"/>
    <w:rsid w:val="562B0309"/>
    <w:rsid w:val="56320F1A"/>
    <w:rsid w:val="564D41A9"/>
    <w:rsid w:val="565E4274"/>
    <w:rsid w:val="5666031A"/>
    <w:rsid w:val="566A27F8"/>
    <w:rsid w:val="56803FF0"/>
    <w:rsid w:val="568F750C"/>
    <w:rsid w:val="569014CB"/>
    <w:rsid w:val="56925ED7"/>
    <w:rsid w:val="56B55995"/>
    <w:rsid w:val="56BC7408"/>
    <w:rsid w:val="56C91168"/>
    <w:rsid w:val="56D119CA"/>
    <w:rsid w:val="56E15BAE"/>
    <w:rsid w:val="56FA0DF2"/>
    <w:rsid w:val="56FF0F11"/>
    <w:rsid w:val="570404A9"/>
    <w:rsid w:val="5714339A"/>
    <w:rsid w:val="5717042A"/>
    <w:rsid w:val="571A1A7B"/>
    <w:rsid w:val="57267BD0"/>
    <w:rsid w:val="572E4DA3"/>
    <w:rsid w:val="572E781C"/>
    <w:rsid w:val="575952E3"/>
    <w:rsid w:val="575F7462"/>
    <w:rsid w:val="5771432A"/>
    <w:rsid w:val="57842375"/>
    <w:rsid w:val="57866CAC"/>
    <w:rsid w:val="579B36BD"/>
    <w:rsid w:val="57B2220D"/>
    <w:rsid w:val="57C01362"/>
    <w:rsid w:val="57C76DE6"/>
    <w:rsid w:val="57D165DD"/>
    <w:rsid w:val="57D80574"/>
    <w:rsid w:val="57F06027"/>
    <w:rsid w:val="580A0E63"/>
    <w:rsid w:val="580E3A4B"/>
    <w:rsid w:val="5814779C"/>
    <w:rsid w:val="584357AA"/>
    <w:rsid w:val="58764BA4"/>
    <w:rsid w:val="588221AB"/>
    <w:rsid w:val="58870496"/>
    <w:rsid w:val="588A1876"/>
    <w:rsid w:val="588D71B2"/>
    <w:rsid w:val="589A10C5"/>
    <w:rsid w:val="589F66DB"/>
    <w:rsid w:val="58AC68EF"/>
    <w:rsid w:val="58B717E7"/>
    <w:rsid w:val="58B959EF"/>
    <w:rsid w:val="58BE53CF"/>
    <w:rsid w:val="58C007C6"/>
    <w:rsid w:val="58C41915"/>
    <w:rsid w:val="58E407EA"/>
    <w:rsid w:val="58FB19FE"/>
    <w:rsid w:val="58FC4F44"/>
    <w:rsid w:val="590649AC"/>
    <w:rsid w:val="59102C82"/>
    <w:rsid w:val="591B616B"/>
    <w:rsid w:val="591E7F23"/>
    <w:rsid w:val="59260BAB"/>
    <w:rsid w:val="592D1F6B"/>
    <w:rsid w:val="59304CE8"/>
    <w:rsid w:val="59370159"/>
    <w:rsid w:val="593908DE"/>
    <w:rsid w:val="59532C2C"/>
    <w:rsid w:val="59781C90"/>
    <w:rsid w:val="5981656F"/>
    <w:rsid w:val="59A06B52"/>
    <w:rsid w:val="59A26243"/>
    <w:rsid w:val="59C76055"/>
    <w:rsid w:val="59E001BD"/>
    <w:rsid w:val="59E75FD1"/>
    <w:rsid w:val="59EE791A"/>
    <w:rsid w:val="5A065F4B"/>
    <w:rsid w:val="5A0B1C28"/>
    <w:rsid w:val="5A2255E6"/>
    <w:rsid w:val="5A274BDA"/>
    <w:rsid w:val="5A317807"/>
    <w:rsid w:val="5A5D5D65"/>
    <w:rsid w:val="5A851E01"/>
    <w:rsid w:val="5A8F2EB6"/>
    <w:rsid w:val="5AA15ABA"/>
    <w:rsid w:val="5AB06C76"/>
    <w:rsid w:val="5AC07644"/>
    <w:rsid w:val="5AF63E2E"/>
    <w:rsid w:val="5B070568"/>
    <w:rsid w:val="5B1128EC"/>
    <w:rsid w:val="5B29025F"/>
    <w:rsid w:val="5B3143F9"/>
    <w:rsid w:val="5B351579"/>
    <w:rsid w:val="5B503CBD"/>
    <w:rsid w:val="5BF21181"/>
    <w:rsid w:val="5BFA46DF"/>
    <w:rsid w:val="5BFD0432"/>
    <w:rsid w:val="5C1974E5"/>
    <w:rsid w:val="5C1C7E80"/>
    <w:rsid w:val="5C4828EE"/>
    <w:rsid w:val="5C593045"/>
    <w:rsid w:val="5C856CEB"/>
    <w:rsid w:val="5CA72002"/>
    <w:rsid w:val="5CBD3C20"/>
    <w:rsid w:val="5CBF734C"/>
    <w:rsid w:val="5CE075FF"/>
    <w:rsid w:val="5CE9518C"/>
    <w:rsid w:val="5D2166D8"/>
    <w:rsid w:val="5D272680"/>
    <w:rsid w:val="5D423AD9"/>
    <w:rsid w:val="5D45468E"/>
    <w:rsid w:val="5D6B04DF"/>
    <w:rsid w:val="5D707B84"/>
    <w:rsid w:val="5D916DE5"/>
    <w:rsid w:val="5D9B1497"/>
    <w:rsid w:val="5DA43D6D"/>
    <w:rsid w:val="5DDC51F6"/>
    <w:rsid w:val="5DE3422A"/>
    <w:rsid w:val="5E05130E"/>
    <w:rsid w:val="5E135B29"/>
    <w:rsid w:val="5E1A697B"/>
    <w:rsid w:val="5E466F37"/>
    <w:rsid w:val="5E4E0751"/>
    <w:rsid w:val="5E6740B4"/>
    <w:rsid w:val="5E6A0CC2"/>
    <w:rsid w:val="5E845B3F"/>
    <w:rsid w:val="5E8D1899"/>
    <w:rsid w:val="5E9B47BF"/>
    <w:rsid w:val="5ED063E1"/>
    <w:rsid w:val="5EF4213A"/>
    <w:rsid w:val="5EF778DD"/>
    <w:rsid w:val="5F012051"/>
    <w:rsid w:val="5F150F5D"/>
    <w:rsid w:val="5F151A68"/>
    <w:rsid w:val="5F1E594E"/>
    <w:rsid w:val="5F2306D2"/>
    <w:rsid w:val="5F27034A"/>
    <w:rsid w:val="5F364291"/>
    <w:rsid w:val="5F5024DD"/>
    <w:rsid w:val="5F720D05"/>
    <w:rsid w:val="5F8623A3"/>
    <w:rsid w:val="5FA236F8"/>
    <w:rsid w:val="5FB038A7"/>
    <w:rsid w:val="5FBB2542"/>
    <w:rsid w:val="5FFB489D"/>
    <w:rsid w:val="600D3A6B"/>
    <w:rsid w:val="6014637F"/>
    <w:rsid w:val="60304923"/>
    <w:rsid w:val="60340051"/>
    <w:rsid w:val="60350C06"/>
    <w:rsid w:val="603B74D8"/>
    <w:rsid w:val="60687CAA"/>
    <w:rsid w:val="6074197E"/>
    <w:rsid w:val="608508AD"/>
    <w:rsid w:val="60A7279D"/>
    <w:rsid w:val="60B817C2"/>
    <w:rsid w:val="60C625CB"/>
    <w:rsid w:val="60C71D15"/>
    <w:rsid w:val="61036CD9"/>
    <w:rsid w:val="61097F16"/>
    <w:rsid w:val="612451AE"/>
    <w:rsid w:val="612B47A9"/>
    <w:rsid w:val="612F59ED"/>
    <w:rsid w:val="61301AB6"/>
    <w:rsid w:val="613E3C59"/>
    <w:rsid w:val="61717233"/>
    <w:rsid w:val="61734481"/>
    <w:rsid w:val="61842912"/>
    <w:rsid w:val="619513BF"/>
    <w:rsid w:val="61A55E2E"/>
    <w:rsid w:val="61B90EE2"/>
    <w:rsid w:val="61C34C9F"/>
    <w:rsid w:val="61CF1FDD"/>
    <w:rsid w:val="61FA205F"/>
    <w:rsid w:val="620D15FF"/>
    <w:rsid w:val="624F2F20"/>
    <w:rsid w:val="626C2C39"/>
    <w:rsid w:val="626F1225"/>
    <w:rsid w:val="627A61C5"/>
    <w:rsid w:val="62841CE0"/>
    <w:rsid w:val="62957E19"/>
    <w:rsid w:val="62A12AD9"/>
    <w:rsid w:val="62B524F7"/>
    <w:rsid w:val="62E513AE"/>
    <w:rsid w:val="62EF4D57"/>
    <w:rsid w:val="62F1602A"/>
    <w:rsid w:val="630860C9"/>
    <w:rsid w:val="63203A10"/>
    <w:rsid w:val="6321699F"/>
    <w:rsid w:val="63264E85"/>
    <w:rsid w:val="63360CF0"/>
    <w:rsid w:val="63554E4D"/>
    <w:rsid w:val="63652DBD"/>
    <w:rsid w:val="63687E84"/>
    <w:rsid w:val="637257E9"/>
    <w:rsid w:val="63951967"/>
    <w:rsid w:val="63B50F8C"/>
    <w:rsid w:val="63D22FCA"/>
    <w:rsid w:val="63E27F79"/>
    <w:rsid w:val="63F44780"/>
    <w:rsid w:val="63F4777B"/>
    <w:rsid w:val="63FA2022"/>
    <w:rsid w:val="640E61DB"/>
    <w:rsid w:val="641206A9"/>
    <w:rsid w:val="643D1673"/>
    <w:rsid w:val="64545838"/>
    <w:rsid w:val="64575064"/>
    <w:rsid w:val="645F02B5"/>
    <w:rsid w:val="64681B01"/>
    <w:rsid w:val="64867FEE"/>
    <w:rsid w:val="649007B3"/>
    <w:rsid w:val="64906A84"/>
    <w:rsid w:val="64973DF9"/>
    <w:rsid w:val="64AE06FA"/>
    <w:rsid w:val="64D401A5"/>
    <w:rsid w:val="65024685"/>
    <w:rsid w:val="652A7FEB"/>
    <w:rsid w:val="652B00E3"/>
    <w:rsid w:val="65535A5A"/>
    <w:rsid w:val="658D5BFA"/>
    <w:rsid w:val="659361E9"/>
    <w:rsid w:val="659D0DEE"/>
    <w:rsid w:val="65A6262A"/>
    <w:rsid w:val="65D219C2"/>
    <w:rsid w:val="65D21E1C"/>
    <w:rsid w:val="65DA54B3"/>
    <w:rsid w:val="65F549BD"/>
    <w:rsid w:val="65FA47DD"/>
    <w:rsid w:val="65FB4D18"/>
    <w:rsid w:val="660A7073"/>
    <w:rsid w:val="660E3C9E"/>
    <w:rsid w:val="66164CE6"/>
    <w:rsid w:val="66425F55"/>
    <w:rsid w:val="664E5D65"/>
    <w:rsid w:val="665C5C0C"/>
    <w:rsid w:val="66BF254A"/>
    <w:rsid w:val="66E10ADE"/>
    <w:rsid w:val="66EE49DE"/>
    <w:rsid w:val="6764746E"/>
    <w:rsid w:val="676F09D5"/>
    <w:rsid w:val="67790849"/>
    <w:rsid w:val="67AA7DCF"/>
    <w:rsid w:val="67B34464"/>
    <w:rsid w:val="67BD22B9"/>
    <w:rsid w:val="67E45EB9"/>
    <w:rsid w:val="67FE1162"/>
    <w:rsid w:val="681B0E12"/>
    <w:rsid w:val="682B7285"/>
    <w:rsid w:val="688F28E2"/>
    <w:rsid w:val="68A11DD7"/>
    <w:rsid w:val="68A51FB8"/>
    <w:rsid w:val="68B731E7"/>
    <w:rsid w:val="68DB53E7"/>
    <w:rsid w:val="68E962B7"/>
    <w:rsid w:val="68EA3016"/>
    <w:rsid w:val="68EB7ABC"/>
    <w:rsid w:val="69062705"/>
    <w:rsid w:val="691B0B6B"/>
    <w:rsid w:val="69782CD3"/>
    <w:rsid w:val="697F5EFC"/>
    <w:rsid w:val="698A7439"/>
    <w:rsid w:val="69936875"/>
    <w:rsid w:val="69964E32"/>
    <w:rsid w:val="69AE114D"/>
    <w:rsid w:val="69DC7E67"/>
    <w:rsid w:val="69E80350"/>
    <w:rsid w:val="69EF047B"/>
    <w:rsid w:val="69FB1963"/>
    <w:rsid w:val="6A087387"/>
    <w:rsid w:val="6A12703C"/>
    <w:rsid w:val="6A1D56B2"/>
    <w:rsid w:val="6A1E6039"/>
    <w:rsid w:val="6A2B6FC3"/>
    <w:rsid w:val="6A2E3D63"/>
    <w:rsid w:val="6A3A339B"/>
    <w:rsid w:val="6A3A5E65"/>
    <w:rsid w:val="6A5C2B3B"/>
    <w:rsid w:val="6A6F1C4C"/>
    <w:rsid w:val="6A7202DC"/>
    <w:rsid w:val="6AA45DD3"/>
    <w:rsid w:val="6AA74E35"/>
    <w:rsid w:val="6AC6225B"/>
    <w:rsid w:val="6B505BBB"/>
    <w:rsid w:val="6B5B2936"/>
    <w:rsid w:val="6B6333A7"/>
    <w:rsid w:val="6B9076EB"/>
    <w:rsid w:val="6BCA5C39"/>
    <w:rsid w:val="6BE02E3B"/>
    <w:rsid w:val="6BE27CF9"/>
    <w:rsid w:val="6C2B32C6"/>
    <w:rsid w:val="6C2D1409"/>
    <w:rsid w:val="6C2D7D63"/>
    <w:rsid w:val="6C3206C8"/>
    <w:rsid w:val="6C357AB5"/>
    <w:rsid w:val="6C3628E8"/>
    <w:rsid w:val="6C3934B6"/>
    <w:rsid w:val="6C577FF8"/>
    <w:rsid w:val="6C615C61"/>
    <w:rsid w:val="6C6367AC"/>
    <w:rsid w:val="6C80536B"/>
    <w:rsid w:val="6C862345"/>
    <w:rsid w:val="6C8B724B"/>
    <w:rsid w:val="6C9048E4"/>
    <w:rsid w:val="6C9E2A18"/>
    <w:rsid w:val="6CA35456"/>
    <w:rsid w:val="6CB017D7"/>
    <w:rsid w:val="6CB32B41"/>
    <w:rsid w:val="6CBC68B9"/>
    <w:rsid w:val="6CD66EDA"/>
    <w:rsid w:val="6D0F3EEF"/>
    <w:rsid w:val="6D146CD3"/>
    <w:rsid w:val="6D1566D6"/>
    <w:rsid w:val="6D1C589C"/>
    <w:rsid w:val="6D340746"/>
    <w:rsid w:val="6D3F4DC5"/>
    <w:rsid w:val="6D5502AA"/>
    <w:rsid w:val="6DA31776"/>
    <w:rsid w:val="6DA45FD5"/>
    <w:rsid w:val="6DA65016"/>
    <w:rsid w:val="6DB921CC"/>
    <w:rsid w:val="6DCB15BA"/>
    <w:rsid w:val="6DEF5697"/>
    <w:rsid w:val="6E290AC9"/>
    <w:rsid w:val="6E2E4332"/>
    <w:rsid w:val="6E366026"/>
    <w:rsid w:val="6E3C157B"/>
    <w:rsid w:val="6E4628B1"/>
    <w:rsid w:val="6E4676F5"/>
    <w:rsid w:val="6E5D69C5"/>
    <w:rsid w:val="6E6903A5"/>
    <w:rsid w:val="6E9905B2"/>
    <w:rsid w:val="6EB87125"/>
    <w:rsid w:val="6EBB6069"/>
    <w:rsid w:val="6EBB7EF6"/>
    <w:rsid w:val="6EC11D71"/>
    <w:rsid w:val="6EC407F2"/>
    <w:rsid w:val="6EC647CC"/>
    <w:rsid w:val="6ED3687D"/>
    <w:rsid w:val="6EEB4982"/>
    <w:rsid w:val="6F086931"/>
    <w:rsid w:val="6F1222C5"/>
    <w:rsid w:val="6F161214"/>
    <w:rsid w:val="6F317DD0"/>
    <w:rsid w:val="6F322D6E"/>
    <w:rsid w:val="6F3A0D2D"/>
    <w:rsid w:val="6F3E040D"/>
    <w:rsid w:val="6F710F7D"/>
    <w:rsid w:val="6F757BA3"/>
    <w:rsid w:val="6F794E16"/>
    <w:rsid w:val="6F8E0F7C"/>
    <w:rsid w:val="6FA611F9"/>
    <w:rsid w:val="6FA813AA"/>
    <w:rsid w:val="6FAF019B"/>
    <w:rsid w:val="6FB202FC"/>
    <w:rsid w:val="6FBA5851"/>
    <w:rsid w:val="6FC03F6A"/>
    <w:rsid w:val="6FD431BC"/>
    <w:rsid w:val="6FD64D8A"/>
    <w:rsid w:val="704D5E2D"/>
    <w:rsid w:val="705B1FF4"/>
    <w:rsid w:val="70710506"/>
    <w:rsid w:val="70934920"/>
    <w:rsid w:val="709649ED"/>
    <w:rsid w:val="70A84AD3"/>
    <w:rsid w:val="70AE3508"/>
    <w:rsid w:val="70B351A6"/>
    <w:rsid w:val="70BF773C"/>
    <w:rsid w:val="70C41831"/>
    <w:rsid w:val="70CF7DE8"/>
    <w:rsid w:val="70E94F37"/>
    <w:rsid w:val="7117334E"/>
    <w:rsid w:val="711F7F62"/>
    <w:rsid w:val="712719C8"/>
    <w:rsid w:val="71336359"/>
    <w:rsid w:val="713B523C"/>
    <w:rsid w:val="71492755"/>
    <w:rsid w:val="714B63FF"/>
    <w:rsid w:val="716F4DBF"/>
    <w:rsid w:val="717A4EBB"/>
    <w:rsid w:val="71A121E2"/>
    <w:rsid w:val="71AA47BF"/>
    <w:rsid w:val="71CD5454"/>
    <w:rsid w:val="71D5629F"/>
    <w:rsid w:val="71D7672A"/>
    <w:rsid w:val="71EB57C6"/>
    <w:rsid w:val="71F46524"/>
    <w:rsid w:val="71FB06B4"/>
    <w:rsid w:val="720C498A"/>
    <w:rsid w:val="720D5D43"/>
    <w:rsid w:val="72112D0B"/>
    <w:rsid w:val="72144DE3"/>
    <w:rsid w:val="72196118"/>
    <w:rsid w:val="723C3D7F"/>
    <w:rsid w:val="72736E18"/>
    <w:rsid w:val="728D1118"/>
    <w:rsid w:val="72B03A9F"/>
    <w:rsid w:val="72B25F6B"/>
    <w:rsid w:val="72B81190"/>
    <w:rsid w:val="72C641CB"/>
    <w:rsid w:val="72EF7206"/>
    <w:rsid w:val="7303055F"/>
    <w:rsid w:val="73032A0D"/>
    <w:rsid w:val="731F3B82"/>
    <w:rsid w:val="733D0DD5"/>
    <w:rsid w:val="734D21A1"/>
    <w:rsid w:val="73593BFF"/>
    <w:rsid w:val="73836ECE"/>
    <w:rsid w:val="738A025C"/>
    <w:rsid w:val="73C67500"/>
    <w:rsid w:val="73C864B5"/>
    <w:rsid w:val="73DE7E71"/>
    <w:rsid w:val="73F126C8"/>
    <w:rsid w:val="73F456D6"/>
    <w:rsid w:val="74087657"/>
    <w:rsid w:val="743656BE"/>
    <w:rsid w:val="744D411F"/>
    <w:rsid w:val="744F680B"/>
    <w:rsid w:val="745C2CF4"/>
    <w:rsid w:val="74641182"/>
    <w:rsid w:val="74744A68"/>
    <w:rsid w:val="749D4770"/>
    <w:rsid w:val="74A622B2"/>
    <w:rsid w:val="74B50C75"/>
    <w:rsid w:val="74BE5CD1"/>
    <w:rsid w:val="74D43FCD"/>
    <w:rsid w:val="74D736BD"/>
    <w:rsid w:val="74E403D4"/>
    <w:rsid w:val="74EA6DE6"/>
    <w:rsid w:val="74FC6F38"/>
    <w:rsid w:val="74FE3413"/>
    <w:rsid w:val="75047A8B"/>
    <w:rsid w:val="751029AE"/>
    <w:rsid w:val="751111C4"/>
    <w:rsid w:val="751C7514"/>
    <w:rsid w:val="753649D0"/>
    <w:rsid w:val="756A1040"/>
    <w:rsid w:val="75921044"/>
    <w:rsid w:val="75970512"/>
    <w:rsid w:val="759944E1"/>
    <w:rsid w:val="759B5199"/>
    <w:rsid w:val="75BB6B8A"/>
    <w:rsid w:val="75E51BAC"/>
    <w:rsid w:val="76053BCA"/>
    <w:rsid w:val="76073EC6"/>
    <w:rsid w:val="761A6BC1"/>
    <w:rsid w:val="763E74B8"/>
    <w:rsid w:val="765C476B"/>
    <w:rsid w:val="765D6FD0"/>
    <w:rsid w:val="76764904"/>
    <w:rsid w:val="76952171"/>
    <w:rsid w:val="76B7564F"/>
    <w:rsid w:val="76BA690C"/>
    <w:rsid w:val="76EF17B7"/>
    <w:rsid w:val="76F00025"/>
    <w:rsid w:val="76F275B7"/>
    <w:rsid w:val="77057570"/>
    <w:rsid w:val="773118FC"/>
    <w:rsid w:val="77313A2D"/>
    <w:rsid w:val="774A6DC8"/>
    <w:rsid w:val="77503EB2"/>
    <w:rsid w:val="77752D13"/>
    <w:rsid w:val="779276DF"/>
    <w:rsid w:val="77953B9B"/>
    <w:rsid w:val="77CD4DD9"/>
    <w:rsid w:val="77DD0A83"/>
    <w:rsid w:val="77EB51F5"/>
    <w:rsid w:val="77F2017E"/>
    <w:rsid w:val="77FA423A"/>
    <w:rsid w:val="78005019"/>
    <w:rsid w:val="78092CC0"/>
    <w:rsid w:val="780C2435"/>
    <w:rsid w:val="7825164E"/>
    <w:rsid w:val="782A0B51"/>
    <w:rsid w:val="78353363"/>
    <w:rsid w:val="783A31FE"/>
    <w:rsid w:val="78486CF0"/>
    <w:rsid w:val="78534919"/>
    <w:rsid w:val="785663DA"/>
    <w:rsid w:val="78584462"/>
    <w:rsid w:val="787C3EEC"/>
    <w:rsid w:val="7895462E"/>
    <w:rsid w:val="78D631FC"/>
    <w:rsid w:val="78FC2FBF"/>
    <w:rsid w:val="78FD5501"/>
    <w:rsid w:val="790740FD"/>
    <w:rsid w:val="791467F0"/>
    <w:rsid w:val="79430114"/>
    <w:rsid w:val="79430A37"/>
    <w:rsid w:val="795E7C16"/>
    <w:rsid w:val="795F01E3"/>
    <w:rsid w:val="79A81D28"/>
    <w:rsid w:val="79AD6C40"/>
    <w:rsid w:val="79B10333"/>
    <w:rsid w:val="79C95ADF"/>
    <w:rsid w:val="79EF0BCC"/>
    <w:rsid w:val="79FF02D1"/>
    <w:rsid w:val="7A0612C2"/>
    <w:rsid w:val="7A1833CE"/>
    <w:rsid w:val="7A1F3257"/>
    <w:rsid w:val="7A27753D"/>
    <w:rsid w:val="7A3C1967"/>
    <w:rsid w:val="7A5D7213"/>
    <w:rsid w:val="7A60132A"/>
    <w:rsid w:val="7A6E2CF1"/>
    <w:rsid w:val="7A817696"/>
    <w:rsid w:val="7AA05017"/>
    <w:rsid w:val="7AA86BBE"/>
    <w:rsid w:val="7AC51B7A"/>
    <w:rsid w:val="7AC94AC1"/>
    <w:rsid w:val="7AC977F9"/>
    <w:rsid w:val="7ACA7597"/>
    <w:rsid w:val="7AE11572"/>
    <w:rsid w:val="7AE31524"/>
    <w:rsid w:val="7AE70BEB"/>
    <w:rsid w:val="7AF53F82"/>
    <w:rsid w:val="7B057C25"/>
    <w:rsid w:val="7B0C59FB"/>
    <w:rsid w:val="7B0E3521"/>
    <w:rsid w:val="7B4C6C66"/>
    <w:rsid w:val="7B5C332E"/>
    <w:rsid w:val="7B6F66F6"/>
    <w:rsid w:val="7B7A5656"/>
    <w:rsid w:val="7B904C22"/>
    <w:rsid w:val="7B9E18EF"/>
    <w:rsid w:val="7BB9672E"/>
    <w:rsid w:val="7BE45955"/>
    <w:rsid w:val="7C0968F5"/>
    <w:rsid w:val="7C1235AA"/>
    <w:rsid w:val="7C160893"/>
    <w:rsid w:val="7C5622FF"/>
    <w:rsid w:val="7C571497"/>
    <w:rsid w:val="7C920181"/>
    <w:rsid w:val="7CB95588"/>
    <w:rsid w:val="7CBA56FF"/>
    <w:rsid w:val="7CE64D15"/>
    <w:rsid w:val="7CF732D1"/>
    <w:rsid w:val="7D131D7B"/>
    <w:rsid w:val="7D1E10B2"/>
    <w:rsid w:val="7D3D5EFF"/>
    <w:rsid w:val="7D435739"/>
    <w:rsid w:val="7D4B1C96"/>
    <w:rsid w:val="7D586CD5"/>
    <w:rsid w:val="7D93221A"/>
    <w:rsid w:val="7DA977AA"/>
    <w:rsid w:val="7DAB12F0"/>
    <w:rsid w:val="7DAC0454"/>
    <w:rsid w:val="7DDA3B8E"/>
    <w:rsid w:val="7DED2A89"/>
    <w:rsid w:val="7DFA3D48"/>
    <w:rsid w:val="7E0D5D12"/>
    <w:rsid w:val="7E4D4360"/>
    <w:rsid w:val="7E63789F"/>
    <w:rsid w:val="7E980733"/>
    <w:rsid w:val="7E9B4DC3"/>
    <w:rsid w:val="7EC57197"/>
    <w:rsid w:val="7EFB4248"/>
    <w:rsid w:val="7EFD7DC7"/>
    <w:rsid w:val="7F274E2A"/>
    <w:rsid w:val="7F2C2F55"/>
    <w:rsid w:val="7F45439F"/>
    <w:rsid w:val="7F484B27"/>
    <w:rsid w:val="7F4A4D43"/>
    <w:rsid w:val="7F545830"/>
    <w:rsid w:val="7F590F20"/>
    <w:rsid w:val="7F5D047E"/>
    <w:rsid w:val="7F8F3F40"/>
    <w:rsid w:val="7FA62478"/>
    <w:rsid w:val="7FB2257F"/>
    <w:rsid w:val="7FE92E70"/>
    <w:rsid w:val="7FF25596"/>
    <w:rsid w:val="7FF400FF"/>
    <w:rsid w:val="7FF67647"/>
    <w:rsid w:val="7FFB6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nhideWhenUsed="0" w:uiPriority="0" w:semiHidden="0" w:name="heading 5"/>
    <w:lsdException w:qFormat="1" w:uiPriority="0" w:name="heading 6"/>
    <w:lsdException w:qFormat="1" w:uiPriority="0"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360" w:lineRule="auto"/>
      <w:outlineLvl w:val="0"/>
    </w:pPr>
    <w:rPr>
      <w:rFonts w:ascii="Times New Roman" w:hAnsi="Times New Roman" w:eastAsia="宋体"/>
      <w:b/>
      <w:bCs/>
      <w:kern w:val="44"/>
      <w:sz w:val="28"/>
      <w:szCs w:val="44"/>
    </w:rPr>
  </w:style>
  <w:style w:type="paragraph" w:styleId="3">
    <w:name w:val="heading 2"/>
    <w:basedOn w:val="1"/>
    <w:next w:val="1"/>
    <w:qFormat/>
    <w:uiPriority w:val="0"/>
    <w:pPr>
      <w:keepNext/>
      <w:keepLines/>
      <w:spacing w:line="413"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beforeLines="0" w:after="260" w:afterLines="0" w:line="24" w:lineRule="auto"/>
      <w:outlineLvl w:val="2"/>
    </w:pPr>
    <w:rPr>
      <w:rFonts w:ascii="宋体" w:hAnsi="宋体"/>
      <w:b/>
      <w:bCs/>
      <w:kern w:val="0"/>
      <w:sz w:val="24"/>
      <w:szCs w:val="32"/>
    </w:rPr>
  </w:style>
  <w:style w:type="paragraph" w:styleId="5">
    <w:name w:val="heading 4"/>
    <w:basedOn w:val="1"/>
    <w:next w:val="1"/>
    <w:unhideWhenUsed/>
    <w:qFormat/>
    <w:uiPriority w:val="0"/>
    <w:pPr>
      <w:spacing w:before="35"/>
      <w:ind w:left="142"/>
      <w:jc w:val="center"/>
      <w:outlineLvl w:val="3"/>
    </w:pPr>
    <w:rPr>
      <w:rFonts w:ascii="宋体" w:hAnsi="宋体" w:cs="宋体"/>
      <w:b/>
      <w:bCs/>
      <w:sz w:val="32"/>
      <w:szCs w:val="32"/>
      <w:lang w:val="zh-CN" w:bidi="zh-CN"/>
    </w:rPr>
  </w:style>
  <w:style w:type="paragraph" w:styleId="6">
    <w:name w:val="heading 5"/>
    <w:basedOn w:val="1"/>
    <w:next w:val="1"/>
    <w:qFormat/>
    <w:uiPriority w:val="0"/>
    <w:pPr>
      <w:keepNext/>
      <w:keepLines/>
      <w:spacing w:line="372" w:lineRule="auto"/>
      <w:outlineLvl w:val="4"/>
    </w:pPr>
    <w:rPr>
      <w:b/>
      <w:bCs/>
      <w:sz w:val="28"/>
      <w:szCs w:val="28"/>
    </w:rPr>
  </w:style>
  <w:style w:type="paragraph" w:styleId="7">
    <w:name w:val="heading 7"/>
    <w:basedOn w:val="1"/>
    <w:next w:val="1"/>
    <w:unhideWhenUsed/>
    <w:qFormat/>
    <w:uiPriority w:val="0"/>
    <w:pPr>
      <w:ind w:left="448"/>
      <w:outlineLvl w:val="6"/>
    </w:pPr>
    <w:rPr>
      <w:rFonts w:ascii="宋体" w:hAnsi="宋体" w:cs="宋体"/>
      <w:sz w:val="24"/>
      <w:lang w:val="zh-CN" w:bidi="zh-CN"/>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8">
    <w:name w:val="Normal Indent"/>
    <w:basedOn w:val="1"/>
    <w:unhideWhenUsed/>
    <w:qFormat/>
    <w:uiPriority w:val="0"/>
    <w:pPr>
      <w:ind w:firstLine="420" w:firstLineChars="200"/>
    </w:pPr>
  </w:style>
  <w:style w:type="paragraph" w:styleId="9">
    <w:name w:val="annotation text"/>
    <w:basedOn w:val="1"/>
    <w:link w:val="43"/>
    <w:qFormat/>
    <w:uiPriority w:val="0"/>
    <w:pPr>
      <w:jc w:val="left"/>
    </w:pPr>
  </w:style>
  <w:style w:type="paragraph" w:styleId="10">
    <w:name w:val="Body Text"/>
    <w:basedOn w:val="1"/>
    <w:next w:val="1"/>
    <w:qFormat/>
    <w:uiPriority w:val="0"/>
    <w:pPr>
      <w:autoSpaceDE w:val="0"/>
      <w:autoSpaceDN w:val="0"/>
      <w:adjustRightInd w:val="0"/>
      <w:spacing w:after="120"/>
      <w:jc w:val="left"/>
    </w:pPr>
    <w:rPr>
      <w:rFonts w:ascii="宋体"/>
      <w:kern w:val="0"/>
      <w:sz w:val="34"/>
      <w:szCs w:val="20"/>
    </w:rPr>
  </w:style>
  <w:style w:type="paragraph" w:styleId="11">
    <w:name w:val="Body Text Indent"/>
    <w:basedOn w:val="1"/>
    <w:qFormat/>
    <w:uiPriority w:val="0"/>
    <w:pPr>
      <w:ind w:firstLine="830" w:firstLineChars="352"/>
    </w:pPr>
    <w:rPr>
      <w:rFonts w:ascii="仿宋_GB2312" w:eastAsia="仿宋_GB2312"/>
      <w:sz w:val="32"/>
      <w:szCs w:val="20"/>
    </w:rPr>
  </w:style>
  <w:style w:type="paragraph" w:styleId="12">
    <w:name w:val="List 2"/>
    <w:basedOn w:val="1"/>
    <w:unhideWhenUsed/>
    <w:qFormat/>
    <w:uiPriority w:val="99"/>
    <w:pPr>
      <w:ind w:left="100" w:leftChars="200" w:hanging="200" w:hangingChars="200"/>
      <w:contextualSpacing/>
    </w:pPr>
  </w:style>
  <w:style w:type="paragraph" w:styleId="13">
    <w:name w:val="Plain Text"/>
    <w:basedOn w:val="1"/>
    <w:qFormat/>
    <w:uiPriority w:val="0"/>
    <w:rPr>
      <w:rFonts w:ascii="宋体" w:hAnsi="Courier New" w:cs="Courier New"/>
      <w:szCs w:val="21"/>
    </w:rPr>
  </w:style>
  <w:style w:type="paragraph" w:styleId="14">
    <w:name w:val="Date"/>
    <w:basedOn w:val="1"/>
    <w:next w:val="1"/>
    <w:qFormat/>
    <w:uiPriority w:val="0"/>
    <w:pPr>
      <w:ind w:left="100" w:leftChars="2500"/>
    </w:pPr>
    <w:rPr>
      <w:rFonts w:ascii="宋体" w:hAnsi="Courier New"/>
      <w:bCs/>
      <w:sz w:val="24"/>
    </w:rPr>
  </w:style>
  <w:style w:type="paragraph" w:styleId="15">
    <w:name w:val="Body Text Indent 2"/>
    <w:basedOn w:val="1"/>
    <w:qFormat/>
    <w:uiPriority w:val="0"/>
    <w:pPr>
      <w:spacing w:after="120" w:line="480" w:lineRule="auto"/>
      <w:ind w:leftChars="200"/>
    </w:pPr>
  </w:style>
  <w:style w:type="paragraph" w:styleId="16">
    <w:name w:val="Balloon Text"/>
    <w:basedOn w:val="1"/>
    <w:link w:val="45"/>
    <w:qFormat/>
    <w:uiPriority w:val="0"/>
    <w:rPr>
      <w:sz w:val="18"/>
      <w:szCs w:val="18"/>
    </w:rPr>
  </w:style>
  <w:style w:type="paragraph" w:styleId="17">
    <w:name w:val="footer"/>
    <w:basedOn w:val="1"/>
    <w:qFormat/>
    <w:uiPriority w:val="0"/>
    <w:pPr>
      <w:tabs>
        <w:tab w:val="center" w:pos="4153"/>
        <w:tab w:val="right" w:pos="8306"/>
      </w:tabs>
      <w:snapToGrid w:val="0"/>
      <w:jc w:val="left"/>
    </w:pPr>
    <w:rPr>
      <w:sz w:val="18"/>
      <w:szCs w:val="18"/>
    </w:rPr>
  </w:style>
  <w:style w:type="paragraph" w:styleId="18">
    <w:name w:val="envelope return"/>
    <w:basedOn w:val="1"/>
    <w:unhideWhenUsed/>
    <w:qFormat/>
    <w:uiPriority w:val="0"/>
    <w:pPr>
      <w:snapToGrid w:val="0"/>
    </w:pPr>
    <w:rPr>
      <w:rFonts w:ascii="Arial" w:hAnsi="Arial"/>
    </w:rPr>
  </w:style>
  <w:style w:type="paragraph" w:styleId="1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style>
  <w:style w:type="paragraph" w:styleId="21">
    <w:name w:val="Body Text Indent 3"/>
    <w:basedOn w:val="1"/>
    <w:qFormat/>
    <w:uiPriority w:val="0"/>
    <w:pPr>
      <w:spacing w:after="120"/>
      <w:ind w:left="420" w:leftChars="200"/>
    </w:pPr>
    <w:rPr>
      <w:sz w:val="16"/>
      <w:szCs w:val="16"/>
    </w:rPr>
  </w:style>
  <w:style w:type="paragraph" w:styleId="22">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23">
    <w:name w:val="HTML Preformatted"/>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kern w:val="0"/>
      <w:sz w:val="20"/>
      <w:szCs w:val="20"/>
    </w:rPr>
  </w:style>
  <w:style w:type="paragraph" w:styleId="24">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5">
    <w:name w:val="index 1"/>
    <w:basedOn w:val="1"/>
    <w:next w:val="1"/>
    <w:qFormat/>
    <w:uiPriority w:val="0"/>
    <w:rPr>
      <w:lang w:eastAsia="en-US"/>
    </w:rPr>
  </w:style>
  <w:style w:type="paragraph" w:styleId="26">
    <w:name w:val="Title"/>
    <w:basedOn w:val="1"/>
    <w:next w:val="1"/>
    <w:qFormat/>
    <w:uiPriority w:val="0"/>
    <w:pPr>
      <w:spacing w:before="240" w:after="60"/>
      <w:jc w:val="center"/>
      <w:outlineLvl w:val="0"/>
    </w:pPr>
    <w:rPr>
      <w:rFonts w:ascii="Cambria" w:hAnsi="Cambria"/>
      <w:b/>
      <w:bCs/>
      <w:sz w:val="32"/>
      <w:szCs w:val="32"/>
    </w:rPr>
  </w:style>
  <w:style w:type="paragraph" w:styleId="27">
    <w:name w:val="annotation subject"/>
    <w:basedOn w:val="9"/>
    <w:next w:val="9"/>
    <w:link w:val="44"/>
    <w:qFormat/>
    <w:uiPriority w:val="0"/>
    <w:rPr>
      <w:b/>
      <w:bCs/>
    </w:rPr>
  </w:style>
  <w:style w:type="paragraph" w:styleId="28">
    <w:name w:val="Body Text First Indent"/>
    <w:basedOn w:val="10"/>
    <w:next w:val="1"/>
    <w:qFormat/>
    <w:uiPriority w:val="0"/>
    <w:pPr>
      <w:ind w:firstLine="420" w:firstLineChars="100"/>
    </w:pPr>
    <w:rPr>
      <w:rFonts w:ascii="Times New Roman"/>
      <w:sz w:val="21"/>
      <w:szCs w:val="24"/>
    </w:rPr>
  </w:style>
  <w:style w:type="paragraph" w:styleId="29">
    <w:name w:val="Body Text First Indent 2"/>
    <w:basedOn w:val="11"/>
    <w:next w:val="1"/>
    <w:qFormat/>
    <w:uiPriority w:val="0"/>
    <w:pPr>
      <w:spacing w:line="360" w:lineRule="auto"/>
      <w:ind w:firstLine="420" w:firstLineChars="200"/>
    </w:pPr>
    <w:rPr>
      <w:sz w:val="24"/>
      <w:szCs w:val="24"/>
    </w:rPr>
  </w:style>
  <w:style w:type="table" w:styleId="31">
    <w:name w:val="Table Grid"/>
    <w:basedOn w:val="3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page number"/>
    <w:basedOn w:val="32"/>
    <w:qFormat/>
    <w:uiPriority w:val="0"/>
  </w:style>
  <w:style w:type="character" w:styleId="35">
    <w:name w:val="Hyperlink"/>
    <w:basedOn w:val="32"/>
    <w:unhideWhenUsed/>
    <w:qFormat/>
    <w:uiPriority w:val="99"/>
    <w:rPr>
      <w:color w:val="0000FF"/>
      <w:u w:val="single"/>
    </w:rPr>
  </w:style>
  <w:style w:type="character" w:styleId="36">
    <w:name w:val="annotation reference"/>
    <w:qFormat/>
    <w:uiPriority w:val="0"/>
    <w:rPr>
      <w:sz w:val="21"/>
      <w:szCs w:val="21"/>
    </w:rPr>
  </w:style>
  <w:style w:type="character" w:styleId="37">
    <w:name w:val="HTML Sample"/>
    <w:basedOn w:val="32"/>
    <w:qFormat/>
    <w:uiPriority w:val="0"/>
    <w:rPr>
      <w:rFonts w:ascii="Courier New" w:hAnsi="Courier New"/>
    </w:rPr>
  </w:style>
  <w:style w:type="paragraph" w:customStyle="1" w:styleId="38">
    <w:name w:val="表格文字"/>
    <w:basedOn w:val="11"/>
    <w:qFormat/>
    <w:uiPriority w:val="99"/>
    <w:pPr>
      <w:spacing w:before="25" w:after="25"/>
      <w:jc w:val="left"/>
    </w:pPr>
    <w:rPr>
      <w:bCs/>
      <w:spacing w:val="10"/>
      <w:kern w:val="0"/>
      <w:sz w:val="24"/>
    </w:rPr>
  </w:style>
  <w:style w:type="paragraph" w:customStyle="1" w:styleId="39">
    <w:name w:val="Default"/>
    <w:qFormat/>
    <w:uiPriority w:val="0"/>
    <w:pPr>
      <w:widowControl w:val="0"/>
      <w:autoSpaceDE w:val="0"/>
      <w:autoSpaceDN w:val="0"/>
      <w:adjustRightInd w:val="0"/>
    </w:pPr>
    <w:rPr>
      <w:rFonts w:ascii="......." w:hAnsi="......." w:eastAsia="......." w:cs="......."/>
      <w:color w:val="000000"/>
      <w:sz w:val="21"/>
      <w:szCs w:val="24"/>
      <w:lang w:val="en-US" w:eastAsia="zh-CN" w:bidi="ar-SA"/>
    </w:rPr>
  </w:style>
  <w:style w:type="paragraph" w:styleId="40">
    <w:name w:val="List Paragraph"/>
    <w:basedOn w:val="1"/>
    <w:qFormat/>
    <w:uiPriority w:val="34"/>
    <w:pPr>
      <w:ind w:firstLine="420" w:firstLineChars="200"/>
    </w:pPr>
  </w:style>
  <w:style w:type="paragraph" w:customStyle="1" w:styleId="41">
    <w:name w:val="Plain Text1"/>
    <w:basedOn w:val="1"/>
    <w:qFormat/>
    <w:uiPriority w:val="0"/>
    <w:rPr>
      <w:rFonts w:ascii="宋体" w:hAnsi="Courier New" w:cs="Courier New"/>
      <w:szCs w:val="21"/>
    </w:rPr>
  </w:style>
  <w:style w:type="paragraph" w:customStyle="1" w:styleId="42">
    <w:name w:val="Table Paragraph"/>
    <w:basedOn w:val="1"/>
    <w:qFormat/>
    <w:uiPriority w:val="1"/>
    <w:rPr>
      <w:rFonts w:ascii="宋体" w:hAnsi="宋体" w:cs="宋体"/>
      <w:lang w:val="zh-CN" w:bidi="zh-CN"/>
    </w:rPr>
  </w:style>
  <w:style w:type="character" w:customStyle="1" w:styleId="43">
    <w:name w:val="批注文字 Char"/>
    <w:basedOn w:val="32"/>
    <w:link w:val="9"/>
    <w:qFormat/>
    <w:uiPriority w:val="0"/>
    <w:rPr>
      <w:kern w:val="2"/>
      <w:sz w:val="21"/>
      <w:szCs w:val="24"/>
    </w:rPr>
  </w:style>
  <w:style w:type="character" w:customStyle="1" w:styleId="44">
    <w:name w:val="批注主题 Char"/>
    <w:basedOn w:val="43"/>
    <w:link w:val="27"/>
    <w:qFormat/>
    <w:uiPriority w:val="0"/>
    <w:rPr>
      <w:b/>
      <w:bCs/>
      <w:kern w:val="2"/>
      <w:sz w:val="21"/>
      <w:szCs w:val="24"/>
    </w:rPr>
  </w:style>
  <w:style w:type="character" w:customStyle="1" w:styleId="45">
    <w:name w:val="批注框文本 Char"/>
    <w:basedOn w:val="32"/>
    <w:link w:val="16"/>
    <w:qFormat/>
    <w:uiPriority w:val="0"/>
    <w:rPr>
      <w:kern w:val="2"/>
      <w:sz w:val="18"/>
      <w:szCs w:val="18"/>
    </w:rPr>
  </w:style>
  <w:style w:type="paragraph" w:customStyle="1" w:styleId="46">
    <w:name w:val="纯文本1"/>
    <w:basedOn w:val="1"/>
    <w:qFormat/>
    <w:uiPriority w:val="0"/>
    <w:pPr>
      <w:suppressAutoHyphens/>
    </w:pPr>
    <w:rPr>
      <w:rFonts w:ascii="宋体" w:hAnsi="宋体" w:cs="Courier New"/>
      <w:szCs w:val="21"/>
      <w:lang w:eastAsia="ar-SA"/>
    </w:rPr>
  </w:style>
  <w:style w:type="paragraph" w:customStyle="1" w:styleId="47">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eastAsiaTheme="minorEastAsia" w:cstheme="minorBidi"/>
      <w:kern w:val="0"/>
      <w:szCs w:val="21"/>
    </w:rPr>
  </w:style>
  <w:style w:type="character" w:customStyle="1" w:styleId="48">
    <w:name w:val="textcontents"/>
    <w:basedOn w:val="32"/>
    <w:qFormat/>
    <w:uiPriority w:val="0"/>
  </w:style>
  <w:style w:type="paragraph" w:customStyle="1" w:styleId="49">
    <w:name w:val="正文2"/>
    <w:basedOn w:val="1"/>
    <w:qFormat/>
    <w:uiPriority w:val="0"/>
    <w:pPr>
      <w:adjustRightInd w:val="0"/>
      <w:spacing w:before="156" w:line="360" w:lineRule="auto"/>
      <w:ind w:firstLine="510" w:firstLineChars="200"/>
    </w:pPr>
    <w:rPr>
      <w:kern w:val="0"/>
      <w:sz w:val="24"/>
      <w:szCs w:val="20"/>
    </w:rPr>
  </w:style>
  <w:style w:type="paragraph" w:customStyle="1" w:styleId="50">
    <w:name w:val="WPSOffice手动目录 1"/>
    <w:qFormat/>
    <w:uiPriority w:val="0"/>
    <w:pPr>
      <w:ind w:leftChars="0"/>
    </w:pPr>
    <w:rPr>
      <w:rFonts w:ascii="Times New Roman" w:hAnsi="Times New Roman" w:eastAsia="宋体" w:cs="Times New Roman"/>
      <w:sz w:val="20"/>
      <w:szCs w:val="20"/>
    </w:rPr>
  </w:style>
  <w:style w:type="table" w:customStyle="1" w:styleId="51">
    <w:name w:val="Table Normal"/>
    <w:semiHidden/>
    <w:unhideWhenUsed/>
    <w:qFormat/>
    <w:uiPriority w:val="0"/>
    <w:tblPr>
      <w:tblCellMar>
        <w:top w:w="0" w:type="dxa"/>
        <w:left w:w="0" w:type="dxa"/>
        <w:bottom w:w="0" w:type="dxa"/>
        <w:right w:w="0" w:type="dxa"/>
      </w:tblCellMar>
    </w:tblPr>
  </w:style>
  <w:style w:type="paragraph" w:customStyle="1" w:styleId="52">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
    <w:name w:val="正文文本_0"/>
    <w:basedOn w:val="52"/>
    <w:qFormat/>
    <w:uiPriority w:val="0"/>
    <w:pPr>
      <w:adjustRightInd w:val="0"/>
      <w:spacing w:after="60" w:line="360" w:lineRule="atLeast"/>
      <w:ind w:left="72" w:leftChars="30" w:right="30" w:rightChars="30"/>
      <w:jc w:val="center"/>
      <w:textAlignment w:val="baseline"/>
    </w:pPr>
    <w:rPr>
      <w:rFonts w:ascii="Times New Roman" w:hAnsi="Times New Roman"/>
      <w:kern w:val="0"/>
      <w:sz w:val="20"/>
      <w:szCs w:val="20"/>
    </w:rPr>
  </w:style>
  <w:style w:type="paragraph" w:customStyle="1" w:styleId="54">
    <w:name w:val="Normal_1"/>
    <w:qFormat/>
    <w:uiPriority w:val="0"/>
    <w:rPr>
      <w:rFonts w:ascii="Times New Roman" w:hAnsi="Times New Roman" w:eastAsia="Times New Roman" w:cs="Times New Roman"/>
      <w:sz w:val="24"/>
      <w:szCs w:val="24"/>
    </w:rPr>
  </w:style>
  <w:style w:type="paragraph" w:customStyle="1" w:styleId="55">
    <w:name w:val="Body text|1_2"/>
    <w:basedOn w:val="52"/>
    <w:qFormat/>
    <w:uiPriority w:val="0"/>
    <w:pPr>
      <w:spacing w:line="360" w:lineRule="auto"/>
      <w:ind w:firstLine="400"/>
    </w:pPr>
    <w:rPr>
      <w:rFonts w:ascii="宋体" w:hAnsi="宋体" w:eastAsia="宋体" w:cs="宋体"/>
      <w:color w:val="auto"/>
      <w:sz w:val="20"/>
      <w:szCs w:val="20"/>
      <w:lang w:val="zh-CN" w:eastAsia="zh-CN" w:bidi="zh-CN"/>
    </w:rPr>
  </w:style>
  <w:style w:type="paragraph" w:customStyle="1" w:styleId="56">
    <w:name w:val="Other|1_2"/>
    <w:basedOn w:val="52"/>
    <w:qFormat/>
    <w:uiPriority w:val="0"/>
    <w:pPr>
      <w:spacing w:line="360" w:lineRule="auto"/>
      <w:ind w:firstLine="400"/>
    </w:pPr>
    <w:rPr>
      <w:rFonts w:ascii="宋体" w:hAnsi="宋体" w:eastAsia="宋体" w:cs="宋体"/>
      <w:color w:val="auto"/>
      <w:sz w:val="20"/>
      <w:szCs w:val="20"/>
      <w:lang w:val="zh-CN" w:eastAsia="zh-CN" w:bidi="zh-CN"/>
    </w:rPr>
  </w:style>
  <w:style w:type="paragraph" w:customStyle="1" w:styleId="57">
    <w:name w:val="标题 2_1"/>
    <w:basedOn w:val="52"/>
    <w:next w:val="52"/>
    <w:qFormat/>
    <w:uiPriority w:val="0"/>
    <w:pPr>
      <w:keepLines/>
      <w:spacing w:before="240" w:after="120" w:line="416" w:lineRule="auto"/>
      <w:jc w:val="center"/>
      <w:outlineLvl w:val="1"/>
    </w:pPr>
    <w:rPr>
      <w:rFonts w:ascii="宋体" w:hAnsi="宋体" w:eastAsia="黑体" w:cs="宋体"/>
      <w:b/>
      <w:bCs/>
      <w:sz w:val="36"/>
      <w:szCs w:val="21"/>
    </w:rPr>
  </w:style>
  <w:style w:type="paragraph" w:customStyle="1" w:styleId="58">
    <w:name w:val="标题 3_2"/>
    <w:basedOn w:val="52"/>
    <w:next w:val="52"/>
    <w:qFormat/>
    <w:uiPriority w:val="0"/>
    <w:pPr>
      <w:keepNext/>
      <w:keepLines/>
      <w:spacing w:before="240" w:beforeLines="0" w:after="120" w:afterLines="0" w:line="240" w:lineRule="auto"/>
      <w:outlineLvl w:val="2"/>
    </w:pPr>
    <w:rPr>
      <w:rFonts w:ascii="Times New Roman" w:hAnsi="Times New Roman" w:eastAsia="宋体"/>
      <w:b/>
      <w:color w:val="auto"/>
      <w:sz w:val="32"/>
      <w:szCs w:val="20"/>
      <w:lang w:bidi="ar-SA"/>
    </w:rPr>
  </w:style>
  <w:style w:type="paragraph" w:customStyle="1" w:styleId="59">
    <w:name w:val="标题 2_0"/>
    <w:basedOn w:val="60"/>
    <w:next w:val="60"/>
    <w:qFormat/>
    <w:uiPriority w:val="0"/>
    <w:pPr>
      <w:keepLines/>
      <w:spacing w:before="240" w:after="120" w:line="416" w:lineRule="auto"/>
      <w:jc w:val="center"/>
      <w:outlineLvl w:val="1"/>
    </w:pPr>
    <w:rPr>
      <w:rFonts w:ascii="宋体" w:hAnsi="宋体" w:eastAsia="黑体" w:cs="宋体"/>
      <w:b/>
      <w:bCs/>
      <w:sz w:val="36"/>
      <w:szCs w:val="21"/>
    </w:rPr>
  </w:style>
  <w:style w:type="paragraph" w:customStyle="1" w:styleId="60">
    <w:name w:val="正文_2"/>
    <w:basedOn w:val="61"/>
    <w:qFormat/>
    <w:uiPriority w:val="0"/>
    <w:pPr>
      <w:widowControl w:val="0"/>
    </w:pPr>
    <w:rPr>
      <w:rFonts w:ascii="Times New Roman" w:hAnsi="Times New Roman" w:eastAsia="Times New Roman" w:cs="Times New Roman"/>
      <w:color w:val="000000"/>
      <w:sz w:val="24"/>
      <w:szCs w:val="24"/>
      <w:lang w:val="en-US" w:eastAsia="en-US" w:bidi="en-US"/>
    </w:rPr>
  </w:style>
  <w:style w:type="paragraph" w:customStyle="1" w:styleId="61">
    <w:name w:val="正文_3"/>
    <w:basedOn w:val="52"/>
    <w:qFormat/>
    <w:uiPriority w:val="0"/>
    <w:rPr>
      <w:rFonts w:eastAsia="宋体"/>
      <w:lang w:eastAsia="zh-CN" w:bidi="ar-SA"/>
    </w:rPr>
  </w:style>
  <w:style w:type="paragraph" w:customStyle="1" w:styleId="62">
    <w:name w:val="标题 3_1"/>
    <w:basedOn w:val="60"/>
    <w:next w:val="60"/>
    <w:qFormat/>
    <w:uiPriority w:val="0"/>
    <w:pPr>
      <w:keepNext/>
      <w:keepLines/>
      <w:spacing w:before="240" w:beforeLines="0" w:after="120" w:afterLines="0" w:line="240" w:lineRule="auto"/>
      <w:outlineLvl w:val="2"/>
    </w:pPr>
    <w:rPr>
      <w:rFonts w:ascii="Times New Roman" w:hAnsi="Times New Roman" w:eastAsia="宋体"/>
      <w:b/>
      <w:color w:val="auto"/>
      <w:sz w:val="32"/>
      <w:szCs w:val="20"/>
      <w:lang w:bidi="ar-SA"/>
    </w:rPr>
  </w:style>
  <w:style w:type="paragraph" w:customStyle="1" w:styleId="63">
    <w:name w:val="Body text|1_1"/>
    <w:basedOn w:val="60"/>
    <w:qFormat/>
    <w:uiPriority w:val="0"/>
    <w:pPr>
      <w:spacing w:line="360" w:lineRule="auto"/>
      <w:ind w:firstLine="400"/>
    </w:pPr>
    <w:rPr>
      <w:rFonts w:ascii="宋体" w:hAnsi="宋体" w:eastAsia="宋体" w:cs="宋体"/>
      <w:color w:val="auto"/>
      <w:sz w:val="20"/>
      <w:szCs w:val="20"/>
      <w:lang w:val="zh-CN" w:eastAsia="zh-CN" w:bidi="zh-CN"/>
    </w:rPr>
  </w:style>
  <w:style w:type="paragraph" w:customStyle="1" w:styleId="64">
    <w:name w:val="Body text|2_0"/>
    <w:basedOn w:val="60"/>
    <w:qFormat/>
    <w:uiPriority w:val="0"/>
    <w:pPr>
      <w:spacing w:after="30"/>
      <w:ind w:firstLine="420"/>
    </w:pPr>
    <w:rPr>
      <w:rFonts w:eastAsia="宋体"/>
      <w:color w:val="auto"/>
      <w:sz w:val="20"/>
      <w:szCs w:val="20"/>
      <w:lang w:bidi="ar-SA"/>
    </w:rPr>
  </w:style>
  <w:style w:type="paragraph" w:customStyle="1" w:styleId="65">
    <w:name w:val="Other|1_1"/>
    <w:basedOn w:val="60"/>
    <w:qFormat/>
    <w:uiPriority w:val="0"/>
    <w:pPr>
      <w:spacing w:line="360" w:lineRule="auto"/>
      <w:ind w:firstLine="400"/>
    </w:pPr>
    <w:rPr>
      <w:rFonts w:ascii="宋体" w:hAnsi="宋体" w:eastAsia="宋体" w:cs="宋体"/>
      <w:color w:val="auto"/>
      <w:sz w:val="20"/>
      <w:szCs w:val="20"/>
      <w:lang w:val="zh-CN" w:eastAsia="zh-CN" w:bidi="zh-CN"/>
    </w:rPr>
  </w:style>
  <w:style w:type="paragraph" w:customStyle="1" w:styleId="66">
    <w:name w:val="正文_2_0"/>
    <w:basedOn w:val="60"/>
    <w:qFormat/>
    <w:uiPriority w:val="0"/>
    <w:rPr>
      <w:rFonts w:eastAsia="宋体"/>
      <w:lang w:eastAsia="zh-CN" w:bidi="ar-SA"/>
    </w:rPr>
  </w:style>
  <w:style w:type="character" w:customStyle="1" w:styleId="67">
    <w:name w:val="10"/>
    <w:qFormat/>
    <w:uiPriority w:val="0"/>
    <w:rPr>
      <w:rFonts w:hint="default" w:ascii="Times New Roman" w:hAnsi="Times New Roman" w:eastAsia="Times New Roman" w:cs="Times New Roman"/>
      <w:lang w:eastAsia="en-US" w:bidi="en-US"/>
    </w:rPr>
  </w:style>
  <w:style w:type="paragraph" w:customStyle="1" w:styleId="68">
    <w:name w:val="样式 样式16 + 首行缩进:  2 字符"/>
    <w:basedOn w:val="1"/>
    <w:qFormat/>
    <w:uiPriority w:val="0"/>
    <w:pPr>
      <w:spacing w:line="400" w:lineRule="exact"/>
      <w:ind w:firstLine="200" w:firstLineChars="200"/>
    </w:pPr>
    <w:rPr>
      <w:rFonts w:ascii="汉仪中宋简" w:hAnsi="宋体" w:eastAsia="汉仪字典宋简"/>
      <w:b/>
      <w:bCs/>
      <w:spacing w:val="2"/>
      <w:sz w:val="24"/>
      <w:szCs w:val="20"/>
    </w:rPr>
  </w:style>
  <w:style w:type="paragraph" w:customStyle="1" w:styleId="69">
    <w:name w:val="样式 正文首行缩进 + 首行缩进:  1 字符1"/>
    <w:basedOn w:val="1"/>
    <w:next w:val="1"/>
    <w:qFormat/>
    <w:uiPriority w:val="0"/>
    <w:pPr>
      <w:spacing w:line="360" w:lineRule="auto"/>
      <w:ind w:firstLine="480" w:firstLineChars="200"/>
      <w:jc w:val="left"/>
    </w:pPr>
    <w:rPr>
      <w:rFonts w:hint="eastAsia" w:ascii="宋体" w:hAnsi="宋体" w:cs="宋体"/>
      <w:szCs w:val="20"/>
    </w:rPr>
  </w:style>
  <w:style w:type="paragraph" w:customStyle="1" w:styleId="70">
    <w:name w:val="Other|1"/>
    <w:basedOn w:val="1"/>
    <w:qFormat/>
    <w:uiPriority w:val="0"/>
    <w:pPr>
      <w:spacing w:line="360" w:lineRule="auto"/>
      <w:ind w:firstLine="400"/>
      <w:jc w:val="left"/>
    </w:pPr>
    <w:rPr>
      <w:rFonts w:ascii="宋体" w:hAnsi="宋体" w:cs="宋体"/>
      <w:kern w:val="0"/>
      <w:sz w:val="20"/>
      <w:szCs w:val="20"/>
      <w:lang w:val="zh-CN" w:bidi="zh-CN"/>
    </w:rPr>
  </w:style>
  <w:style w:type="paragraph" w:customStyle="1" w:styleId="71">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2">
    <w:name w:val="标题 3_0"/>
    <w:basedOn w:val="1"/>
    <w:next w:val="60"/>
    <w:qFormat/>
    <w:uiPriority w:val="99"/>
    <w:rPr>
      <w:szCs w:val="20"/>
    </w:rPr>
  </w:style>
  <w:style w:type="paragraph" w:customStyle="1" w:styleId="73">
    <w:name w:val="纯文本_0"/>
    <w:basedOn w:val="1"/>
    <w:qFormat/>
    <w:uiPriority w:val="99"/>
    <w:rPr>
      <w:szCs w:val="20"/>
    </w:rPr>
  </w:style>
  <w:style w:type="paragraph" w:customStyle="1" w:styleId="74">
    <w:name w:val="Normal_0"/>
    <w:qFormat/>
    <w:uiPriority w:val="0"/>
    <w:rPr>
      <w:rFonts w:ascii="Times New Roman" w:hAnsi="Times New Roman" w:eastAsia="Times New Roman" w:cs="Times New Roman"/>
      <w:sz w:val="24"/>
      <w:szCs w:val="24"/>
    </w:rPr>
  </w:style>
  <w:style w:type="paragraph" w:customStyle="1" w:styleId="75">
    <w:name w:val="正文_5"/>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6.wmf"/><Relationship Id="rId21" Type="http://schemas.openxmlformats.org/officeDocument/2006/relationships/oleObject" Target="embeddings/oleObject5.bin"/><Relationship Id="rId20" Type="http://schemas.openxmlformats.org/officeDocument/2006/relationships/image" Target="media/image5.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4.wmf"/><Relationship Id="rId17" Type="http://schemas.openxmlformats.org/officeDocument/2006/relationships/oleObject" Target="embeddings/oleObject3.bin"/><Relationship Id="rId16" Type="http://schemas.openxmlformats.org/officeDocument/2006/relationships/image" Target="media/image3.wmf"/><Relationship Id="rId15" Type="http://schemas.openxmlformats.org/officeDocument/2006/relationships/oleObject" Target="embeddings/oleObject2.bin"/><Relationship Id="rId14" Type="http://schemas.openxmlformats.org/officeDocument/2006/relationships/image" Target="media/image2.wmf"/><Relationship Id="rId13" Type="http://schemas.openxmlformats.org/officeDocument/2006/relationships/oleObject" Target="embeddings/oleObject1.bin"/><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142</Pages>
  <Words>3291</Words>
  <Characters>3902</Characters>
  <Lines>51</Lines>
  <Paragraphs>59</Paragraphs>
  <TotalTime>0</TotalTime>
  <ScaleCrop>false</ScaleCrop>
  <LinksUpToDate>false</LinksUpToDate>
  <CharactersWithSpaces>14125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2018-08-29T07:43:00Z</dcterms:created>
  <dc:creator>Administrator</dc:creator>
  <cp:lastModifiedBy>WPS_1492677407</cp:lastModifiedBy>
  <cp:lastPrinted>2026-08-24T02:34:00Z</cp:lastPrinted>
  <dcterms:modified xsi:type="dcterms:W3CDTF">2026-08-25T03:37:43Z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B4F11B0C4B1044E6933CEA860604A3D8_13</vt:lpwstr>
  </property>
  <property fmtid="{D5CDD505-2E9C-101B-9397-08002B2CF9AE}" pid="4" name="KSOTemplateDocerSaveRecord">
    <vt:lpwstr>eyJoZGlkIjoiODRjODNlMjNhM2VmN2ViNTg0Mzg0YzJjNzE2NzFhMDgiLCJ1c2VySWQiOiIyNzYwNDU2NjUifQ==</vt:lpwstr>
  </property>
</Properties>
</file>