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D3D9F6">
      <w:pPr>
        <w:spacing w:before="165" w:beforeLines="50" w:line="360" w:lineRule="auto"/>
        <w:jc w:val="center"/>
        <w:rPr>
          <w:rFonts w:ascii="宋体" w:hAnsi="宋体"/>
          <w:color w:val="auto"/>
          <w:sz w:val="52"/>
          <w:szCs w:val="52"/>
          <w:highlight w:val="none"/>
        </w:rPr>
      </w:pPr>
    </w:p>
    <w:p w14:paraId="0509CEF3">
      <w:pPr>
        <w:spacing w:before="165" w:beforeLines="50" w:line="360" w:lineRule="auto"/>
        <w:jc w:val="center"/>
        <w:rPr>
          <w:rFonts w:ascii="宋体" w:hAnsi="宋体" w:cs="宋体"/>
          <w:b/>
          <w:bCs/>
          <w:color w:val="auto"/>
          <w:sz w:val="52"/>
          <w:szCs w:val="52"/>
          <w:highlight w:val="none"/>
        </w:rPr>
      </w:pPr>
      <w:r>
        <w:rPr>
          <w:rFonts w:hint="eastAsia" w:ascii="宋体" w:hAnsi="宋体" w:cs="宋体"/>
          <w:b/>
          <w:bCs/>
          <w:color w:val="auto"/>
          <w:sz w:val="52"/>
          <w:szCs w:val="52"/>
          <w:highlight w:val="none"/>
        </w:rPr>
        <w:t>竞争性磋商文件（服务类）</w:t>
      </w:r>
    </w:p>
    <w:p w14:paraId="63F6B4FA">
      <w:pPr>
        <w:spacing w:before="165" w:beforeLines="50" w:line="360" w:lineRule="auto"/>
        <w:jc w:val="center"/>
        <w:rPr>
          <w:rFonts w:ascii="宋体" w:hAnsi="宋体" w:cs="宋体"/>
          <w:color w:val="auto"/>
          <w:sz w:val="36"/>
          <w:szCs w:val="36"/>
          <w:highlight w:val="none"/>
        </w:rPr>
      </w:pPr>
    </w:p>
    <w:p w14:paraId="031E45A2">
      <w:pPr>
        <w:snapToGrid w:val="0"/>
        <w:spacing w:before="165" w:beforeLines="50" w:line="700" w:lineRule="exact"/>
        <w:jc w:val="center"/>
        <w:rPr>
          <w:rFonts w:ascii="宋体" w:hAnsi="宋体" w:cs="宋体"/>
          <w:color w:val="auto"/>
          <w:sz w:val="72"/>
          <w:szCs w:val="72"/>
          <w:highlight w:val="none"/>
        </w:rPr>
      </w:pPr>
    </w:p>
    <w:p w14:paraId="1A513712">
      <w:pPr>
        <w:snapToGrid w:val="0"/>
        <w:spacing w:before="165" w:beforeLines="50" w:line="700" w:lineRule="exact"/>
        <w:jc w:val="center"/>
        <w:rPr>
          <w:rFonts w:ascii="宋体" w:hAnsi="宋体" w:cs="宋体"/>
          <w:color w:val="auto"/>
          <w:sz w:val="44"/>
          <w:szCs w:val="44"/>
          <w:highlight w:val="none"/>
        </w:rPr>
      </w:pPr>
      <w:r>
        <w:rPr>
          <w:rFonts w:hint="eastAsia" w:ascii="宋体" w:hAnsi="宋体" w:cs="宋体"/>
          <w:color w:val="auto"/>
          <w:sz w:val="72"/>
          <w:szCs w:val="72"/>
          <w:highlight w:val="none"/>
        </w:rPr>
        <w:t>竞争性磋商文件</w:t>
      </w:r>
    </w:p>
    <w:p w14:paraId="36535369">
      <w:pPr>
        <w:spacing w:before="331" w:beforeLines="100" w:after="165" w:afterLines="50" w:line="360" w:lineRule="auto"/>
        <w:jc w:val="center"/>
        <w:rPr>
          <w:rFonts w:ascii="宋体" w:hAnsi="宋体" w:cs="宋体"/>
          <w:color w:val="auto"/>
          <w:szCs w:val="21"/>
          <w:highlight w:val="none"/>
        </w:rPr>
      </w:pPr>
      <w:r>
        <w:rPr>
          <w:rFonts w:hint="eastAsia" w:ascii="宋体" w:hAnsi="宋体" w:cs="宋体"/>
          <w:color w:val="auto"/>
          <w:szCs w:val="21"/>
          <w:highlight w:val="none"/>
        </w:rPr>
        <w:t>（全流程电子化评标）</w:t>
      </w:r>
    </w:p>
    <w:p w14:paraId="2B6BE30C">
      <w:pPr>
        <w:pStyle w:val="60"/>
        <w:ind w:firstLine="0" w:firstLineChars="0"/>
        <w:rPr>
          <w:rFonts w:ascii="宋体" w:hAnsi="宋体" w:cs="宋体"/>
          <w:b/>
          <w:color w:val="auto"/>
          <w:sz w:val="32"/>
          <w:szCs w:val="32"/>
          <w:highlight w:val="none"/>
        </w:rPr>
      </w:pPr>
    </w:p>
    <w:p w14:paraId="617A6E5B">
      <w:pPr>
        <w:pStyle w:val="60"/>
        <w:ind w:firstLine="0" w:firstLineChars="0"/>
        <w:rPr>
          <w:rFonts w:ascii="宋体" w:hAnsi="宋体" w:cs="宋体"/>
          <w:b/>
          <w:color w:val="auto"/>
          <w:sz w:val="32"/>
          <w:szCs w:val="32"/>
          <w:highlight w:val="none"/>
        </w:rPr>
      </w:pPr>
    </w:p>
    <w:p w14:paraId="1357E406">
      <w:pPr>
        <w:pStyle w:val="60"/>
        <w:ind w:firstLine="0" w:firstLineChars="0"/>
        <w:rPr>
          <w:rFonts w:ascii="宋体" w:hAnsi="宋体" w:cs="宋体"/>
          <w:b/>
          <w:color w:val="auto"/>
          <w:sz w:val="32"/>
          <w:szCs w:val="32"/>
          <w:highlight w:val="none"/>
        </w:rPr>
      </w:pPr>
    </w:p>
    <w:p w14:paraId="020FF15C">
      <w:pPr>
        <w:spacing w:line="560" w:lineRule="exact"/>
        <w:rPr>
          <w:rFonts w:ascii="宋体" w:hAnsi="宋体" w:cs="宋体"/>
          <w:b/>
          <w:color w:val="auto"/>
          <w:sz w:val="32"/>
          <w:szCs w:val="32"/>
          <w:highlight w:val="none"/>
        </w:rPr>
      </w:pPr>
    </w:p>
    <w:p w14:paraId="3A895F9E">
      <w:pPr>
        <w:snapToGrid w:val="0"/>
        <w:spacing w:before="50" w:after="120" w:line="560" w:lineRule="exact"/>
        <w:ind w:left="1434" w:leftChars="396" w:hanging="602" w:hangingChars="200"/>
        <w:rPr>
          <w:rFonts w:hint="eastAsia" w:eastAsia="宋体"/>
          <w:color w:val="auto"/>
          <w:highlight w:val="none"/>
          <w:lang w:eastAsia="zh-CN"/>
        </w:rPr>
      </w:pPr>
      <w:r>
        <w:rPr>
          <w:rFonts w:hint="eastAsia" w:ascii="宋体" w:hAnsi="宋体" w:cs="宋体"/>
          <w:b/>
          <w:bCs/>
          <w:color w:val="auto"/>
          <w:kern w:val="0"/>
          <w:sz w:val="30"/>
          <w:szCs w:val="30"/>
          <w:highlight w:val="none"/>
        </w:rPr>
        <w:t>项目</w:t>
      </w:r>
      <w:r>
        <w:rPr>
          <w:rFonts w:hint="eastAsia" w:ascii="宋体" w:hAnsi="宋体" w:cs="宋体"/>
          <w:b/>
          <w:bCs/>
          <w:color w:val="auto"/>
          <w:w w:val="95"/>
          <w:kern w:val="0"/>
          <w:sz w:val="30"/>
          <w:szCs w:val="30"/>
          <w:highlight w:val="none"/>
        </w:rPr>
        <w:t>名称：</w:t>
      </w:r>
      <w:r>
        <w:rPr>
          <w:rFonts w:hint="eastAsia" w:ascii="宋体" w:hAnsi="宋体"/>
          <w:b/>
          <w:bCs/>
          <w:color w:val="auto"/>
          <w:kern w:val="0"/>
          <w:sz w:val="30"/>
          <w:szCs w:val="30"/>
          <w:highlight w:val="none"/>
          <w:lang w:eastAsia="zh-CN"/>
        </w:rPr>
        <w:t>医疗废弃物处置服务采购项目</w:t>
      </w:r>
    </w:p>
    <w:p w14:paraId="220CBE48">
      <w:pPr>
        <w:snapToGrid w:val="0"/>
        <w:spacing w:before="165" w:beforeLines="50" w:line="360" w:lineRule="auto"/>
        <w:ind w:firstLine="859" w:firstLineChars="300"/>
        <w:rPr>
          <w:rFonts w:hint="eastAsia" w:ascii="宋体" w:hAnsi="宋体" w:eastAsia="宋体" w:cs="宋体"/>
          <w:b/>
          <w:bCs/>
          <w:color w:val="auto"/>
          <w:w w:val="95"/>
          <w:sz w:val="30"/>
          <w:szCs w:val="30"/>
          <w:highlight w:val="none"/>
          <w:lang w:eastAsia="zh-CN"/>
        </w:rPr>
      </w:pPr>
      <w:r>
        <w:rPr>
          <w:rFonts w:hint="eastAsia" w:ascii="宋体" w:hAnsi="宋体" w:eastAsia="宋体" w:cs="宋体"/>
          <w:b/>
          <w:bCs/>
          <w:color w:val="auto"/>
          <w:w w:val="95"/>
          <w:sz w:val="30"/>
          <w:szCs w:val="30"/>
          <w:highlight w:val="none"/>
        </w:rPr>
        <w:t>项目</w:t>
      </w:r>
      <w:r>
        <w:rPr>
          <w:rFonts w:hint="eastAsia" w:ascii="宋体" w:hAnsi="宋体" w:eastAsia="宋体" w:cs="宋体"/>
          <w:b/>
          <w:bCs/>
          <w:color w:val="auto"/>
          <w:sz w:val="30"/>
          <w:szCs w:val="30"/>
          <w:highlight w:val="none"/>
        </w:rPr>
        <w:t>编号</w:t>
      </w:r>
      <w:r>
        <w:rPr>
          <w:rFonts w:hint="eastAsia" w:ascii="宋体" w:hAnsi="宋体" w:eastAsia="宋体" w:cs="宋体"/>
          <w:b/>
          <w:bCs/>
          <w:color w:val="auto"/>
          <w:w w:val="95"/>
          <w:sz w:val="30"/>
          <w:szCs w:val="30"/>
          <w:highlight w:val="none"/>
        </w:rPr>
        <w:t>：GXZC2026-C3-002668-GXRZ</w:t>
      </w:r>
    </w:p>
    <w:p w14:paraId="276AFC3F">
      <w:pPr>
        <w:snapToGrid w:val="0"/>
        <w:spacing w:before="50" w:after="120" w:line="360" w:lineRule="auto"/>
        <w:ind w:firstLine="859" w:firstLineChars="300"/>
        <w:rPr>
          <w:rFonts w:hint="eastAsia" w:ascii="宋体" w:hAnsi="宋体" w:cs="Courier New"/>
          <w:b/>
          <w:bCs/>
          <w:color w:val="auto"/>
          <w:w w:val="95"/>
          <w:kern w:val="0"/>
          <w:sz w:val="30"/>
          <w:szCs w:val="30"/>
          <w:highlight w:val="none"/>
          <w:lang w:eastAsia="zh-CN"/>
        </w:rPr>
      </w:pPr>
      <w:r>
        <w:rPr>
          <w:rFonts w:hint="eastAsia" w:ascii="宋体" w:hAnsi="宋体" w:cs="Courier New"/>
          <w:b/>
          <w:bCs/>
          <w:color w:val="auto"/>
          <w:w w:val="95"/>
          <w:kern w:val="0"/>
          <w:sz w:val="30"/>
          <w:szCs w:val="30"/>
          <w:highlight w:val="none"/>
        </w:rPr>
        <w:t>采购计划文号：广西政采[2026]16160号-001</w:t>
      </w:r>
      <w:r>
        <w:rPr>
          <w:rFonts w:hint="eastAsia" w:ascii="宋体" w:hAnsi="宋体" w:cs="Courier New"/>
          <w:b/>
          <w:bCs/>
          <w:color w:val="auto"/>
          <w:w w:val="95"/>
          <w:kern w:val="0"/>
          <w:sz w:val="30"/>
          <w:szCs w:val="30"/>
          <w:highlight w:val="none"/>
          <w:lang w:eastAsia="zh-CN"/>
        </w:rPr>
        <w:t>、</w:t>
      </w:r>
    </w:p>
    <w:p w14:paraId="29621897">
      <w:pPr>
        <w:snapToGrid w:val="0"/>
        <w:spacing w:before="50" w:after="120" w:line="360" w:lineRule="auto"/>
        <w:ind w:firstLine="2862" w:firstLineChars="1000"/>
        <w:rPr>
          <w:rFonts w:hint="default" w:ascii="宋体" w:hAnsi="宋体" w:eastAsia="宋体" w:cs="Courier New"/>
          <w:b/>
          <w:bCs/>
          <w:color w:val="auto"/>
          <w:w w:val="95"/>
          <w:kern w:val="0"/>
          <w:sz w:val="30"/>
          <w:szCs w:val="30"/>
          <w:highlight w:val="none"/>
          <w:lang w:val="en-US" w:eastAsia="zh-CN"/>
        </w:rPr>
      </w:pPr>
      <w:r>
        <w:rPr>
          <w:rFonts w:hint="eastAsia" w:ascii="宋体" w:hAnsi="宋体" w:cs="Courier New"/>
          <w:b/>
          <w:bCs/>
          <w:color w:val="auto"/>
          <w:w w:val="95"/>
          <w:kern w:val="0"/>
          <w:sz w:val="30"/>
          <w:szCs w:val="30"/>
          <w:highlight w:val="none"/>
          <w:lang w:eastAsia="zh-CN"/>
        </w:rPr>
        <w:t>广西政采[2026]16160号-00</w:t>
      </w:r>
      <w:r>
        <w:rPr>
          <w:rFonts w:hint="eastAsia" w:ascii="宋体" w:hAnsi="宋体" w:cs="Courier New"/>
          <w:b/>
          <w:bCs/>
          <w:color w:val="auto"/>
          <w:w w:val="95"/>
          <w:kern w:val="0"/>
          <w:sz w:val="30"/>
          <w:szCs w:val="30"/>
          <w:highlight w:val="none"/>
          <w:lang w:val="en-US" w:eastAsia="zh-CN"/>
        </w:rPr>
        <w:t xml:space="preserve">2 </w:t>
      </w:r>
    </w:p>
    <w:p w14:paraId="6FC9E058">
      <w:pPr>
        <w:snapToGrid w:val="0"/>
        <w:spacing w:before="50" w:after="120" w:line="360" w:lineRule="auto"/>
        <w:ind w:firstLine="859" w:firstLineChars="300"/>
        <w:rPr>
          <w:rFonts w:hint="eastAsia" w:ascii="宋体" w:hAnsi="宋体" w:eastAsia="宋体" w:cs="宋体"/>
          <w:b/>
          <w:bCs/>
          <w:color w:val="auto"/>
          <w:w w:val="95"/>
          <w:sz w:val="30"/>
          <w:szCs w:val="30"/>
          <w:highlight w:val="none"/>
        </w:rPr>
      </w:pPr>
      <w:r>
        <w:rPr>
          <w:rFonts w:hint="eastAsia" w:ascii="宋体" w:hAnsi="宋体" w:eastAsia="宋体" w:cs="宋体"/>
          <w:b/>
          <w:bCs/>
          <w:color w:val="auto"/>
          <w:w w:val="95"/>
          <w:sz w:val="30"/>
          <w:szCs w:val="30"/>
          <w:highlight w:val="none"/>
        </w:rPr>
        <w:t>项目所属区划：</w:t>
      </w:r>
      <w:r>
        <w:rPr>
          <w:rFonts w:hint="eastAsia" w:ascii="宋体" w:hAnsi="宋体"/>
          <w:b/>
          <w:color w:val="auto"/>
          <w:sz w:val="30"/>
          <w:szCs w:val="48"/>
          <w:highlight w:val="none"/>
        </w:rPr>
        <w:t>自治</w:t>
      </w:r>
      <w:r>
        <w:rPr>
          <w:rFonts w:hint="eastAsia" w:ascii="宋体" w:hAnsi="宋体"/>
          <w:b/>
          <w:bCs/>
          <w:color w:val="auto"/>
          <w:sz w:val="30"/>
          <w:szCs w:val="30"/>
          <w:highlight w:val="none"/>
        </w:rPr>
        <w:t>区本级</w:t>
      </w:r>
    </w:p>
    <w:p w14:paraId="77B5FF94">
      <w:pPr>
        <w:snapToGrid w:val="0"/>
        <w:spacing w:before="165" w:beforeLines="50" w:line="360" w:lineRule="auto"/>
        <w:ind w:firstLine="859" w:firstLineChars="300"/>
        <w:rPr>
          <w:rFonts w:hint="eastAsia" w:ascii="宋体" w:hAnsi="宋体" w:eastAsia="宋体" w:cs="宋体"/>
          <w:b/>
          <w:bCs/>
          <w:color w:val="auto"/>
          <w:w w:val="95"/>
          <w:sz w:val="30"/>
          <w:szCs w:val="30"/>
          <w:highlight w:val="none"/>
        </w:rPr>
      </w:pPr>
      <w:r>
        <w:rPr>
          <w:rFonts w:hint="eastAsia" w:ascii="宋体" w:hAnsi="宋体" w:eastAsia="宋体" w:cs="宋体"/>
          <w:b/>
          <w:bCs/>
          <w:color w:val="auto"/>
          <w:w w:val="95"/>
          <w:sz w:val="30"/>
          <w:szCs w:val="30"/>
          <w:highlight w:val="none"/>
        </w:rPr>
        <w:t>采 购 人：</w:t>
      </w:r>
      <w:r>
        <w:rPr>
          <w:rFonts w:hint="eastAsia" w:ascii="宋体" w:hAnsi="宋体"/>
          <w:b/>
          <w:color w:val="auto"/>
          <w:sz w:val="30"/>
          <w:szCs w:val="48"/>
          <w:highlight w:val="none"/>
        </w:rPr>
        <w:t>广西医科大</w:t>
      </w:r>
      <w:r>
        <w:rPr>
          <w:rFonts w:hint="eastAsia" w:ascii="宋体" w:hAnsi="宋体"/>
          <w:b/>
          <w:color w:val="auto"/>
          <w:sz w:val="30"/>
          <w:szCs w:val="48"/>
          <w:highlight w:val="none"/>
          <w:lang w:val="en-US" w:eastAsia="zh-CN"/>
        </w:rPr>
        <w:t>学附属武鸣</w:t>
      </w:r>
      <w:r>
        <w:rPr>
          <w:rFonts w:hint="eastAsia" w:ascii="宋体" w:hAnsi="宋体"/>
          <w:b/>
          <w:color w:val="auto"/>
          <w:sz w:val="30"/>
          <w:szCs w:val="48"/>
          <w:highlight w:val="none"/>
        </w:rPr>
        <w:t>医院</w:t>
      </w:r>
    </w:p>
    <w:p w14:paraId="5660FF92">
      <w:pPr>
        <w:snapToGrid w:val="0"/>
        <w:spacing w:before="50" w:after="120" w:line="360" w:lineRule="auto"/>
        <w:ind w:firstLine="859" w:firstLineChars="300"/>
        <w:rPr>
          <w:rFonts w:hint="eastAsia" w:ascii="宋体" w:hAnsi="宋体" w:eastAsia="宋体" w:cs="宋体"/>
          <w:b/>
          <w:bCs/>
          <w:color w:val="auto"/>
          <w:w w:val="95"/>
          <w:sz w:val="30"/>
          <w:szCs w:val="30"/>
          <w:highlight w:val="none"/>
        </w:rPr>
      </w:pPr>
      <w:r>
        <w:rPr>
          <w:rFonts w:hint="eastAsia" w:ascii="宋体" w:hAnsi="宋体" w:eastAsia="宋体" w:cs="宋体"/>
          <w:b/>
          <w:bCs/>
          <w:color w:val="auto"/>
          <w:w w:val="95"/>
          <w:sz w:val="30"/>
          <w:szCs w:val="30"/>
          <w:highlight w:val="none"/>
        </w:rPr>
        <w:t>采购代理机构：广西瑞真工程造价咨询有限责任公司</w:t>
      </w:r>
    </w:p>
    <w:p w14:paraId="656CD6A9">
      <w:pPr>
        <w:pStyle w:val="19"/>
        <w:jc w:val="center"/>
        <w:rPr>
          <w:rFonts w:hint="eastAsia" w:ascii="宋体" w:hAnsi="宋体" w:cs="宋体"/>
          <w:b/>
          <w:color w:val="auto"/>
          <w:sz w:val="44"/>
          <w:szCs w:val="44"/>
          <w:highlight w:val="none"/>
        </w:rPr>
      </w:pPr>
      <w:r>
        <w:rPr>
          <w:rFonts w:hint="eastAsia" w:ascii="宋体" w:hAnsi="宋体" w:eastAsia="宋体" w:cs="宋体"/>
          <w:b/>
          <w:bCs/>
          <w:color w:val="auto"/>
          <w:w w:val="95"/>
          <w:sz w:val="30"/>
          <w:szCs w:val="30"/>
          <w:highlight w:val="none"/>
        </w:rPr>
        <w:t>202</w:t>
      </w:r>
      <w:r>
        <w:rPr>
          <w:rFonts w:hint="eastAsia" w:hAnsi="宋体" w:cs="宋体"/>
          <w:b/>
          <w:bCs/>
          <w:color w:val="auto"/>
          <w:w w:val="95"/>
          <w:sz w:val="30"/>
          <w:szCs w:val="30"/>
          <w:highlight w:val="none"/>
          <w:lang w:val="en-US" w:eastAsia="zh-CN"/>
        </w:rPr>
        <w:t>6</w:t>
      </w:r>
      <w:r>
        <w:rPr>
          <w:rFonts w:hint="eastAsia" w:ascii="宋体" w:hAnsi="宋体" w:eastAsia="宋体" w:cs="宋体"/>
          <w:b/>
          <w:bCs/>
          <w:color w:val="auto"/>
          <w:w w:val="95"/>
          <w:sz w:val="30"/>
          <w:szCs w:val="30"/>
          <w:highlight w:val="none"/>
        </w:rPr>
        <w:t>年</w:t>
      </w:r>
      <w:r>
        <w:rPr>
          <w:rFonts w:hint="eastAsia" w:hAnsi="宋体" w:cs="宋体"/>
          <w:b/>
          <w:bCs/>
          <w:color w:val="auto"/>
          <w:w w:val="95"/>
          <w:sz w:val="30"/>
          <w:szCs w:val="30"/>
          <w:highlight w:val="none"/>
          <w:lang w:val="en-US" w:eastAsia="zh-CN"/>
        </w:rPr>
        <w:t>8</w:t>
      </w:r>
      <w:r>
        <w:rPr>
          <w:rFonts w:hint="eastAsia" w:ascii="宋体" w:hAnsi="宋体" w:eastAsia="宋体" w:cs="宋体"/>
          <w:b/>
          <w:bCs/>
          <w:color w:val="auto"/>
          <w:w w:val="95"/>
          <w:sz w:val="30"/>
          <w:szCs w:val="30"/>
          <w:highlight w:val="none"/>
        </w:rPr>
        <w:t>月</w:t>
      </w:r>
    </w:p>
    <w:p w14:paraId="2AAE44F1">
      <w:pPr>
        <w:spacing w:line="36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14:paraId="5C8F0824">
      <w:pPr>
        <w:spacing w:line="440" w:lineRule="exact"/>
        <w:jc w:val="center"/>
        <w:rPr>
          <w:rFonts w:ascii="宋体" w:hAnsi="宋体" w:cs="宋体"/>
          <w:b/>
          <w:color w:val="auto"/>
          <w:sz w:val="44"/>
          <w:szCs w:val="44"/>
          <w:highlight w:val="none"/>
        </w:rPr>
      </w:pPr>
    </w:p>
    <w:p w14:paraId="0065F648">
      <w:pPr>
        <w:pStyle w:val="24"/>
        <w:tabs>
          <w:tab w:val="right" w:leader="dot" w:pos="8879"/>
        </w:tabs>
        <w:spacing w:line="440" w:lineRule="exact"/>
        <w:rPr>
          <w:color w:val="auto"/>
          <w:sz w:val="24"/>
          <w:szCs w:val="24"/>
          <w:highlight w:val="none"/>
        </w:rPr>
      </w:pPr>
      <w:r>
        <w:rPr>
          <w:rFonts w:hint="eastAsia" w:ascii="宋体" w:hAnsi="宋体" w:cs="宋体"/>
          <w:b/>
          <w:color w:val="auto"/>
          <w:sz w:val="24"/>
          <w:szCs w:val="24"/>
          <w:highlight w:val="none"/>
        </w:rPr>
        <w:fldChar w:fldCharType="begin"/>
      </w:r>
      <w:r>
        <w:rPr>
          <w:rFonts w:hint="eastAsia" w:ascii="宋体" w:hAnsi="宋体" w:cs="宋体"/>
          <w:b/>
          <w:color w:val="auto"/>
          <w:sz w:val="24"/>
          <w:szCs w:val="24"/>
          <w:highlight w:val="none"/>
        </w:rPr>
        <w:instrText xml:space="preserve">TOC \o "1-3" \h \z \u</w:instrText>
      </w:r>
      <w:r>
        <w:rPr>
          <w:rFonts w:hint="eastAsia" w:ascii="宋体" w:hAnsi="宋体" w:cs="宋体"/>
          <w:b/>
          <w:color w:val="auto"/>
          <w:sz w:val="24"/>
          <w:szCs w:val="24"/>
          <w:highlight w:val="none"/>
        </w:rPr>
        <w:fldChar w:fldCharType="separate"/>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_Toc28971 </w:instrText>
      </w:r>
      <w:r>
        <w:rPr>
          <w:rFonts w:hint="eastAsia" w:ascii="宋体" w:hAnsi="宋体" w:cs="宋体"/>
          <w:color w:val="auto"/>
          <w:sz w:val="24"/>
          <w:szCs w:val="24"/>
          <w:highlight w:val="none"/>
        </w:rPr>
        <w:fldChar w:fldCharType="separate"/>
      </w:r>
      <w:r>
        <w:rPr>
          <w:rFonts w:hint="eastAsia" w:ascii="宋体" w:hAnsi="宋体" w:cs="宋体"/>
          <w:bCs/>
          <w:color w:val="auto"/>
          <w:kern w:val="44"/>
          <w:sz w:val="24"/>
          <w:szCs w:val="24"/>
          <w:highlight w:val="none"/>
        </w:rPr>
        <w:t>第一章 竞争性磋商公告</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_Toc28971 \h </w:instrText>
      </w:r>
      <w:r>
        <w:rPr>
          <w:color w:val="auto"/>
          <w:sz w:val="24"/>
          <w:szCs w:val="24"/>
          <w:highlight w:val="none"/>
        </w:rPr>
        <w:fldChar w:fldCharType="separate"/>
      </w:r>
      <w:r>
        <w:rPr>
          <w:color w:val="auto"/>
          <w:sz w:val="24"/>
          <w:szCs w:val="24"/>
          <w:highlight w:val="none"/>
        </w:rPr>
        <w:t>2</w:t>
      </w:r>
      <w:r>
        <w:rPr>
          <w:color w:val="auto"/>
          <w:sz w:val="24"/>
          <w:szCs w:val="24"/>
          <w:highlight w:val="none"/>
        </w:rPr>
        <w:fldChar w:fldCharType="end"/>
      </w:r>
      <w:r>
        <w:rPr>
          <w:rFonts w:hint="eastAsia" w:ascii="宋体" w:hAnsi="宋体" w:cs="宋体"/>
          <w:color w:val="auto"/>
          <w:sz w:val="24"/>
          <w:szCs w:val="24"/>
          <w:highlight w:val="none"/>
        </w:rPr>
        <w:fldChar w:fldCharType="end"/>
      </w:r>
    </w:p>
    <w:p w14:paraId="316C3739">
      <w:pPr>
        <w:pStyle w:val="24"/>
        <w:tabs>
          <w:tab w:val="right" w:leader="dot" w:pos="8879"/>
        </w:tabs>
        <w:spacing w:line="440" w:lineRule="exact"/>
        <w:rPr>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_Toc23109 </w:instrText>
      </w:r>
      <w:r>
        <w:rPr>
          <w:rFonts w:hint="eastAsia" w:ascii="宋体" w:hAnsi="宋体" w:cs="宋体"/>
          <w:color w:val="auto"/>
          <w:sz w:val="24"/>
          <w:szCs w:val="24"/>
          <w:highlight w:val="none"/>
        </w:rPr>
        <w:fldChar w:fldCharType="separate"/>
      </w:r>
      <w:r>
        <w:rPr>
          <w:rFonts w:hint="eastAsia" w:ascii="宋体" w:hAnsi="宋体" w:cs="宋体"/>
          <w:bCs/>
          <w:color w:val="auto"/>
          <w:kern w:val="44"/>
          <w:sz w:val="24"/>
          <w:szCs w:val="24"/>
          <w:highlight w:val="none"/>
        </w:rPr>
        <w:t>第二章 采购需求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_Toc23109 \h </w:instrText>
      </w:r>
      <w:r>
        <w:rPr>
          <w:color w:val="auto"/>
          <w:sz w:val="24"/>
          <w:szCs w:val="24"/>
          <w:highlight w:val="none"/>
        </w:rPr>
        <w:fldChar w:fldCharType="separate"/>
      </w:r>
      <w:r>
        <w:rPr>
          <w:color w:val="auto"/>
          <w:sz w:val="24"/>
          <w:szCs w:val="24"/>
          <w:highlight w:val="none"/>
        </w:rPr>
        <w:t>6</w:t>
      </w:r>
      <w:r>
        <w:rPr>
          <w:color w:val="auto"/>
          <w:sz w:val="24"/>
          <w:szCs w:val="24"/>
          <w:highlight w:val="none"/>
        </w:rPr>
        <w:fldChar w:fldCharType="end"/>
      </w:r>
      <w:r>
        <w:rPr>
          <w:rFonts w:hint="eastAsia" w:ascii="宋体" w:hAnsi="宋体" w:cs="宋体"/>
          <w:color w:val="auto"/>
          <w:sz w:val="24"/>
          <w:szCs w:val="24"/>
          <w:highlight w:val="none"/>
        </w:rPr>
        <w:fldChar w:fldCharType="end"/>
      </w:r>
    </w:p>
    <w:p w14:paraId="517752B0">
      <w:pPr>
        <w:pStyle w:val="24"/>
        <w:tabs>
          <w:tab w:val="right" w:leader="dot" w:pos="8879"/>
        </w:tabs>
        <w:spacing w:line="440" w:lineRule="exact"/>
        <w:rPr>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_Toc2455 </w:instrText>
      </w:r>
      <w:r>
        <w:rPr>
          <w:rFonts w:hint="eastAsia" w:ascii="宋体" w:hAnsi="宋体" w:cs="宋体"/>
          <w:color w:val="auto"/>
          <w:sz w:val="24"/>
          <w:szCs w:val="24"/>
          <w:highlight w:val="none"/>
        </w:rPr>
        <w:fldChar w:fldCharType="separate"/>
      </w:r>
      <w:r>
        <w:rPr>
          <w:rFonts w:hint="eastAsia" w:ascii="宋体" w:hAnsi="宋体" w:cs="宋体"/>
          <w:bCs/>
          <w:color w:val="auto"/>
          <w:kern w:val="44"/>
          <w:sz w:val="24"/>
          <w:szCs w:val="24"/>
          <w:highlight w:val="none"/>
        </w:rPr>
        <w:t>第三章 供应商须知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_Toc2455 \h </w:instrText>
      </w:r>
      <w:r>
        <w:rPr>
          <w:color w:val="auto"/>
          <w:sz w:val="24"/>
          <w:szCs w:val="24"/>
          <w:highlight w:val="none"/>
        </w:rPr>
        <w:fldChar w:fldCharType="separate"/>
      </w:r>
      <w:r>
        <w:rPr>
          <w:color w:val="auto"/>
          <w:sz w:val="24"/>
          <w:szCs w:val="24"/>
          <w:highlight w:val="none"/>
        </w:rPr>
        <w:t>12</w:t>
      </w:r>
      <w:r>
        <w:rPr>
          <w:color w:val="auto"/>
          <w:sz w:val="24"/>
          <w:szCs w:val="24"/>
          <w:highlight w:val="none"/>
        </w:rPr>
        <w:fldChar w:fldCharType="end"/>
      </w:r>
      <w:r>
        <w:rPr>
          <w:rFonts w:hint="eastAsia" w:ascii="宋体" w:hAnsi="宋体" w:cs="宋体"/>
          <w:color w:val="auto"/>
          <w:sz w:val="24"/>
          <w:szCs w:val="24"/>
          <w:highlight w:val="none"/>
        </w:rPr>
        <w:fldChar w:fldCharType="end"/>
      </w:r>
    </w:p>
    <w:p w14:paraId="61C76298">
      <w:pPr>
        <w:pStyle w:val="27"/>
        <w:tabs>
          <w:tab w:val="right" w:leader="dot" w:pos="8879"/>
          <w:tab w:val="clear" w:pos="8296"/>
        </w:tabs>
        <w:spacing w:line="440" w:lineRule="exact"/>
        <w:rPr>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_Toc23343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第一节 供应商须知前附表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_Toc23343 \h </w:instrText>
      </w:r>
      <w:r>
        <w:rPr>
          <w:color w:val="auto"/>
          <w:sz w:val="24"/>
          <w:szCs w:val="24"/>
          <w:highlight w:val="none"/>
        </w:rPr>
        <w:fldChar w:fldCharType="separate"/>
      </w:r>
      <w:r>
        <w:rPr>
          <w:color w:val="auto"/>
          <w:sz w:val="24"/>
          <w:szCs w:val="24"/>
          <w:highlight w:val="none"/>
        </w:rPr>
        <w:t>12</w:t>
      </w:r>
      <w:r>
        <w:rPr>
          <w:color w:val="auto"/>
          <w:sz w:val="24"/>
          <w:szCs w:val="24"/>
          <w:highlight w:val="none"/>
        </w:rPr>
        <w:fldChar w:fldCharType="end"/>
      </w:r>
      <w:r>
        <w:rPr>
          <w:rFonts w:hint="eastAsia" w:ascii="宋体" w:hAnsi="宋体" w:cs="宋体"/>
          <w:color w:val="auto"/>
          <w:sz w:val="24"/>
          <w:szCs w:val="24"/>
          <w:highlight w:val="none"/>
        </w:rPr>
        <w:fldChar w:fldCharType="end"/>
      </w:r>
    </w:p>
    <w:p w14:paraId="2EA45EF2">
      <w:pPr>
        <w:pStyle w:val="27"/>
        <w:tabs>
          <w:tab w:val="right" w:leader="dot" w:pos="8879"/>
          <w:tab w:val="clear" w:pos="8296"/>
        </w:tabs>
        <w:spacing w:line="440" w:lineRule="exact"/>
        <w:rPr>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_Toc10607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第二节 供应商须知正文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_Toc10607 \h </w:instrText>
      </w:r>
      <w:r>
        <w:rPr>
          <w:color w:val="auto"/>
          <w:sz w:val="24"/>
          <w:szCs w:val="24"/>
          <w:highlight w:val="none"/>
        </w:rPr>
        <w:fldChar w:fldCharType="separate"/>
      </w:r>
      <w:r>
        <w:rPr>
          <w:color w:val="auto"/>
          <w:sz w:val="24"/>
          <w:szCs w:val="24"/>
          <w:highlight w:val="none"/>
        </w:rPr>
        <w:t>20</w:t>
      </w:r>
      <w:r>
        <w:rPr>
          <w:color w:val="auto"/>
          <w:sz w:val="24"/>
          <w:szCs w:val="24"/>
          <w:highlight w:val="none"/>
        </w:rPr>
        <w:fldChar w:fldCharType="end"/>
      </w:r>
      <w:r>
        <w:rPr>
          <w:rFonts w:hint="eastAsia" w:ascii="宋体" w:hAnsi="宋体" w:cs="宋体"/>
          <w:color w:val="auto"/>
          <w:sz w:val="24"/>
          <w:szCs w:val="24"/>
          <w:highlight w:val="none"/>
        </w:rPr>
        <w:fldChar w:fldCharType="end"/>
      </w:r>
    </w:p>
    <w:p w14:paraId="065791D8">
      <w:pPr>
        <w:pStyle w:val="18"/>
        <w:tabs>
          <w:tab w:val="right" w:leader="dot" w:pos="8879"/>
        </w:tabs>
        <w:spacing w:line="440" w:lineRule="exact"/>
        <w:rPr>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_Toc4227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一、总则</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_Toc4227 \h </w:instrText>
      </w:r>
      <w:r>
        <w:rPr>
          <w:color w:val="auto"/>
          <w:sz w:val="24"/>
          <w:szCs w:val="24"/>
          <w:highlight w:val="none"/>
        </w:rPr>
        <w:fldChar w:fldCharType="separate"/>
      </w:r>
      <w:r>
        <w:rPr>
          <w:color w:val="auto"/>
          <w:sz w:val="24"/>
          <w:szCs w:val="24"/>
          <w:highlight w:val="none"/>
        </w:rPr>
        <w:t>20</w:t>
      </w:r>
      <w:r>
        <w:rPr>
          <w:color w:val="auto"/>
          <w:sz w:val="24"/>
          <w:szCs w:val="24"/>
          <w:highlight w:val="none"/>
        </w:rPr>
        <w:fldChar w:fldCharType="end"/>
      </w:r>
      <w:r>
        <w:rPr>
          <w:rFonts w:hint="eastAsia" w:ascii="宋体" w:hAnsi="宋体" w:cs="宋体"/>
          <w:color w:val="auto"/>
          <w:sz w:val="24"/>
          <w:szCs w:val="24"/>
          <w:highlight w:val="none"/>
        </w:rPr>
        <w:fldChar w:fldCharType="end"/>
      </w:r>
    </w:p>
    <w:p w14:paraId="088A4049">
      <w:pPr>
        <w:pStyle w:val="18"/>
        <w:tabs>
          <w:tab w:val="right" w:leader="dot" w:pos="8879"/>
        </w:tabs>
        <w:spacing w:line="440" w:lineRule="exact"/>
        <w:rPr>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_Toc21761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二、磋商文件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_Toc21761 \h </w:instrText>
      </w:r>
      <w:r>
        <w:rPr>
          <w:color w:val="auto"/>
          <w:sz w:val="24"/>
          <w:szCs w:val="24"/>
          <w:highlight w:val="none"/>
        </w:rPr>
        <w:fldChar w:fldCharType="separate"/>
      </w:r>
      <w:r>
        <w:rPr>
          <w:color w:val="auto"/>
          <w:sz w:val="24"/>
          <w:szCs w:val="24"/>
          <w:highlight w:val="none"/>
        </w:rPr>
        <w:t>23</w:t>
      </w:r>
      <w:r>
        <w:rPr>
          <w:color w:val="auto"/>
          <w:sz w:val="24"/>
          <w:szCs w:val="24"/>
          <w:highlight w:val="none"/>
        </w:rPr>
        <w:fldChar w:fldCharType="end"/>
      </w:r>
      <w:r>
        <w:rPr>
          <w:rFonts w:hint="eastAsia" w:ascii="宋体" w:hAnsi="宋体" w:cs="宋体"/>
          <w:color w:val="auto"/>
          <w:sz w:val="24"/>
          <w:szCs w:val="24"/>
          <w:highlight w:val="none"/>
        </w:rPr>
        <w:fldChar w:fldCharType="end"/>
      </w:r>
    </w:p>
    <w:p w14:paraId="4A757469">
      <w:pPr>
        <w:pStyle w:val="18"/>
        <w:tabs>
          <w:tab w:val="right" w:leader="dot" w:pos="8879"/>
        </w:tabs>
        <w:spacing w:line="440" w:lineRule="exact"/>
        <w:rPr>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_Toc3274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三、响应文件的编制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_Toc3274 \h </w:instrText>
      </w:r>
      <w:r>
        <w:rPr>
          <w:color w:val="auto"/>
          <w:sz w:val="24"/>
          <w:szCs w:val="24"/>
          <w:highlight w:val="none"/>
        </w:rPr>
        <w:fldChar w:fldCharType="separate"/>
      </w:r>
      <w:r>
        <w:rPr>
          <w:color w:val="auto"/>
          <w:sz w:val="24"/>
          <w:szCs w:val="24"/>
          <w:highlight w:val="none"/>
        </w:rPr>
        <w:t>24</w:t>
      </w:r>
      <w:r>
        <w:rPr>
          <w:color w:val="auto"/>
          <w:sz w:val="24"/>
          <w:szCs w:val="24"/>
          <w:highlight w:val="none"/>
        </w:rPr>
        <w:fldChar w:fldCharType="end"/>
      </w:r>
      <w:r>
        <w:rPr>
          <w:rFonts w:hint="eastAsia" w:ascii="宋体" w:hAnsi="宋体" w:cs="宋体"/>
          <w:color w:val="auto"/>
          <w:sz w:val="24"/>
          <w:szCs w:val="24"/>
          <w:highlight w:val="none"/>
        </w:rPr>
        <w:fldChar w:fldCharType="end"/>
      </w:r>
    </w:p>
    <w:p w14:paraId="74A88499">
      <w:pPr>
        <w:pStyle w:val="18"/>
        <w:tabs>
          <w:tab w:val="right" w:leader="dot" w:pos="8879"/>
        </w:tabs>
        <w:spacing w:line="440" w:lineRule="exact"/>
        <w:rPr>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_Toc15959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四、评审及磋商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_Toc15959 \h </w:instrText>
      </w:r>
      <w:r>
        <w:rPr>
          <w:color w:val="auto"/>
          <w:sz w:val="24"/>
          <w:szCs w:val="24"/>
          <w:highlight w:val="none"/>
        </w:rPr>
        <w:fldChar w:fldCharType="separate"/>
      </w:r>
      <w:r>
        <w:rPr>
          <w:color w:val="auto"/>
          <w:sz w:val="24"/>
          <w:szCs w:val="24"/>
          <w:highlight w:val="none"/>
        </w:rPr>
        <w:t>27</w:t>
      </w:r>
      <w:r>
        <w:rPr>
          <w:color w:val="auto"/>
          <w:sz w:val="24"/>
          <w:szCs w:val="24"/>
          <w:highlight w:val="none"/>
        </w:rPr>
        <w:fldChar w:fldCharType="end"/>
      </w:r>
      <w:r>
        <w:rPr>
          <w:rFonts w:hint="eastAsia" w:ascii="宋体" w:hAnsi="宋体" w:cs="宋体"/>
          <w:color w:val="auto"/>
          <w:sz w:val="24"/>
          <w:szCs w:val="24"/>
          <w:highlight w:val="none"/>
        </w:rPr>
        <w:fldChar w:fldCharType="end"/>
      </w:r>
    </w:p>
    <w:p w14:paraId="45A534FA">
      <w:pPr>
        <w:pStyle w:val="18"/>
        <w:tabs>
          <w:tab w:val="right" w:leader="dot" w:pos="8879"/>
        </w:tabs>
        <w:spacing w:line="440" w:lineRule="exact"/>
        <w:rPr>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_Toc9446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五、成交及合同</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_Toc9446 \h </w:instrText>
      </w:r>
      <w:r>
        <w:rPr>
          <w:color w:val="auto"/>
          <w:sz w:val="24"/>
          <w:szCs w:val="24"/>
          <w:highlight w:val="none"/>
        </w:rPr>
        <w:fldChar w:fldCharType="separate"/>
      </w:r>
      <w:r>
        <w:rPr>
          <w:color w:val="auto"/>
          <w:sz w:val="24"/>
          <w:szCs w:val="24"/>
          <w:highlight w:val="none"/>
        </w:rPr>
        <w:t>28</w:t>
      </w:r>
      <w:r>
        <w:rPr>
          <w:color w:val="auto"/>
          <w:sz w:val="24"/>
          <w:szCs w:val="24"/>
          <w:highlight w:val="none"/>
        </w:rPr>
        <w:fldChar w:fldCharType="end"/>
      </w:r>
      <w:r>
        <w:rPr>
          <w:rFonts w:hint="eastAsia" w:ascii="宋体" w:hAnsi="宋体" w:cs="宋体"/>
          <w:color w:val="auto"/>
          <w:sz w:val="24"/>
          <w:szCs w:val="24"/>
          <w:highlight w:val="none"/>
        </w:rPr>
        <w:fldChar w:fldCharType="end"/>
      </w:r>
    </w:p>
    <w:p w14:paraId="3B2FA63D">
      <w:pPr>
        <w:pStyle w:val="18"/>
        <w:tabs>
          <w:tab w:val="right" w:leader="dot" w:pos="8879"/>
        </w:tabs>
        <w:spacing w:line="440" w:lineRule="exact"/>
        <w:rPr>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_Toc11719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六、验收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_Toc11719 \h </w:instrText>
      </w:r>
      <w:r>
        <w:rPr>
          <w:color w:val="auto"/>
          <w:sz w:val="24"/>
          <w:szCs w:val="24"/>
          <w:highlight w:val="none"/>
        </w:rPr>
        <w:fldChar w:fldCharType="separate"/>
      </w:r>
      <w:r>
        <w:rPr>
          <w:color w:val="auto"/>
          <w:sz w:val="24"/>
          <w:szCs w:val="24"/>
          <w:highlight w:val="none"/>
        </w:rPr>
        <w:t>31</w:t>
      </w:r>
      <w:r>
        <w:rPr>
          <w:color w:val="auto"/>
          <w:sz w:val="24"/>
          <w:szCs w:val="24"/>
          <w:highlight w:val="none"/>
        </w:rPr>
        <w:fldChar w:fldCharType="end"/>
      </w:r>
      <w:r>
        <w:rPr>
          <w:rFonts w:hint="eastAsia" w:ascii="宋体" w:hAnsi="宋体" w:cs="宋体"/>
          <w:color w:val="auto"/>
          <w:sz w:val="24"/>
          <w:szCs w:val="24"/>
          <w:highlight w:val="none"/>
        </w:rPr>
        <w:fldChar w:fldCharType="end"/>
      </w:r>
    </w:p>
    <w:p w14:paraId="1A71DE9C">
      <w:pPr>
        <w:pStyle w:val="18"/>
        <w:tabs>
          <w:tab w:val="right" w:leader="dot" w:pos="8879"/>
        </w:tabs>
        <w:spacing w:line="440" w:lineRule="exact"/>
        <w:rPr>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_Toc4840 </w:instrText>
      </w:r>
      <w:r>
        <w:rPr>
          <w:rFonts w:hint="eastAsia" w:ascii="宋体" w:hAnsi="宋体" w:cs="宋体"/>
          <w:color w:val="auto"/>
          <w:sz w:val="24"/>
          <w:szCs w:val="24"/>
          <w:highlight w:val="none"/>
        </w:rPr>
        <w:fldChar w:fldCharType="separate"/>
      </w:r>
      <w:r>
        <w:rPr>
          <w:rFonts w:hint="eastAsia" w:ascii="宋体" w:hAnsi="宋体" w:cs="宋体"/>
          <w:bCs/>
          <w:color w:val="auto"/>
          <w:sz w:val="24"/>
          <w:szCs w:val="24"/>
          <w:highlight w:val="none"/>
        </w:rPr>
        <w:t>七、其他事项</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_Toc4840 \h </w:instrText>
      </w:r>
      <w:r>
        <w:rPr>
          <w:color w:val="auto"/>
          <w:sz w:val="24"/>
          <w:szCs w:val="24"/>
          <w:highlight w:val="none"/>
        </w:rPr>
        <w:fldChar w:fldCharType="separate"/>
      </w:r>
      <w:r>
        <w:rPr>
          <w:color w:val="auto"/>
          <w:sz w:val="24"/>
          <w:szCs w:val="24"/>
          <w:highlight w:val="none"/>
        </w:rPr>
        <w:t>32</w:t>
      </w:r>
      <w:r>
        <w:rPr>
          <w:color w:val="auto"/>
          <w:sz w:val="24"/>
          <w:szCs w:val="24"/>
          <w:highlight w:val="none"/>
        </w:rPr>
        <w:fldChar w:fldCharType="end"/>
      </w:r>
      <w:r>
        <w:rPr>
          <w:rFonts w:hint="eastAsia" w:ascii="宋体" w:hAnsi="宋体" w:cs="宋体"/>
          <w:color w:val="auto"/>
          <w:sz w:val="24"/>
          <w:szCs w:val="24"/>
          <w:highlight w:val="none"/>
        </w:rPr>
        <w:fldChar w:fldCharType="end"/>
      </w:r>
    </w:p>
    <w:p w14:paraId="1DC1B788">
      <w:pPr>
        <w:pStyle w:val="24"/>
        <w:tabs>
          <w:tab w:val="right" w:leader="dot" w:pos="8879"/>
        </w:tabs>
        <w:spacing w:line="440" w:lineRule="exact"/>
        <w:rPr>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_Toc1000 </w:instrText>
      </w:r>
      <w:r>
        <w:rPr>
          <w:rFonts w:hint="eastAsia" w:ascii="宋体" w:hAnsi="宋体" w:cs="宋体"/>
          <w:color w:val="auto"/>
          <w:sz w:val="24"/>
          <w:szCs w:val="24"/>
          <w:highlight w:val="none"/>
        </w:rPr>
        <w:fldChar w:fldCharType="separate"/>
      </w:r>
      <w:r>
        <w:rPr>
          <w:rFonts w:hint="eastAsia" w:ascii="宋体" w:hAnsi="宋体" w:cs="宋体"/>
          <w:bCs/>
          <w:color w:val="auto"/>
          <w:kern w:val="44"/>
          <w:sz w:val="24"/>
          <w:szCs w:val="24"/>
          <w:highlight w:val="none"/>
        </w:rPr>
        <w:t>第四章 评审程序、评审方法和评审标准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_Toc1000 \h </w:instrText>
      </w:r>
      <w:r>
        <w:rPr>
          <w:color w:val="auto"/>
          <w:sz w:val="24"/>
          <w:szCs w:val="24"/>
          <w:highlight w:val="none"/>
        </w:rPr>
        <w:fldChar w:fldCharType="separate"/>
      </w:r>
      <w:r>
        <w:rPr>
          <w:color w:val="auto"/>
          <w:sz w:val="24"/>
          <w:szCs w:val="24"/>
          <w:highlight w:val="none"/>
        </w:rPr>
        <w:t>33</w:t>
      </w:r>
      <w:r>
        <w:rPr>
          <w:color w:val="auto"/>
          <w:sz w:val="24"/>
          <w:szCs w:val="24"/>
          <w:highlight w:val="none"/>
        </w:rPr>
        <w:fldChar w:fldCharType="end"/>
      </w:r>
      <w:r>
        <w:rPr>
          <w:rFonts w:hint="eastAsia" w:ascii="宋体" w:hAnsi="宋体" w:cs="宋体"/>
          <w:color w:val="auto"/>
          <w:sz w:val="24"/>
          <w:szCs w:val="24"/>
          <w:highlight w:val="none"/>
        </w:rPr>
        <w:fldChar w:fldCharType="end"/>
      </w:r>
    </w:p>
    <w:p w14:paraId="6456483C">
      <w:pPr>
        <w:pStyle w:val="27"/>
        <w:tabs>
          <w:tab w:val="right" w:leader="dot" w:pos="8879"/>
          <w:tab w:val="clear" w:pos="8296"/>
        </w:tabs>
        <w:spacing w:line="440" w:lineRule="exact"/>
        <w:rPr>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_Toc12463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第一节 评审程序和评审方法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_Toc12463 \h </w:instrText>
      </w:r>
      <w:r>
        <w:rPr>
          <w:color w:val="auto"/>
          <w:sz w:val="24"/>
          <w:szCs w:val="24"/>
          <w:highlight w:val="none"/>
        </w:rPr>
        <w:fldChar w:fldCharType="separate"/>
      </w:r>
      <w:r>
        <w:rPr>
          <w:color w:val="auto"/>
          <w:sz w:val="24"/>
          <w:szCs w:val="24"/>
          <w:highlight w:val="none"/>
        </w:rPr>
        <w:t>33</w:t>
      </w:r>
      <w:r>
        <w:rPr>
          <w:color w:val="auto"/>
          <w:sz w:val="24"/>
          <w:szCs w:val="24"/>
          <w:highlight w:val="none"/>
        </w:rPr>
        <w:fldChar w:fldCharType="end"/>
      </w:r>
      <w:r>
        <w:rPr>
          <w:rFonts w:hint="eastAsia" w:ascii="宋体" w:hAnsi="宋体" w:cs="宋体"/>
          <w:color w:val="auto"/>
          <w:sz w:val="24"/>
          <w:szCs w:val="24"/>
          <w:highlight w:val="none"/>
        </w:rPr>
        <w:fldChar w:fldCharType="end"/>
      </w:r>
    </w:p>
    <w:p w14:paraId="38D31199">
      <w:pPr>
        <w:pStyle w:val="27"/>
        <w:tabs>
          <w:tab w:val="right" w:leader="dot" w:pos="8879"/>
          <w:tab w:val="clear" w:pos="8296"/>
        </w:tabs>
        <w:spacing w:line="440" w:lineRule="exact"/>
        <w:rPr>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_Toc4605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第二节 评标报告</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_Toc4605 \h </w:instrText>
      </w:r>
      <w:r>
        <w:rPr>
          <w:color w:val="auto"/>
          <w:sz w:val="24"/>
          <w:szCs w:val="24"/>
          <w:highlight w:val="none"/>
        </w:rPr>
        <w:fldChar w:fldCharType="separate"/>
      </w:r>
      <w:r>
        <w:rPr>
          <w:color w:val="auto"/>
          <w:sz w:val="24"/>
          <w:szCs w:val="24"/>
          <w:highlight w:val="none"/>
        </w:rPr>
        <w:t>44</w:t>
      </w:r>
      <w:r>
        <w:rPr>
          <w:color w:val="auto"/>
          <w:sz w:val="24"/>
          <w:szCs w:val="24"/>
          <w:highlight w:val="none"/>
        </w:rPr>
        <w:fldChar w:fldCharType="end"/>
      </w:r>
      <w:r>
        <w:rPr>
          <w:rFonts w:hint="eastAsia" w:ascii="宋体" w:hAnsi="宋体" w:cs="宋体"/>
          <w:color w:val="auto"/>
          <w:sz w:val="24"/>
          <w:szCs w:val="24"/>
          <w:highlight w:val="none"/>
        </w:rPr>
        <w:fldChar w:fldCharType="end"/>
      </w:r>
    </w:p>
    <w:p w14:paraId="4F6B5554">
      <w:pPr>
        <w:pStyle w:val="27"/>
        <w:tabs>
          <w:tab w:val="right" w:leader="dot" w:pos="8879"/>
          <w:tab w:val="clear" w:pos="8296"/>
        </w:tabs>
        <w:spacing w:line="440" w:lineRule="exact"/>
        <w:rPr>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_Toc10909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第三节 评审过程的保密与录像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_Toc10909 \h </w:instrText>
      </w:r>
      <w:r>
        <w:rPr>
          <w:color w:val="auto"/>
          <w:sz w:val="24"/>
          <w:szCs w:val="24"/>
          <w:highlight w:val="none"/>
        </w:rPr>
        <w:fldChar w:fldCharType="separate"/>
      </w:r>
      <w:r>
        <w:rPr>
          <w:color w:val="auto"/>
          <w:sz w:val="24"/>
          <w:szCs w:val="24"/>
          <w:highlight w:val="none"/>
        </w:rPr>
        <w:t>44</w:t>
      </w:r>
      <w:r>
        <w:rPr>
          <w:color w:val="auto"/>
          <w:sz w:val="24"/>
          <w:szCs w:val="24"/>
          <w:highlight w:val="none"/>
        </w:rPr>
        <w:fldChar w:fldCharType="end"/>
      </w:r>
      <w:r>
        <w:rPr>
          <w:rFonts w:hint="eastAsia" w:ascii="宋体" w:hAnsi="宋体" w:cs="宋体"/>
          <w:color w:val="auto"/>
          <w:sz w:val="24"/>
          <w:szCs w:val="24"/>
          <w:highlight w:val="none"/>
        </w:rPr>
        <w:fldChar w:fldCharType="end"/>
      </w:r>
    </w:p>
    <w:p w14:paraId="2B87692B">
      <w:pPr>
        <w:pStyle w:val="24"/>
        <w:tabs>
          <w:tab w:val="right" w:leader="dot" w:pos="8879"/>
        </w:tabs>
        <w:spacing w:line="440" w:lineRule="exact"/>
        <w:rPr>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_Toc17704 </w:instrText>
      </w:r>
      <w:r>
        <w:rPr>
          <w:rFonts w:hint="eastAsia" w:ascii="宋体" w:hAnsi="宋体" w:cs="宋体"/>
          <w:color w:val="auto"/>
          <w:sz w:val="24"/>
          <w:szCs w:val="24"/>
          <w:highlight w:val="none"/>
        </w:rPr>
        <w:fldChar w:fldCharType="separate"/>
      </w:r>
      <w:r>
        <w:rPr>
          <w:rFonts w:hint="eastAsia" w:ascii="宋体" w:hAnsi="宋体" w:cs="宋体"/>
          <w:bCs/>
          <w:color w:val="auto"/>
          <w:kern w:val="44"/>
          <w:sz w:val="24"/>
          <w:szCs w:val="24"/>
          <w:highlight w:val="none"/>
        </w:rPr>
        <w:t>第五章 响应文件格式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_Toc17704 \h </w:instrText>
      </w:r>
      <w:r>
        <w:rPr>
          <w:color w:val="auto"/>
          <w:sz w:val="24"/>
          <w:szCs w:val="24"/>
          <w:highlight w:val="none"/>
        </w:rPr>
        <w:fldChar w:fldCharType="separate"/>
      </w:r>
      <w:r>
        <w:rPr>
          <w:color w:val="auto"/>
          <w:sz w:val="24"/>
          <w:szCs w:val="24"/>
          <w:highlight w:val="none"/>
        </w:rPr>
        <w:t>45</w:t>
      </w:r>
      <w:r>
        <w:rPr>
          <w:color w:val="auto"/>
          <w:sz w:val="24"/>
          <w:szCs w:val="24"/>
          <w:highlight w:val="none"/>
        </w:rPr>
        <w:fldChar w:fldCharType="end"/>
      </w:r>
      <w:r>
        <w:rPr>
          <w:rFonts w:hint="eastAsia" w:ascii="宋体" w:hAnsi="宋体" w:cs="宋体"/>
          <w:color w:val="auto"/>
          <w:sz w:val="24"/>
          <w:szCs w:val="24"/>
          <w:highlight w:val="none"/>
        </w:rPr>
        <w:fldChar w:fldCharType="end"/>
      </w:r>
    </w:p>
    <w:p w14:paraId="4EF4FD75">
      <w:pPr>
        <w:pStyle w:val="27"/>
        <w:tabs>
          <w:tab w:val="right" w:leader="dot" w:pos="8879"/>
          <w:tab w:val="clear" w:pos="8296"/>
        </w:tabs>
        <w:spacing w:line="440" w:lineRule="exact"/>
        <w:rPr>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_Toc21428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第一节 封面格式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_Toc21428 \h </w:instrText>
      </w:r>
      <w:r>
        <w:rPr>
          <w:color w:val="auto"/>
          <w:sz w:val="24"/>
          <w:szCs w:val="24"/>
          <w:highlight w:val="none"/>
        </w:rPr>
        <w:fldChar w:fldCharType="separate"/>
      </w:r>
      <w:r>
        <w:rPr>
          <w:color w:val="auto"/>
          <w:sz w:val="24"/>
          <w:szCs w:val="24"/>
          <w:highlight w:val="none"/>
        </w:rPr>
        <w:t>46</w:t>
      </w:r>
      <w:r>
        <w:rPr>
          <w:color w:val="auto"/>
          <w:sz w:val="24"/>
          <w:szCs w:val="24"/>
          <w:highlight w:val="none"/>
        </w:rPr>
        <w:fldChar w:fldCharType="end"/>
      </w:r>
      <w:r>
        <w:rPr>
          <w:rFonts w:hint="eastAsia" w:ascii="宋体" w:hAnsi="宋体" w:cs="宋体"/>
          <w:color w:val="auto"/>
          <w:sz w:val="24"/>
          <w:szCs w:val="24"/>
          <w:highlight w:val="none"/>
        </w:rPr>
        <w:fldChar w:fldCharType="end"/>
      </w:r>
    </w:p>
    <w:p w14:paraId="67C7BFA3">
      <w:pPr>
        <w:pStyle w:val="27"/>
        <w:tabs>
          <w:tab w:val="right" w:leader="dot" w:pos="8879"/>
          <w:tab w:val="clear" w:pos="8296"/>
        </w:tabs>
        <w:spacing w:line="440" w:lineRule="exact"/>
        <w:rPr>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_Toc11067 </w:instrText>
      </w:r>
      <w:r>
        <w:rPr>
          <w:rFonts w:hint="eastAsia" w:ascii="宋体" w:hAnsi="宋体" w:cs="宋体"/>
          <w:color w:val="auto"/>
          <w:sz w:val="24"/>
          <w:szCs w:val="24"/>
          <w:highlight w:val="none"/>
        </w:rPr>
        <w:fldChar w:fldCharType="separate"/>
      </w:r>
      <w:r>
        <w:rPr>
          <w:rFonts w:hint="eastAsia" w:ascii="宋体" w:hAnsi="宋体" w:cs="宋体"/>
          <w:bCs w:val="0"/>
          <w:color w:val="auto"/>
          <w:sz w:val="24"/>
          <w:szCs w:val="24"/>
          <w:highlight w:val="none"/>
        </w:rPr>
        <w:t>第二节 资格证明文件格式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_Toc11067 \h </w:instrText>
      </w:r>
      <w:r>
        <w:rPr>
          <w:color w:val="auto"/>
          <w:sz w:val="24"/>
          <w:szCs w:val="24"/>
          <w:highlight w:val="none"/>
        </w:rPr>
        <w:fldChar w:fldCharType="separate"/>
      </w:r>
      <w:r>
        <w:rPr>
          <w:color w:val="auto"/>
          <w:sz w:val="24"/>
          <w:szCs w:val="24"/>
          <w:highlight w:val="none"/>
        </w:rPr>
        <w:t>47</w:t>
      </w:r>
      <w:r>
        <w:rPr>
          <w:color w:val="auto"/>
          <w:sz w:val="24"/>
          <w:szCs w:val="24"/>
          <w:highlight w:val="none"/>
        </w:rPr>
        <w:fldChar w:fldCharType="end"/>
      </w:r>
      <w:r>
        <w:rPr>
          <w:rFonts w:hint="eastAsia" w:ascii="宋体" w:hAnsi="宋体" w:cs="宋体"/>
          <w:color w:val="auto"/>
          <w:sz w:val="24"/>
          <w:szCs w:val="24"/>
          <w:highlight w:val="none"/>
        </w:rPr>
        <w:fldChar w:fldCharType="end"/>
      </w:r>
    </w:p>
    <w:p w14:paraId="25510A60">
      <w:pPr>
        <w:pStyle w:val="27"/>
        <w:tabs>
          <w:tab w:val="right" w:leader="dot" w:pos="8879"/>
          <w:tab w:val="clear" w:pos="8296"/>
        </w:tabs>
        <w:spacing w:line="440" w:lineRule="exact"/>
        <w:rPr>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_Toc526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第三节 商务技术文件格式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_Toc526 \h </w:instrText>
      </w:r>
      <w:r>
        <w:rPr>
          <w:color w:val="auto"/>
          <w:sz w:val="24"/>
          <w:szCs w:val="24"/>
          <w:highlight w:val="none"/>
        </w:rPr>
        <w:fldChar w:fldCharType="separate"/>
      </w:r>
      <w:r>
        <w:rPr>
          <w:color w:val="auto"/>
          <w:sz w:val="24"/>
          <w:szCs w:val="24"/>
          <w:highlight w:val="none"/>
        </w:rPr>
        <w:t>55</w:t>
      </w:r>
      <w:r>
        <w:rPr>
          <w:color w:val="auto"/>
          <w:sz w:val="24"/>
          <w:szCs w:val="24"/>
          <w:highlight w:val="none"/>
        </w:rPr>
        <w:fldChar w:fldCharType="end"/>
      </w:r>
      <w:r>
        <w:rPr>
          <w:rFonts w:hint="eastAsia" w:ascii="宋体" w:hAnsi="宋体" w:cs="宋体"/>
          <w:color w:val="auto"/>
          <w:sz w:val="24"/>
          <w:szCs w:val="24"/>
          <w:highlight w:val="none"/>
        </w:rPr>
        <w:fldChar w:fldCharType="end"/>
      </w:r>
    </w:p>
    <w:p w14:paraId="7370B6F7">
      <w:pPr>
        <w:pStyle w:val="27"/>
        <w:tabs>
          <w:tab w:val="right" w:leader="dot" w:pos="8879"/>
          <w:tab w:val="clear" w:pos="8296"/>
        </w:tabs>
        <w:spacing w:line="440" w:lineRule="exact"/>
        <w:rPr>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_Toc28810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第四节 报价文件格式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_Toc28810 \h </w:instrText>
      </w:r>
      <w:r>
        <w:rPr>
          <w:color w:val="auto"/>
          <w:sz w:val="24"/>
          <w:szCs w:val="24"/>
          <w:highlight w:val="none"/>
        </w:rPr>
        <w:fldChar w:fldCharType="separate"/>
      </w:r>
      <w:r>
        <w:rPr>
          <w:color w:val="auto"/>
          <w:sz w:val="24"/>
          <w:szCs w:val="24"/>
          <w:highlight w:val="none"/>
        </w:rPr>
        <w:t>66</w:t>
      </w:r>
      <w:r>
        <w:rPr>
          <w:color w:val="auto"/>
          <w:sz w:val="24"/>
          <w:szCs w:val="24"/>
          <w:highlight w:val="none"/>
        </w:rPr>
        <w:fldChar w:fldCharType="end"/>
      </w:r>
      <w:r>
        <w:rPr>
          <w:rFonts w:hint="eastAsia" w:ascii="宋体" w:hAnsi="宋体" w:cs="宋体"/>
          <w:color w:val="auto"/>
          <w:sz w:val="24"/>
          <w:szCs w:val="24"/>
          <w:highlight w:val="none"/>
        </w:rPr>
        <w:fldChar w:fldCharType="end"/>
      </w:r>
    </w:p>
    <w:p w14:paraId="2C334919">
      <w:pPr>
        <w:pStyle w:val="27"/>
        <w:tabs>
          <w:tab w:val="right" w:leader="dot" w:pos="8879"/>
          <w:tab w:val="clear" w:pos="8296"/>
        </w:tabs>
        <w:spacing w:line="440" w:lineRule="exact"/>
        <w:rPr>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_Toc27305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第五节 其他文书、文件格式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_Toc27305 \h </w:instrText>
      </w:r>
      <w:r>
        <w:rPr>
          <w:color w:val="auto"/>
          <w:sz w:val="24"/>
          <w:szCs w:val="24"/>
          <w:highlight w:val="none"/>
        </w:rPr>
        <w:fldChar w:fldCharType="separate"/>
      </w:r>
      <w:r>
        <w:rPr>
          <w:color w:val="auto"/>
          <w:sz w:val="24"/>
          <w:szCs w:val="24"/>
          <w:highlight w:val="none"/>
        </w:rPr>
        <w:t>72</w:t>
      </w:r>
      <w:r>
        <w:rPr>
          <w:color w:val="auto"/>
          <w:sz w:val="24"/>
          <w:szCs w:val="24"/>
          <w:highlight w:val="none"/>
        </w:rPr>
        <w:fldChar w:fldCharType="end"/>
      </w:r>
      <w:r>
        <w:rPr>
          <w:rFonts w:hint="eastAsia" w:ascii="宋体" w:hAnsi="宋体" w:cs="宋体"/>
          <w:color w:val="auto"/>
          <w:sz w:val="24"/>
          <w:szCs w:val="24"/>
          <w:highlight w:val="none"/>
        </w:rPr>
        <w:fldChar w:fldCharType="end"/>
      </w:r>
    </w:p>
    <w:p w14:paraId="367C6DCD">
      <w:pPr>
        <w:pStyle w:val="24"/>
        <w:tabs>
          <w:tab w:val="right" w:leader="dot" w:pos="8879"/>
        </w:tabs>
        <w:spacing w:line="440" w:lineRule="exact"/>
        <w:rPr>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_Toc4168 </w:instrText>
      </w:r>
      <w:r>
        <w:rPr>
          <w:rFonts w:hint="eastAsia" w:ascii="宋体" w:hAnsi="宋体" w:cs="宋体"/>
          <w:color w:val="auto"/>
          <w:sz w:val="24"/>
          <w:szCs w:val="24"/>
          <w:highlight w:val="none"/>
        </w:rPr>
        <w:fldChar w:fldCharType="separate"/>
      </w:r>
      <w:r>
        <w:rPr>
          <w:rFonts w:hint="eastAsia" w:ascii="宋体" w:hAnsi="宋体" w:cs="宋体"/>
          <w:bCs/>
          <w:color w:val="auto"/>
          <w:kern w:val="44"/>
          <w:sz w:val="24"/>
          <w:szCs w:val="24"/>
          <w:highlight w:val="none"/>
          <w:lang w:val="en-US" w:eastAsia="zh-CN"/>
        </w:rPr>
        <w:t xml:space="preserve">第六章 </w:t>
      </w:r>
      <w:r>
        <w:rPr>
          <w:rFonts w:hint="default" w:ascii="宋体" w:hAnsi="宋体" w:cs="宋体"/>
          <w:bCs/>
          <w:color w:val="auto"/>
          <w:kern w:val="44"/>
          <w:sz w:val="24"/>
          <w:szCs w:val="24"/>
          <w:highlight w:val="none"/>
        </w:rPr>
        <w:t>合同文本</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_Toc4168 \h </w:instrText>
      </w:r>
      <w:r>
        <w:rPr>
          <w:color w:val="auto"/>
          <w:sz w:val="24"/>
          <w:szCs w:val="24"/>
          <w:highlight w:val="none"/>
        </w:rPr>
        <w:fldChar w:fldCharType="separate"/>
      </w:r>
      <w:r>
        <w:rPr>
          <w:color w:val="auto"/>
          <w:sz w:val="24"/>
          <w:szCs w:val="24"/>
          <w:highlight w:val="none"/>
        </w:rPr>
        <w:t>74</w:t>
      </w:r>
      <w:r>
        <w:rPr>
          <w:color w:val="auto"/>
          <w:sz w:val="24"/>
          <w:szCs w:val="24"/>
          <w:highlight w:val="none"/>
        </w:rPr>
        <w:fldChar w:fldCharType="end"/>
      </w:r>
      <w:r>
        <w:rPr>
          <w:rFonts w:hint="eastAsia" w:ascii="宋体" w:hAnsi="宋体" w:cs="宋体"/>
          <w:color w:val="auto"/>
          <w:sz w:val="24"/>
          <w:szCs w:val="24"/>
          <w:highlight w:val="none"/>
        </w:rPr>
        <w:fldChar w:fldCharType="end"/>
      </w:r>
    </w:p>
    <w:p w14:paraId="365B214B">
      <w:pPr>
        <w:tabs>
          <w:tab w:val="right" w:leader="dot" w:pos="8296"/>
        </w:tabs>
        <w:spacing w:line="440" w:lineRule="exact"/>
        <w:ind w:left="420" w:leftChars="200"/>
        <w:rPr>
          <w:rFonts w:ascii="宋体" w:hAnsi="宋体"/>
          <w:color w:val="auto"/>
          <w:sz w:val="28"/>
          <w:szCs w:val="28"/>
          <w:highlight w:val="none"/>
        </w:rPr>
      </w:pPr>
      <w:r>
        <w:rPr>
          <w:rFonts w:hint="eastAsia" w:ascii="宋体" w:hAnsi="宋体" w:cs="宋体"/>
          <w:color w:val="auto"/>
          <w:sz w:val="24"/>
          <w:szCs w:val="24"/>
          <w:highlight w:val="none"/>
        </w:rPr>
        <w:fldChar w:fldCharType="end"/>
      </w:r>
    </w:p>
    <w:p w14:paraId="5A6C8A64">
      <w:pPr>
        <w:tabs>
          <w:tab w:val="left" w:pos="7470"/>
        </w:tabs>
        <w:spacing w:line="400" w:lineRule="exact"/>
        <w:jc w:val="left"/>
        <w:rPr>
          <w:rFonts w:ascii="宋体" w:hAnsi="宋体"/>
          <w:b/>
          <w:color w:val="auto"/>
          <w:sz w:val="32"/>
          <w:szCs w:val="32"/>
          <w:highlight w:val="none"/>
        </w:rPr>
      </w:pPr>
      <w:r>
        <w:rPr>
          <w:rFonts w:ascii="宋体" w:hAnsi="宋体"/>
          <w:b/>
          <w:color w:val="auto"/>
          <w:sz w:val="32"/>
          <w:szCs w:val="32"/>
          <w:highlight w:val="none"/>
        </w:rPr>
        <w:tab/>
      </w:r>
    </w:p>
    <w:p w14:paraId="443B91E8">
      <w:pPr>
        <w:spacing w:line="400" w:lineRule="exact"/>
        <w:rPr>
          <w:rFonts w:ascii="宋体" w:hAnsi="宋体"/>
          <w:b/>
          <w:color w:val="auto"/>
          <w:sz w:val="32"/>
          <w:szCs w:val="32"/>
          <w:highlight w:val="none"/>
        </w:rPr>
      </w:pPr>
    </w:p>
    <w:p w14:paraId="5089B067">
      <w:pPr>
        <w:spacing w:line="400" w:lineRule="exact"/>
        <w:rPr>
          <w:rFonts w:ascii="宋体" w:hAnsi="宋体"/>
          <w:b/>
          <w:color w:val="auto"/>
          <w:sz w:val="32"/>
          <w:szCs w:val="32"/>
          <w:highlight w:val="none"/>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docGrid w:type="lines" w:linePitch="312" w:charSpace="0"/>
        </w:sectPr>
      </w:pPr>
    </w:p>
    <w:p w14:paraId="490AEE8B">
      <w:pPr>
        <w:keepNext/>
        <w:keepLines/>
        <w:spacing w:before="340" w:after="330" w:line="400" w:lineRule="exact"/>
        <w:jc w:val="center"/>
        <w:outlineLvl w:val="0"/>
        <w:rPr>
          <w:rFonts w:hint="eastAsia" w:ascii="宋体" w:hAnsi="宋体" w:eastAsia="宋体" w:cs="宋体"/>
          <w:bCs/>
          <w:color w:val="auto"/>
          <w:sz w:val="24"/>
          <w:highlight w:val="none"/>
        </w:rPr>
      </w:pPr>
      <w:bookmarkStart w:id="0" w:name="_Toc11953"/>
      <w:bookmarkStart w:id="1" w:name="_Toc28971"/>
      <w:bookmarkStart w:id="2" w:name="_Toc97909549"/>
      <w:r>
        <w:rPr>
          <w:rFonts w:hint="eastAsia" w:ascii="宋体" w:hAnsi="宋体" w:cs="宋体"/>
          <w:b/>
          <w:bCs/>
          <w:color w:val="auto"/>
          <w:kern w:val="44"/>
          <w:sz w:val="44"/>
          <w:szCs w:val="44"/>
          <w:highlight w:val="none"/>
        </w:rPr>
        <w:t>第一章 竞争性磋商公告</w:t>
      </w:r>
      <w:bookmarkEnd w:id="0"/>
      <w:bookmarkEnd w:id="1"/>
      <w:bookmarkEnd w:id="2"/>
      <w:bookmarkStart w:id="3" w:name="_Toc28359013"/>
      <w:bookmarkStart w:id="4" w:name="_Toc35393799"/>
      <w:bookmarkStart w:id="5" w:name="_Toc44229879"/>
      <w:bookmarkStart w:id="6" w:name="_Toc35393630"/>
      <w:bookmarkStart w:id="7" w:name="_Toc28359090"/>
      <w:bookmarkStart w:id="8" w:name="_Toc28359004"/>
      <w:bookmarkStart w:id="9" w:name="_Toc28359081"/>
      <w:bookmarkStart w:id="10" w:name="_Toc35393792"/>
      <w:bookmarkStart w:id="11" w:name="_Toc35393623"/>
    </w:p>
    <w:p w14:paraId="5451C54D">
      <w:pPr>
        <w:pBdr>
          <w:top w:val="single" w:color="auto" w:sz="4" w:space="1"/>
          <w:left w:val="single" w:color="auto" w:sz="4" w:space="4"/>
          <w:bottom w:val="single" w:color="auto" w:sz="4" w:space="1"/>
          <w:right w:val="single" w:color="auto" w:sz="4" w:space="4"/>
        </w:pBdr>
        <w:spacing w:line="360" w:lineRule="auto"/>
        <w:rPr>
          <w:rFonts w:ascii="宋体" w:hAnsi="宋体" w:cs="宋体"/>
          <w:color w:val="auto"/>
          <w:sz w:val="24"/>
          <w:highlight w:val="none"/>
        </w:rPr>
      </w:pPr>
      <w:r>
        <w:rPr>
          <w:rFonts w:hint="eastAsia" w:ascii="宋体" w:hAnsi="宋体" w:cs="宋体"/>
          <w:color w:val="auto"/>
          <w:sz w:val="24"/>
          <w:highlight w:val="none"/>
        </w:rPr>
        <w:t>项目概况</w:t>
      </w:r>
    </w:p>
    <w:p w14:paraId="764D5803">
      <w:pPr>
        <w:pBdr>
          <w:top w:val="single" w:color="auto" w:sz="4" w:space="1"/>
          <w:left w:val="single" w:color="auto" w:sz="4" w:space="4"/>
          <w:bottom w:val="single" w:color="auto" w:sz="4" w:space="1"/>
          <w:right w:val="single" w:color="auto" w:sz="4" w:space="4"/>
        </w:pBdr>
        <w:spacing w:line="360" w:lineRule="auto"/>
        <w:ind w:firstLine="482" w:firstLineChars="200"/>
        <w:rPr>
          <w:rFonts w:ascii="宋体" w:hAnsi="宋体" w:cs="宋体"/>
          <w:color w:val="auto"/>
          <w:sz w:val="24"/>
          <w:highlight w:val="none"/>
          <w:u w:val="single"/>
        </w:rPr>
      </w:pPr>
      <w:r>
        <w:rPr>
          <w:rStyle w:val="40"/>
          <w:rFonts w:hint="eastAsia" w:ascii="宋体" w:hAnsi="宋体" w:cs="宋体"/>
          <w:b/>
          <w:bCs/>
          <w:color w:val="auto"/>
          <w:sz w:val="24"/>
          <w:highlight w:val="none"/>
          <w:u w:val="single"/>
          <w:lang w:eastAsia="zh-CN"/>
        </w:rPr>
        <w:t>医疗废弃物处置服务采购项目</w:t>
      </w:r>
      <w:r>
        <w:rPr>
          <w:rFonts w:hint="eastAsia" w:ascii="宋体" w:hAnsi="宋体" w:cs="宋体"/>
          <w:color w:val="auto"/>
          <w:sz w:val="24"/>
          <w:highlight w:val="none"/>
        </w:rPr>
        <w:t>采购项目的潜在供应商应</w:t>
      </w:r>
      <w:r>
        <w:rPr>
          <w:rFonts w:hint="eastAsia" w:ascii="宋体" w:hAnsi="宋体" w:eastAsia="宋体" w:cs="宋体"/>
          <w:bCs/>
          <w:color w:val="auto"/>
          <w:sz w:val="24"/>
          <w:highlight w:val="none"/>
          <w:u w:val="none"/>
        </w:rPr>
        <w:t>在</w:t>
      </w:r>
      <w:r>
        <w:rPr>
          <w:rFonts w:hint="eastAsia" w:ascii="宋体" w:hAnsi="宋体" w:eastAsia="宋体" w:cs="宋体"/>
          <w:bCs/>
          <w:color w:val="auto"/>
          <w:sz w:val="24"/>
          <w:highlight w:val="none"/>
          <w:u w:val="none"/>
          <w:lang w:eastAsia="zh-CN"/>
        </w:rPr>
        <w:t>“</w:t>
      </w:r>
      <w:r>
        <w:rPr>
          <w:rFonts w:hint="eastAsia" w:ascii="宋体" w:hAnsi="宋体" w:eastAsia="宋体" w:cs="宋体"/>
          <w:bCs/>
          <w:color w:val="auto"/>
          <w:sz w:val="24"/>
          <w:highlight w:val="none"/>
          <w:u w:val="none"/>
        </w:rPr>
        <w:t>广西政府采购云平台</w:t>
      </w:r>
      <w:r>
        <w:rPr>
          <w:rFonts w:hint="eastAsia" w:ascii="宋体" w:hAnsi="宋体" w:eastAsia="宋体" w:cs="宋体"/>
          <w:bCs/>
          <w:color w:val="auto"/>
          <w:sz w:val="24"/>
          <w:highlight w:val="none"/>
          <w:u w:val="none"/>
          <w:lang w:eastAsia="zh-CN"/>
        </w:rPr>
        <w:t>”</w:t>
      </w:r>
      <w:r>
        <w:rPr>
          <w:rFonts w:hint="eastAsia" w:ascii="宋体" w:hAnsi="宋体" w:eastAsia="宋体" w:cs="宋体"/>
          <w:bCs/>
          <w:color w:val="auto"/>
          <w:sz w:val="24"/>
          <w:highlight w:val="none"/>
          <w:u w:val="none"/>
        </w:rPr>
        <w:t>（https://www.gcy.zfcg.gxzf.gov.cn/）获取（下载）</w:t>
      </w:r>
      <w:r>
        <w:rPr>
          <w:rFonts w:hint="eastAsia" w:ascii="宋体" w:hAnsi="宋体" w:cs="宋体"/>
          <w:bCs/>
          <w:color w:val="auto"/>
          <w:sz w:val="24"/>
          <w:highlight w:val="none"/>
          <w:u w:val="none"/>
          <w:lang w:val="en-US" w:eastAsia="zh-CN"/>
        </w:rPr>
        <w:t>采购</w:t>
      </w:r>
      <w:r>
        <w:rPr>
          <w:rFonts w:hint="eastAsia" w:ascii="宋体" w:hAnsi="宋体" w:eastAsia="宋体" w:cs="宋体"/>
          <w:bCs/>
          <w:color w:val="auto"/>
          <w:sz w:val="24"/>
          <w:highlight w:val="none"/>
          <w:u w:val="none"/>
        </w:rPr>
        <w:t>文件，并于</w:t>
      </w:r>
      <w:r>
        <w:rPr>
          <w:rFonts w:hint="eastAsia" w:ascii="宋体" w:hAnsi="宋体" w:cs="宋体"/>
          <w:b/>
          <w:bCs w:val="0"/>
          <w:color w:val="auto"/>
          <w:sz w:val="24"/>
          <w:highlight w:val="none"/>
          <w:u w:val="single"/>
          <w:lang w:val="en-US" w:eastAsia="zh-CN"/>
        </w:rPr>
        <w:t>2026年8月</w:t>
      </w:r>
      <w:bookmarkStart w:id="12" w:name="PO_3000001868_PM015_2"/>
      <w:r>
        <w:rPr>
          <w:rFonts w:hint="eastAsia" w:ascii="宋体" w:hAnsi="宋体" w:cs="宋体"/>
          <w:b/>
          <w:bCs w:val="0"/>
          <w:color w:val="auto"/>
          <w:sz w:val="24"/>
          <w:highlight w:val="none"/>
          <w:u w:val="single"/>
          <w:lang w:val="en-US" w:eastAsia="zh-CN"/>
        </w:rPr>
        <w:t>28</w:t>
      </w:r>
      <w:r>
        <w:rPr>
          <w:rFonts w:hint="eastAsia" w:ascii="宋体" w:hAnsi="宋体" w:cs="宋体"/>
          <w:b/>
          <w:bCs w:val="0"/>
          <w:color w:val="auto"/>
          <w:sz w:val="24"/>
          <w:highlight w:val="none"/>
          <w:u w:val="single"/>
        </w:rPr>
        <w:t>日</w:t>
      </w:r>
      <w:r>
        <w:rPr>
          <w:rFonts w:hint="eastAsia" w:ascii="宋体" w:hAnsi="宋体" w:cs="宋体"/>
          <w:b/>
          <w:bCs w:val="0"/>
          <w:color w:val="auto"/>
          <w:sz w:val="24"/>
          <w:highlight w:val="none"/>
          <w:u w:val="single"/>
          <w:lang w:val="en-US" w:eastAsia="zh-CN"/>
        </w:rPr>
        <w:t>14</w:t>
      </w:r>
      <w:r>
        <w:rPr>
          <w:rFonts w:hint="eastAsia" w:ascii="宋体" w:hAnsi="宋体" w:cs="宋体"/>
          <w:b/>
          <w:bCs/>
          <w:color w:val="auto"/>
          <w:sz w:val="24"/>
          <w:highlight w:val="none"/>
          <w:u w:val="single"/>
        </w:rPr>
        <w:t>点</w:t>
      </w:r>
      <w:r>
        <w:rPr>
          <w:rFonts w:hint="eastAsia" w:ascii="宋体" w:hAnsi="宋体" w:cs="宋体"/>
          <w:b/>
          <w:bCs/>
          <w:color w:val="auto"/>
          <w:sz w:val="24"/>
          <w:highlight w:val="none"/>
          <w:u w:val="single"/>
          <w:lang w:val="en-US" w:eastAsia="zh-CN"/>
        </w:rPr>
        <w:t>3</w:t>
      </w:r>
      <w:r>
        <w:rPr>
          <w:rFonts w:hint="eastAsia" w:ascii="宋体" w:hAnsi="宋体" w:cs="宋体"/>
          <w:b/>
          <w:bCs/>
          <w:color w:val="auto"/>
          <w:sz w:val="24"/>
          <w:highlight w:val="none"/>
          <w:u w:val="single"/>
        </w:rPr>
        <w:t>0分00秒</w:t>
      </w:r>
      <w:r>
        <w:rPr>
          <w:rFonts w:hint="eastAsia" w:ascii="宋体" w:hAnsi="宋体" w:cs="宋体"/>
          <w:color w:val="auto"/>
          <w:sz w:val="24"/>
          <w:highlight w:val="none"/>
          <w:u w:val="single"/>
        </w:rPr>
        <w:t>（北京时间）]</w:t>
      </w:r>
      <w:bookmarkEnd w:id="12"/>
      <w:r>
        <w:rPr>
          <w:rFonts w:hint="eastAsia" w:ascii="宋体" w:hAnsi="宋体" w:cs="宋体"/>
          <w:color w:val="auto"/>
          <w:sz w:val="24"/>
          <w:highlight w:val="none"/>
        </w:rPr>
        <w:t>前提交响应文件。</w:t>
      </w:r>
    </w:p>
    <w:p w14:paraId="3A590A0F">
      <w:pPr>
        <w:spacing w:line="420" w:lineRule="exact"/>
        <w:ind w:firstLine="480" w:firstLineChars="200"/>
        <w:rPr>
          <w:rFonts w:ascii="宋体" w:hAnsi="宋体" w:eastAsia="宋体" w:cs="宋体"/>
          <w:color w:val="auto"/>
          <w:sz w:val="24"/>
          <w:highlight w:val="none"/>
        </w:rPr>
      </w:pPr>
      <w:r>
        <w:rPr>
          <w:rFonts w:hint="eastAsia" w:ascii="宋体" w:hAnsi="宋体" w:eastAsia="宋体" w:cs="宋体"/>
          <w:bCs/>
          <w:color w:val="auto"/>
          <w:sz w:val="24"/>
          <w:highlight w:val="none"/>
        </w:rPr>
        <w:t>一、项目基本情况</w:t>
      </w:r>
    </w:p>
    <w:p w14:paraId="36554CDE">
      <w:pPr>
        <w:spacing w:line="420" w:lineRule="exact"/>
        <w:ind w:firstLine="480" w:firstLineChars="200"/>
        <w:rPr>
          <w:rFonts w:hint="eastAsia" w:ascii="宋体" w:hAnsi="宋体" w:eastAsia="宋体" w:cs="宋体"/>
          <w:b/>
          <w:bCs/>
          <w:color w:val="auto"/>
          <w:sz w:val="24"/>
          <w:highlight w:val="none"/>
          <w:u w:val="single"/>
        </w:rPr>
      </w:pPr>
      <w:r>
        <w:rPr>
          <w:rFonts w:hint="eastAsia" w:ascii="宋体" w:hAnsi="宋体" w:eastAsia="宋体" w:cs="宋体"/>
          <w:color w:val="auto"/>
          <w:sz w:val="24"/>
          <w:highlight w:val="none"/>
        </w:rPr>
        <w:t>1.项目编号：</w:t>
      </w:r>
      <w:r>
        <w:rPr>
          <w:rFonts w:hint="eastAsia" w:ascii="宋体" w:hAnsi="宋体" w:eastAsia="宋体" w:cs="宋体"/>
          <w:b/>
          <w:bCs/>
          <w:color w:val="auto"/>
          <w:sz w:val="24"/>
          <w:highlight w:val="none"/>
          <w:u w:val="single"/>
        </w:rPr>
        <w:t>GXZC2026-C3-002668-GXRZ</w:t>
      </w:r>
    </w:p>
    <w:p w14:paraId="4F110FAD">
      <w:pPr>
        <w:spacing w:line="420" w:lineRule="exact"/>
        <w:ind w:firstLine="720" w:firstLineChars="3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采购计划文号：</w:t>
      </w:r>
      <w:r>
        <w:rPr>
          <w:rFonts w:hint="eastAsia" w:ascii="宋体" w:hAnsi="宋体" w:eastAsia="宋体" w:cs="宋体"/>
          <w:b/>
          <w:bCs/>
          <w:color w:val="auto"/>
          <w:sz w:val="24"/>
          <w:highlight w:val="none"/>
          <w:u w:val="single"/>
        </w:rPr>
        <w:t>广西政采[2026]16160号-001、广西政采[2026]16160号-002</w:t>
      </w:r>
    </w:p>
    <w:p w14:paraId="497F04B2">
      <w:pPr>
        <w:spacing w:line="420" w:lineRule="exact"/>
        <w:ind w:firstLine="480" w:firstLineChars="200"/>
        <w:rPr>
          <w:rFonts w:ascii="宋体" w:hAnsi="宋体" w:eastAsia="宋体" w:cs="宋体"/>
          <w:b/>
          <w:bCs/>
          <w:color w:val="auto"/>
          <w:sz w:val="24"/>
          <w:highlight w:val="none"/>
        </w:rPr>
      </w:pPr>
      <w:r>
        <w:rPr>
          <w:rFonts w:hint="eastAsia" w:ascii="宋体" w:hAnsi="宋体" w:eastAsia="宋体" w:cs="宋体"/>
          <w:color w:val="auto"/>
          <w:sz w:val="24"/>
          <w:highlight w:val="none"/>
        </w:rPr>
        <w:t>2.项目名称：</w:t>
      </w:r>
      <w:r>
        <w:rPr>
          <w:rFonts w:hint="eastAsia" w:ascii="宋体" w:hAnsi="宋体" w:cs="宋体"/>
          <w:b/>
          <w:bCs/>
          <w:color w:val="auto"/>
          <w:sz w:val="24"/>
          <w:highlight w:val="none"/>
          <w:u w:val="single"/>
          <w:lang w:eastAsia="zh-CN"/>
        </w:rPr>
        <w:t>医疗废弃物处置服务采购项目</w:t>
      </w:r>
    </w:p>
    <w:p w14:paraId="53F78369">
      <w:pPr>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3.采购方式：竞争性磋商</w:t>
      </w:r>
    </w:p>
    <w:p w14:paraId="6AAB2CD5">
      <w:pPr>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4.预算金额：229</w:t>
      </w:r>
      <w:r>
        <w:rPr>
          <w:rFonts w:hint="eastAsia" w:ascii="宋体" w:hAnsi="宋体" w:cs="宋体"/>
          <w:color w:val="auto"/>
          <w:sz w:val="24"/>
          <w:highlight w:val="none"/>
          <w:lang w:val="en-US" w:eastAsia="zh-CN"/>
        </w:rPr>
        <w:t>.</w:t>
      </w:r>
      <w:r>
        <w:rPr>
          <w:rFonts w:hint="eastAsia" w:ascii="宋体" w:hAnsi="宋体" w:eastAsia="宋体" w:cs="宋体"/>
          <w:color w:val="auto"/>
          <w:sz w:val="24"/>
          <w:highlight w:val="none"/>
        </w:rPr>
        <w:t>95</w:t>
      </w:r>
      <w:r>
        <w:rPr>
          <w:rFonts w:hint="eastAsia" w:ascii="宋体" w:hAnsi="宋体" w:cs="宋体"/>
          <w:color w:val="auto"/>
          <w:sz w:val="24"/>
          <w:highlight w:val="none"/>
          <w:lang w:val="en-US" w:eastAsia="zh-CN"/>
        </w:rPr>
        <w:t>万</w:t>
      </w:r>
      <w:r>
        <w:rPr>
          <w:rFonts w:hint="eastAsia" w:ascii="宋体" w:hAnsi="宋体" w:eastAsia="宋体" w:cs="宋体"/>
          <w:color w:val="auto"/>
          <w:sz w:val="24"/>
          <w:highlight w:val="none"/>
        </w:rPr>
        <w:t>元</w:t>
      </w:r>
    </w:p>
    <w:p w14:paraId="36227230">
      <w:pPr>
        <w:spacing w:line="4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5.最高限价：229</w:t>
      </w:r>
      <w:r>
        <w:rPr>
          <w:rFonts w:hint="eastAsia" w:ascii="宋体" w:hAnsi="宋体" w:cs="宋体"/>
          <w:color w:val="auto"/>
          <w:sz w:val="24"/>
          <w:highlight w:val="none"/>
          <w:lang w:val="en-US" w:eastAsia="zh-CN"/>
        </w:rPr>
        <w:t>.</w:t>
      </w:r>
      <w:r>
        <w:rPr>
          <w:rFonts w:hint="eastAsia" w:ascii="宋体" w:hAnsi="宋体" w:eastAsia="宋体" w:cs="宋体"/>
          <w:color w:val="auto"/>
          <w:sz w:val="24"/>
          <w:highlight w:val="none"/>
        </w:rPr>
        <w:t>95万元</w:t>
      </w:r>
      <w:r>
        <w:rPr>
          <w:rFonts w:hint="eastAsia" w:ascii="宋体" w:hAnsi="宋体" w:cs="宋体"/>
          <w:color w:val="auto"/>
          <w:sz w:val="24"/>
          <w:highlight w:val="none"/>
          <w:lang w:eastAsia="zh-CN"/>
        </w:rPr>
        <w:t>。</w:t>
      </w:r>
    </w:p>
    <w:p w14:paraId="674F3167">
      <w:pPr>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6.采购需求：</w:t>
      </w:r>
    </w:p>
    <w:tbl>
      <w:tblPr>
        <w:tblStyle w:val="33"/>
        <w:tblW w:w="9633" w:type="dxa"/>
        <w:tblInd w:w="18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33"/>
        <w:gridCol w:w="775"/>
        <w:gridCol w:w="737"/>
        <w:gridCol w:w="6088"/>
      </w:tblGrid>
      <w:tr w14:paraId="76E500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2033" w:type="dxa"/>
            <w:tcBorders>
              <w:top w:val="single" w:color="auto" w:sz="4" w:space="0"/>
              <w:left w:val="single" w:color="auto" w:sz="4" w:space="0"/>
              <w:bottom w:val="single" w:color="auto" w:sz="4" w:space="0"/>
              <w:right w:val="single" w:color="auto" w:sz="4" w:space="0"/>
            </w:tcBorders>
            <w:vAlign w:val="center"/>
          </w:tcPr>
          <w:p w14:paraId="7916F8B8">
            <w:pPr>
              <w:snapToGrid w:val="0"/>
              <w:spacing w:line="420" w:lineRule="exact"/>
              <w:jc w:val="center"/>
              <w:rPr>
                <w:rFonts w:ascii="宋体" w:hAnsi="宋体" w:eastAsia="宋体" w:cs="宋体"/>
                <w:b/>
                <w:bCs/>
                <w:color w:val="auto"/>
                <w:sz w:val="24"/>
                <w:highlight w:val="none"/>
              </w:rPr>
            </w:pPr>
            <w:r>
              <w:rPr>
                <w:rFonts w:hint="eastAsia" w:ascii="宋体" w:hAnsi="宋体" w:eastAsia="宋体" w:cs="宋体"/>
                <w:b/>
                <w:bCs/>
                <w:color w:val="auto"/>
                <w:sz w:val="24"/>
                <w:highlight w:val="none"/>
              </w:rPr>
              <w:t>标的的名称</w:t>
            </w:r>
          </w:p>
        </w:tc>
        <w:tc>
          <w:tcPr>
            <w:tcW w:w="775" w:type="dxa"/>
            <w:tcBorders>
              <w:top w:val="single" w:color="auto" w:sz="4" w:space="0"/>
              <w:left w:val="single" w:color="auto" w:sz="4" w:space="0"/>
              <w:bottom w:val="single" w:color="auto" w:sz="4" w:space="0"/>
              <w:right w:val="single" w:color="auto" w:sz="4" w:space="0"/>
            </w:tcBorders>
            <w:vAlign w:val="center"/>
          </w:tcPr>
          <w:p w14:paraId="5B6D0A5B">
            <w:pPr>
              <w:snapToGrid w:val="0"/>
              <w:spacing w:line="420" w:lineRule="exact"/>
              <w:ind w:left="-2" w:leftChars="-1" w:firstLine="36" w:firstLineChars="15"/>
              <w:jc w:val="center"/>
              <w:rPr>
                <w:rFonts w:ascii="宋体" w:hAnsi="宋体" w:eastAsia="宋体" w:cs="宋体"/>
                <w:b/>
                <w:bCs/>
                <w:color w:val="auto"/>
                <w:sz w:val="24"/>
                <w:highlight w:val="none"/>
              </w:rPr>
            </w:pPr>
            <w:r>
              <w:rPr>
                <w:rFonts w:hint="eastAsia" w:ascii="宋体" w:hAnsi="宋体" w:eastAsia="宋体" w:cs="宋体"/>
                <w:b/>
                <w:bCs/>
                <w:color w:val="auto"/>
                <w:sz w:val="24"/>
                <w:highlight w:val="none"/>
              </w:rPr>
              <w:t>数量</w:t>
            </w:r>
          </w:p>
        </w:tc>
        <w:tc>
          <w:tcPr>
            <w:tcW w:w="737" w:type="dxa"/>
            <w:tcBorders>
              <w:top w:val="single" w:color="auto" w:sz="4" w:space="0"/>
              <w:left w:val="single" w:color="auto" w:sz="4" w:space="0"/>
              <w:bottom w:val="single" w:color="auto" w:sz="4" w:space="0"/>
              <w:right w:val="single" w:color="auto" w:sz="4" w:space="0"/>
            </w:tcBorders>
            <w:vAlign w:val="center"/>
          </w:tcPr>
          <w:p w14:paraId="0EBBFD19">
            <w:pPr>
              <w:snapToGrid w:val="0"/>
              <w:spacing w:line="420" w:lineRule="exact"/>
              <w:jc w:val="center"/>
              <w:rPr>
                <w:rFonts w:ascii="宋体" w:hAnsi="宋体" w:eastAsia="宋体" w:cs="宋体"/>
                <w:b/>
                <w:bCs/>
                <w:color w:val="auto"/>
                <w:sz w:val="24"/>
                <w:highlight w:val="none"/>
              </w:rPr>
            </w:pPr>
            <w:r>
              <w:rPr>
                <w:rFonts w:hint="eastAsia" w:ascii="宋体" w:hAnsi="宋体" w:eastAsia="宋体" w:cs="宋体"/>
                <w:b/>
                <w:bCs/>
                <w:color w:val="auto"/>
                <w:sz w:val="24"/>
                <w:highlight w:val="none"/>
              </w:rPr>
              <w:t>单位</w:t>
            </w:r>
          </w:p>
        </w:tc>
        <w:tc>
          <w:tcPr>
            <w:tcW w:w="6088" w:type="dxa"/>
            <w:tcBorders>
              <w:top w:val="single" w:color="auto" w:sz="4" w:space="0"/>
              <w:left w:val="single" w:color="auto" w:sz="4" w:space="0"/>
              <w:bottom w:val="single" w:color="auto" w:sz="4" w:space="0"/>
              <w:right w:val="single" w:color="auto" w:sz="4" w:space="0"/>
            </w:tcBorders>
            <w:vAlign w:val="center"/>
          </w:tcPr>
          <w:p w14:paraId="4D025282">
            <w:pPr>
              <w:snapToGrid w:val="0"/>
              <w:spacing w:line="420" w:lineRule="exact"/>
              <w:jc w:val="center"/>
              <w:rPr>
                <w:rFonts w:ascii="宋体" w:hAnsi="宋体" w:eastAsia="宋体" w:cs="宋体"/>
                <w:b/>
                <w:bCs/>
                <w:color w:val="auto"/>
                <w:sz w:val="24"/>
                <w:highlight w:val="none"/>
              </w:rPr>
            </w:pPr>
            <w:r>
              <w:rPr>
                <w:rFonts w:hint="eastAsia" w:ascii="宋体" w:hAnsi="宋体" w:eastAsia="宋体" w:cs="宋体"/>
                <w:b/>
                <w:bCs/>
                <w:color w:val="auto"/>
                <w:sz w:val="24"/>
                <w:highlight w:val="none"/>
              </w:rPr>
              <w:t>简要技术需求或者服务要求</w:t>
            </w:r>
          </w:p>
        </w:tc>
      </w:tr>
      <w:tr w14:paraId="71FAA8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51" w:hRule="atLeast"/>
        </w:trPr>
        <w:tc>
          <w:tcPr>
            <w:tcW w:w="2033" w:type="dxa"/>
            <w:tcBorders>
              <w:top w:val="single" w:color="auto" w:sz="4" w:space="0"/>
              <w:left w:val="single" w:color="auto" w:sz="4" w:space="0"/>
              <w:bottom w:val="single" w:color="auto" w:sz="4" w:space="0"/>
              <w:right w:val="single" w:color="auto" w:sz="4" w:space="0"/>
            </w:tcBorders>
            <w:vAlign w:val="center"/>
          </w:tcPr>
          <w:p w14:paraId="0DD2E555">
            <w:pPr>
              <w:keepNext w:val="0"/>
              <w:keepLines w:val="0"/>
              <w:suppressLineNumbers w:val="0"/>
              <w:snapToGrid w:val="0"/>
              <w:spacing w:before="0" w:beforeAutospacing="0" w:after="0" w:afterAutospacing="0" w:line="420" w:lineRule="exact"/>
              <w:ind w:left="0" w:leftChars="0" w:right="0" w:rightChars="0"/>
              <w:jc w:val="center"/>
              <w:rPr>
                <w:rFonts w:hint="eastAsia" w:ascii="宋体" w:hAnsi="宋体" w:eastAsia="宋体" w:cs="宋体"/>
                <w:color w:val="auto"/>
                <w:sz w:val="24"/>
                <w:highlight w:val="none"/>
                <w:lang w:eastAsia="zh-CN"/>
              </w:rPr>
            </w:pPr>
            <w:r>
              <w:rPr>
                <w:rStyle w:val="40"/>
                <w:rFonts w:hint="eastAsia" w:ascii="宋体" w:hAnsi="宋体" w:cs="宋体"/>
                <w:b/>
                <w:bCs/>
                <w:color w:val="auto"/>
                <w:sz w:val="24"/>
                <w:highlight w:val="none"/>
                <w:u w:val="none"/>
                <w:lang w:eastAsia="zh-CN"/>
              </w:rPr>
              <w:t>医疗废弃物处置服务采购项目</w:t>
            </w:r>
          </w:p>
        </w:tc>
        <w:tc>
          <w:tcPr>
            <w:tcW w:w="775" w:type="dxa"/>
            <w:tcBorders>
              <w:top w:val="single" w:color="auto" w:sz="4" w:space="0"/>
              <w:left w:val="single" w:color="auto" w:sz="4" w:space="0"/>
              <w:bottom w:val="single" w:color="auto" w:sz="4" w:space="0"/>
              <w:right w:val="single" w:color="auto" w:sz="4" w:space="0"/>
            </w:tcBorders>
            <w:vAlign w:val="center"/>
          </w:tcPr>
          <w:p w14:paraId="685543D0">
            <w:pPr>
              <w:keepNext w:val="0"/>
              <w:keepLines w:val="0"/>
              <w:suppressLineNumbers w:val="0"/>
              <w:snapToGrid w:val="0"/>
              <w:spacing w:before="0" w:beforeAutospacing="0" w:after="0" w:afterAutospacing="0" w:line="420" w:lineRule="exact"/>
              <w:ind w:left="0" w:leftChars="0" w:right="0" w:rightChars="0"/>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1</w:t>
            </w:r>
          </w:p>
        </w:tc>
        <w:tc>
          <w:tcPr>
            <w:tcW w:w="737" w:type="dxa"/>
            <w:tcBorders>
              <w:top w:val="single" w:color="auto" w:sz="4" w:space="0"/>
              <w:left w:val="single" w:color="auto" w:sz="4" w:space="0"/>
              <w:bottom w:val="single" w:color="auto" w:sz="4" w:space="0"/>
              <w:right w:val="single" w:color="auto" w:sz="4" w:space="0"/>
            </w:tcBorders>
            <w:vAlign w:val="center"/>
          </w:tcPr>
          <w:p w14:paraId="0B7D3148">
            <w:pPr>
              <w:keepNext w:val="0"/>
              <w:keepLines w:val="0"/>
              <w:suppressLineNumbers w:val="0"/>
              <w:snapToGrid w:val="0"/>
              <w:spacing w:before="0" w:beforeAutospacing="0" w:after="0" w:afterAutospacing="0" w:line="420" w:lineRule="exact"/>
              <w:ind w:left="0" w:leftChars="0" w:right="0" w:rightChars="0"/>
              <w:jc w:val="center"/>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项</w:t>
            </w:r>
          </w:p>
        </w:tc>
        <w:tc>
          <w:tcPr>
            <w:tcW w:w="6088" w:type="dxa"/>
            <w:tcBorders>
              <w:top w:val="single" w:color="auto" w:sz="4" w:space="0"/>
              <w:left w:val="single" w:color="auto" w:sz="4" w:space="0"/>
              <w:bottom w:val="single" w:color="auto" w:sz="4" w:space="0"/>
              <w:right w:val="single" w:color="auto" w:sz="4" w:space="0"/>
            </w:tcBorders>
            <w:vAlign w:val="center"/>
          </w:tcPr>
          <w:p w14:paraId="303AD215">
            <w:pPr>
              <w:keepNext w:val="0"/>
              <w:keepLines w:val="0"/>
              <w:suppressLineNumbers w:val="0"/>
              <w:snapToGrid w:val="0"/>
              <w:spacing w:before="0" w:beforeAutospacing="0" w:after="0" w:afterAutospacing="0" w:line="420" w:lineRule="exact"/>
              <w:ind w:left="0" w:leftChars="0" w:right="0" w:rightChars="0"/>
              <w:jc w:val="left"/>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对</w:t>
            </w:r>
            <w:r>
              <w:rPr>
                <w:rFonts w:hint="eastAsia" w:ascii="宋体" w:hAnsi="宋体" w:eastAsia="宋体" w:cs="宋体"/>
                <w:color w:val="auto"/>
                <w:sz w:val="24"/>
                <w:highlight w:val="none"/>
              </w:rPr>
              <w:t>广西医科大学附属</w:t>
            </w:r>
            <w:r>
              <w:rPr>
                <w:rFonts w:hint="eastAsia" w:ascii="宋体" w:hAnsi="宋体" w:eastAsia="宋体" w:cs="宋体"/>
                <w:color w:val="auto"/>
                <w:sz w:val="24"/>
                <w:highlight w:val="none"/>
                <w:lang w:val="en-US" w:eastAsia="zh-CN"/>
              </w:rPr>
              <w:t>武鸣</w:t>
            </w:r>
            <w:r>
              <w:rPr>
                <w:rFonts w:hint="eastAsia" w:ascii="宋体" w:hAnsi="宋体" w:eastAsia="宋体" w:cs="宋体"/>
                <w:color w:val="auto"/>
                <w:sz w:val="24"/>
                <w:highlight w:val="none"/>
              </w:rPr>
              <w:t>医院在经营活动中产生的医疗废物，负责装卸、运输、鉴别、处置及周转箱清洗等服务</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具体详见第二章采购需求</w:t>
            </w:r>
            <w:r>
              <w:rPr>
                <w:rFonts w:hint="eastAsia" w:ascii="宋体" w:hAnsi="宋体" w:eastAsia="宋体" w:cs="宋体"/>
                <w:color w:val="auto"/>
                <w:sz w:val="24"/>
                <w:highlight w:val="none"/>
                <w:lang w:eastAsia="zh-CN"/>
              </w:rPr>
              <w:t>。</w:t>
            </w:r>
          </w:p>
        </w:tc>
      </w:tr>
    </w:tbl>
    <w:p w14:paraId="5D1DDD87">
      <w:pPr>
        <w:numPr>
          <w:ilvl w:val="-1"/>
          <w:numId w:val="0"/>
        </w:numPr>
        <w:spacing w:line="44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合同履行期限：</w:t>
      </w:r>
      <w:r>
        <w:rPr>
          <w:rFonts w:hint="eastAsia" w:ascii="宋体" w:hAnsi="宋体" w:cs="宋体"/>
          <w:color w:val="auto"/>
          <w:kern w:val="0"/>
          <w:sz w:val="24"/>
          <w:highlight w:val="none"/>
          <w:lang w:val="en-US" w:eastAsia="zh-CN"/>
        </w:rPr>
        <w:t>2</w:t>
      </w:r>
      <w:r>
        <w:rPr>
          <w:rFonts w:hint="eastAsia" w:ascii="宋体" w:hAnsi="宋体" w:eastAsia="宋体" w:cs="宋体"/>
          <w:color w:val="auto"/>
          <w:kern w:val="0"/>
          <w:sz w:val="24"/>
          <w:highlight w:val="none"/>
        </w:rPr>
        <w:t>年</w:t>
      </w:r>
      <w:r>
        <w:rPr>
          <w:rFonts w:hint="eastAsia" w:ascii="宋体" w:hAnsi="宋体" w:eastAsia="宋体" w:cs="宋体"/>
          <w:color w:val="auto"/>
          <w:sz w:val="24"/>
          <w:highlight w:val="none"/>
        </w:rPr>
        <w:t>。</w:t>
      </w:r>
    </w:p>
    <w:p w14:paraId="696BEC53">
      <w:pPr>
        <w:numPr>
          <w:ilvl w:val="-1"/>
          <w:numId w:val="0"/>
        </w:numPr>
        <w:spacing w:line="44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8.本项目是否接受联合体：否</w:t>
      </w:r>
    </w:p>
    <w:p w14:paraId="5B1DBE34">
      <w:pPr>
        <w:spacing w:line="440" w:lineRule="exact"/>
        <w:ind w:firstLine="482" w:firstLineChars="200"/>
        <w:rPr>
          <w:rFonts w:ascii="宋体" w:hAnsi="宋体" w:cs="宋体"/>
          <w:bCs/>
          <w:color w:val="auto"/>
          <w:sz w:val="24"/>
          <w:highlight w:val="none"/>
        </w:rPr>
      </w:pPr>
      <w:r>
        <w:rPr>
          <w:rFonts w:hint="eastAsia" w:ascii="宋体" w:hAnsi="宋体" w:cs="宋体"/>
          <w:b/>
          <w:color w:val="auto"/>
          <w:kern w:val="44"/>
          <w:sz w:val="24"/>
          <w:highlight w:val="none"/>
        </w:rPr>
        <w:t>二、供应商的资格条件</w:t>
      </w:r>
      <w:bookmarkEnd w:id="3"/>
      <w:bookmarkEnd w:id="4"/>
      <w:bookmarkEnd w:id="5"/>
      <w:bookmarkEnd w:id="6"/>
      <w:bookmarkEnd w:id="7"/>
    </w:p>
    <w:p w14:paraId="2EBF3B0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1.满足《中华人民共和国政府采购法》第二十二条规定；</w:t>
      </w:r>
    </w:p>
    <w:p w14:paraId="4635F61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2.落实政府采购政策需满足的资格要求：</w:t>
      </w:r>
    </w:p>
    <w:p w14:paraId="31582EFA">
      <w:pPr>
        <w:spacing w:line="440" w:lineRule="exact"/>
        <w:ind w:firstLine="480" w:firstLineChars="200"/>
        <w:rPr>
          <w:rFonts w:ascii="宋体" w:hAnsi="宋体" w:cs="宋体"/>
          <w:color w:val="auto"/>
          <w:sz w:val="24"/>
          <w:highlight w:val="none"/>
        </w:rPr>
      </w:pPr>
      <w:r>
        <w:rPr>
          <w:rFonts w:hint="eastAsia" w:ascii="宋体" w:hAnsi="宋体" w:cs="宋体"/>
          <w:b w:val="0"/>
          <w:bCs w:val="0"/>
          <w:color w:val="auto"/>
          <w:sz w:val="24"/>
          <w:highlight w:val="none"/>
          <w:lang w:eastAsia="zh-CN"/>
        </w:rPr>
        <w:t>□</w:t>
      </w:r>
      <w:r>
        <w:rPr>
          <w:rFonts w:hint="eastAsia" w:ascii="宋体" w:hAnsi="宋体" w:cs="宋体"/>
          <w:b w:val="0"/>
          <w:bCs w:val="0"/>
          <w:color w:val="auto"/>
          <w:sz w:val="24"/>
          <w:highlight w:val="none"/>
        </w:rPr>
        <w:t>专门面向中小企业采购的项目（供应</w:t>
      </w:r>
      <w:r>
        <w:rPr>
          <w:rFonts w:hint="eastAsia" w:ascii="宋体" w:hAnsi="宋体" w:cs="宋体"/>
          <w:color w:val="auto"/>
          <w:sz w:val="24"/>
          <w:highlight w:val="none"/>
        </w:rPr>
        <w:t>商应为中小微企业、监狱企业、残疾人福利性单位）</w:t>
      </w:r>
    </w:p>
    <w:p w14:paraId="32F5C5FF">
      <w:pPr>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lang w:eastAsia="zh-CN"/>
        </w:rPr>
        <w:t>☑</w:t>
      </w:r>
      <w:r>
        <w:rPr>
          <w:rFonts w:hint="eastAsia" w:ascii="宋体" w:hAnsi="宋体" w:cs="宋体"/>
          <w:b/>
          <w:bCs/>
          <w:color w:val="auto"/>
          <w:sz w:val="24"/>
          <w:highlight w:val="none"/>
        </w:rPr>
        <w:t>非专门面向中小企业采购的项目</w:t>
      </w:r>
    </w:p>
    <w:p w14:paraId="7576491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3.本项目的特定资格要求：</w:t>
      </w:r>
      <w:r>
        <w:rPr>
          <w:rFonts w:hint="eastAsia" w:ascii="宋体" w:hAnsi="宋体" w:cs="宋体"/>
          <w:color w:val="auto"/>
          <w:sz w:val="24"/>
          <w:highlight w:val="none"/>
          <w:u w:val="single"/>
        </w:rPr>
        <w:t>具有有效的生态环境部门颁发的《危险废物经营许可证》且核准经营危险废物类别必须包含HW01类或提供生态环境部门颁发的允许收集处置医疗废物的相关证明文件。</w:t>
      </w:r>
    </w:p>
    <w:p w14:paraId="59C9E3A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4.本项目的特定条件：无。</w:t>
      </w:r>
    </w:p>
    <w:p w14:paraId="658284DB">
      <w:pPr>
        <w:snapToGrid w:val="0"/>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4FFE7E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6.对在“信用中国”网站(www.creditchina.gov.cn) 、中国政府采购网(www.ccgp.gov.cn）被列入失信被执行人、</w:t>
      </w:r>
      <w:r>
        <w:rPr>
          <w:rFonts w:hint="eastAsia" w:ascii="宋体" w:hAnsi="宋体" w:cs="宋体"/>
          <w:color w:val="auto"/>
          <w:sz w:val="24"/>
          <w:highlight w:val="none"/>
          <w:lang w:eastAsia="zh-CN"/>
        </w:rPr>
        <w:t>重大税收违法失信主体</w:t>
      </w:r>
      <w:r>
        <w:rPr>
          <w:rFonts w:hint="eastAsia" w:ascii="宋体" w:hAnsi="宋体" w:cs="宋体"/>
          <w:color w:val="auto"/>
          <w:sz w:val="24"/>
          <w:highlight w:val="none"/>
        </w:rPr>
        <w:t>、政府采购严重违法失信行为记录名单及其他不符合《中华人民共和国政府采购法》第二十二条规定条件的供应商，不得参与政府采购活动。</w:t>
      </w:r>
    </w:p>
    <w:p w14:paraId="04035D7F">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三、获取竞争性磋商文件</w:t>
      </w:r>
      <w:bookmarkEnd w:id="8"/>
      <w:bookmarkEnd w:id="9"/>
      <w:bookmarkEnd w:id="10"/>
      <w:bookmarkEnd w:id="11"/>
    </w:p>
    <w:p w14:paraId="6C3B3257">
      <w:pPr>
        <w:spacing w:line="440" w:lineRule="exact"/>
        <w:ind w:firstLine="480" w:firstLineChars="200"/>
        <w:rPr>
          <w:rFonts w:ascii="宋体" w:hAnsi="宋体" w:cs="宋体"/>
          <w:color w:val="auto"/>
          <w:sz w:val="24"/>
          <w:highlight w:val="none"/>
        </w:rPr>
      </w:pPr>
      <w:bookmarkStart w:id="13" w:name="_Toc35393793"/>
      <w:bookmarkStart w:id="14" w:name="_Toc35393624"/>
      <w:bookmarkStart w:id="15" w:name="_Toc28359005"/>
      <w:bookmarkStart w:id="16" w:name="_Toc28359082"/>
      <w:r>
        <w:rPr>
          <w:rFonts w:hint="eastAsia" w:ascii="宋体" w:hAnsi="宋体" w:cs="宋体"/>
          <w:color w:val="auto"/>
          <w:sz w:val="24"/>
          <w:highlight w:val="none"/>
        </w:rPr>
        <w:t>时间：自公告发布之日起至</w:t>
      </w:r>
      <w:r>
        <w:rPr>
          <w:rFonts w:hint="eastAsia" w:ascii="宋体" w:hAnsi="宋体" w:cs="宋体"/>
          <w:b/>
          <w:bCs/>
          <w:color w:val="auto"/>
          <w:sz w:val="24"/>
          <w:highlight w:val="none"/>
        </w:rPr>
        <w:t>202</w:t>
      </w:r>
      <w:r>
        <w:rPr>
          <w:rFonts w:hint="eastAsia" w:ascii="宋体" w:hAnsi="宋体" w:cs="宋体"/>
          <w:b/>
          <w:bCs/>
          <w:color w:val="auto"/>
          <w:sz w:val="24"/>
          <w:highlight w:val="none"/>
          <w:lang w:val="en-US" w:eastAsia="zh-CN"/>
        </w:rPr>
        <w:t>6</w:t>
      </w:r>
      <w:r>
        <w:rPr>
          <w:rFonts w:hint="eastAsia" w:ascii="宋体" w:hAnsi="宋体" w:cs="宋体"/>
          <w:b/>
          <w:bCs/>
          <w:color w:val="auto"/>
          <w:sz w:val="24"/>
          <w:highlight w:val="none"/>
        </w:rPr>
        <w:t>年</w:t>
      </w:r>
      <w:r>
        <w:rPr>
          <w:rFonts w:hint="eastAsia" w:ascii="宋体" w:hAnsi="宋体" w:cs="宋体"/>
          <w:b/>
          <w:bCs/>
          <w:color w:val="auto"/>
          <w:sz w:val="24"/>
          <w:highlight w:val="none"/>
          <w:lang w:val="en-US" w:eastAsia="zh-CN"/>
        </w:rPr>
        <w:t>8</w:t>
      </w:r>
      <w:r>
        <w:rPr>
          <w:rFonts w:hint="eastAsia" w:ascii="宋体" w:hAnsi="宋体" w:cs="宋体"/>
          <w:b/>
          <w:bCs/>
          <w:color w:val="auto"/>
          <w:sz w:val="24"/>
          <w:highlight w:val="none"/>
        </w:rPr>
        <w:t>月</w:t>
      </w:r>
      <w:r>
        <w:rPr>
          <w:rFonts w:hint="eastAsia" w:ascii="宋体" w:hAnsi="宋体" w:cs="宋体"/>
          <w:b/>
          <w:bCs/>
          <w:color w:val="auto"/>
          <w:sz w:val="24"/>
          <w:highlight w:val="none"/>
          <w:lang w:val="en-US" w:eastAsia="zh-CN"/>
        </w:rPr>
        <w:t>24</w:t>
      </w:r>
      <w:r>
        <w:rPr>
          <w:rFonts w:hint="eastAsia" w:ascii="宋体" w:hAnsi="宋体" w:cs="宋体"/>
          <w:b/>
          <w:bCs/>
          <w:color w:val="auto"/>
          <w:sz w:val="24"/>
          <w:highlight w:val="none"/>
        </w:rPr>
        <w:t>日</w:t>
      </w:r>
      <w:r>
        <w:rPr>
          <w:rFonts w:hint="eastAsia" w:ascii="宋体" w:hAnsi="宋体" w:cs="宋体"/>
          <w:b/>
          <w:bCs/>
          <w:color w:val="auto"/>
          <w:sz w:val="24"/>
          <w:highlight w:val="none"/>
          <w:lang w:val="en-US" w:eastAsia="zh-CN"/>
        </w:rPr>
        <w:t>18</w:t>
      </w:r>
      <w:r>
        <w:rPr>
          <w:rFonts w:hint="eastAsia" w:ascii="宋体" w:hAnsi="宋体" w:cs="宋体"/>
          <w:b/>
          <w:bCs/>
          <w:color w:val="auto"/>
          <w:sz w:val="24"/>
          <w:highlight w:val="none"/>
        </w:rPr>
        <w:t>时</w:t>
      </w:r>
      <w:r>
        <w:rPr>
          <w:rFonts w:hint="eastAsia" w:ascii="宋体" w:hAnsi="宋体" w:cs="宋体"/>
          <w:b/>
          <w:bCs/>
          <w:color w:val="auto"/>
          <w:sz w:val="24"/>
          <w:highlight w:val="none"/>
          <w:lang w:val="en-US" w:eastAsia="zh-CN"/>
        </w:rPr>
        <w:t>00</w:t>
      </w:r>
      <w:r>
        <w:rPr>
          <w:rFonts w:hint="eastAsia" w:ascii="宋体" w:hAnsi="宋体" w:cs="宋体"/>
          <w:b/>
          <w:bCs/>
          <w:color w:val="auto"/>
          <w:sz w:val="24"/>
          <w:highlight w:val="none"/>
        </w:rPr>
        <w:t>分止</w:t>
      </w:r>
      <w:r>
        <w:rPr>
          <w:rFonts w:hint="eastAsia" w:ascii="宋体" w:hAnsi="宋体" w:cs="宋体"/>
          <w:color w:val="auto"/>
          <w:sz w:val="24"/>
          <w:highlight w:val="none"/>
        </w:rPr>
        <w:t>。</w:t>
      </w:r>
    </w:p>
    <w:p w14:paraId="1E3632DE">
      <w:pPr>
        <w:wordWrap w:val="0"/>
        <w:snapToGrid w:val="0"/>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获取方式：网上下载。本项目不发放纸质采购文件，供应商可自行在“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w:t>
      </w:r>
    </w:p>
    <w:p w14:paraId="161A57CE">
      <w:pPr>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售价：0元。</w:t>
      </w:r>
    </w:p>
    <w:p w14:paraId="17604626">
      <w:pPr>
        <w:spacing w:line="440" w:lineRule="exact"/>
        <w:ind w:firstLine="482" w:firstLineChars="200"/>
        <w:rPr>
          <w:rFonts w:hint="eastAsia" w:ascii="宋体" w:hAnsi="宋体" w:eastAsia="宋体" w:cs="宋体"/>
          <w:b/>
          <w:bCs/>
          <w:color w:val="auto"/>
          <w:sz w:val="24"/>
          <w:highlight w:val="none"/>
          <w:lang w:val="en-US" w:eastAsia="zh-CN"/>
        </w:rPr>
      </w:pPr>
      <w:r>
        <w:rPr>
          <w:rFonts w:hint="eastAsia" w:ascii="宋体" w:hAnsi="宋体" w:cs="宋体"/>
          <w:b/>
          <w:bCs/>
          <w:color w:val="auto"/>
          <w:sz w:val="24"/>
          <w:highlight w:val="none"/>
        </w:rPr>
        <w:t>四、</w:t>
      </w:r>
      <w:bookmarkEnd w:id="13"/>
      <w:bookmarkEnd w:id="14"/>
      <w:bookmarkEnd w:id="15"/>
      <w:bookmarkEnd w:id="16"/>
      <w:r>
        <w:rPr>
          <w:rFonts w:hint="eastAsia" w:ascii="宋体" w:hAnsi="宋体" w:cs="宋体"/>
          <w:b/>
          <w:bCs/>
          <w:color w:val="auto"/>
          <w:sz w:val="24"/>
          <w:highlight w:val="none"/>
        </w:rPr>
        <w:t>响应文件提交</w:t>
      </w:r>
      <w:r>
        <w:rPr>
          <w:rFonts w:hint="eastAsia" w:ascii="宋体" w:hAnsi="宋体" w:cs="宋体"/>
          <w:b/>
          <w:bCs/>
          <w:color w:val="auto"/>
          <w:sz w:val="24"/>
          <w:highlight w:val="none"/>
          <w:lang w:val="en-US" w:eastAsia="zh-CN"/>
        </w:rPr>
        <w:t xml:space="preserve"> </w:t>
      </w:r>
    </w:p>
    <w:p w14:paraId="6E5DDD6C">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1.首次响应文件提交截止时间</w:t>
      </w:r>
      <w:r>
        <w:rPr>
          <w:rFonts w:hint="eastAsia" w:ascii="宋体" w:hAnsi="宋体" w:cs="宋体"/>
          <w:bCs/>
          <w:color w:val="auto"/>
          <w:sz w:val="24"/>
          <w:highlight w:val="none"/>
        </w:rPr>
        <w:t>（北京时间）</w:t>
      </w:r>
      <w:r>
        <w:rPr>
          <w:rFonts w:hint="eastAsia" w:ascii="宋体" w:hAnsi="宋体" w:cs="宋体"/>
          <w:b/>
          <w:bCs/>
          <w:color w:val="auto"/>
          <w:sz w:val="24"/>
          <w:highlight w:val="none"/>
        </w:rPr>
        <w:t>：</w:t>
      </w:r>
      <w:bookmarkStart w:id="17" w:name="PO_3000001866_PM015_1"/>
      <w:r>
        <w:rPr>
          <w:rFonts w:hint="eastAsia" w:ascii="宋体" w:hAnsi="宋体" w:cs="宋体"/>
          <w:b/>
          <w:bCs/>
          <w:color w:val="auto"/>
          <w:sz w:val="24"/>
          <w:highlight w:val="none"/>
        </w:rPr>
        <w:t>202</w:t>
      </w:r>
      <w:r>
        <w:rPr>
          <w:rFonts w:hint="eastAsia" w:ascii="宋体" w:hAnsi="宋体" w:cs="宋体"/>
          <w:b/>
          <w:bCs/>
          <w:color w:val="auto"/>
          <w:sz w:val="24"/>
          <w:highlight w:val="none"/>
          <w:lang w:val="en-US" w:eastAsia="zh-CN"/>
        </w:rPr>
        <w:t>6</w:t>
      </w:r>
      <w:r>
        <w:rPr>
          <w:rFonts w:hint="eastAsia" w:ascii="宋体" w:hAnsi="宋体" w:cs="宋体"/>
          <w:b/>
          <w:bCs/>
          <w:color w:val="auto"/>
          <w:sz w:val="24"/>
          <w:highlight w:val="none"/>
        </w:rPr>
        <w:t>年</w:t>
      </w:r>
      <w:r>
        <w:rPr>
          <w:rFonts w:hint="eastAsia" w:ascii="宋体" w:hAnsi="宋体" w:cs="宋体"/>
          <w:b/>
          <w:bCs/>
          <w:color w:val="auto"/>
          <w:sz w:val="24"/>
          <w:highlight w:val="none"/>
          <w:lang w:val="en-US" w:eastAsia="zh-CN"/>
        </w:rPr>
        <w:t>8</w:t>
      </w:r>
      <w:r>
        <w:rPr>
          <w:rFonts w:hint="eastAsia" w:ascii="宋体" w:hAnsi="宋体" w:cs="宋体"/>
          <w:b/>
          <w:bCs/>
          <w:color w:val="auto"/>
          <w:sz w:val="24"/>
          <w:highlight w:val="none"/>
        </w:rPr>
        <w:t>月</w:t>
      </w:r>
      <w:r>
        <w:rPr>
          <w:rFonts w:hint="eastAsia" w:ascii="宋体" w:hAnsi="宋体" w:cs="宋体"/>
          <w:b/>
          <w:bCs/>
          <w:color w:val="auto"/>
          <w:sz w:val="24"/>
          <w:highlight w:val="none"/>
          <w:lang w:val="en-US" w:eastAsia="zh-CN"/>
        </w:rPr>
        <w:t>28</w:t>
      </w:r>
      <w:r>
        <w:rPr>
          <w:rFonts w:hint="eastAsia" w:ascii="宋体" w:hAnsi="宋体" w:cs="宋体"/>
          <w:b/>
          <w:bCs/>
          <w:color w:val="auto"/>
          <w:sz w:val="24"/>
          <w:highlight w:val="none"/>
        </w:rPr>
        <w:t>日</w:t>
      </w:r>
      <w:r>
        <w:rPr>
          <w:rFonts w:hint="eastAsia" w:ascii="宋体" w:hAnsi="宋体" w:cs="宋体"/>
          <w:b/>
          <w:bCs/>
          <w:color w:val="auto"/>
          <w:sz w:val="24"/>
          <w:highlight w:val="none"/>
          <w:lang w:val="en-US" w:eastAsia="zh-CN"/>
        </w:rPr>
        <w:t>14</w:t>
      </w:r>
      <w:r>
        <w:rPr>
          <w:rFonts w:hint="eastAsia" w:ascii="宋体" w:hAnsi="宋体" w:cs="宋体"/>
          <w:b/>
          <w:bCs/>
          <w:color w:val="auto"/>
          <w:sz w:val="24"/>
          <w:highlight w:val="none"/>
        </w:rPr>
        <w:t>:</w:t>
      </w:r>
      <w:r>
        <w:rPr>
          <w:rFonts w:hint="eastAsia" w:ascii="宋体" w:hAnsi="宋体" w:cs="宋体"/>
          <w:b/>
          <w:bCs/>
          <w:color w:val="auto"/>
          <w:sz w:val="24"/>
          <w:highlight w:val="none"/>
          <w:lang w:val="en-US" w:eastAsia="zh-CN"/>
        </w:rPr>
        <w:t>3</w:t>
      </w:r>
      <w:r>
        <w:rPr>
          <w:rFonts w:hint="eastAsia" w:ascii="宋体" w:hAnsi="宋体" w:cs="宋体"/>
          <w:b/>
          <w:bCs/>
          <w:color w:val="auto"/>
          <w:sz w:val="24"/>
          <w:highlight w:val="none"/>
        </w:rPr>
        <w:t>0分</w:t>
      </w:r>
      <w:bookmarkEnd w:id="17"/>
      <w:r>
        <w:rPr>
          <w:rFonts w:hint="eastAsia" w:ascii="宋体" w:hAnsi="宋体" w:cs="宋体"/>
          <w:b/>
          <w:bCs/>
          <w:color w:val="auto"/>
          <w:sz w:val="24"/>
          <w:highlight w:val="none"/>
        </w:rPr>
        <w:t>（北京时间）。</w:t>
      </w:r>
    </w:p>
    <w:p w14:paraId="2C83494F">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2.首次响应文件提交地点：“广西政府采购云平台”（https://www.gcy.zfcg.gxzf.gov.cn/）</w:t>
      </w:r>
      <w:r>
        <w:rPr>
          <w:rFonts w:hint="eastAsia" w:ascii="宋体" w:hAnsi="宋体" w:cs="宋体"/>
          <w:color w:val="auto"/>
          <w:sz w:val="24"/>
          <w:highlight w:val="none"/>
          <w:lang w:eastAsia="zh-CN"/>
        </w:rPr>
        <w:t>。</w:t>
      </w:r>
    </w:p>
    <w:p w14:paraId="79E5EA56">
      <w:pPr>
        <w:snapToGri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（1）本项目为全流程电子化采购项目，通过“广西政府采购云平台”</w:t>
      </w:r>
      <w:r>
        <w:rPr>
          <w:rFonts w:hint="eastAsia" w:ascii="宋体" w:hAnsi="宋体" w:cs="宋体"/>
          <w:color w:val="auto"/>
          <w:spacing w:val="9"/>
          <w:sz w:val="24"/>
          <w:highlight w:val="none"/>
        </w:rPr>
        <w:t>（</w:t>
      </w:r>
      <w:r>
        <w:rPr>
          <w:rFonts w:hint="eastAsia" w:ascii="宋体" w:hAnsi="宋体" w:cs="宋体"/>
          <w:color w:val="auto"/>
          <w:sz w:val="24"/>
          <w:highlight w:val="none"/>
        </w:rPr>
        <w:t>https://www.gcy.zfcg.gxzf.gov.cn/）实行在线电子竞标，供应商应先安装“</w:t>
      </w:r>
      <w:r>
        <w:rPr>
          <w:rFonts w:hint="eastAsia" w:ascii="宋体" w:hAnsi="宋体" w:cs="宋体"/>
          <w:color w:val="auto"/>
          <w:kern w:val="0"/>
          <w:sz w:val="24"/>
          <w:highlight w:val="none"/>
        </w:rPr>
        <w:t>广西政府采购云平台</w:t>
      </w:r>
      <w:r>
        <w:rPr>
          <w:rFonts w:hint="eastAsia" w:ascii="宋体" w:hAnsi="宋体" w:cs="宋体"/>
          <w:color w:val="auto"/>
          <w:sz w:val="24"/>
          <w:highlight w:val="none"/>
        </w:rPr>
        <w:t>电子交易客户端”（请自行前往“</w:t>
      </w:r>
      <w:r>
        <w:rPr>
          <w:rFonts w:hint="eastAsia" w:ascii="宋体" w:hAnsi="宋体" w:cs="宋体"/>
          <w:color w:val="auto"/>
          <w:kern w:val="0"/>
          <w:sz w:val="24"/>
          <w:highlight w:val="none"/>
        </w:rPr>
        <w:t>广西政府采购云平台</w:t>
      </w:r>
      <w:r>
        <w:rPr>
          <w:rFonts w:hint="eastAsia" w:ascii="宋体" w:hAnsi="宋体" w:cs="宋体"/>
          <w:color w:val="auto"/>
          <w:sz w:val="24"/>
          <w:highlight w:val="none"/>
        </w:rPr>
        <w:t>”进行下载），并按照本项目竞争性磋商文件和“</w:t>
      </w:r>
      <w:r>
        <w:rPr>
          <w:rFonts w:hint="eastAsia" w:ascii="宋体" w:hAnsi="宋体" w:cs="宋体"/>
          <w:color w:val="auto"/>
          <w:kern w:val="0"/>
          <w:sz w:val="24"/>
          <w:highlight w:val="none"/>
        </w:rPr>
        <w:t>广西政府采购云平台</w:t>
      </w:r>
      <w:r>
        <w:rPr>
          <w:rFonts w:hint="eastAsia" w:ascii="宋体" w:hAnsi="宋体" w:cs="宋体"/>
          <w:color w:val="auto"/>
          <w:sz w:val="24"/>
          <w:highlight w:val="none"/>
        </w:rPr>
        <w:t>”的要求编制、加密后在提交响应文件截止时间前通过网络上传至“</w:t>
      </w:r>
      <w:r>
        <w:rPr>
          <w:rFonts w:hint="eastAsia" w:ascii="宋体" w:hAnsi="宋体" w:cs="宋体"/>
          <w:color w:val="auto"/>
          <w:kern w:val="0"/>
          <w:sz w:val="24"/>
          <w:highlight w:val="none"/>
        </w:rPr>
        <w:t>广西政府采购云平台</w:t>
      </w:r>
      <w:r>
        <w:rPr>
          <w:rFonts w:hint="eastAsia" w:ascii="宋体" w:hAnsi="宋体" w:cs="宋体"/>
          <w:color w:val="auto"/>
          <w:sz w:val="24"/>
          <w:highlight w:val="none"/>
        </w:rPr>
        <w:t>”（加密的电子响应文件是指后缀名为“jmbs”的文件），供应商在“</w:t>
      </w:r>
      <w:r>
        <w:rPr>
          <w:rFonts w:hint="eastAsia" w:ascii="宋体" w:hAnsi="宋体" w:cs="宋体"/>
          <w:color w:val="auto"/>
          <w:kern w:val="0"/>
          <w:sz w:val="24"/>
          <w:highlight w:val="none"/>
        </w:rPr>
        <w:t>广西政府采购云平台</w:t>
      </w:r>
      <w:r>
        <w:rPr>
          <w:rFonts w:hint="eastAsia" w:ascii="宋体" w:hAnsi="宋体" w:cs="宋体"/>
          <w:color w:val="auto"/>
          <w:sz w:val="24"/>
          <w:highlight w:val="none"/>
        </w:rPr>
        <w:t>”提交电子响应文件时，请填写参加远程采购活动经办人联系方式。供应商登录“</w:t>
      </w:r>
      <w:r>
        <w:rPr>
          <w:rFonts w:hint="eastAsia" w:ascii="宋体" w:hAnsi="宋体" w:cs="宋体"/>
          <w:color w:val="auto"/>
          <w:kern w:val="0"/>
          <w:sz w:val="24"/>
          <w:highlight w:val="none"/>
        </w:rPr>
        <w:t>广西政府采购云平台</w:t>
      </w:r>
      <w:r>
        <w:rPr>
          <w:rFonts w:hint="eastAsia" w:ascii="宋体" w:hAnsi="宋体" w:cs="宋体"/>
          <w:color w:val="auto"/>
          <w:sz w:val="24"/>
          <w:highlight w:val="none"/>
        </w:rPr>
        <w:t>”，依次进入“服务中心-项目采购-操作流程-电子招投标-政府采购项目电子交易管理操作指南-供应商”查看电子竞标具体操作流程。</w:t>
      </w:r>
    </w:p>
    <w:p w14:paraId="0AA52DD0">
      <w:pPr>
        <w:snapToGri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陆“</w:t>
      </w:r>
      <w:r>
        <w:rPr>
          <w:rFonts w:hint="eastAsia" w:ascii="宋体" w:hAnsi="宋体" w:cs="宋体"/>
          <w:color w:val="auto"/>
          <w:kern w:val="0"/>
          <w:sz w:val="24"/>
          <w:highlight w:val="none"/>
        </w:rPr>
        <w:t>广西政府采购云平台</w:t>
      </w:r>
      <w:r>
        <w:rPr>
          <w:rFonts w:hint="eastAsia" w:ascii="宋体" w:hAnsi="宋体" w:cs="宋体"/>
          <w:color w:val="auto"/>
          <w:sz w:val="24"/>
          <w:highlight w:val="none"/>
        </w:rPr>
        <w:t>”，依次进入“服务中心-入驻与配置”中查看CA数字证书办理操作流程。</w:t>
      </w:r>
    </w:p>
    <w:p w14:paraId="72D403B7">
      <w:pPr>
        <w:snapToGri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（3）CA证书在线解密：首次响应文件开启时，</w:t>
      </w:r>
      <w:r>
        <w:rPr>
          <w:rFonts w:hint="eastAsia" w:ascii="宋体" w:hAnsi="宋体" w:cs="宋体"/>
          <w:b/>
          <w:bCs/>
          <w:color w:val="auto"/>
          <w:kern w:val="0"/>
          <w:sz w:val="24"/>
          <w:highlight w:val="none"/>
        </w:rPr>
        <w:t>须供应商携带制作响应文件时用来加密的有效数字证书（CA认证）</w:t>
      </w:r>
      <w:r>
        <w:rPr>
          <w:rFonts w:hint="eastAsia" w:ascii="宋体" w:hAnsi="宋体" w:cs="宋体"/>
          <w:color w:val="auto"/>
          <w:kern w:val="0"/>
          <w:sz w:val="24"/>
          <w:highlight w:val="none"/>
        </w:rPr>
        <w:t>登录“</w:t>
      </w:r>
      <w:r>
        <w:rPr>
          <w:rFonts w:hint="eastAsia" w:ascii="宋体" w:hAnsi="宋体" w:cs="宋体"/>
          <w:color w:val="auto"/>
          <w:sz w:val="24"/>
          <w:highlight w:val="none"/>
        </w:rPr>
        <w:t>广西政府采购云平台</w:t>
      </w:r>
      <w:r>
        <w:rPr>
          <w:rFonts w:hint="eastAsia" w:ascii="宋体" w:hAnsi="宋体" w:cs="宋体"/>
          <w:color w:val="auto"/>
          <w:kern w:val="0"/>
          <w:sz w:val="24"/>
          <w:highlight w:val="none"/>
        </w:rPr>
        <w:t>”电子开标大厅现场按规定时间对加密的响应文件进行解密，未能按要求进行解密的，由此产生的后果</w:t>
      </w:r>
      <w:r>
        <w:rPr>
          <w:rFonts w:hint="eastAsia" w:ascii="宋体" w:hAnsi="宋体" w:cs="宋体"/>
          <w:color w:val="auto"/>
          <w:sz w:val="24"/>
          <w:highlight w:val="none"/>
        </w:rPr>
        <w:t>供应商</w:t>
      </w:r>
      <w:r>
        <w:rPr>
          <w:rFonts w:hint="eastAsia" w:ascii="宋体" w:hAnsi="宋体" w:cs="宋体"/>
          <w:color w:val="auto"/>
          <w:kern w:val="0"/>
          <w:sz w:val="24"/>
          <w:highlight w:val="none"/>
        </w:rPr>
        <w:t>自行承担。</w:t>
      </w:r>
    </w:p>
    <w:p w14:paraId="4DC0CE5A">
      <w:pPr>
        <w:snapToGri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注：①为确保网上操作合法、有效和安全，请供应商确保在电子竞标过程中能够对相关数据电文进行加密和使用电子签章，妥善保管CA数字证书并使用有效的CA数字证书参与整个采购活动。②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5C40EFF4">
      <w:pPr>
        <w:spacing w:line="440" w:lineRule="exact"/>
        <w:ind w:firstLine="480" w:firstLineChars="200"/>
        <w:rPr>
          <w:rFonts w:hint="eastAsia" w:ascii="宋体" w:hAnsi="宋体" w:cs="宋体"/>
          <w:b/>
          <w:bCs/>
          <w:color w:val="auto"/>
          <w:sz w:val="24"/>
          <w:highlight w:val="none"/>
        </w:rPr>
      </w:pPr>
      <w:r>
        <w:rPr>
          <w:rFonts w:hint="eastAsia" w:ascii="宋体" w:hAnsi="宋体" w:cs="宋体"/>
          <w:color w:val="auto"/>
          <w:sz w:val="24"/>
          <w:highlight w:val="none"/>
        </w:rPr>
        <w:t>（4）供应商需要在具备有摄像头及语音功能且互联网网络状况良好的电脑登录“广西政府采购云平台”远程开标大厅参与本次磋商，否则后果自负。</w:t>
      </w:r>
    </w:p>
    <w:p w14:paraId="61A4B6BE">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五、开启（首次响应文件开启时间）</w:t>
      </w:r>
    </w:p>
    <w:p w14:paraId="314EFD36">
      <w:pPr>
        <w:spacing w:line="440" w:lineRule="exact"/>
        <w:ind w:firstLine="480" w:firstLineChars="200"/>
        <w:rPr>
          <w:rFonts w:ascii="宋体" w:hAnsi="宋体" w:cs="宋体"/>
          <w:bCs/>
          <w:color w:val="auto"/>
          <w:sz w:val="24"/>
          <w:highlight w:val="none"/>
          <w:u w:val="single"/>
        </w:rPr>
      </w:pPr>
      <w:r>
        <w:rPr>
          <w:rFonts w:hint="eastAsia" w:ascii="宋体" w:hAnsi="宋体" w:cs="宋体"/>
          <w:color w:val="auto"/>
          <w:sz w:val="24"/>
          <w:highlight w:val="none"/>
        </w:rPr>
        <w:t>1.时间</w:t>
      </w:r>
      <w:r>
        <w:rPr>
          <w:rFonts w:hint="eastAsia" w:ascii="宋体" w:hAnsi="宋体" w:cs="宋体"/>
          <w:bCs/>
          <w:color w:val="auto"/>
          <w:sz w:val="24"/>
          <w:highlight w:val="none"/>
        </w:rPr>
        <w:t>（北京时间）</w:t>
      </w:r>
      <w:r>
        <w:rPr>
          <w:rFonts w:hint="eastAsia" w:ascii="宋体" w:hAnsi="宋体" w:cs="宋体"/>
          <w:color w:val="auto"/>
          <w:sz w:val="24"/>
          <w:highlight w:val="none"/>
        </w:rPr>
        <w:t>：</w:t>
      </w:r>
      <w:r>
        <w:rPr>
          <w:rFonts w:hint="eastAsia" w:ascii="宋体" w:hAnsi="宋体" w:cs="宋体"/>
          <w:b/>
          <w:color w:val="auto"/>
          <w:sz w:val="24"/>
          <w:highlight w:val="none"/>
          <w:u w:val="single"/>
        </w:rPr>
        <w:t>202</w:t>
      </w:r>
      <w:r>
        <w:rPr>
          <w:rFonts w:hint="eastAsia" w:ascii="宋体" w:hAnsi="宋体" w:cs="宋体"/>
          <w:b/>
          <w:color w:val="auto"/>
          <w:sz w:val="24"/>
          <w:highlight w:val="none"/>
          <w:u w:val="single"/>
          <w:lang w:val="en-US" w:eastAsia="zh-CN"/>
        </w:rPr>
        <w:t>6</w:t>
      </w:r>
      <w:r>
        <w:rPr>
          <w:rFonts w:hint="eastAsia" w:ascii="宋体" w:hAnsi="宋体" w:cs="宋体"/>
          <w:b/>
          <w:color w:val="auto"/>
          <w:sz w:val="24"/>
          <w:highlight w:val="none"/>
          <w:u w:val="single"/>
        </w:rPr>
        <w:t>年</w:t>
      </w:r>
      <w:r>
        <w:rPr>
          <w:rFonts w:hint="eastAsia" w:ascii="宋体" w:hAnsi="宋体" w:cs="宋体"/>
          <w:b/>
          <w:color w:val="auto"/>
          <w:sz w:val="24"/>
          <w:highlight w:val="none"/>
          <w:u w:val="single"/>
          <w:lang w:val="en-US" w:eastAsia="zh-CN"/>
        </w:rPr>
        <w:t>8</w:t>
      </w:r>
      <w:r>
        <w:rPr>
          <w:rFonts w:hint="eastAsia" w:ascii="宋体" w:hAnsi="宋体" w:cs="宋体"/>
          <w:b/>
          <w:color w:val="auto"/>
          <w:sz w:val="24"/>
          <w:highlight w:val="none"/>
          <w:u w:val="single"/>
        </w:rPr>
        <w:t>月</w:t>
      </w:r>
      <w:r>
        <w:rPr>
          <w:rFonts w:hint="eastAsia" w:ascii="宋体" w:hAnsi="宋体" w:cs="宋体"/>
          <w:b/>
          <w:color w:val="auto"/>
          <w:sz w:val="24"/>
          <w:highlight w:val="none"/>
          <w:u w:val="single"/>
          <w:lang w:val="en-US" w:eastAsia="zh-CN"/>
        </w:rPr>
        <w:t>28</w:t>
      </w:r>
      <w:r>
        <w:rPr>
          <w:rFonts w:hint="eastAsia" w:ascii="宋体" w:hAnsi="宋体" w:cs="宋体"/>
          <w:b/>
          <w:color w:val="auto"/>
          <w:sz w:val="24"/>
          <w:highlight w:val="none"/>
          <w:u w:val="single"/>
        </w:rPr>
        <w:t>日</w:t>
      </w:r>
      <w:r>
        <w:rPr>
          <w:rFonts w:hint="eastAsia" w:ascii="宋体" w:hAnsi="宋体" w:cs="宋体"/>
          <w:b/>
          <w:color w:val="auto"/>
          <w:sz w:val="24"/>
          <w:highlight w:val="none"/>
          <w:u w:val="single"/>
          <w:lang w:val="en-US" w:eastAsia="zh-CN"/>
        </w:rPr>
        <w:t>14</w:t>
      </w:r>
      <w:r>
        <w:rPr>
          <w:rFonts w:hint="eastAsia" w:ascii="宋体" w:hAnsi="宋体" w:cs="宋体"/>
          <w:b/>
          <w:color w:val="auto"/>
          <w:sz w:val="24"/>
          <w:highlight w:val="none"/>
          <w:u w:val="single"/>
        </w:rPr>
        <w:t>:</w:t>
      </w:r>
      <w:r>
        <w:rPr>
          <w:rFonts w:hint="eastAsia" w:ascii="宋体" w:hAnsi="宋体" w:cs="宋体"/>
          <w:b/>
          <w:color w:val="auto"/>
          <w:sz w:val="24"/>
          <w:highlight w:val="none"/>
          <w:u w:val="single"/>
          <w:lang w:val="en-US" w:eastAsia="zh-CN"/>
        </w:rPr>
        <w:t>3</w:t>
      </w:r>
      <w:r>
        <w:rPr>
          <w:rFonts w:hint="eastAsia" w:ascii="宋体" w:hAnsi="宋体" w:cs="宋体"/>
          <w:b/>
          <w:color w:val="auto"/>
          <w:sz w:val="24"/>
          <w:highlight w:val="none"/>
          <w:u w:val="single"/>
        </w:rPr>
        <w:t>0分</w:t>
      </w:r>
      <w:r>
        <w:rPr>
          <w:rFonts w:hint="eastAsia" w:ascii="宋体" w:hAnsi="宋体" w:cs="宋体"/>
          <w:color w:val="auto"/>
          <w:sz w:val="24"/>
          <w:highlight w:val="none"/>
        </w:rPr>
        <w:t>后</w:t>
      </w:r>
    </w:p>
    <w:p w14:paraId="1E06C814">
      <w:pPr>
        <w:spacing w:line="440" w:lineRule="exact"/>
        <w:ind w:firstLine="480" w:firstLineChars="200"/>
        <w:rPr>
          <w:rFonts w:ascii="宋体" w:hAnsi="宋体" w:cs="宋体"/>
          <w:bCs/>
          <w:color w:val="auto"/>
          <w:sz w:val="24"/>
          <w:highlight w:val="none"/>
          <w:u w:val="single"/>
        </w:rPr>
      </w:pPr>
      <w:r>
        <w:rPr>
          <w:rFonts w:hint="eastAsia" w:ascii="宋体" w:hAnsi="宋体" w:cs="宋体"/>
          <w:color w:val="auto"/>
          <w:sz w:val="24"/>
          <w:highlight w:val="none"/>
        </w:rPr>
        <w:t>2.地点：</w:t>
      </w:r>
      <w:r>
        <w:rPr>
          <w:rFonts w:hint="eastAsia" w:ascii="宋体" w:hAnsi="宋体" w:cs="宋体"/>
          <w:color w:val="auto"/>
          <w:sz w:val="24"/>
          <w:highlight w:val="none"/>
          <w:u w:val="single"/>
        </w:rPr>
        <w:t>广西政府采购云平台远程开标大厅</w:t>
      </w:r>
    </w:p>
    <w:p w14:paraId="71579DB7">
      <w:pPr>
        <w:spacing w:line="440" w:lineRule="exact"/>
        <w:ind w:firstLine="482" w:firstLineChars="200"/>
        <w:rPr>
          <w:rFonts w:ascii="宋体" w:hAnsi="宋体" w:cs="宋体"/>
          <w:b/>
          <w:bCs/>
          <w:color w:val="auto"/>
          <w:sz w:val="24"/>
          <w:highlight w:val="none"/>
        </w:rPr>
      </w:pPr>
      <w:bookmarkStart w:id="18" w:name="_Toc35393625"/>
      <w:bookmarkStart w:id="19" w:name="_Toc35393794"/>
      <w:bookmarkStart w:id="20" w:name="_Toc28359007"/>
      <w:bookmarkStart w:id="21" w:name="_Toc28359084"/>
      <w:r>
        <w:rPr>
          <w:rFonts w:hint="eastAsia" w:ascii="宋体" w:hAnsi="宋体" w:cs="宋体"/>
          <w:b/>
          <w:bCs/>
          <w:color w:val="auto"/>
          <w:sz w:val="24"/>
          <w:highlight w:val="none"/>
        </w:rPr>
        <w:t>六、公告期限</w:t>
      </w:r>
      <w:bookmarkEnd w:id="18"/>
      <w:bookmarkEnd w:id="19"/>
      <w:bookmarkEnd w:id="20"/>
      <w:bookmarkEnd w:id="21"/>
    </w:p>
    <w:p w14:paraId="7BFE9DA5">
      <w:pPr>
        <w:spacing w:line="44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自本公告发布之日起5个工作日。</w:t>
      </w:r>
    </w:p>
    <w:p w14:paraId="73BD6ED0">
      <w:pPr>
        <w:spacing w:line="440" w:lineRule="exact"/>
        <w:ind w:firstLine="482" w:firstLineChars="200"/>
        <w:rPr>
          <w:rFonts w:ascii="宋体" w:hAnsi="宋体" w:cs="宋体"/>
          <w:b/>
          <w:bCs/>
          <w:color w:val="auto"/>
          <w:sz w:val="24"/>
          <w:highlight w:val="none"/>
        </w:rPr>
      </w:pPr>
      <w:bookmarkStart w:id="22" w:name="_Toc35393626"/>
      <w:bookmarkStart w:id="23" w:name="_Toc35393795"/>
      <w:r>
        <w:rPr>
          <w:rFonts w:hint="eastAsia" w:ascii="宋体" w:hAnsi="宋体" w:cs="宋体"/>
          <w:b/>
          <w:bCs/>
          <w:color w:val="auto"/>
          <w:sz w:val="24"/>
          <w:highlight w:val="none"/>
        </w:rPr>
        <w:t>七、其他补充事宜</w:t>
      </w:r>
      <w:bookmarkEnd w:id="22"/>
      <w:bookmarkEnd w:id="23"/>
    </w:p>
    <w:p w14:paraId="60E2D6F3">
      <w:pPr>
        <w:keepNext w:val="0"/>
        <w:keepLines w:val="0"/>
        <w:pageBreakBefore w:val="0"/>
        <w:widowControl w:val="0"/>
        <w:kinsoku/>
        <w:wordWrap w:val="0"/>
        <w:overflowPunct/>
        <w:topLinePunct w:val="0"/>
        <w:autoSpaceDE/>
        <w:autoSpaceDN/>
        <w:bidi w:val="0"/>
        <w:adjustRightInd/>
        <w:spacing w:line="440" w:lineRule="exact"/>
        <w:ind w:firstLine="360" w:firstLineChars="15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highlight w:val="none"/>
        </w:rPr>
        <w:t>磋商保证金：</w:t>
      </w:r>
      <w:r>
        <w:rPr>
          <w:rFonts w:hint="eastAsia" w:ascii="宋体" w:hAnsi="宋体" w:cs="宋体"/>
          <w:b/>
          <w:bCs/>
          <w:color w:val="auto"/>
          <w:kern w:val="0"/>
          <w:sz w:val="24"/>
          <w:highlight w:val="none"/>
          <w:lang w:val="en-US" w:eastAsia="zh-CN"/>
        </w:rPr>
        <w:t>贰万贰仟元整（¥22000.00）</w:t>
      </w:r>
      <w:r>
        <w:rPr>
          <w:rFonts w:hint="eastAsia" w:ascii="宋体" w:hAnsi="宋体" w:eastAsia="宋体" w:cs="宋体"/>
          <w:color w:val="auto"/>
          <w:kern w:val="0"/>
          <w:sz w:val="24"/>
          <w:szCs w:val="24"/>
          <w:highlight w:val="none"/>
        </w:rPr>
        <w:t>。</w:t>
      </w:r>
    </w:p>
    <w:p w14:paraId="23B2D6B8">
      <w:pPr>
        <w:keepNext w:val="0"/>
        <w:keepLines w:val="0"/>
        <w:pageBreakBefore w:val="0"/>
        <w:widowControl w:val="0"/>
        <w:kinsoku/>
        <w:wordWrap w:val="0"/>
        <w:overflowPunct/>
        <w:topLinePunct w:val="0"/>
        <w:autoSpaceDE/>
        <w:autoSpaceDN/>
        <w:bidi w:val="0"/>
        <w:adjustRightInd/>
        <w:spacing w:line="440" w:lineRule="exact"/>
        <w:ind w:firstLine="360" w:firstLineChars="15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交纳方式：银行转账、支票、汇票、本票、网上银行或者金融机构、担保机构出具的保函等非现金形式。如选择以银行转账、电汇形式，交纳至以下账户：</w:t>
      </w:r>
    </w:p>
    <w:p w14:paraId="76138C6D">
      <w:pPr>
        <w:keepNext w:val="0"/>
        <w:keepLines w:val="0"/>
        <w:pageBreakBefore w:val="0"/>
        <w:widowControl w:val="0"/>
        <w:kinsoku/>
        <w:wordWrap w:val="0"/>
        <w:overflowPunct/>
        <w:topLinePunct w:val="0"/>
        <w:autoSpaceDE/>
        <w:autoSpaceDN/>
        <w:bidi w:val="0"/>
        <w:adjustRightInd/>
        <w:spacing w:line="440" w:lineRule="exact"/>
        <w:ind w:firstLine="361" w:firstLineChars="15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开户名称：广西瑞真工程造价咨询有限责任公司</w:t>
      </w:r>
    </w:p>
    <w:p w14:paraId="3DBF9988">
      <w:pPr>
        <w:keepNext w:val="0"/>
        <w:keepLines w:val="0"/>
        <w:pageBreakBefore w:val="0"/>
        <w:widowControl w:val="0"/>
        <w:kinsoku/>
        <w:wordWrap w:val="0"/>
        <w:overflowPunct/>
        <w:topLinePunct w:val="0"/>
        <w:autoSpaceDE/>
        <w:autoSpaceDN/>
        <w:bidi w:val="0"/>
        <w:adjustRightInd/>
        <w:spacing w:line="440" w:lineRule="exact"/>
        <w:ind w:firstLine="361" w:firstLineChars="15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开户银行：广西北部湾银行南宁市五象湖小微支行</w:t>
      </w:r>
    </w:p>
    <w:p w14:paraId="3D48EC25">
      <w:pPr>
        <w:keepNext w:val="0"/>
        <w:keepLines w:val="0"/>
        <w:pageBreakBefore w:val="0"/>
        <w:widowControl w:val="0"/>
        <w:kinsoku/>
        <w:wordWrap w:val="0"/>
        <w:overflowPunct/>
        <w:topLinePunct w:val="0"/>
        <w:autoSpaceDE/>
        <w:autoSpaceDN/>
        <w:bidi w:val="0"/>
        <w:adjustRightInd/>
        <w:spacing w:line="440" w:lineRule="exact"/>
        <w:ind w:firstLine="361" w:firstLineChars="15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银行账号：8050 4632 3000 001</w:t>
      </w:r>
    </w:p>
    <w:p w14:paraId="79A81F15">
      <w:pPr>
        <w:keepNext w:val="0"/>
        <w:keepLines w:val="0"/>
        <w:pageBreakBefore w:val="0"/>
        <w:widowControl w:val="0"/>
        <w:kinsoku/>
        <w:wordWrap w:val="0"/>
        <w:overflowPunct/>
        <w:topLinePunct w:val="0"/>
        <w:autoSpaceDE/>
        <w:autoSpaceDN/>
        <w:bidi w:val="0"/>
        <w:adjustRightInd/>
        <w:spacing w:line="440" w:lineRule="exact"/>
        <w:ind w:firstLine="360" w:firstLineChars="15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2.采购意向公开链接：</w:t>
      </w:r>
      <w:r>
        <w:rPr>
          <w:rFonts w:hint="eastAsia" w:ascii="宋体" w:hAnsi="宋体" w:eastAsia="宋体" w:cs="宋体"/>
          <w:color w:val="auto"/>
          <w:sz w:val="24"/>
          <w:szCs w:val="24"/>
          <w:highlight w:val="none"/>
        </w:rPr>
        <w:t>http://www.ccgp-guangxi.gov.cn/site/detail?categoryCode=ZcyAnnouncement&amp;parentId=66485&amp;articleId=b1SYVvO8VPpw/jLdfigH3Q==</w:t>
      </w:r>
    </w:p>
    <w:p w14:paraId="46800871">
      <w:pPr>
        <w:wordWrap w:val="0"/>
        <w:spacing w:line="400" w:lineRule="exact"/>
        <w:ind w:firstLine="480" w:firstLineChars="200"/>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kern w:val="0"/>
          <w:sz w:val="24"/>
          <w:szCs w:val="24"/>
          <w:highlight w:val="none"/>
        </w:rPr>
        <w:t>网上查询地址</w:t>
      </w:r>
      <w:r>
        <w:rPr>
          <w:rFonts w:hint="eastAsia" w:ascii="宋体" w:hAnsi="宋体" w:eastAsia="宋体" w:cs="宋体"/>
          <w:color w:val="auto"/>
          <w:kern w:val="0"/>
          <w:sz w:val="24"/>
          <w:szCs w:val="24"/>
          <w:highlight w:val="none"/>
          <w:lang w:eastAsia="zh-CN"/>
        </w:rPr>
        <w:t>：</w:t>
      </w:r>
      <w:r>
        <w:rPr>
          <w:rFonts w:hint="eastAsia" w:ascii="宋体" w:hAnsi="宋体" w:cs="宋体"/>
          <w:color w:val="auto"/>
          <w:kern w:val="0"/>
          <w:sz w:val="24"/>
          <w:highlight w:val="none"/>
        </w:rPr>
        <w:t>http://www.ccgp.gov.cn(中国政府采购网)</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http://zfcg.gxzf.gov.cn(广西政府采购网)</w:t>
      </w:r>
      <w:r>
        <w:rPr>
          <w:rFonts w:hint="eastAsia" w:ascii="宋体" w:hAnsi="宋体" w:cs="宋体"/>
          <w:color w:val="auto"/>
          <w:kern w:val="0"/>
          <w:sz w:val="24"/>
          <w:highlight w:val="none"/>
          <w:lang w:eastAsia="zh-CN"/>
        </w:rPr>
        <w:t>、</w:t>
      </w:r>
      <w:r>
        <w:rPr>
          <w:rFonts w:hint="eastAsia" w:ascii="宋体" w:hAnsi="宋体" w:cs="宋体"/>
          <w:bCs w:val="0"/>
          <w:color w:val="auto"/>
          <w:kern w:val="0"/>
          <w:sz w:val="24"/>
          <w:szCs w:val="24"/>
          <w:highlight w:val="none"/>
        </w:rPr>
        <w:t>https://www.gxmu.edu.cn/</w:t>
      </w:r>
      <w:r>
        <w:rPr>
          <w:rFonts w:hint="eastAsia" w:ascii="宋体" w:hAnsi="宋体" w:cs="宋体"/>
          <w:bCs w:val="0"/>
          <w:color w:val="auto"/>
          <w:kern w:val="0"/>
          <w:sz w:val="24"/>
          <w:szCs w:val="24"/>
          <w:highlight w:val="none"/>
          <w:lang w:eastAsia="zh-CN"/>
        </w:rPr>
        <w:t>（</w:t>
      </w:r>
      <w:r>
        <w:rPr>
          <w:rFonts w:hint="eastAsia" w:ascii="宋体" w:hAnsi="宋体" w:cs="宋体"/>
          <w:color w:val="auto"/>
          <w:kern w:val="0"/>
          <w:sz w:val="24"/>
          <w:szCs w:val="24"/>
          <w:highlight w:val="none"/>
        </w:rPr>
        <w:t>广西医科大学</w:t>
      </w:r>
      <w:r>
        <w:rPr>
          <w:rFonts w:hint="eastAsia" w:ascii="宋体" w:hAnsi="宋体" w:cs="宋体"/>
          <w:bCs w:val="0"/>
          <w:color w:val="auto"/>
          <w:kern w:val="0"/>
          <w:sz w:val="24"/>
          <w:szCs w:val="24"/>
          <w:highlight w:val="none"/>
          <w:lang w:eastAsia="zh-CN"/>
        </w:rPr>
        <w:t>）、</w:t>
      </w:r>
      <w:r>
        <w:rPr>
          <w:rFonts w:hint="eastAsia" w:ascii="宋体" w:hAnsi="宋体" w:cs="宋体"/>
          <w:bCs w:val="0"/>
          <w:color w:val="auto"/>
          <w:kern w:val="0"/>
          <w:sz w:val="24"/>
          <w:szCs w:val="24"/>
          <w:highlight w:val="none"/>
        </w:rPr>
        <w:t>https://www.gxmuwmfy.com/</w:t>
      </w:r>
      <w:r>
        <w:rPr>
          <w:rFonts w:hint="eastAsia" w:ascii="宋体" w:hAnsi="宋体" w:cs="宋体"/>
          <w:bCs w:val="0"/>
          <w:color w:val="auto"/>
          <w:kern w:val="0"/>
          <w:sz w:val="24"/>
          <w:szCs w:val="24"/>
          <w:highlight w:val="none"/>
          <w:lang w:eastAsia="zh-CN"/>
        </w:rPr>
        <w:t>（</w:t>
      </w:r>
      <w:r>
        <w:rPr>
          <w:rFonts w:hint="eastAsia" w:ascii="宋体" w:hAnsi="宋体" w:cs="宋体"/>
          <w:color w:val="auto"/>
          <w:kern w:val="0"/>
          <w:sz w:val="24"/>
          <w:szCs w:val="24"/>
          <w:highlight w:val="none"/>
        </w:rPr>
        <w:t>广西</w:t>
      </w:r>
      <w:r>
        <w:rPr>
          <w:rFonts w:hint="eastAsia" w:cs="宋体"/>
          <w:color w:val="auto"/>
          <w:sz w:val="24"/>
          <w:szCs w:val="24"/>
          <w:highlight w:val="none"/>
        </w:rPr>
        <w:t>医科大学附属</w:t>
      </w:r>
      <w:r>
        <w:rPr>
          <w:rFonts w:hint="eastAsia" w:cs="宋体"/>
          <w:color w:val="auto"/>
          <w:sz w:val="24"/>
          <w:szCs w:val="24"/>
          <w:highlight w:val="none"/>
          <w:lang w:val="en-US" w:eastAsia="zh-CN"/>
        </w:rPr>
        <w:t>武鸣</w:t>
      </w:r>
      <w:r>
        <w:rPr>
          <w:rFonts w:hint="eastAsia" w:cs="宋体"/>
          <w:color w:val="auto"/>
          <w:sz w:val="24"/>
          <w:szCs w:val="24"/>
          <w:highlight w:val="none"/>
        </w:rPr>
        <w:t>医院</w:t>
      </w:r>
      <w:r>
        <w:rPr>
          <w:rFonts w:hint="eastAsia" w:cs="宋体"/>
          <w:bCs/>
          <w:color w:val="auto"/>
          <w:sz w:val="24"/>
          <w:szCs w:val="24"/>
          <w:highlight w:val="none"/>
          <w:lang w:eastAsia="zh-CN"/>
        </w:rPr>
        <w:t>）、</w:t>
      </w:r>
      <w:r>
        <w:rPr>
          <w:rFonts w:hint="eastAsia" w:ascii="宋体" w:hAnsi="宋体" w:eastAsia="宋体" w:cs="Arial"/>
          <w:color w:val="auto"/>
          <w:sz w:val="24"/>
          <w:highlight w:val="none"/>
        </w:rPr>
        <w:t>www.gxruizhen.com（广西瑞真工程造价咨询有限责任公司官网）</w:t>
      </w:r>
      <w:r>
        <w:rPr>
          <w:rFonts w:hint="eastAsia" w:ascii="宋体" w:hAnsi="宋体" w:eastAsia="宋体" w:cs="Arial"/>
          <w:color w:val="auto"/>
          <w:sz w:val="24"/>
          <w:highlight w:val="none"/>
          <w:lang w:eastAsia="zh-CN"/>
        </w:rPr>
        <w:t>。</w:t>
      </w:r>
    </w:p>
    <w:p w14:paraId="092F273F">
      <w:pPr>
        <w:keepNext w:val="0"/>
        <w:keepLines w:val="0"/>
        <w:pageBreakBefore w:val="0"/>
        <w:widowControl w:val="0"/>
        <w:kinsoku/>
        <w:wordWrap w:val="0"/>
        <w:overflowPunct/>
        <w:topLinePunct w:val="0"/>
        <w:autoSpaceDE/>
        <w:autoSpaceDN/>
        <w:bidi w:val="0"/>
        <w:adjustRightInd/>
        <w:spacing w:line="440" w:lineRule="exact"/>
        <w:ind w:firstLine="360" w:firstLineChars="15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kern w:val="0"/>
          <w:sz w:val="24"/>
          <w:szCs w:val="24"/>
          <w:highlight w:val="none"/>
        </w:rPr>
        <w:t>本项目需要落实的政府采购政策（由采购人或采购代理机构根据项目实际情况编写）</w:t>
      </w:r>
    </w:p>
    <w:p w14:paraId="5A3FD9FC">
      <w:pPr>
        <w:keepNext w:val="0"/>
        <w:keepLines w:val="0"/>
        <w:pageBreakBefore w:val="0"/>
        <w:widowControl w:val="0"/>
        <w:kinsoku/>
        <w:wordWrap w:val="0"/>
        <w:overflowPunct/>
        <w:topLinePunct w:val="0"/>
        <w:autoSpaceDE/>
        <w:autoSpaceDN/>
        <w:bidi w:val="0"/>
        <w:adjustRightInd/>
        <w:spacing w:line="440" w:lineRule="exact"/>
        <w:ind w:firstLine="360" w:firstLineChars="15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（1）政府采购促进中小企业发展。</w:t>
      </w:r>
    </w:p>
    <w:p w14:paraId="3D1CDAFD">
      <w:pPr>
        <w:keepNext w:val="0"/>
        <w:keepLines w:val="0"/>
        <w:pageBreakBefore w:val="0"/>
        <w:widowControl w:val="0"/>
        <w:kinsoku/>
        <w:wordWrap w:val="0"/>
        <w:overflowPunct/>
        <w:topLinePunct w:val="0"/>
        <w:autoSpaceDE/>
        <w:autoSpaceDN/>
        <w:bidi w:val="0"/>
        <w:adjustRightInd/>
        <w:spacing w:line="440" w:lineRule="exact"/>
        <w:ind w:firstLine="360" w:firstLineChars="15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（2）政府采购支持采用本国产品的政策。</w:t>
      </w:r>
    </w:p>
    <w:p w14:paraId="5CEC8A95">
      <w:pPr>
        <w:keepNext w:val="0"/>
        <w:keepLines w:val="0"/>
        <w:pageBreakBefore w:val="0"/>
        <w:widowControl w:val="0"/>
        <w:kinsoku/>
        <w:wordWrap w:val="0"/>
        <w:overflowPunct/>
        <w:topLinePunct w:val="0"/>
        <w:autoSpaceDE/>
        <w:autoSpaceDN/>
        <w:bidi w:val="0"/>
        <w:adjustRightInd/>
        <w:spacing w:line="440" w:lineRule="exact"/>
        <w:ind w:firstLine="360" w:firstLineChars="15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（3）强制采购节能产品；优先采购节能产品、环境标志产品。</w:t>
      </w:r>
    </w:p>
    <w:p w14:paraId="4B3712E1">
      <w:pPr>
        <w:keepNext w:val="0"/>
        <w:keepLines w:val="0"/>
        <w:pageBreakBefore w:val="0"/>
        <w:widowControl w:val="0"/>
        <w:kinsoku/>
        <w:wordWrap w:val="0"/>
        <w:overflowPunct/>
        <w:topLinePunct w:val="0"/>
        <w:autoSpaceDE/>
        <w:autoSpaceDN/>
        <w:bidi w:val="0"/>
        <w:adjustRightInd/>
        <w:spacing w:line="440" w:lineRule="exact"/>
        <w:ind w:firstLine="360" w:firstLineChars="15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（4）政府采购促进残疾人就业政策。</w:t>
      </w:r>
    </w:p>
    <w:p w14:paraId="51453577">
      <w:pPr>
        <w:keepNext w:val="0"/>
        <w:keepLines w:val="0"/>
        <w:pageBreakBefore w:val="0"/>
        <w:widowControl w:val="0"/>
        <w:kinsoku/>
        <w:wordWrap w:val="0"/>
        <w:overflowPunct/>
        <w:topLinePunct w:val="0"/>
        <w:autoSpaceDE/>
        <w:autoSpaceDN/>
        <w:bidi w:val="0"/>
        <w:adjustRightInd/>
        <w:spacing w:line="440" w:lineRule="exact"/>
        <w:ind w:firstLine="360" w:firstLineChars="15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（5）政府采购支持监狱企业发展。</w:t>
      </w:r>
    </w:p>
    <w:p w14:paraId="54E2956E">
      <w:pPr>
        <w:keepNext w:val="0"/>
        <w:keepLines w:val="0"/>
        <w:pageBreakBefore w:val="0"/>
        <w:widowControl w:val="0"/>
        <w:kinsoku/>
        <w:wordWrap w:val="0"/>
        <w:overflowPunct/>
        <w:topLinePunct w:val="0"/>
        <w:autoSpaceDE/>
        <w:autoSpaceDN/>
        <w:bidi w:val="0"/>
        <w:adjustRightInd/>
        <w:spacing w:line="440" w:lineRule="exact"/>
        <w:ind w:firstLine="360" w:firstLineChars="15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6049D7BD">
      <w:pPr>
        <w:keepNext w:val="0"/>
        <w:keepLines w:val="0"/>
        <w:pageBreakBefore w:val="0"/>
        <w:widowControl w:val="0"/>
        <w:kinsoku/>
        <w:wordWrap w:val="0"/>
        <w:overflowPunct/>
        <w:topLinePunct w:val="0"/>
        <w:autoSpaceDE/>
        <w:autoSpaceDN/>
        <w:bidi w:val="0"/>
        <w:adjustRightInd/>
        <w:spacing w:line="440" w:lineRule="exact"/>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 若对项目采购电子交易系统操作有疑问，可登录</w:t>
      </w:r>
      <w:r>
        <w:rPr>
          <w:rFonts w:hint="eastAsia" w:ascii="宋体" w:hAnsi="宋体" w:eastAsia="宋体" w:cs="宋体"/>
          <w:color w:val="auto"/>
          <w:kern w:val="0"/>
          <w:sz w:val="24"/>
          <w:szCs w:val="24"/>
          <w:highlight w:val="none"/>
          <w:lang w:eastAsia="zh-CN"/>
        </w:rPr>
        <w:t>广西政府采购云平台</w:t>
      </w:r>
      <w:r>
        <w:rPr>
          <w:rFonts w:hint="eastAsia" w:ascii="宋体" w:hAnsi="宋体" w:eastAsia="宋体" w:cs="宋体"/>
          <w:color w:val="auto"/>
          <w:sz w:val="24"/>
          <w:szCs w:val="24"/>
          <w:highlight w:val="none"/>
        </w:rPr>
        <w:t>（https://www.gcy.zfcg.gxzf.gov.cn/）</w:t>
      </w:r>
      <w:r>
        <w:rPr>
          <w:rFonts w:hint="eastAsia" w:ascii="宋体" w:hAnsi="宋体" w:eastAsia="宋体" w:cs="宋体"/>
          <w:color w:val="auto"/>
          <w:kern w:val="0"/>
          <w:sz w:val="24"/>
          <w:szCs w:val="24"/>
          <w:highlight w:val="none"/>
        </w:rPr>
        <w:t>，点击右侧咨询小采，获取采小蜜智能服务管家帮助，或拨打政采云服务热线95763获取热线服务帮助。</w:t>
      </w:r>
    </w:p>
    <w:p w14:paraId="434ECEB3">
      <w:pPr>
        <w:spacing w:line="440" w:lineRule="exact"/>
        <w:ind w:firstLine="482" w:firstLineChars="200"/>
        <w:rPr>
          <w:rFonts w:ascii="宋体" w:hAnsi="宋体" w:cs="宋体"/>
          <w:bCs/>
          <w:color w:val="auto"/>
          <w:sz w:val="24"/>
          <w:highlight w:val="none"/>
        </w:rPr>
      </w:pPr>
      <w:r>
        <w:rPr>
          <w:rFonts w:hint="eastAsia" w:ascii="宋体" w:hAnsi="宋体" w:cs="宋体"/>
          <w:b/>
          <w:color w:val="auto"/>
          <w:kern w:val="44"/>
          <w:sz w:val="24"/>
          <w:highlight w:val="none"/>
        </w:rPr>
        <w:t>八、凡对本次采购提出询问，请按以下方式联系</w:t>
      </w:r>
    </w:p>
    <w:p w14:paraId="5EA2B7CC">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bookmarkStart w:id="24" w:name="_Toc97909550"/>
      <w:r>
        <w:rPr>
          <w:rFonts w:hint="eastAsia" w:ascii="宋体" w:hAnsi="宋体" w:eastAsia="宋体" w:cs="宋体"/>
          <w:color w:val="auto"/>
          <w:kern w:val="2"/>
          <w:sz w:val="24"/>
          <w:szCs w:val="24"/>
          <w:highlight w:val="none"/>
          <w:lang w:val="en-US" w:eastAsia="zh-CN" w:bidi="ar-SA"/>
        </w:rPr>
        <w:t>1.采购人名称：广西医科大学附属武鸣医院</w:t>
      </w:r>
    </w:p>
    <w:p w14:paraId="14CF78C9">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地址：广西南宁市武鸣区永宁路26号</w:t>
      </w:r>
    </w:p>
    <w:p w14:paraId="5E1E9D9D">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联系人及联系电话:</w:t>
      </w:r>
      <w:r>
        <w:rPr>
          <w:rFonts w:hint="eastAsia" w:ascii="宋体" w:hAnsi="宋体" w:cs="宋体"/>
          <w:color w:val="auto"/>
          <w:kern w:val="2"/>
          <w:sz w:val="24"/>
          <w:szCs w:val="24"/>
          <w:highlight w:val="none"/>
          <w:lang w:val="en-US" w:eastAsia="zh-CN" w:bidi="ar-SA"/>
        </w:rPr>
        <w:t>冼</w:t>
      </w:r>
      <w:r>
        <w:rPr>
          <w:rFonts w:hint="eastAsia" w:ascii="宋体" w:hAnsi="宋体" w:eastAsia="宋体" w:cs="宋体"/>
          <w:color w:val="auto"/>
          <w:kern w:val="2"/>
          <w:sz w:val="24"/>
          <w:szCs w:val="24"/>
          <w:highlight w:val="none"/>
          <w:lang w:val="en-US" w:eastAsia="zh-CN" w:bidi="ar-SA"/>
        </w:rPr>
        <w:t>老师（0771-6200039）</w:t>
      </w:r>
    </w:p>
    <w:p w14:paraId="23992466">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2.采购代理机构名称：广西瑞真工程造价咨询有限责任公司</w:t>
      </w:r>
    </w:p>
    <w:p w14:paraId="016B8B6F">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地址：南宁市青秀区竹溪大道2号荣恒</w:t>
      </w:r>
      <w:r>
        <w:rPr>
          <w:rFonts w:hint="eastAsia" w:ascii="宋体" w:hAnsi="宋体" w:cs="宋体"/>
          <w:color w:val="auto"/>
          <w:kern w:val="2"/>
          <w:sz w:val="24"/>
          <w:szCs w:val="24"/>
          <w:highlight w:val="none"/>
          <w:lang w:val="en-US" w:eastAsia="zh-CN" w:bidi="ar-SA"/>
        </w:rPr>
        <w:t>国际</w:t>
      </w:r>
      <w:r>
        <w:rPr>
          <w:rFonts w:hint="eastAsia" w:ascii="宋体" w:hAnsi="宋体" w:eastAsia="宋体" w:cs="宋体"/>
          <w:color w:val="auto"/>
          <w:kern w:val="2"/>
          <w:sz w:val="24"/>
          <w:szCs w:val="24"/>
          <w:highlight w:val="none"/>
          <w:lang w:val="en-US" w:eastAsia="zh-CN" w:bidi="ar-SA"/>
        </w:rPr>
        <w:t>名都A座10层11号</w:t>
      </w:r>
    </w:p>
    <w:p w14:paraId="5A16B7B4">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项目负责人联系电话：陈雪姣、</w:t>
      </w:r>
      <w:r>
        <w:rPr>
          <w:rFonts w:hint="eastAsia" w:ascii="宋体" w:hAnsi="宋体" w:cs="宋体"/>
          <w:color w:val="auto"/>
          <w:kern w:val="2"/>
          <w:sz w:val="24"/>
          <w:szCs w:val="24"/>
          <w:highlight w:val="none"/>
          <w:lang w:val="en-US" w:eastAsia="zh-CN" w:bidi="ar-SA"/>
        </w:rPr>
        <w:t>张业满</w:t>
      </w:r>
      <w:r>
        <w:rPr>
          <w:rFonts w:hint="eastAsia" w:ascii="宋体" w:hAnsi="宋体" w:eastAsia="宋体" w:cs="宋体"/>
          <w:color w:val="auto"/>
          <w:kern w:val="2"/>
          <w:sz w:val="24"/>
          <w:szCs w:val="24"/>
          <w:highlight w:val="none"/>
          <w:lang w:val="en-US" w:eastAsia="zh-CN" w:bidi="ar-SA"/>
        </w:rPr>
        <w:t>、周筱熙（0771-5800672）</w:t>
      </w:r>
    </w:p>
    <w:p w14:paraId="00F4CD19">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3.项目联系方式</w:t>
      </w:r>
    </w:p>
    <w:p w14:paraId="51471CA8">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项目联系人：陈工</w:t>
      </w:r>
    </w:p>
    <w:p w14:paraId="04C7ECDD">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电　话：0771-5800672</w:t>
      </w:r>
    </w:p>
    <w:p w14:paraId="24E81456">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4.监督部门：广西壮族自治区财政厅政府采购监督管理处</w:t>
      </w:r>
    </w:p>
    <w:p w14:paraId="7DE9D1FE">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地址：南宁市桃源路69号</w:t>
      </w:r>
    </w:p>
    <w:p w14:paraId="4A260280">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ascii="宋体" w:hAnsi="宋体" w:eastAsia="宋体" w:cs="宋体"/>
          <w:color w:val="auto"/>
          <w:kern w:val="2"/>
          <w:sz w:val="24"/>
          <w:szCs w:val="24"/>
          <w:highlight w:val="none"/>
          <w:u w:val="single"/>
          <w:lang w:val="en-US" w:eastAsia="zh-CN" w:bidi="ar-SA"/>
        </w:rPr>
      </w:pPr>
      <w:r>
        <w:rPr>
          <w:rFonts w:hint="eastAsia" w:ascii="宋体" w:hAnsi="宋体" w:eastAsia="宋体" w:cs="宋体"/>
          <w:color w:val="auto"/>
          <w:kern w:val="2"/>
          <w:sz w:val="24"/>
          <w:szCs w:val="24"/>
          <w:highlight w:val="none"/>
          <w:lang w:val="en-US" w:eastAsia="zh-CN" w:bidi="ar-SA"/>
        </w:rPr>
        <w:t>电 话：0771-5331544</w:t>
      </w:r>
    </w:p>
    <w:p w14:paraId="7E81A85E">
      <w:pPr>
        <w:widowControl w:val="0"/>
        <w:wordWrap w:val="0"/>
        <w:spacing w:line="400" w:lineRule="exact"/>
        <w:jc w:val="left"/>
        <w:rPr>
          <w:rFonts w:ascii="宋体" w:hAnsi="宋体" w:eastAsia="宋体" w:cs="宋体"/>
          <w:color w:val="auto"/>
          <w:kern w:val="2"/>
          <w:sz w:val="24"/>
          <w:szCs w:val="24"/>
          <w:highlight w:val="none"/>
          <w:u w:val="single"/>
          <w:lang w:val="en-US" w:eastAsia="zh-CN" w:bidi="ar-SA"/>
        </w:rPr>
      </w:pPr>
    </w:p>
    <w:p w14:paraId="1D8C4EF0">
      <w:pPr>
        <w:wordWrap w:val="0"/>
        <w:spacing w:line="400" w:lineRule="exact"/>
        <w:ind w:right="420"/>
        <w:jc w:val="right"/>
        <w:rPr>
          <w:rFonts w:ascii="宋体" w:hAnsi="宋体" w:eastAsia="宋体" w:cs="宋体"/>
          <w:color w:val="auto"/>
          <w:sz w:val="24"/>
          <w:highlight w:val="none"/>
          <w:u w:val="none"/>
        </w:rPr>
      </w:pPr>
      <w:r>
        <w:rPr>
          <w:rFonts w:hint="eastAsia" w:ascii="宋体" w:hAnsi="宋体" w:eastAsia="宋体" w:cs="宋体"/>
          <w:color w:val="auto"/>
          <w:sz w:val="24"/>
          <w:highlight w:val="none"/>
          <w:u w:val="none"/>
        </w:rPr>
        <w:t>广西瑞真工程造价咨询有限责任公司</w:t>
      </w:r>
    </w:p>
    <w:p w14:paraId="3BDC9A06">
      <w:pPr>
        <w:wordWrap w:val="0"/>
        <w:spacing w:line="400" w:lineRule="exact"/>
        <w:ind w:right="420" w:firstLine="6480" w:firstLineChars="2700"/>
        <w:jc w:val="right"/>
        <w:rPr>
          <w:rFonts w:ascii="宋体" w:hAnsi="宋体" w:eastAsia="宋体" w:cs="宋体"/>
          <w:color w:val="auto"/>
          <w:sz w:val="24"/>
          <w:highlight w:val="none"/>
        </w:rPr>
      </w:pPr>
      <w:r>
        <w:rPr>
          <w:rFonts w:hint="eastAsia" w:ascii="宋体" w:hAnsi="宋体" w:eastAsia="宋体" w:cs="宋体"/>
          <w:color w:val="auto"/>
          <w:sz w:val="24"/>
          <w:highlight w:val="none"/>
          <w:u w:val="none"/>
        </w:rPr>
        <w:t>20</w:t>
      </w:r>
      <w:r>
        <w:rPr>
          <w:rFonts w:hint="eastAsia" w:ascii="宋体" w:hAnsi="宋体" w:eastAsia="宋体" w:cs="宋体"/>
          <w:color w:val="auto"/>
          <w:sz w:val="24"/>
          <w:highlight w:val="none"/>
          <w:u w:val="none"/>
          <w:lang w:val="en-US" w:eastAsia="zh-CN"/>
        </w:rPr>
        <w:t>26</w:t>
      </w:r>
      <w:r>
        <w:rPr>
          <w:rFonts w:hint="eastAsia" w:ascii="宋体" w:hAnsi="宋体" w:eastAsia="宋体" w:cs="宋体"/>
          <w:color w:val="auto"/>
          <w:sz w:val="24"/>
          <w:highlight w:val="none"/>
          <w:u w:val="none"/>
        </w:rPr>
        <w:t>年</w:t>
      </w:r>
      <w:r>
        <w:rPr>
          <w:rFonts w:hint="eastAsia" w:ascii="宋体" w:hAnsi="宋体" w:cs="宋体"/>
          <w:color w:val="auto"/>
          <w:sz w:val="24"/>
          <w:highlight w:val="none"/>
          <w:u w:val="none"/>
          <w:lang w:val="en-US" w:eastAsia="zh-CN"/>
        </w:rPr>
        <w:t>8</w:t>
      </w:r>
      <w:r>
        <w:rPr>
          <w:rFonts w:hint="eastAsia" w:ascii="宋体" w:hAnsi="宋体" w:eastAsia="宋体" w:cs="宋体"/>
          <w:color w:val="auto"/>
          <w:sz w:val="24"/>
          <w:highlight w:val="none"/>
          <w:u w:val="none"/>
        </w:rPr>
        <w:t>月</w:t>
      </w:r>
      <w:r>
        <w:rPr>
          <w:rFonts w:hint="eastAsia" w:ascii="宋体" w:hAnsi="宋体" w:cs="宋体"/>
          <w:color w:val="auto"/>
          <w:sz w:val="24"/>
          <w:highlight w:val="none"/>
          <w:u w:val="none"/>
          <w:lang w:val="en-US" w:eastAsia="zh-CN"/>
        </w:rPr>
        <w:t>17</w:t>
      </w:r>
      <w:r>
        <w:rPr>
          <w:rFonts w:hint="eastAsia" w:ascii="宋体" w:hAnsi="宋体" w:eastAsia="宋体" w:cs="宋体"/>
          <w:color w:val="auto"/>
          <w:sz w:val="24"/>
          <w:highlight w:val="none"/>
          <w:u w:val="none"/>
        </w:rPr>
        <w:t>日</w:t>
      </w:r>
    </w:p>
    <w:p w14:paraId="50252170">
      <w:pPr>
        <w:keepNext/>
        <w:keepLines/>
        <w:spacing w:before="340" w:after="330" w:line="400" w:lineRule="exact"/>
        <w:jc w:val="center"/>
        <w:outlineLvl w:val="0"/>
        <w:rPr>
          <w:rFonts w:ascii="宋体" w:hAnsi="宋体" w:cs="宋体"/>
          <w:b/>
          <w:bCs/>
          <w:color w:val="auto"/>
          <w:kern w:val="44"/>
          <w:sz w:val="44"/>
          <w:szCs w:val="44"/>
          <w:highlight w:val="none"/>
        </w:rPr>
      </w:pPr>
    </w:p>
    <w:p w14:paraId="33C6AE2D">
      <w:pPr>
        <w:keepNext/>
        <w:keepLines/>
        <w:pageBreakBefore/>
        <w:spacing w:before="340" w:after="330" w:line="560" w:lineRule="exact"/>
        <w:jc w:val="center"/>
        <w:outlineLvl w:val="0"/>
        <w:rPr>
          <w:rFonts w:ascii="宋体" w:hAnsi="宋体" w:cs="宋体"/>
          <w:b/>
          <w:bCs/>
          <w:color w:val="auto"/>
          <w:kern w:val="44"/>
          <w:sz w:val="44"/>
          <w:szCs w:val="44"/>
          <w:highlight w:val="none"/>
        </w:rPr>
      </w:pPr>
      <w:bookmarkStart w:id="25" w:name="_Toc4012"/>
      <w:bookmarkStart w:id="26" w:name="_Toc23109"/>
      <w:r>
        <w:rPr>
          <w:rFonts w:hint="eastAsia" w:ascii="宋体" w:hAnsi="宋体" w:cs="宋体"/>
          <w:b/>
          <w:bCs/>
          <w:color w:val="auto"/>
          <w:kern w:val="44"/>
          <w:sz w:val="44"/>
          <w:szCs w:val="44"/>
          <w:highlight w:val="none"/>
        </w:rPr>
        <w:t>第二章 采购需求</w:t>
      </w:r>
      <w:bookmarkEnd w:id="24"/>
      <w:bookmarkEnd w:id="25"/>
      <w:bookmarkEnd w:id="26"/>
    </w:p>
    <w:p w14:paraId="6853483C">
      <w:pPr>
        <w:spacing w:line="560" w:lineRule="exact"/>
        <w:ind w:firstLine="562" w:firstLineChars="200"/>
        <w:jc w:val="left"/>
        <w:rPr>
          <w:rFonts w:ascii="宋体" w:hAnsi="宋体" w:cs="宋体"/>
          <w:b/>
          <w:bCs/>
          <w:color w:val="auto"/>
          <w:sz w:val="28"/>
          <w:szCs w:val="28"/>
          <w:highlight w:val="none"/>
        </w:rPr>
      </w:pPr>
      <w:r>
        <w:rPr>
          <w:rFonts w:hint="eastAsia" w:ascii="宋体" w:hAnsi="宋体" w:cs="宋体"/>
          <w:b/>
          <w:bCs/>
          <w:color w:val="auto"/>
          <w:sz w:val="28"/>
          <w:szCs w:val="28"/>
          <w:highlight w:val="none"/>
        </w:rPr>
        <w:t>说明：</w:t>
      </w:r>
    </w:p>
    <w:p w14:paraId="5C71B09D">
      <w:pPr>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1.为落实政府采购政策需满足的要求：</w:t>
      </w:r>
    </w:p>
    <w:p w14:paraId="04647903">
      <w:pPr>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（1）本</w:t>
      </w:r>
      <w:r>
        <w:rPr>
          <w:rFonts w:hint="eastAsia" w:ascii="宋体" w:hAnsi="宋体" w:cs="宋体"/>
          <w:color w:val="auto"/>
          <w:sz w:val="24"/>
          <w:highlight w:val="none"/>
          <w:lang w:val="en-US" w:eastAsia="zh-CN"/>
        </w:rPr>
        <w:t>磋商</w:t>
      </w:r>
      <w:r>
        <w:rPr>
          <w:rFonts w:hint="eastAsia" w:ascii="宋体" w:hAnsi="宋体" w:cs="宋体"/>
          <w:color w:val="auto"/>
          <w:sz w:val="24"/>
          <w:highlight w:val="none"/>
        </w:rPr>
        <w:t>文件所称中小企业必须符合《政府采购促进中小企业发展管理办法》（财库〔2020〕46号）的规定。</w:t>
      </w:r>
    </w:p>
    <w:p w14:paraId="195A5A52">
      <w:pPr>
        <w:spacing w:line="480" w:lineRule="exact"/>
        <w:ind w:firstLine="484" w:firstLineChars="202"/>
        <w:jc w:val="left"/>
        <w:rPr>
          <w:rFonts w:ascii="宋体" w:hAnsi="宋体" w:cs="宋体"/>
          <w:color w:val="auto"/>
          <w:sz w:val="24"/>
          <w:highlight w:val="none"/>
        </w:rPr>
      </w:pPr>
      <w:r>
        <w:rPr>
          <w:rFonts w:hint="eastAsia" w:ascii="宋体" w:hAnsi="宋体" w:cs="宋体"/>
          <w:color w:val="auto"/>
          <w:sz w:val="24"/>
          <w:highlight w:val="none"/>
        </w:rPr>
        <w:t>（2）服务项目中伴随货物的，根据《财政部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附件1），</w:t>
      </w:r>
      <w:r>
        <w:rPr>
          <w:rFonts w:hint="eastAsia" w:ascii="宋体" w:hAnsi="宋体" w:cs="宋体"/>
          <w:color w:val="auto"/>
          <w:sz w:val="24"/>
          <w:highlight w:val="none"/>
          <w:lang w:val="en-US" w:eastAsia="zh-CN"/>
        </w:rPr>
        <w:t>竞</w:t>
      </w:r>
      <w:r>
        <w:rPr>
          <w:rFonts w:hint="eastAsia" w:ascii="宋体" w:hAnsi="宋体" w:cs="宋体"/>
          <w:color w:val="auto"/>
          <w:sz w:val="24"/>
          <w:highlight w:val="none"/>
        </w:rPr>
        <w:t>标人的</w:t>
      </w:r>
      <w:r>
        <w:rPr>
          <w:rFonts w:hint="eastAsia" w:ascii="宋体" w:hAnsi="宋体" w:cs="宋体"/>
          <w:color w:val="auto"/>
          <w:sz w:val="24"/>
          <w:highlight w:val="none"/>
          <w:lang w:val="en-US" w:eastAsia="zh-CN"/>
        </w:rPr>
        <w:t>竞</w:t>
      </w:r>
      <w:r>
        <w:rPr>
          <w:rFonts w:hint="eastAsia" w:ascii="宋体" w:hAnsi="宋体" w:cs="宋体"/>
          <w:color w:val="auto"/>
          <w:sz w:val="24"/>
          <w:highlight w:val="none"/>
        </w:rPr>
        <w:t>标货物必须使用政府强制采购的节能产品，</w:t>
      </w:r>
      <w:r>
        <w:rPr>
          <w:rFonts w:hint="eastAsia" w:ascii="宋体" w:hAnsi="宋体" w:cs="宋体"/>
          <w:color w:val="auto"/>
          <w:sz w:val="24"/>
          <w:highlight w:val="none"/>
          <w:lang w:val="en-US" w:eastAsia="zh-CN"/>
        </w:rPr>
        <w:t>竞</w:t>
      </w:r>
      <w:r>
        <w:rPr>
          <w:rFonts w:hint="eastAsia" w:ascii="宋体" w:hAnsi="宋体" w:cs="宋体"/>
          <w:color w:val="auto"/>
          <w:sz w:val="24"/>
          <w:highlight w:val="none"/>
        </w:rPr>
        <w:t>标人必须在</w:t>
      </w:r>
      <w:r>
        <w:rPr>
          <w:rFonts w:hint="eastAsia" w:ascii="宋体" w:hAnsi="宋体" w:cs="宋体"/>
          <w:color w:val="auto"/>
          <w:sz w:val="24"/>
          <w:highlight w:val="none"/>
          <w:lang w:val="en-US" w:eastAsia="zh-CN"/>
        </w:rPr>
        <w:t>竞</w:t>
      </w:r>
      <w:r>
        <w:rPr>
          <w:rFonts w:hint="eastAsia" w:ascii="宋体" w:hAnsi="宋体" w:cs="宋体"/>
          <w:color w:val="auto"/>
          <w:sz w:val="24"/>
          <w:highlight w:val="none"/>
        </w:rPr>
        <w:t>标文件中提供所</w:t>
      </w:r>
      <w:r>
        <w:rPr>
          <w:rFonts w:hint="eastAsia" w:ascii="宋体" w:hAnsi="宋体" w:cs="宋体"/>
          <w:color w:val="auto"/>
          <w:sz w:val="24"/>
          <w:highlight w:val="none"/>
          <w:lang w:val="en-US" w:eastAsia="zh-CN"/>
        </w:rPr>
        <w:t>竞</w:t>
      </w:r>
      <w:r>
        <w:rPr>
          <w:rFonts w:hint="eastAsia" w:ascii="宋体" w:hAnsi="宋体" w:cs="宋体"/>
          <w:color w:val="auto"/>
          <w:sz w:val="24"/>
          <w:highlight w:val="none"/>
        </w:rPr>
        <w:t>标产品的节能产品认证证书复印件（加盖</w:t>
      </w:r>
      <w:r>
        <w:rPr>
          <w:rFonts w:hint="eastAsia" w:ascii="宋体" w:hAnsi="宋体" w:cs="宋体"/>
          <w:color w:val="auto"/>
          <w:sz w:val="24"/>
          <w:highlight w:val="none"/>
          <w:lang w:val="en-US" w:eastAsia="zh-CN"/>
        </w:rPr>
        <w:t>竞</w:t>
      </w:r>
      <w:r>
        <w:rPr>
          <w:rFonts w:hint="eastAsia" w:ascii="宋体" w:hAnsi="宋体" w:cs="宋体"/>
          <w:color w:val="auto"/>
          <w:sz w:val="24"/>
          <w:highlight w:val="none"/>
        </w:rPr>
        <w:t>标人电子公章），否则</w:t>
      </w:r>
      <w:r>
        <w:rPr>
          <w:rFonts w:hint="eastAsia" w:ascii="宋体" w:hAnsi="宋体" w:cs="宋体"/>
          <w:color w:val="auto"/>
          <w:sz w:val="24"/>
          <w:highlight w:val="none"/>
          <w:lang w:val="en-US" w:eastAsia="zh-CN"/>
        </w:rPr>
        <w:t>竞</w:t>
      </w:r>
      <w:r>
        <w:rPr>
          <w:rFonts w:hint="eastAsia" w:ascii="宋体" w:hAnsi="宋体" w:cs="宋体"/>
          <w:color w:val="auto"/>
          <w:sz w:val="24"/>
          <w:highlight w:val="none"/>
        </w:rPr>
        <w:t>标文件作无效处理。如本项目包含的货物属于品目清单内非标注“★”的产品时，应优先采购，具体详见“第四章 评标方法和评标标准”。</w:t>
      </w:r>
    </w:p>
    <w:p w14:paraId="6F72D6F1">
      <w:pPr>
        <w:spacing w:line="480" w:lineRule="exact"/>
        <w:ind w:firstLine="484" w:firstLineChars="202"/>
        <w:jc w:val="left"/>
        <w:rPr>
          <w:rFonts w:ascii="宋体" w:hAnsi="宋体" w:cs="宋体"/>
          <w:color w:val="auto"/>
          <w:sz w:val="24"/>
          <w:highlight w:val="none"/>
        </w:rPr>
      </w:pPr>
      <w:r>
        <w:rPr>
          <w:rFonts w:hint="eastAsia" w:ascii="宋体" w:hAnsi="宋体" w:cs="宋体"/>
          <w:color w:val="auto"/>
          <w:sz w:val="24"/>
          <w:highlight w:val="none"/>
        </w:rPr>
        <w:t>2.“实质性要求”是指</w:t>
      </w:r>
      <w:r>
        <w:rPr>
          <w:rFonts w:hint="eastAsia" w:ascii="宋体" w:hAnsi="宋体" w:cs="宋体"/>
          <w:color w:val="auto"/>
          <w:sz w:val="24"/>
          <w:highlight w:val="none"/>
          <w:lang w:val="en-US" w:eastAsia="zh-CN"/>
        </w:rPr>
        <w:t>磋商</w:t>
      </w:r>
      <w:r>
        <w:rPr>
          <w:rFonts w:hint="eastAsia" w:ascii="宋体" w:hAnsi="宋体" w:cs="宋体"/>
          <w:color w:val="auto"/>
          <w:sz w:val="24"/>
          <w:highlight w:val="none"/>
        </w:rPr>
        <w:t>文件中已经指明不满足则</w:t>
      </w:r>
      <w:r>
        <w:rPr>
          <w:rFonts w:hint="eastAsia" w:ascii="宋体" w:hAnsi="宋体" w:cs="宋体"/>
          <w:color w:val="auto"/>
          <w:sz w:val="24"/>
          <w:highlight w:val="none"/>
          <w:lang w:val="en-US" w:eastAsia="zh-CN"/>
        </w:rPr>
        <w:t>竞标</w:t>
      </w:r>
      <w:r>
        <w:rPr>
          <w:rFonts w:hint="eastAsia" w:ascii="宋体" w:hAnsi="宋体" w:cs="宋体"/>
          <w:color w:val="auto"/>
          <w:sz w:val="24"/>
          <w:highlight w:val="none"/>
        </w:rPr>
        <w:t>无效的条款，或者不能负偏离的条款，或者采购需求中带“▲”的条款。</w:t>
      </w:r>
    </w:p>
    <w:p w14:paraId="353A7069">
      <w:pPr>
        <w:spacing w:line="480" w:lineRule="exact"/>
        <w:ind w:firstLine="487" w:firstLineChars="202"/>
        <w:jc w:val="left"/>
        <w:rPr>
          <w:rFonts w:ascii="宋体" w:hAnsi="宋体" w:cs="宋体"/>
          <w:b/>
          <w:bCs/>
          <w:color w:val="auto"/>
          <w:sz w:val="24"/>
          <w:highlight w:val="none"/>
        </w:rPr>
      </w:pPr>
      <w:r>
        <w:rPr>
          <w:rFonts w:hint="eastAsia" w:ascii="宋体" w:hAnsi="宋体" w:cs="宋体"/>
          <w:b/>
          <w:bCs/>
          <w:color w:val="auto"/>
          <w:sz w:val="24"/>
          <w:highlight w:val="none"/>
        </w:rPr>
        <w:t>3.不需要</w:t>
      </w:r>
      <w:r>
        <w:rPr>
          <w:rFonts w:hint="eastAsia" w:ascii="宋体" w:hAnsi="宋体" w:cs="宋体"/>
          <w:b/>
          <w:bCs/>
          <w:color w:val="auto"/>
          <w:sz w:val="24"/>
          <w:highlight w:val="none"/>
          <w:lang w:val="en-US" w:eastAsia="zh-CN"/>
        </w:rPr>
        <w:t>竞</w:t>
      </w:r>
      <w:r>
        <w:rPr>
          <w:rFonts w:hint="eastAsia" w:ascii="宋体" w:hAnsi="宋体" w:cs="宋体"/>
          <w:b/>
          <w:bCs/>
          <w:color w:val="auto"/>
          <w:sz w:val="24"/>
          <w:highlight w:val="none"/>
        </w:rPr>
        <w:t>标人对采购需求响应为具体数值的，此采购需求的数值后将以◆号标注。</w:t>
      </w:r>
    </w:p>
    <w:p w14:paraId="5ABFAB71">
      <w:pPr>
        <w:spacing w:line="480" w:lineRule="exact"/>
        <w:ind w:firstLine="484" w:firstLineChars="202"/>
        <w:jc w:val="left"/>
        <w:rPr>
          <w:rFonts w:ascii="宋体" w:hAnsi="宋体" w:cs="宋体"/>
          <w:color w:val="auto"/>
          <w:sz w:val="24"/>
          <w:highlight w:val="none"/>
        </w:rPr>
      </w:pPr>
      <w:r>
        <w:rPr>
          <w:rFonts w:hint="eastAsia" w:ascii="宋体" w:hAnsi="宋体" w:cs="宋体"/>
          <w:color w:val="auto"/>
          <w:sz w:val="24"/>
          <w:highlight w:val="none"/>
        </w:rPr>
        <w:t>4.如</w:t>
      </w:r>
      <w:r>
        <w:rPr>
          <w:rFonts w:hint="eastAsia" w:ascii="宋体" w:hAnsi="宋体" w:cs="宋体"/>
          <w:color w:val="auto"/>
          <w:sz w:val="24"/>
          <w:highlight w:val="none"/>
          <w:lang w:val="en-US" w:eastAsia="zh-CN"/>
        </w:rPr>
        <w:t>竞</w:t>
      </w:r>
      <w:r>
        <w:rPr>
          <w:rFonts w:hint="eastAsia" w:ascii="宋体" w:hAnsi="宋体" w:cs="宋体"/>
          <w:color w:val="auto"/>
          <w:sz w:val="24"/>
          <w:highlight w:val="none"/>
        </w:rPr>
        <w:t>标人</w:t>
      </w:r>
      <w:r>
        <w:rPr>
          <w:rFonts w:hint="eastAsia" w:ascii="宋体" w:hAnsi="宋体" w:cs="宋体"/>
          <w:color w:val="auto"/>
          <w:sz w:val="24"/>
          <w:highlight w:val="none"/>
          <w:lang w:val="en-US" w:eastAsia="zh-CN"/>
        </w:rPr>
        <w:t>竞</w:t>
      </w:r>
      <w:r>
        <w:rPr>
          <w:rFonts w:hint="eastAsia" w:ascii="宋体" w:hAnsi="宋体" w:cs="宋体"/>
          <w:color w:val="auto"/>
          <w:sz w:val="24"/>
          <w:highlight w:val="none"/>
        </w:rPr>
        <w:t>标产品存在侵犯他人的知识产权或者专利成果行为的，应承担相应法律责任。</w:t>
      </w:r>
    </w:p>
    <w:p w14:paraId="6199221C">
      <w:pPr>
        <w:spacing w:line="480" w:lineRule="exact"/>
        <w:ind w:firstLine="484" w:firstLineChars="202"/>
        <w:jc w:val="left"/>
        <w:rPr>
          <w:color w:val="auto"/>
          <w:highlight w:val="none"/>
        </w:rPr>
      </w:pPr>
      <w:r>
        <w:rPr>
          <w:rFonts w:hint="eastAsia" w:ascii="宋体" w:hAnsi="宋体" w:cs="宋体"/>
          <w:color w:val="auto"/>
          <w:sz w:val="24"/>
          <w:highlight w:val="none"/>
        </w:rPr>
        <w:t>5.本项目所属行业为：</w:t>
      </w:r>
      <w:r>
        <w:rPr>
          <w:rFonts w:hint="eastAsia" w:ascii="宋体" w:hAnsi="宋体" w:eastAsia="宋体" w:cs="宋体"/>
          <w:b/>
          <w:bCs w:val="0"/>
          <w:color w:val="auto"/>
          <w:kern w:val="2"/>
          <w:sz w:val="24"/>
          <w:szCs w:val="24"/>
          <w:highlight w:val="none"/>
        </w:rPr>
        <w:t>其他未列明行业</w:t>
      </w:r>
      <w:r>
        <w:rPr>
          <w:rFonts w:hint="eastAsia" w:ascii="宋体" w:hAnsi="宋体" w:cs="宋体"/>
          <w:b/>
          <w:color w:val="auto"/>
          <w:sz w:val="24"/>
          <w:highlight w:val="none"/>
        </w:rPr>
        <w:t>（中小企业划分标准所属行业名称（行业名称及划分见本章附件2））</w:t>
      </w:r>
    </w:p>
    <w:p w14:paraId="66CA51DC">
      <w:pPr>
        <w:pageBreakBefore/>
        <w:spacing w:line="400" w:lineRule="exact"/>
        <w:jc w:val="left"/>
        <w:rPr>
          <w:rFonts w:ascii="宋体" w:hAnsi="宋体" w:cs="宋体"/>
          <w:b/>
          <w:color w:val="auto"/>
          <w:sz w:val="24"/>
          <w:highlight w:val="none"/>
        </w:rPr>
      </w:pPr>
    </w:p>
    <w:tbl>
      <w:tblPr>
        <w:tblStyle w:val="33"/>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6"/>
        <w:gridCol w:w="1725"/>
        <w:gridCol w:w="512"/>
        <w:gridCol w:w="7602"/>
      </w:tblGrid>
      <w:tr w14:paraId="45A6C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366" w:type="dxa"/>
            <w:tcBorders>
              <w:top w:val="single" w:color="auto" w:sz="4" w:space="0"/>
              <w:left w:val="single" w:color="auto" w:sz="4" w:space="0"/>
              <w:bottom w:val="single" w:color="auto" w:sz="4" w:space="0"/>
              <w:right w:val="single" w:color="auto" w:sz="4" w:space="0"/>
            </w:tcBorders>
            <w:vAlign w:val="center"/>
          </w:tcPr>
          <w:p w14:paraId="30BFBB2E">
            <w:pPr>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1725" w:type="dxa"/>
            <w:tcBorders>
              <w:top w:val="single" w:color="auto" w:sz="4" w:space="0"/>
              <w:left w:val="single" w:color="auto" w:sz="4" w:space="0"/>
              <w:bottom w:val="single" w:color="auto" w:sz="4" w:space="0"/>
              <w:right w:val="single" w:color="auto" w:sz="4" w:space="0"/>
            </w:tcBorders>
            <w:vAlign w:val="center"/>
          </w:tcPr>
          <w:p w14:paraId="3E524399">
            <w:pPr>
              <w:jc w:val="center"/>
              <w:rPr>
                <w:rFonts w:hint="eastAsia" w:ascii="宋体" w:hAnsi="宋体" w:cs="宋体"/>
                <w:b/>
                <w:color w:val="auto"/>
                <w:sz w:val="24"/>
                <w:highlight w:val="none"/>
              </w:rPr>
            </w:pPr>
            <w:r>
              <w:rPr>
                <w:rFonts w:hint="eastAsia" w:ascii="宋体" w:hAnsi="宋体" w:cs="宋体"/>
                <w:b/>
                <w:color w:val="auto"/>
                <w:sz w:val="24"/>
                <w:highlight w:val="none"/>
              </w:rPr>
              <w:t>服务名称</w:t>
            </w:r>
          </w:p>
          <w:p w14:paraId="774CBD70">
            <w:pPr>
              <w:pStyle w:val="42"/>
              <w:jc w:val="both"/>
              <w:rPr>
                <w:color w:val="auto"/>
                <w:highlight w:val="none"/>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标的名称</w:t>
            </w:r>
            <w:r>
              <w:rPr>
                <w:rFonts w:hint="eastAsia" w:ascii="宋体" w:hAnsi="宋体" w:eastAsia="宋体" w:cs="宋体"/>
                <w:b/>
                <w:bCs/>
                <w:color w:val="auto"/>
                <w:sz w:val="24"/>
                <w:szCs w:val="24"/>
                <w:highlight w:val="none"/>
                <w:lang w:eastAsia="zh-CN"/>
              </w:rPr>
              <w:t>）</w:t>
            </w:r>
          </w:p>
        </w:tc>
        <w:tc>
          <w:tcPr>
            <w:tcW w:w="512" w:type="dxa"/>
            <w:tcBorders>
              <w:top w:val="single" w:color="auto" w:sz="4" w:space="0"/>
              <w:left w:val="single" w:color="auto" w:sz="4" w:space="0"/>
              <w:bottom w:val="single" w:color="auto" w:sz="4" w:space="0"/>
              <w:right w:val="single" w:color="auto" w:sz="4" w:space="0"/>
            </w:tcBorders>
            <w:vAlign w:val="center"/>
          </w:tcPr>
          <w:p w14:paraId="5837E76F">
            <w:pPr>
              <w:jc w:val="center"/>
              <w:rPr>
                <w:rFonts w:ascii="宋体" w:hAnsi="宋体" w:cs="宋体"/>
                <w:b/>
                <w:color w:val="auto"/>
                <w:sz w:val="24"/>
                <w:highlight w:val="none"/>
              </w:rPr>
            </w:pPr>
            <w:r>
              <w:rPr>
                <w:rFonts w:hint="eastAsia" w:ascii="宋体" w:hAnsi="宋体" w:cs="宋体"/>
                <w:b/>
                <w:color w:val="auto"/>
                <w:sz w:val="24"/>
                <w:highlight w:val="none"/>
              </w:rPr>
              <w:t>数量</w:t>
            </w:r>
          </w:p>
        </w:tc>
        <w:tc>
          <w:tcPr>
            <w:tcW w:w="7602" w:type="dxa"/>
            <w:tcBorders>
              <w:top w:val="single" w:color="auto" w:sz="4" w:space="0"/>
              <w:left w:val="single" w:color="auto" w:sz="4" w:space="0"/>
              <w:bottom w:val="single" w:color="auto" w:sz="4" w:space="0"/>
              <w:right w:val="single" w:color="auto" w:sz="4" w:space="0"/>
            </w:tcBorders>
            <w:vAlign w:val="center"/>
          </w:tcPr>
          <w:p w14:paraId="38983260">
            <w:pPr>
              <w:jc w:val="center"/>
              <w:rPr>
                <w:rFonts w:ascii="宋体" w:hAnsi="宋体" w:cs="宋体"/>
                <w:b/>
                <w:color w:val="auto"/>
                <w:sz w:val="24"/>
                <w:highlight w:val="none"/>
              </w:rPr>
            </w:pPr>
            <w:r>
              <w:rPr>
                <w:rFonts w:hint="eastAsia" w:ascii="宋体" w:hAnsi="宋体" w:cs="宋体"/>
                <w:b/>
                <w:color w:val="auto"/>
                <w:sz w:val="24"/>
                <w:highlight w:val="none"/>
              </w:rPr>
              <w:t>内容和要求</w:t>
            </w:r>
          </w:p>
        </w:tc>
      </w:tr>
      <w:tr w14:paraId="6199F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jc w:val="center"/>
        </w:trPr>
        <w:tc>
          <w:tcPr>
            <w:tcW w:w="366" w:type="dxa"/>
            <w:tcBorders>
              <w:top w:val="single" w:color="auto" w:sz="4" w:space="0"/>
              <w:left w:val="single" w:color="auto" w:sz="4" w:space="0"/>
              <w:bottom w:val="single" w:color="auto" w:sz="4" w:space="0"/>
              <w:right w:val="single" w:color="auto" w:sz="4" w:space="0"/>
            </w:tcBorders>
            <w:vAlign w:val="center"/>
          </w:tcPr>
          <w:p w14:paraId="660D1B79">
            <w:pPr>
              <w:keepNext w:val="0"/>
              <w:keepLines w:val="0"/>
              <w:pageBreakBefore w:val="0"/>
              <w:kinsoku/>
              <w:wordWrap/>
              <w:overflowPunct/>
              <w:topLinePunct w:val="0"/>
              <w:autoSpaceDE/>
              <w:autoSpaceDN/>
              <w:bidi w:val="0"/>
              <w:adjustRightInd/>
              <w:snapToGrid w:val="0"/>
              <w:spacing w:line="420" w:lineRule="exact"/>
              <w:jc w:val="center"/>
              <w:textAlignment w:val="auto"/>
              <w:rPr>
                <w:rFonts w:ascii="宋体" w:hAnsi="宋体" w:cs="宋体"/>
                <w:b/>
                <w:bCs/>
                <w:color w:val="auto"/>
                <w:sz w:val="24"/>
                <w:highlight w:val="none"/>
              </w:rPr>
            </w:pPr>
            <w:r>
              <w:rPr>
                <w:rFonts w:hint="eastAsia" w:ascii="宋体" w:hAnsi="宋体" w:cs="宋体"/>
                <w:b/>
                <w:bCs/>
                <w:color w:val="auto"/>
                <w:sz w:val="24"/>
                <w:highlight w:val="none"/>
              </w:rPr>
              <w:t>1</w:t>
            </w:r>
          </w:p>
        </w:tc>
        <w:tc>
          <w:tcPr>
            <w:tcW w:w="1725" w:type="dxa"/>
            <w:tcBorders>
              <w:top w:val="single" w:color="auto" w:sz="4" w:space="0"/>
              <w:left w:val="single" w:color="auto" w:sz="4" w:space="0"/>
              <w:bottom w:val="single" w:color="auto" w:sz="4" w:space="0"/>
              <w:right w:val="single" w:color="auto" w:sz="4" w:space="0"/>
            </w:tcBorders>
            <w:vAlign w:val="center"/>
          </w:tcPr>
          <w:p w14:paraId="4F52F2FB">
            <w:pPr>
              <w:keepNext w:val="0"/>
              <w:keepLines w:val="0"/>
              <w:pageBreakBefore w:val="0"/>
              <w:kinsoku/>
              <w:wordWrap/>
              <w:overflowPunct/>
              <w:topLinePunct w:val="0"/>
              <w:autoSpaceDE/>
              <w:autoSpaceDN/>
              <w:bidi w:val="0"/>
              <w:adjustRightInd/>
              <w:spacing w:line="420" w:lineRule="exact"/>
              <w:jc w:val="center"/>
              <w:textAlignment w:val="auto"/>
              <w:rPr>
                <w:rFonts w:ascii="宋体" w:hAnsi="宋体" w:cs="宋体"/>
                <w:b/>
                <w:color w:val="auto"/>
                <w:sz w:val="24"/>
                <w:highlight w:val="none"/>
              </w:rPr>
            </w:pPr>
            <w:r>
              <w:rPr>
                <w:rFonts w:hint="eastAsia" w:ascii="宋体" w:hAnsi="宋体" w:cs="宋体"/>
                <w:b/>
                <w:bCs/>
                <w:color w:val="auto"/>
                <w:spacing w:val="10"/>
                <w:kern w:val="0"/>
                <w:sz w:val="24"/>
                <w:szCs w:val="24"/>
                <w:highlight w:val="none"/>
                <w:lang w:val="en-US" w:eastAsia="zh-CN" w:bidi="ar-SA"/>
              </w:rPr>
              <w:t>医疗废弃物处置服务采购项目</w:t>
            </w:r>
          </w:p>
        </w:tc>
        <w:tc>
          <w:tcPr>
            <w:tcW w:w="512" w:type="dxa"/>
            <w:tcBorders>
              <w:top w:val="single" w:color="auto" w:sz="4" w:space="0"/>
              <w:left w:val="single" w:color="auto" w:sz="4" w:space="0"/>
              <w:bottom w:val="single" w:color="auto" w:sz="4" w:space="0"/>
              <w:right w:val="single" w:color="auto" w:sz="4" w:space="0"/>
            </w:tcBorders>
            <w:vAlign w:val="center"/>
          </w:tcPr>
          <w:p w14:paraId="521A82ED">
            <w:pPr>
              <w:keepNext w:val="0"/>
              <w:keepLines w:val="0"/>
              <w:pageBreakBefore w:val="0"/>
              <w:kinsoku/>
              <w:wordWrap/>
              <w:overflowPunct/>
              <w:topLinePunct w:val="0"/>
              <w:autoSpaceDE/>
              <w:autoSpaceDN/>
              <w:bidi w:val="0"/>
              <w:adjustRightInd/>
              <w:spacing w:line="420" w:lineRule="exact"/>
              <w:jc w:val="center"/>
              <w:textAlignment w:val="auto"/>
              <w:rPr>
                <w:rFonts w:hint="default" w:ascii="宋体" w:hAnsi="宋体" w:eastAsia="宋体" w:cs="宋体"/>
                <w:b/>
                <w:color w:val="auto"/>
                <w:sz w:val="24"/>
                <w:highlight w:val="none"/>
                <w:lang w:val="en-US" w:eastAsia="zh-CN"/>
              </w:rPr>
            </w:pPr>
            <w:r>
              <w:rPr>
                <w:rFonts w:hint="eastAsia" w:ascii="宋体" w:hAnsi="宋体" w:cs="宋体"/>
                <w:b/>
                <w:color w:val="auto"/>
                <w:sz w:val="24"/>
                <w:highlight w:val="none"/>
                <w:lang w:val="en-US" w:eastAsia="zh-CN"/>
              </w:rPr>
              <w:t>1项</w:t>
            </w:r>
          </w:p>
        </w:tc>
        <w:tc>
          <w:tcPr>
            <w:tcW w:w="7602" w:type="dxa"/>
            <w:tcBorders>
              <w:top w:val="single" w:color="auto" w:sz="4" w:space="0"/>
              <w:left w:val="single" w:color="auto" w:sz="4" w:space="0"/>
              <w:right w:val="single" w:color="auto" w:sz="4" w:space="0"/>
            </w:tcBorders>
          </w:tcPr>
          <w:p w14:paraId="710374CF">
            <w:pPr>
              <w:keepNext w:val="0"/>
              <w:keepLines w:val="0"/>
              <w:pageBreakBefore w:val="0"/>
              <w:widowControl w:val="0"/>
              <w:numPr>
                <w:ilvl w:val="0"/>
                <w:numId w:val="0"/>
              </w:numPr>
              <w:kinsoku/>
              <w:wordWrap/>
              <w:overflowPunct/>
              <w:topLinePunct w:val="0"/>
              <w:autoSpaceDE/>
              <w:autoSpaceDN/>
              <w:bidi w:val="0"/>
              <w:adjustRightInd/>
              <w:snapToGrid w:val="0"/>
              <w:spacing w:line="420" w:lineRule="exact"/>
              <w:ind w:leftChars="0" w:right="0" w:rightChars="0"/>
              <w:jc w:val="left"/>
              <w:textAlignment w:val="auto"/>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bidi="ar"/>
              </w:rPr>
              <w:t>服务内容：</w:t>
            </w:r>
          </w:p>
          <w:p w14:paraId="679F2FCF">
            <w:pPr>
              <w:keepNext w:val="0"/>
              <w:keepLines w:val="0"/>
              <w:pageBreakBefore w:val="0"/>
              <w:widowControl w:val="0"/>
              <w:numPr>
                <w:ilvl w:val="0"/>
                <w:numId w:val="0"/>
              </w:numPr>
              <w:kinsoku/>
              <w:wordWrap/>
              <w:overflowPunct/>
              <w:topLinePunct w:val="0"/>
              <w:autoSpaceDE/>
              <w:autoSpaceDN/>
              <w:bidi w:val="0"/>
              <w:adjustRightInd/>
              <w:snapToGrid w:val="0"/>
              <w:spacing w:line="420" w:lineRule="exact"/>
              <w:ind w:leftChars="0" w:right="0" w:rightChars="0" w:firstLine="480" w:firstLineChars="200"/>
              <w:jc w:val="left"/>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val="en-US" w:eastAsia="zh-CN" w:bidi="ar"/>
              </w:rPr>
              <w:t>对武鸣医院</w:t>
            </w:r>
            <w:r>
              <w:rPr>
                <w:rFonts w:hint="eastAsia" w:ascii="宋体" w:hAnsi="宋体" w:eastAsia="宋体" w:cs="宋体"/>
                <w:color w:val="auto"/>
                <w:sz w:val="24"/>
                <w:szCs w:val="24"/>
                <w:highlight w:val="none"/>
                <w:lang w:bidi="ar"/>
              </w:rPr>
              <w:t>在经营活动中产生的医疗废物，负责装卸、运输、鉴别、处置及周转箱清洗等服务。处置医疗废物种类及特性详见本表附件</w:t>
            </w:r>
            <w:r>
              <w:rPr>
                <w:rFonts w:hint="eastAsia" w:ascii="宋体" w:hAnsi="宋体" w:eastAsia="宋体" w:cs="宋体"/>
                <w:color w:val="auto"/>
                <w:sz w:val="24"/>
                <w:szCs w:val="24"/>
                <w:highlight w:val="none"/>
                <w:lang w:val="en-US" w:eastAsia="zh-CN" w:bidi="ar"/>
              </w:rPr>
              <w:t>1</w:t>
            </w:r>
            <w:r>
              <w:rPr>
                <w:rFonts w:hint="eastAsia" w:ascii="宋体" w:hAnsi="宋体" w:eastAsia="宋体" w:cs="宋体"/>
                <w:color w:val="auto"/>
                <w:sz w:val="24"/>
                <w:szCs w:val="24"/>
                <w:highlight w:val="none"/>
                <w:lang w:bidi="ar"/>
              </w:rPr>
              <w:t>：《医疗废物种类及特性分析表》。</w:t>
            </w:r>
          </w:p>
          <w:p w14:paraId="4992CEBC">
            <w:pPr>
              <w:keepNext w:val="0"/>
              <w:keepLines w:val="0"/>
              <w:pageBreakBefore w:val="0"/>
              <w:widowControl w:val="0"/>
              <w:kinsoku/>
              <w:wordWrap/>
              <w:overflowPunct/>
              <w:topLinePunct w:val="0"/>
              <w:autoSpaceDE/>
              <w:autoSpaceDN/>
              <w:bidi w:val="0"/>
              <w:adjustRightInd/>
              <w:snapToGrid w:val="0"/>
              <w:spacing w:line="420" w:lineRule="exact"/>
              <w:ind w:left="0" w:leftChars="0" w:right="0" w:rightChars="0" w:firstLine="0" w:firstLineChars="0"/>
              <w:jc w:val="left"/>
              <w:textAlignment w:val="auto"/>
              <w:rPr>
                <w:rFonts w:hint="eastAsia" w:ascii="宋体" w:hAnsi="宋体" w:eastAsia="宋体" w:cs="宋体"/>
                <w:b/>
                <w:bCs/>
                <w:color w:val="auto"/>
                <w:sz w:val="24"/>
                <w:szCs w:val="24"/>
                <w:highlight w:val="none"/>
                <w:lang w:bidi="ar"/>
              </w:rPr>
            </w:pPr>
            <w:r>
              <w:rPr>
                <w:rFonts w:hint="eastAsia" w:ascii="宋体" w:hAnsi="宋体" w:eastAsia="宋体" w:cs="宋体"/>
                <w:b/>
                <w:bCs/>
                <w:color w:val="auto"/>
                <w:sz w:val="24"/>
                <w:szCs w:val="24"/>
                <w:highlight w:val="none"/>
                <w:lang w:bidi="ar"/>
              </w:rPr>
              <w:t>（</w:t>
            </w:r>
            <w:r>
              <w:rPr>
                <w:rFonts w:hint="eastAsia" w:ascii="宋体" w:hAnsi="宋体" w:cs="宋体"/>
                <w:b/>
                <w:bCs/>
                <w:color w:val="auto"/>
                <w:sz w:val="24"/>
                <w:szCs w:val="24"/>
                <w:highlight w:val="none"/>
                <w:lang w:val="en-US" w:eastAsia="zh-CN" w:bidi="ar"/>
              </w:rPr>
              <w:t>二</w:t>
            </w:r>
            <w:r>
              <w:rPr>
                <w:rFonts w:hint="eastAsia" w:ascii="宋体" w:hAnsi="宋体" w:eastAsia="宋体" w:cs="宋体"/>
                <w:b/>
                <w:bCs/>
                <w:color w:val="auto"/>
                <w:sz w:val="24"/>
                <w:szCs w:val="24"/>
                <w:highlight w:val="none"/>
                <w:lang w:bidi="ar"/>
              </w:rPr>
              <w:t>）服务区域</w:t>
            </w:r>
            <w:r>
              <w:rPr>
                <w:rFonts w:hint="eastAsia" w:ascii="宋体" w:hAnsi="宋体" w:eastAsia="宋体" w:cs="宋体"/>
                <w:b/>
                <w:bCs/>
                <w:color w:val="auto"/>
                <w:sz w:val="24"/>
                <w:szCs w:val="24"/>
                <w:highlight w:val="none"/>
                <w:lang w:eastAsia="zh-CN" w:bidi="ar"/>
              </w:rPr>
              <w:t>、</w:t>
            </w:r>
            <w:r>
              <w:rPr>
                <w:rFonts w:hint="eastAsia" w:ascii="宋体" w:hAnsi="宋体" w:eastAsia="宋体" w:cs="宋体"/>
                <w:b/>
                <w:bCs/>
                <w:color w:val="auto"/>
                <w:sz w:val="24"/>
                <w:szCs w:val="24"/>
                <w:highlight w:val="none"/>
                <w:lang w:val="en-US" w:eastAsia="zh-CN" w:bidi="ar"/>
              </w:rPr>
              <w:t>地址及收运频率</w:t>
            </w:r>
            <w:r>
              <w:rPr>
                <w:rFonts w:hint="eastAsia" w:ascii="宋体" w:hAnsi="宋体" w:eastAsia="宋体" w:cs="宋体"/>
                <w:b/>
                <w:bCs/>
                <w:color w:val="auto"/>
                <w:sz w:val="24"/>
                <w:szCs w:val="24"/>
                <w:highlight w:val="none"/>
                <w:lang w:bidi="ar"/>
              </w:rPr>
              <w:t>：</w:t>
            </w:r>
          </w:p>
          <w:p w14:paraId="23CD2E8D">
            <w:pPr>
              <w:keepNext w:val="0"/>
              <w:keepLines w:val="0"/>
              <w:pageBreakBefore w:val="0"/>
              <w:widowControl w:val="0"/>
              <w:kinsoku/>
              <w:wordWrap/>
              <w:overflowPunct/>
              <w:topLinePunct w:val="0"/>
              <w:autoSpaceDE/>
              <w:autoSpaceDN/>
              <w:bidi w:val="0"/>
              <w:adjustRightInd/>
              <w:snapToGrid w:val="0"/>
              <w:spacing w:line="420" w:lineRule="exact"/>
              <w:ind w:left="0" w:leftChars="0" w:right="0" w:rightChars="0" w:firstLine="480" w:firstLineChars="200"/>
              <w:jc w:val="left"/>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服务区域：广西医科大学附属武鸣医院（编制床位1</w:t>
            </w:r>
            <w:r>
              <w:rPr>
                <w:rFonts w:hint="eastAsia" w:ascii="宋体" w:hAnsi="宋体" w:eastAsia="宋体" w:cs="宋体"/>
                <w:color w:val="auto"/>
                <w:sz w:val="24"/>
                <w:szCs w:val="24"/>
                <w:highlight w:val="none"/>
                <w:lang w:val="en-US" w:eastAsia="zh-CN" w:bidi="ar"/>
              </w:rPr>
              <w:t>000</w:t>
            </w:r>
            <w:r>
              <w:rPr>
                <w:rFonts w:hint="eastAsia" w:ascii="宋体" w:hAnsi="宋体" w:eastAsia="宋体" w:cs="宋体"/>
                <w:color w:val="auto"/>
                <w:sz w:val="24"/>
                <w:szCs w:val="24"/>
                <w:highlight w:val="none"/>
                <w:lang w:bidi="ar"/>
              </w:rPr>
              <w:t>张）、广西医科大学附属武鸣医院临床医学研究中心；</w:t>
            </w:r>
          </w:p>
          <w:p w14:paraId="0E712FCF">
            <w:pPr>
              <w:keepNext w:val="0"/>
              <w:keepLines w:val="0"/>
              <w:pageBreakBefore w:val="0"/>
              <w:widowControl w:val="0"/>
              <w:kinsoku/>
              <w:wordWrap/>
              <w:overflowPunct/>
              <w:topLinePunct w:val="0"/>
              <w:autoSpaceDE/>
              <w:autoSpaceDN/>
              <w:bidi w:val="0"/>
              <w:adjustRightInd/>
              <w:snapToGrid w:val="0"/>
              <w:spacing w:line="420" w:lineRule="exact"/>
              <w:ind w:left="0" w:leftChars="0" w:right="0" w:rightChars="0" w:firstLine="480" w:firstLineChars="200"/>
              <w:jc w:val="left"/>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地址：南宁市武鸣区永宁路26号、广西医科大学武鸣校区A2栋3楼；</w:t>
            </w:r>
          </w:p>
          <w:p w14:paraId="78D5D564">
            <w:pPr>
              <w:keepNext w:val="0"/>
              <w:keepLines w:val="0"/>
              <w:pageBreakBefore w:val="0"/>
              <w:widowControl w:val="0"/>
              <w:kinsoku/>
              <w:wordWrap/>
              <w:overflowPunct/>
              <w:topLinePunct w:val="0"/>
              <w:autoSpaceDE/>
              <w:autoSpaceDN/>
              <w:bidi w:val="0"/>
              <w:adjustRightInd/>
              <w:snapToGrid w:val="0"/>
              <w:spacing w:line="420" w:lineRule="exact"/>
              <w:ind w:left="0" w:leftChars="0" w:right="0" w:rightChars="0" w:firstLine="480" w:firstLineChars="200"/>
              <w:jc w:val="left"/>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收运频率</w:t>
            </w:r>
            <w:r>
              <w:rPr>
                <w:rFonts w:hint="eastAsia" w:ascii="宋体" w:hAnsi="宋体" w:eastAsia="宋体" w:cs="宋体"/>
                <w:color w:val="auto"/>
                <w:sz w:val="24"/>
                <w:szCs w:val="24"/>
                <w:highlight w:val="none"/>
                <w:lang w:bidi="ar"/>
              </w:rPr>
              <w:t>：院本部每天一次；广西医科大学附属武鸣医院临床医学研究中心一周两次。</w:t>
            </w:r>
          </w:p>
          <w:p w14:paraId="5B6F6146">
            <w:pPr>
              <w:keepNext w:val="0"/>
              <w:keepLines w:val="0"/>
              <w:pageBreakBefore w:val="0"/>
              <w:widowControl w:val="0"/>
              <w:kinsoku/>
              <w:wordWrap/>
              <w:overflowPunct/>
              <w:topLinePunct w:val="0"/>
              <w:autoSpaceDE/>
              <w:autoSpaceDN/>
              <w:bidi w:val="0"/>
              <w:adjustRightInd/>
              <w:snapToGrid w:val="0"/>
              <w:spacing w:line="420" w:lineRule="exact"/>
              <w:ind w:left="0" w:leftChars="0" w:right="0" w:rightChars="0" w:firstLine="0" w:firstLineChars="0"/>
              <w:jc w:val="left"/>
              <w:textAlignment w:val="auto"/>
              <w:rPr>
                <w:rFonts w:hint="eastAsia" w:ascii="宋体" w:hAnsi="宋体" w:eastAsia="宋体" w:cs="宋体"/>
                <w:b/>
                <w:bCs/>
                <w:color w:val="auto"/>
                <w:sz w:val="24"/>
                <w:szCs w:val="24"/>
                <w:highlight w:val="none"/>
                <w:lang w:bidi="ar"/>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bidi="ar"/>
              </w:rPr>
              <w:t>（</w:t>
            </w:r>
            <w:r>
              <w:rPr>
                <w:rFonts w:hint="eastAsia" w:ascii="宋体" w:hAnsi="宋体" w:cs="宋体"/>
                <w:b/>
                <w:bCs/>
                <w:color w:val="auto"/>
                <w:sz w:val="24"/>
                <w:szCs w:val="24"/>
                <w:highlight w:val="none"/>
                <w:lang w:val="en-US" w:eastAsia="zh-CN" w:bidi="ar"/>
              </w:rPr>
              <w:t>三</w:t>
            </w:r>
            <w:r>
              <w:rPr>
                <w:rFonts w:hint="eastAsia" w:ascii="宋体" w:hAnsi="宋体" w:eastAsia="宋体" w:cs="宋体"/>
                <w:b/>
                <w:bCs/>
                <w:color w:val="auto"/>
                <w:sz w:val="24"/>
                <w:szCs w:val="24"/>
                <w:highlight w:val="none"/>
                <w:lang w:bidi="ar"/>
              </w:rPr>
              <w:t>）服务要求：</w:t>
            </w:r>
          </w:p>
          <w:p w14:paraId="5E3F73A2">
            <w:pPr>
              <w:keepNext w:val="0"/>
              <w:keepLines w:val="0"/>
              <w:pageBreakBefore w:val="0"/>
              <w:widowControl w:val="0"/>
              <w:kinsoku/>
              <w:wordWrap/>
              <w:overflowPunct/>
              <w:topLinePunct w:val="0"/>
              <w:autoSpaceDE/>
              <w:autoSpaceDN/>
              <w:bidi w:val="0"/>
              <w:adjustRightInd/>
              <w:snapToGrid w:val="0"/>
              <w:spacing w:line="420" w:lineRule="exact"/>
              <w:ind w:left="0" w:leftChars="0" w:right="0" w:rightChars="0" w:firstLine="480" w:firstLineChars="200"/>
              <w:jc w:val="left"/>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1、按要求及时转运处置产生的医疗废弃物，日产日清，确保48小时暂存清零；每天至少转运处置一次，如</w:t>
            </w:r>
            <w:r>
              <w:rPr>
                <w:rFonts w:hint="eastAsia" w:ascii="宋体" w:hAnsi="宋体" w:eastAsia="宋体" w:cs="宋体"/>
                <w:color w:val="auto"/>
                <w:sz w:val="24"/>
                <w:szCs w:val="24"/>
                <w:highlight w:val="none"/>
                <w:lang w:val="en-US" w:eastAsia="zh-CN" w:bidi="ar"/>
              </w:rPr>
              <w:t>医院</w:t>
            </w:r>
            <w:r>
              <w:rPr>
                <w:rFonts w:hint="eastAsia" w:ascii="宋体" w:hAnsi="宋体" w:eastAsia="宋体" w:cs="宋体"/>
                <w:color w:val="auto"/>
                <w:sz w:val="24"/>
                <w:szCs w:val="24"/>
                <w:highlight w:val="none"/>
                <w:lang w:bidi="ar"/>
              </w:rPr>
              <w:t>需增加清运次数，则需满足要求，当日任务当日完成。</w:t>
            </w:r>
          </w:p>
          <w:p w14:paraId="0FBEFB01">
            <w:pPr>
              <w:keepNext w:val="0"/>
              <w:keepLines w:val="0"/>
              <w:pageBreakBefore w:val="0"/>
              <w:widowControl w:val="0"/>
              <w:kinsoku/>
              <w:wordWrap/>
              <w:overflowPunct/>
              <w:topLinePunct w:val="0"/>
              <w:autoSpaceDE/>
              <w:autoSpaceDN/>
              <w:bidi w:val="0"/>
              <w:adjustRightInd/>
              <w:snapToGrid w:val="0"/>
              <w:spacing w:line="420" w:lineRule="exact"/>
              <w:ind w:left="0" w:leftChars="0" w:right="0" w:rightChars="0" w:firstLine="480" w:firstLineChars="200"/>
              <w:jc w:val="left"/>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val="en-US" w:eastAsia="zh-CN" w:bidi="ar"/>
              </w:rPr>
              <w:t>2</w:t>
            </w:r>
            <w:r>
              <w:rPr>
                <w:rFonts w:hint="eastAsia" w:ascii="宋体" w:hAnsi="宋体" w:eastAsia="宋体" w:cs="宋体"/>
                <w:color w:val="auto"/>
                <w:sz w:val="24"/>
                <w:szCs w:val="24"/>
                <w:highlight w:val="none"/>
                <w:lang w:bidi="ar"/>
              </w:rPr>
              <w:t>、正常情况下，</w:t>
            </w:r>
            <w:r>
              <w:rPr>
                <w:rFonts w:hint="eastAsia" w:ascii="宋体" w:hAnsi="宋体" w:eastAsia="宋体" w:cs="宋体"/>
                <w:color w:val="auto"/>
                <w:sz w:val="24"/>
                <w:szCs w:val="24"/>
                <w:highlight w:val="none"/>
                <w:lang w:val="en-US" w:eastAsia="zh-CN" w:bidi="ar"/>
              </w:rPr>
              <w:t>供应商</w:t>
            </w:r>
            <w:r>
              <w:rPr>
                <w:rFonts w:hint="eastAsia" w:ascii="宋体" w:hAnsi="宋体" w:eastAsia="宋体" w:cs="宋体"/>
                <w:color w:val="auto"/>
                <w:sz w:val="24"/>
                <w:szCs w:val="24"/>
                <w:highlight w:val="none"/>
                <w:lang w:bidi="ar"/>
              </w:rPr>
              <w:t>按服务要求的收运时间将</w:t>
            </w:r>
            <w:r>
              <w:rPr>
                <w:rFonts w:hint="eastAsia" w:ascii="宋体" w:hAnsi="宋体" w:eastAsia="宋体" w:cs="宋体"/>
                <w:color w:val="auto"/>
                <w:sz w:val="24"/>
                <w:szCs w:val="24"/>
                <w:highlight w:val="none"/>
                <w:lang w:val="en-US" w:eastAsia="zh-CN" w:bidi="ar"/>
              </w:rPr>
              <w:t>医院</w:t>
            </w:r>
            <w:r>
              <w:rPr>
                <w:rFonts w:hint="eastAsia" w:ascii="宋体" w:hAnsi="宋体" w:eastAsia="宋体" w:cs="宋体"/>
                <w:color w:val="auto"/>
                <w:sz w:val="24"/>
                <w:szCs w:val="24"/>
                <w:highlight w:val="none"/>
                <w:lang w:bidi="ar"/>
              </w:rPr>
              <w:t>的医疗废物收运处置。如无特殊原因，不能按时收运，逾期一天支付采购单位每天处置费总额的0.</w:t>
            </w:r>
            <w:r>
              <w:rPr>
                <w:rFonts w:hint="eastAsia" w:ascii="宋体" w:hAnsi="宋体" w:eastAsia="宋体" w:cs="宋体"/>
                <w:color w:val="auto"/>
                <w:sz w:val="24"/>
                <w:szCs w:val="24"/>
                <w:highlight w:val="none"/>
                <w:lang w:val="en-US" w:eastAsia="zh-CN" w:bidi="ar"/>
              </w:rPr>
              <w:t>05</w:t>
            </w:r>
            <w:r>
              <w:rPr>
                <w:rFonts w:hint="eastAsia" w:ascii="宋体" w:hAnsi="宋体" w:eastAsia="宋体" w:cs="宋体"/>
                <w:color w:val="auto"/>
                <w:sz w:val="24"/>
                <w:szCs w:val="24"/>
                <w:highlight w:val="none"/>
                <w:lang w:bidi="ar"/>
              </w:rPr>
              <w:t>%。</w:t>
            </w:r>
          </w:p>
          <w:p w14:paraId="6DCF710F">
            <w:pPr>
              <w:keepNext w:val="0"/>
              <w:keepLines w:val="0"/>
              <w:pageBreakBefore w:val="0"/>
              <w:widowControl w:val="0"/>
              <w:kinsoku/>
              <w:wordWrap/>
              <w:overflowPunct/>
              <w:topLinePunct w:val="0"/>
              <w:autoSpaceDE/>
              <w:autoSpaceDN/>
              <w:bidi w:val="0"/>
              <w:adjustRightInd/>
              <w:snapToGrid w:val="0"/>
              <w:spacing w:line="420" w:lineRule="exact"/>
              <w:ind w:left="0" w:leftChars="0" w:right="0" w:rightChars="0" w:firstLine="480" w:firstLineChars="200"/>
              <w:jc w:val="left"/>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val="en-US" w:eastAsia="zh-CN" w:bidi="ar"/>
              </w:rPr>
              <w:t>3</w:t>
            </w:r>
            <w:r>
              <w:rPr>
                <w:rFonts w:hint="eastAsia" w:ascii="宋体" w:hAnsi="宋体" w:eastAsia="宋体" w:cs="宋体"/>
                <w:color w:val="auto"/>
                <w:sz w:val="24"/>
                <w:szCs w:val="24"/>
                <w:highlight w:val="none"/>
                <w:lang w:bidi="ar"/>
              </w:rPr>
              <w:t>、</w:t>
            </w:r>
            <w:r>
              <w:rPr>
                <w:rFonts w:hint="eastAsia" w:ascii="宋体" w:hAnsi="宋体" w:eastAsia="宋体" w:cs="宋体"/>
                <w:color w:val="auto"/>
                <w:sz w:val="24"/>
                <w:szCs w:val="24"/>
                <w:highlight w:val="none"/>
                <w:lang w:val="en-US" w:eastAsia="zh-CN" w:bidi="ar"/>
              </w:rPr>
              <w:t>供应商负责提供医院转运所需的周转箱，确保所使用的周转箱</w:t>
            </w:r>
            <w:r>
              <w:rPr>
                <w:rFonts w:hint="eastAsia" w:ascii="宋体" w:hAnsi="宋体" w:eastAsia="宋体" w:cs="宋体"/>
                <w:color w:val="auto"/>
                <w:sz w:val="24"/>
                <w:szCs w:val="24"/>
                <w:highlight w:val="none"/>
                <w:lang w:bidi="ar"/>
              </w:rPr>
              <w:t>达到国家标准</w:t>
            </w:r>
            <w:r>
              <w:rPr>
                <w:rFonts w:hint="eastAsia" w:ascii="宋体" w:hAnsi="宋体" w:eastAsia="宋体" w:cs="宋体"/>
                <w:color w:val="auto"/>
                <w:sz w:val="24"/>
                <w:szCs w:val="24"/>
                <w:highlight w:val="none"/>
                <w:lang w:val="en-US" w:eastAsia="zh-CN" w:bidi="ar"/>
              </w:rPr>
              <w:t>要求</w:t>
            </w:r>
            <w:r>
              <w:rPr>
                <w:rFonts w:hint="eastAsia" w:ascii="宋体" w:hAnsi="宋体" w:eastAsia="宋体" w:cs="宋体"/>
                <w:color w:val="auto"/>
                <w:sz w:val="24"/>
                <w:szCs w:val="24"/>
                <w:highlight w:val="none"/>
                <w:lang w:bidi="ar"/>
              </w:rPr>
              <w:t>，不</w:t>
            </w:r>
            <w:r>
              <w:rPr>
                <w:rFonts w:hint="eastAsia" w:ascii="宋体" w:hAnsi="宋体" w:eastAsia="宋体" w:cs="宋体"/>
                <w:color w:val="auto"/>
                <w:sz w:val="24"/>
                <w:szCs w:val="24"/>
                <w:highlight w:val="none"/>
                <w:lang w:val="en-US" w:eastAsia="zh-CN" w:bidi="ar"/>
              </w:rPr>
              <w:t>能</w:t>
            </w:r>
            <w:r>
              <w:rPr>
                <w:rFonts w:hint="eastAsia" w:ascii="宋体" w:hAnsi="宋体" w:eastAsia="宋体" w:cs="宋体"/>
                <w:color w:val="auto"/>
                <w:sz w:val="24"/>
                <w:szCs w:val="24"/>
                <w:highlight w:val="none"/>
                <w:lang w:bidi="ar"/>
              </w:rPr>
              <w:t>使用</w:t>
            </w:r>
            <w:r>
              <w:rPr>
                <w:rFonts w:hint="eastAsia" w:ascii="宋体" w:hAnsi="宋体" w:eastAsia="宋体" w:cs="宋体"/>
                <w:color w:val="auto"/>
                <w:sz w:val="24"/>
                <w:szCs w:val="24"/>
                <w:highlight w:val="none"/>
                <w:lang w:val="en-US" w:eastAsia="zh-CN" w:bidi="ar"/>
              </w:rPr>
              <w:t>未</w:t>
            </w:r>
            <w:r>
              <w:rPr>
                <w:rFonts w:hint="eastAsia" w:ascii="宋体" w:hAnsi="宋体" w:eastAsia="宋体" w:cs="宋体"/>
                <w:color w:val="auto"/>
                <w:sz w:val="24"/>
                <w:szCs w:val="24"/>
                <w:highlight w:val="none"/>
                <w:lang w:bidi="ar"/>
              </w:rPr>
              <w:t>达</w:t>
            </w:r>
            <w:r>
              <w:rPr>
                <w:rFonts w:hint="eastAsia" w:ascii="宋体" w:hAnsi="宋体" w:eastAsia="宋体" w:cs="宋体"/>
                <w:color w:val="auto"/>
                <w:sz w:val="24"/>
                <w:szCs w:val="24"/>
                <w:highlight w:val="none"/>
                <w:lang w:val="en-US" w:eastAsia="zh-CN" w:bidi="ar"/>
              </w:rPr>
              <w:t>到</w:t>
            </w:r>
            <w:r>
              <w:rPr>
                <w:rFonts w:hint="eastAsia" w:ascii="宋体" w:hAnsi="宋体" w:eastAsia="宋体" w:cs="宋体"/>
                <w:color w:val="auto"/>
                <w:sz w:val="24"/>
                <w:szCs w:val="24"/>
                <w:highlight w:val="none"/>
                <w:lang w:bidi="ar"/>
              </w:rPr>
              <w:t>国家标准的专用包装袋。</w:t>
            </w:r>
          </w:p>
          <w:p w14:paraId="3A3BCB31">
            <w:pPr>
              <w:keepNext w:val="0"/>
              <w:keepLines w:val="0"/>
              <w:pageBreakBefore w:val="0"/>
              <w:widowControl w:val="0"/>
              <w:kinsoku/>
              <w:wordWrap/>
              <w:overflowPunct/>
              <w:topLinePunct w:val="0"/>
              <w:autoSpaceDE/>
              <w:autoSpaceDN/>
              <w:bidi w:val="0"/>
              <w:adjustRightInd/>
              <w:snapToGrid w:val="0"/>
              <w:spacing w:line="420" w:lineRule="exact"/>
              <w:ind w:left="0" w:leftChars="0" w:right="0" w:rightChars="0" w:firstLine="480" w:firstLineChars="200"/>
              <w:jc w:val="left"/>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val="en-US" w:eastAsia="zh-CN" w:bidi="ar"/>
              </w:rPr>
              <w:t>4</w:t>
            </w:r>
            <w:r>
              <w:rPr>
                <w:rFonts w:hint="eastAsia" w:ascii="宋体" w:hAnsi="宋体" w:eastAsia="宋体" w:cs="宋体"/>
                <w:color w:val="auto"/>
                <w:sz w:val="24"/>
                <w:szCs w:val="24"/>
                <w:highlight w:val="none"/>
                <w:lang w:bidi="ar"/>
              </w:rPr>
              <w:t>、若</w:t>
            </w:r>
            <w:r>
              <w:rPr>
                <w:rFonts w:hint="eastAsia" w:ascii="宋体" w:hAnsi="宋体" w:eastAsia="宋体" w:cs="宋体"/>
                <w:color w:val="auto"/>
                <w:sz w:val="24"/>
                <w:szCs w:val="24"/>
                <w:highlight w:val="none"/>
                <w:lang w:val="en-US" w:eastAsia="zh-CN" w:bidi="ar"/>
              </w:rPr>
              <w:t>医院</w:t>
            </w:r>
            <w:r>
              <w:rPr>
                <w:rFonts w:hint="eastAsia" w:ascii="宋体" w:hAnsi="宋体" w:eastAsia="宋体" w:cs="宋体"/>
                <w:color w:val="auto"/>
                <w:sz w:val="24"/>
                <w:szCs w:val="24"/>
                <w:highlight w:val="none"/>
                <w:lang w:bidi="ar"/>
              </w:rPr>
              <w:t>将生活垃圾、建筑垃圾及装修垃圾等混入医疗废物中的，</w:t>
            </w:r>
            <w:r>
              <w:rPr>
                <w:rFonts w:hint="eastAsia" w:ascii="宋体" w:hAnsi="宋体" w:eastAsia="宋体" w:cs="宋体"/>
                <w:color w:val="auto"/>
                <w:sz w:val="24"/>
                <w:szCs w:val="24"/>
                <w:highlight w:val="none"/>
                <w:lang w:val="en-US" w:eastAsia="zh-CN" w:bidi="ar"/>
              </w:rPr>
              <w:t>供应商</w:t>
            </w:r>
            <w:r>
              <w:rPr>
                <w:rFonts w:hint="eastAsia" w:ascii="宋体" w:hAnsi="宋体" w:eastAsia="宋体" w:cs="宋体"/>
                <w:color w:val="auto"/>
                <w:sz w:val="24"/>
                <w:szCs w:val="24"/>
                <w:highlight w:val="none"/>
                <w:lang w:bidi="ar"/>
              </w:rPr>
              <w:t>将按《广西壮族自治区医疗废物管理办法》第九条视为医疗废物处理。</w:t>
            </w:r>
          </w:p>
          <w:p w14:paraId="4C1E9F64">
            <w:pPr>
              <w:keepNext w:val="0"/>
              <w:keepLines w:val="0"/>
              <w:pageBreakBefore w:val="0"/>
              <w:widowControl w:val="0"/>
              <w:kinsoku/>
              <w:wordWrap/>
              <w:overflowPunct/>
              <w:topLinePunct w:val="0"/>
              <w:autoSpaceDE/>
              <w:autoSpaceDN/>
              <w:bidi w:val="0"/>
              <w:adjustRightInd/>
              <w:snapToGrid w:val="0"/>
              <w:spacing w:line="420" w:lineRule="exact"/>
              <w:ind w:left="0" w:leftChars="0" w:right="0" w:rightChars="0" w:firstLine="480" w:firstLineChars="200"/>
              <w:jc w:val="left"/>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val="en-US" w:eastAsia="zh-CN" w:bidi="ar"/>
              </w:rPr>
              <w:t>5</w:t>
            </w:r>
            <w:r>
              <w:rPr>
                <w:rFonts w:hint="eastAsia" w:ascii="宋体" w:hAnsi="宋体" w:eastAsia="宋体" w:cs="宋体"/>
                <w:color w:val="auto"/>
                <w:sz w:val="24"/>
                <w:szCs w:val="24"/>
                <w:highlight w:val="none"/>
                <w:lang w:bidi="ar"/>
              </w:rPr>
              <w:t>、按照《医疗废物管理条例》、《医疗废物集中处置技术规范》的规定向</w:t>
            </w:r>
            <w:r>
              <w:rPr>
                <w:rFonts w:hint="eastAsia" w:ascii="宋体" w:hAnsi="宋体" w:eastAsia="宋体" w:cs="宋体"/>
                <w:color w:val="auto"/>
                <w:sz w:val="24"/>
                <w:szCs w:val="24"/>
                <w:highlight w:val="none"/>
                <w:lang w:val="en-US" w:eastAsia="zh-CN" w:bidi="ar"/>
              </w:rPr>
              <w:t>医院</w:t>
            </w:r>
            <w:r>
              <w:rPr>
                <w:rFonts w:hint="eastAsia" w:ascii="宋体" w:hAnsi="宋体" w:eastAsia="宋体" w:cs="宋体"/>
                <w:color w:val="auto"/>
                <w:sz w:val="24"/>
                <w:szCs w:val="24"/>
                <w:highlight w:val="none"/>
                <w:lang w:bidi="ar"/>
              </w:rPr>
              <w:t>提供及时、安全、环保的收运和处置服务。</w:t>
            </w:r>
          </w:p>
          <w:p w14:paraId="2B0950FB">
            <w:pPr>
              <w:pStyle w:val="77"/>
              <w:keepNext w:val="0"/>
              <w:keepLines w:val="0"/>
              <w:pageBreakBefore w:val="0"/>
              <w:widowControl w:val="0"/>
              <w:kinsoku/>
              <w:wordWrap/>
              <w:overflowPunct/>
              <w:topLinePunct w:val="0"/>
              <w:autoSpaceDE/>
              <w:autoSpaceDN/>
              <w:bidi w:val="0"/>
              <w:adjustRightInd/>
              <w:spacing w:line="420" w:lineRule="exact"/>
              <w:ind w:firstLine="480" w:firstLineChars="200"/>
              <w:textAlignment w:val="auto"/>
              <w:rPr>
                <w:rFonts w:hint="default" w:ascii="宋体" w:hAnsi="宋体" w:eastAsia="宋体" w:cs="宋体"/>
                <w:color w:val="auto"/>
                <w:sz w:val="24"/>
                <w:highlight w:val="none"/>
                <w:shd w:val="clear" w:color="auto" w:fill="FFFFFF"/>
                <w:lang w:val="en-US" w:eastAsia="zh-CN"/>
              </w:rPr>
            </w:pPr>
            <w:r>
              <w:rPr>
                <w:rFonts w:hint="eastAsia" w:ascii="宋体" w:hAnsi="宋体" w:eastAsia="宋体" w:cs="宋体"/>
                <w:color w:val="auto"/>
                <w:sz w:val="24"/>
                <w:szCs w:val="24"/>
                <w:highlight w:val="none"/>
                <w:lang w:val="en-US" w:eastAsia="zh-CN" w:bidi="ar"/>
              </w:rPr>
              <w:t>6</w:t>
            </w:r>
            <w:r>
              <w:rPr>
                <w:rFonts w:hint="eastAsia" w:ascii="宋体" w:hAnsi="宋体" w:eastAsia="宋体" w:cs="宋体"/>
                <w:color w:val="auto"/>
                <w:sz w:val="24"/>
                <w:szCs w:val="24"/>
                <w:highlight w:val="none"/>
                <w:lang w:bidi="ar"/>
              </w:rPr>
              <w:t>、</w:t>
            </w:r>
            <w:r>
              <w:rPr>
                <w:rFonts w:hint="eastAsia" w:ascii="宋体" w:hAnsi="宋体" w:eastAsia="宋体" w:cs="宋体"/>
                <w:color w:val="auto"/>
                <w:sz w:val="24"/>
                <w:szCs w:val="24"/>
                <w:highlight w:val="none"/>
                <w:lang w:val="en-US" w:eastAsia="zh-CN" w:bidi="ar"/>
              </w:rPr>
              <w:t>供应商</w:t>
            </w:r>
            <w:r>
              <w:rPr>
                <w:rFonts w:hint="eastAsia" w:ascii="宋体" w:hAnsi="宋体" w:eastAsia="宋体" w:cs="宋体"/>
                <w:color w:val="auto"/>
                <w:sz w:val="24"/>
                <w:szCs w:val="24"/>
                <w:highlight w:val="none"/>
                <w:lang w:bidi="ar"/>
              </w:rPr>
              <w:t>收集运输医疗废物后，必须将医疗废物周转箱经过严格清洗消毒符合要求后在规定时间内送还</w:t>
            </w:r>
            <w:r>
              <w:rPr>
                <w:rFonts w:hint="eastAsia" w:ascii="宋体" w:hAnsi="宋体" w:eastAsia="宋体" w:cs="宋体"/>
                <w:color w:val="auto"/>
                <w:sz w:val="24"/>
                <w:szCs w:val="24"/>
                <w:highlight w:val="none"/>
                <w:lang w:val="en-US" w:eastAsia="zh-CN" w:bidi="ar"/>
              </w:rPr>
              <w:t>医院</w:t>
            </w:r>
            <w:r>
              <w:rPr>
                <w:rFonts w:hint="eastAsia" w:ascii="宋体" w:hAnsi="宋体" w:eastAsia="宋体" w:cs="宋体"/>
                <w:color w:val="auto"/>
                <w:sz w:val="24"/>
                <w:szCs w:val="24"/>
                <w:highlight w:val="none"/>
                <w:lang w:bidi="ar"/>
              </w:rPr>
              <w:t>使用。服务期内，周转箱在运输过程中出现损坏，由</w:t>
            </w:r>
            <w:r>
              <w:rPr>
                <w:rFonts w:hint="eastAsia" w:ascii="宋体" w:hAnsi="宋体" w:eastAsia="宋体" w:cs="宋体"/>
                <w:color w:val="auto"/>
                <w:sz w:val="24"/>
                <w:szCs w:val="24"/>
                <w:highlight w:val="none"/>
                <w:lang w:val="en-US" w:eastAsia="zh-CN" w:bidi="ar"/>
              </w:rPr>
              <w:t>供应商</w:t>
            </w:r>
            <w:r>
              <w:rPr>
                <w:rFonts w:hint="eastAsia" w:ascii="宋体" w:hAnsi="宋体" w:eastAsia="宋体" w:cs="宋体"/>
                <w:color w:val="auto"/>
                <w:sz w:val="24"/>
                <w:szCs w:val="24"/>
                <w:highlight w:val="none"/>
                <w:lang w:bidi="ar"/>
              </w:rPr>
              <w:t>负责补充。</w:t>
            </w:r>
          </w:p>
        </w:tc>
      </w:tr>
      <w:tr w14:paraId="7ED34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205" w:type="dxa"/>
            <w:gridSpan w:val="4"/>
            <w:tcBorders>
              <w:top w:val="single" w:color="auto" w:sz="4" w:space="0"/>
              <w:left w:val="single" w:color="auto" w:sz="4" w:space="0"/>
              <w:bottom w:val="single" w:color="auto" w:sz="4" w:space="0"/>
              <w:right w:val="single" w:color="auto" w:sz="4" w:space="0"/>
            </w:tcBorders>
            <w:vAlign w:val="center"/>
          </w:tcPr>
          <w:p w14:paraId="287A359B">
            <w:pPr>
              <w:keepNext w:val="0"/>
              <w:keepLines w:val="0"/>
              <w:pageBreakBefore w:val="0"/>
              <w:tabs>
                <w:tab w:val="left" w:pos="180"/>
                <w:tab w:val="left" w:pos="1620"/>
              </w:tabs>
              <w:kinsoku/>
              <w:wordWrap/>
              <w:overflowPunct/>
              <w:topLinePunct w:val="0"/>
              <w:autoSpaceDE/>
              <w:autoSpaceDN/>
              <w:bidi w:val="0"/>
              <w:adjustRightInd/>
              <w:spacing w:line="420" w:lineRule="exact"/>
              <w:jc w:val="left"/>
              <w:textAlignment w:val="auto"/>
              <w:rPr>
                <w:rFonts w:ascii="宋体" w:hAnsi="宋体" w:cs="宋体"/>
                <w:color w:val="auto"/>
                <w:sz w:val="24"/>
                <w:highlight w:val="none"/>
              </w:rPr>
            </w:pPr>
            <w:r>
              <w:rPr>
                <w:rFonts w:hint="eastAsia" w:ascii="宋体" w:hAnsi="宋体" w:cs="宋体"/>
                <w:b/>
                <w:color w:val="auto"/>
                <w:sz w:val="24"/>
                <w:highlight w:val="none"/>
              </w:rPr>
              <w:t>商务要求表</w:t>
            </w:r>
          </w:p>
        </w:tc>
      </w:tr>
      <w:tr w14:paraId="47444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3" w:hRule="atLeast"/>
          <w:jc w:val="center"/>
        </w:trPr>
        <w:tc>
          <w:tcPr>
            <w:tcW w:w="10205" w:type="dxa"/>
            <w:gridSpan w:val="4"/>
            <w:tcBorders>
              <w:top w:val="single" w:color="auto" w:sz="4" w:space="0"/>
              <w:left w:val="single" w:color="auto" w:sz="4" w:space="0"/>
              <w:bottom w:val="single" w:color="auto" w:sz="4" w:space="0"/>
              <w:right w:val="single" w:color="auto" w:sz="4" w:space="0"/>
            </w:tcBorders>
            <w:vAlign w:val="center"/>
          </w:tcPr>
          <w:p w14:paraId="05CB5C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right="0"/>
              <w:jc w:val="left"/>
              <w:textAlignment w:val="auto"/>
              <w:rPr>
                <w:rFonts w:hint="eastAsia" w:ascii="宋体" w:hAnsi="宋体" w:eastAsia="宋体" w:cs="宋体"/>
                <w:color w:val="auto"/>
                <w:sz w:val="24"/>
                <w:szCs w:val="24"/>
                <w:highlight w:val="none"/>
                <w:lang w:eastAsia="zh-Hans"/>
              </w:rPr>
            </w:pPr>
            <w:r>
              <w:rPr>
                <w:rFonts w:hint="eastAsia" w:ascii="宋体" w:hAnsi="宋体" w:eastAsia="宋体" w:cs="宋体"/>
                <w:b/>
                <w:bCs/>
                <w:color w:val="auto"/>
                <w:sz w:val="24"/>
                <w:highlight w:val="none"/>
                <w:lang w:eastAsia="zh-Hans"/>
              </w:rPr>
              <w:t>（一）</w:t>
            </w:r>
            <w:r>
              <w:rPr>
                <w:rFonts w:hint="eastAsia" w:ascii="宋体" w:hAnsi="宋体" w:eastAsia="宋体" w:cs="宋体"/>
                <w:b/>
                <w:bCs/>
                <w:color w:val="auto"/>
                <w:sz w:val="24"/>
                <w:szCs w:val="24"/>
                <w:highlight w:val="none"/>
                <w:lang w:eastAsia="zh-Hans"/>
              </w:rPr>
              <w:t>合同签订期</w:t>
            </w:r>
            <w:r>
              <w:rPr>
                <w:rFonts w:hint="eastAsia" w:ascii="宋体" w:hAnsi="宋体" w:eastAsia="宋体" w:cs="宋体"/>
                <w:color w:val="auto"/>
                <w:sz w:val="24"/>
                <w:szCs w:val="24"/>
                <w:highlight w:val="none"/>
                <w:lang w:eastAsia="zh-Hans"/>
              </w:rPr>
              <w:t>：自</w:t>
            </w:r>
            <w:r>
              <w:rPr>
                <w:rFonts w:hint="eastAsia" w:ascii="宋体" w:hAnsi="宋体" w:cs="宋体"/>
                <w:color w:val="auto"/>
                <w:sz w:val="24"/>
                <w:szCs w:val="24"/>
                <w:highlight w:val="none"/>
                <w:lang w:val="en-US" w:eastAsia="zh-CN"/>
              </w:rPr>
              <w:t>成交</w:t>
            </w:r>
            <w:r>
              <w:rPr>
                <w:rFonts w:hint="eastAsia" w:ascii="宋体" w:hAnsi="宋体" w:eastAsia="宋体" w:cs="宋体"/>
                <w:color w:val="auto"/>
                <w:sz w:val="24"/>
                <w:szCs w:val="24"/>
                <w:highlight w:val="none"/>
                <w:lang w:eastAsia="zh-Hans"/>
              </w:rPr>
              <w:t>通知书发出之日起</w:t>
            </w:r>
            <w:r>
              <w:rPr>
                <w:rFonts w:hint="eastAsia" w:ascii="宋体" w:hAnsi="宋体" w:eastAsia="宋体" w:cs="宋体"/>
                <w:color w:val="auto"/>
                <w:sz w:val="24"/>
                <w:szCs w:val="24"/>
                <w:highlight w:val="none"/>
                <w:lang w:val="en-US" w:eastAsia="zh-CN"/>
              </w:rPr>
              <w:t>25</w:t>
            </w:r>
            <w:r>
              <w:rPr>
                <w:rFonts w:hint="eastAsia" w:ascii="宋体" w:hAnsi="宋体" w:eastAsia="宋体" w:cs="宋体"/>
                <w:color w:val="auto"/>
                <w:sz w:val="24"/>
                <w:szCs w:val="24"/>
                <w:highlight w:val="none"/>
                <w:lang w:eastAsia="zh-Hans"/>
              </w:rPr>
              <w:t>日内。</w:t>
            </w:r>
          </w:p>
          <w:p w14:paraId="55F2EE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right="0"/>
              <w:jc w:val="left"/>
              <w:textAlignment w:val="auto"/>
              <w:rPr>
                <w:rFonts w:hint="eastAsia" w:ascii="宋体" w:hAnsi="宋体" w:eastAsia="宋体" w:cs="宋体"/>
                <w:color w:val="auto"/>
                <w:sz w:val="24"/>
                <w:szCs w:val="24"/>
                <w:highlight w:val="none"/>
                <w:lang w:eastAsia="zh-Hans"/>
              </w:rPr>
            </w:pP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lang w:eastAsia="zh-Hans"/>
              </w:rPr>
              <w:t>（二）服务</w:t>
            </w:r>
            <w:r>
              <w:rPr>
                <w:rFonts w:hint="eastAsia" w:ascii="宋体" w:hAnsi="宋体" w:eastAsia="宋体" w:cs="宋体"/>
                <w:b/>
                <w:bCs/>
                <w:color w:val="auto"/>
                <w:sz w:val="24"/>
                <w:szCs w:val="24"/>
                <w:highlight w:val="none"/>
                <w:lang w:eastAsia="zh-CN"/>
              </w:rPr>
              <w:t>期限</w:t>
            </w:r>
            <w:r>
              <w:rPr>
                <w:rFonts w:hint="eastAsia" w:ascii="宋体" w:hAnsi="宋体" w:eastAsia="宋体" w:cs="宋体"/>
                <w:color w:val="auto"/>
                <w:sz w:val="24"/>
                <w:szCs w:val="24"/>
                <w:highlight w:val="none"/>
                <w:lang w:eastAsia="zh-Hans"/>
              </w:rPr>
              <w:t>：</w:t>
            </w:r>
            <w:r>
              <w:rPr>
                <w:rFonts w:hint="eastAsia" w:ascii="宋体" w:hAnsi="宋体" w:eastAsia="宋体" w:cs="宋体"/>
                <w:color w:val="auto"/>
                <w:sz w:val="24"/>
                <w:szCs w:val="24"/>
                <w:highlight w:val="none"/>
                <w:lang w:val="en-US" w:eastAsia="zh-CN" w:bidi="ar"/>
              </w:rPr>
              <w:t>2年</w:t>
            </w:r>
            <w:r>
              <w:rPr>
                <w:rFonts w:hint="eastAsia" w:ascii="宋体" w:hAnsi="宋体" w:eastAsia="宋体" w:cs="宋体"/>
                <w:color w:val="auto"/>
                <w:sz w:val="24"/>
                <w:szCs w:val="24"/>
                <w:highlight w:val="none"/>
                <w:lang w:eastAsia="zh-Hans"/>
              </w:rPr>
              <w:t>。</w:t>
            </w:r>
          </w:p>
          <w:p w14:paraId="2A5186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right="0"/>
              <w:jc w:val="left"/>
              <w:textAlignment w:val="auto"/>
              <w:rPr>
                <w:rFonts w:hint="eastAsia" w:ascii="宋体" w:hAnsi="宋体" w:eastAsia="宋体" w:cs="宋体"/>
                <w:color w:val="auto"/>
                <w:sz w:val="24"/>
                <w:szCs w:val="24"/>
                <w:highlight w:val="none"/>
                <w:lang w:eastAsia="zh-Hans"/>
              </w:rPr>
            </w:pPr>
            <w:r>
              <w:rPr>
                <w:rFonts w:hint="eastAsia" w:ascii="宋体" w:hAnsi="宋体" w:eastAsia="宋体" w:cs="宋体"/>
                <w:b/>
                <w:bCs/>
                <w:color w:val="auto"/>
                <w:sz w:val="24"/>
                <w:szCs w:val="24"/>
                <w:highlight w:val="none"/>
                <w:lang w:eastAsia="zh-Hans"/>
              </w:rPr>
              <w:t>（三）服务地点</w:t>
            </w:r>
            <w:r>
              <w:rPr>
                <w:rFonts w:hint="eastAsia" w:ascii="宋体" w:hAnsi="宋体" w:eastAsia="宋体" w:cs="宋体"/>
                <w:color w:val="auto"/>
                <w:sz w:val="24"/>
                <w:szCs w:val="24"/>
                <w:highlight w:val="none"/>
                <w:lang w:eastAsia="zh-Hans"/>
              </w:rPr>
              <w:t>：</w:t>
            </w:r>
            <w:r>
              <w:rPr>
                <w:rFonts w:hint="eastAsia" w:ascii="宋体" w:hAnsi="宋体" w:cs="宋体"/>
                <w:color w:val="auto"/>
                <w:sz w:val="24"/>
                <w:szCs w:val="24"/>
                <w:highlight w:val="none"/>
                <w:lang w:val="en-US" w:eastAsia="zh-CN"/>
              </w:rPr>
              <w:t>广西医科大学附属武鸣医院院内</w:t>
            </w:r>
            <w:r>
              <w:rPr>
                <w:rFonts w:hint="eastAsia" w:ascii="宋体" w:hAnsi="宋体" w:eastAsia="宋体" w:cs="宋体"/>
                <w:color w:val="auto"/>
                <w:sz w:val="24"/>
                <w:szCs w:val="24"/>
                <w:highlight w:val="none"/>
                <w:lang w:eastAsia="zh-Hans"/>
              </w:rPr>
              <w:t>采购人指定地点。</w:t>
            </w:r>
          </w:p>
          <w:p w14:paraId="03DB69CE">
            <w:pPr>
              <w:keepNext w:val="0"/>
              <w:keepLines w:val="0"/>
              <w:pageBreakBefore w:val="0"/>
              <w:kinsoku/>
              <w:wordWrap/>
              <w:overflowPunct/>
              <w:topLinePunct w:val="0"/>
              <w:autoSpaceDE/>
              <w:autoSpaceDN/>
              <w:bidi w:val="0"/>
              <w:adjustRightInd/>
              <w:snapToGrid w:val="0"/>
              <w:spacing w:line="420" w:lineRule="exact"/>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四</w:t>
            </w:r>
            <w:r>
              <w:rPr>
                <w:rFonts w:hint="eastAsia" w:ascii="宋体" w:hAnsi="宋体" w:eastAsia="宋体" w:cs="宋体"/>
                <w:b/>
                <w:bCs/>
                <w:color w:val="auto"/>
                <w:sz w:val="24"/>
                <w:szCs w:val="24"/>
                <w:highlight w:val="none"/>
                <w:lang w:eastAsia="zh-CN"/>
              </w:rPr>
              <w:t>）</w:t>
            </w:r>
            <w:r>
              <w:rPr>
                <w:rFonts w:hint="eastAsia" w:ascii="宋体" w:hAnsi="宋体" w:cs="宋体"/>
                <w:b/>
                <w:bCs w:val="0"/>
                <w:color w:val="auto"/>
                <w:kern w:val="2"/>
                <w:sz w:val="24"/>
                <w:szCs w:val="24"/>
                <w:highlight w:val="none"/>
                <w:lang w:val="en-US" w:eastAsia="zh-CN" w:bidi="ar-SA"/>
              </w:rPr>
              <w:t>结算及付款</w:t>
            </w:r>
            <w:r>
              <w:rPr>
                <w:rFonts w:hint="eastAsia" w:ascii="宋体" w:hAnsi="宋体" w:eastAsia="宋体" w:cs="宋体"/>
                <w:b/>
                <w:bCs w:val="0"/>
                <w:color w:val="auto"/>
                <w:kern w:val="2"/>
                <w:sz w:val="24"/>
                <w:szCs w:val="24"/>
                <w:highlight w:val="none"/>
                <w:lang w:val="en-US" w:eastAsia="zh-CN" w:bidi="ar-SA"/>
              </w:rPr>
              <w:t>方式：</w:t>
            </w:r>
          </w:p>
          <w:p w14:paraId="7397FEE2">
            <w:pPr>
              <w:spacing w:line="360" w:lineRule="auto"/>
              <w:ind w:firstLine="480" w:firstLineChars="200"/>
              <w:jc w:val="left"/>
              <w:textAlignment w:val="center"/>
              <w:rPr>
                <w:rFonts w:ascii="宋体" w:hAnsi="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cs="宋体"/>
                <w:color w:val="auto"/>
                <w:sz w:val="24"/>
                <w:szCs w:val="24"/>
                <w:highlight w:val="none"/>
                <w:lang w:val="en-US" w:eastAsia="zh-CN"/>
              </w:rPr>
              <w:t>1</w:t>
            </w:r>
            <w:r>
              <w:rPr>
                <w:rFonts w:hint="eastAsia" w:ascii="宋体" w:hAnsi="宋体" w:eastAsia="宋体" w:cs="宋体"/>
                <w:color w:val="auto"/>
                <w:kern w:val="2"/>
                <w:sz w:val="24"/>
                <w:szCs w:val="24"/>
                <w:highlight w:val="none"/>
                <w:lang w:val="en-US" w:eastAsia="zh-CN" w:bidi="ar-SA"/>
              </w:rPr>
              <w:t>费用计算：每月按固定服务费进行计算</w:t>
            </w:r>
            <w:r>
              <w:rPr>
                <w:rFonts w:hint="eastAsia" w:ascii="宋体" w:hAnsi="宋体" w:cs="宋体"/>
                <w:color w:val="auto"/>
                <w:kern w:val="2"/>
                <w:sz w:val="24"/>
                <w:szCs w:val="24"/>
                <w:highlight w:val="none"/>
                <w:lang w:val="en-US" w:eastAsia="zh-CN" w:bidi="ar-SA"/>
              </w:rPr>
              <w:t>。</w:t>
            </w:r>
          </w:p>
          <w:p w14:paraId="251ED8DB">
            <w:pPr>
              <w:keepNext w:val="0"/>
              <w:keepLines w:val="0"/>
              <w:pageBreakBefore w:val="0"/>
              <w:kinsoku/>
              <w:wordWrap/>
              <w:overflowPunct/>
              <w:topLinePunct w:val="0"/>
              <w:autoSpaceDE/>
              <w:autoSpaceDN/>
              <w:bidi w:val="0"/>
              <w:adjustRightInd/>
              <w:snapToGrid w:val="0"/>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4.2</w:t>
            </w:r>
            <w:r>
              <w:rPr>
                <w:rFonts w:hint="eastAsia" w:ascii="宋体" w:hAnsi="宋体" w:eastAsia="宋体" w:cs="宋体"/>
                <w:color w:val="auto"/>
                <w:kern w:val="2"/>
                <w:sz w:val="24"/>
                <w:szCs w:val="24"/>
                <w:highlight w:val="none"/>
                <w:lang w:val="en-US" w:eastAsia="zh-CN" w:bidi="ar-SA"/>
              </w:rPr>
              <w:t>.结算费用：在每月固定服务费的基础上，</w:t>
            </w:r>
            <w:r>
              <w:rPr>
                <w:rFonts w:hint="eastAsia" w:ascii="宋体" w:hAnsi="宋体" w:cs="宋体"/>
                <w:color w:val="auto"/>
                <w:kern w:val="2"/>
                <w:sz w:val="24"/>
                <w:szCs w:val="24"/>
                <w:highlight w:val="none"/>
                <w:lang w:val="en-US" w:eastAsia="zh-CN" w:bidi="ar-SA"/>
              </w:rPr>
              <w:t>扣减</w:t>
            </w:r>
            <w:r>
              <w:rPr>
                <w:rFonts w:hint="eastAsia" w:ascii="宋体" w:hAnsi="宋体" w:eastAsia="宋体" w:cs="宋体"/>
                <w:color w:val="auto"/>
                <w:kern w:val="2"/>
                <w:sz w:val="24"/>
                <w:szCs w:val="24"/>
                <w:highlight w:val="none"/>
                <w:lang w:val="en-US" w:eastAsia="zh-CN" w:bidi="ar-SA"/>
              </w:rPr>
              <w:t>当月应扣金额、违约金等进行结算，即：实际结算金额=月固定服务费-当月应扣金额、违约金等。当月应扣金额包括但不限于：因供应商服务不达标、违反</w:t>
            </w:r>
            <w:r>
              <w:rPr>
                <w:rFonts w:hint="eastAsia" w:ascii="宋体" w:hAnsi="宋体" w:cs="宋体"/>
                <w:color w:val="auto"/>
                <w:kern w:val="2"/>
                <w:sz w:val="24"/>
                <w:szCs w:val="24"/>
                <w:highlight w:val="none"/>
                <w:lang w:val="en-US" w:eastAsia="zh-CN" w:bidi="ar-SA"/>
              </w:rPr>
              <w:t>采购人</w:t>
            </w:r>
            <w:r>
              <w:rPr>
                <w:rFonts w:hint="eastAsia" w:ascii="宋体" w:hAnsi="宋体" w:eastAsia="宋体" w:cs="宋体"/>
                <w:color w:val="auto"/>
                <w:kern w:val="2"/>
                <w:sz w:val="24"/>
                <w:szCs w:val="24"/>
                <w:highlight w:val="none"/>
                <w:lang w:val="en-US" w:eastAsia="zh-CN" w:bidi="ar-SA"/>
              </w:rPr>
              <w:t>管理规定、有效投诉、或未按约定时间完成工作等情形产生的扣款。</w:t>
            </w:r>
          </w:p>
          <w:p w14:paraId="5D0E4172">
            <w:pPr>
              <w:keepNext w:val="0"/>
              <w:keepLines w:val="0"/>
              <w:pageBreakBefore w:val="0"/>
              <w:kinsoku/>
              <w:wordWrap/>
              <w:overflowPunct/>
              <w:topLinePunct w:val="0"/>
              <w:autoSpaceDE/>
              <w:autoSpaceDN/>
              <w:bidi w:val="0"/>
              <w:adjustRightInd/>
              <w:snapToGrid w:val="0"/>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cs="宋体"/>
                <w:color w:val="auto"/>
                <w:sz w:val="24"/>
                <w:szCs w:val="24"/>
                <w:highlight w:val="none"/>
                <w:lang w:val="en-US" w:eastAsia="zh-CN"/>
              </w:rPr>
              <w:t>3</w:t>
            </w:r>
            <w:r>
              <w:rPr>
                <w:rFonts w:hint="eastAsia" w:ascii="宋体" w:hAnsi="宋体" w:eastAsia="宋体" w:cs="宋体"/>
                <w:color w:val="auto"/>
                <w:kern w:val="2"/>
                <w:sz w:val="24"/>
                <w:szCs w:val="24"/>
                <w:highlight w:val="none"/>
                <w:lang w:val="en-US" w:eastAsia="zh-CN" w:bidi="ar-SA"/>
              </w:rPr>
              <w:t>费用按月结算。供应商于次月 10 日前向采购人提供上月付款申请，待采购人审核无误后由供应商</w:t>
            </w:r>
            <w:r>
              <w:rPr>
                <w:rFonts w:hint="eastAsia" w:ascii="宋体" w:hAnsi="宋体" w:cs="宋体"/>
                <w:color w:val="auto"/>
                <w:kern w:val="2"/>
                <w:sz w:val="24"/>
                <w:szCs w:val="24"/>
                <w:highlight w:val="none"/>
                <w:lang w:val="en-US" w:eastAsia="zh-CN" w:bidi="ar-SA"/>
              </w:rPr>
              <w:t>按实际结算金额</w:t>
            </w:r>
            <w:r>
              <w:rPr>
                <w:rFonts w:hint="eastAsia" w:ascii="宋体" w:hAnsi="宋体" w:eastAsia="宋体" w:cs="宋体"/>
                <w:color w:val="auto"/>
                <w:kern w:val="2"/>
                <w:sz w:val="24"/>
                <w:szCs w:val="24"/>
                <w:highlight w:val="none"/>
                <w:lang w:val="en-US" w:eastAsia="zh-CN" w:bidi="ar-SA"/>
              </w:rPr>
              <w:t>出具正规发票；采购人收到付款申请单及发票审核无误后</w:t>
            </w:r>
            <w:r>
              <w:rPr>
                <w:rFonts w:hint="eastAsia" w:ascii="宋体" w:hAnsi="宋体" w:cs="宋体"/>
                <w:color w:val="auto"/>
                <w:kern w:val="2"/>
                <w:sz w:val="24"/>
                <w:szCs w:val="24"/>
                <w:highlight w:val="none"/>
                <w:lang w:val="en-US" w:eastAsia="zh-CN" w:bidi="ar-SA"/>
              </w:rPr>
              <w:t>30日内付款</w:t>
            </w:r>
            <w:r>
              <w:rPr>
                <w:rFonts w:hint="eastAsia" w:ascii="宋体" w:hAnsi="宋体" w:eastAsia="宋体" w:cs="宋体"/>
                <w:color w:val="auto"/>
                <w:kern w:val="2"/>
                <w:sz w:val="24"/>
                <w:szCs w:val="24"/>
                <w:highlight w:val="none"/>
                <w:lang w:val="en-US" w:eastAsia="zh-CN" w:bidi="ar-SA"/>
              </w:rPr>
              <w:t>。如供应商未按约提供发票的，</w:t>
            </w:r>
            <w:r>
              <w:rPr>
                <w:rFonts w:hint="eastAsia" w:ascii="宋体" w:hAnsi="宋体" w:cs="宋体"/>
                <w:color w:val="auto"/>
                <w:kern w:val="2"/>
                <w:sz w:val="24"/>
                <w:szCs w:val="24"/>
                <w:highlight w:val="none"/>
                <w:lang w:val="en-US" w:eastAsia="zh-CN" w:bidi="ar-SA"/>
              </w:rPr>
              <w:t>采购人</w:t>
            </w:r>
            <w:r>
              <w:rPr>
                <w:rFonts w:hint="eastAsia" w:ascii="宋体" w:hAnsi="宋体" w:eastAsia="宋体" w:cs="宋体"/>
                <w:color w:val="auto"/>
                <w:kern w:val="2"/>
                <w:sz w:val="24"/>
                <w:szCs w:val="24"/>
                <w:highlight w:val="none"/>
                <w:lang w:val="en-US" w:eastAsia="zh-CN" w:bidi="ar-SA"/>
              </w:rPr>
              <w:t>有权拒绝付款，并不视为违约。</w:t>
            </w:r>
          </w:p>
          <w:p w14:paraId="69ED17AA">
            <w:pPr>
              <w:keepNext w:val="0"/>
              <w:keepLines w:val="0"/>
              <w:pageBreakBefore w:val="0"/>
              <w:kinsoku/>
              <w:wordWrap/>
              <w:overflowPunct/>
              <w:topLinePunct w:val="0"/>
              <w:autoSpaceDE/>
              <w:autoSpaceDN/>
              <w:bidi w:val="0"/>
              <w:adjustRightInd/>
              <w:snapToGrid w:val="0"/>
              <w:spacing w:line="420" w:lineRule="exact"/>
              <w:textAlignment w:val="auto"/>
              <w:rPr>
                <w:rFonts w:hint="eastAsia" w:ascii="宋体" w:hAnsi="宋体" w:cs="宋体"/>
                <w:color w:val="auto"/>
                <w:sz w:val="24"/>
                <w:szCs w:val="24"/>
                <w:highlight w:val="none"/>
              </w:rPr>
            </w:pPr>
            <w:r>
              <w:rPr>
                <w:rFonts w:hint="eastAsia" w:ascii="宋体" w:hAnsi="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其他</w:t>
            </w:r>
            <w:r>
              <w:rPr>
                <w:rFonts w:hint="eastAsia" w:ascii="宋体" w:hAnsi="宋体" w:cs="宋体"/>
                <w:b/>
                <w:bCs/>
                <w:color w:val="auto"/>
                <w:sz w:val="24"/>
                <w:szCs w:val="24"/>
                <w:highlight w:val="none"/>
              </w:rPr>
              <w:t>要求</w:t>
            </w:r>
            <w:r>
              <w:rPr>
                <w:rFonts w:hint="eastAsia" w:ascii="宋体" w:hAnsi="宋体" w:cs="宋体"/>
                <w:color w:val="auto"/>
                <w:sz w:val="24"/>
                <w:szCs w:val="24"/>
                <w:highlight w:val="none"/>
              </w:rPr>
              <w:t>：</w:t>
            </w:r>
          </w:p>
          <w:p w14:paraId="641388AA">
            <w:pPr>
              <w:keepNext w:val="0"/>
              <w:keepLines w:val="0"/>
              <w:pageBreakBefore w:val="0"/>
              <w:kinsoku/>
              <w:wordWrap/>
              <w:overflowPunct/>
              <w:topLinePunct w:val="0"/>
              <w:autoSpaceDE/>
              <w:autoSpaceDN/>
              <w:bidi w:val="0"/>
              <w:adjustRightInd/>
              <w:snapToGrid w:val="0"/>
              <w:spacing w:line="420" w:lineRule="exact"/>
              <w:ind w:firstLine="482" w:firstLineChars="200"/>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rPr>
              <w:t>▲</w:t>
            </w:r>
            <w:r>
              <w:rPr>
                <w:rFonts w:hint="eastAsia" w:ascii="宋体" w:hAnsi="宋体" w:cs="宋体"/>
                <w:b/>
                <w:bCs/>
                <w:color w:val="auto"/>
                <w:sz w:val="24"/>
                <w:szCs w:val="24"/>
                <w:highlight w:val="none"/>
                <w:lang w:val="en-US" w:eastAsia="zh-CN"/>
              </w:rPr>
              <w:t>5.</w:t>
            </w:r>
            <w:r>
              <w:rPr>
                <w:rFonts w:hint="eastAsia" w:ascii="宋体" w:hAnsi="宋体" w:cs="宋体"/>
                <w:b/>
                <w:bCs/>
                <w:color w:val="auto"/>
                <w:sz w:val="24"/>
                <w:szCs w:val="24"/>
                <w:highlight w:val="none"/>
              </w:rPr>
              <w:t>1</w:t>
            </w:r>
            <w:r>
              <w:rPr>
                <w:rFonts w:hint="eastAsia" w:ascii="宋体" w:hAnsi="宋体" w:cs="宋体"/>
                <w:b/>
                <w:bCs/>
                <w:color w:val="auto"/>
                <w:sz w:val="24"/>
                <w:szCs w:val="24"/>
                <w:highlight w:val="none"/>
                <w:lang w:val="en-US" w:eastAsia="zh-CN"/>
              </w:rPr>
              <w:t>报价要求：</w:t>
            </w:r>
          </w:p>
          <w:p w14:paraId="6AA58B78">
            <w:pPr>
              <w:keepNext w:val="0"/>
              <w:keepLines w:val="0"/>
              <w:pageBreakBefore w:val="0"/>
              <w:kinsoku/>
              <w:wordWrap/>
              <w:overflowPunct/>
              <w:topLinePunct w:val="0"/>
              <w:autoSpaceDE/>
              <w:autoSpaceDN/>
              <w:bidi w:val="0"/>
              <w:adjustRightInd/>
              <w:snapToGrid w:val="0"/>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5.1.1</w:t>
            </w:r>
            <w:r>
              <w:rPr>
                <w:rFonts w:hint="eastAsia" w:ascii="宋体" w:hAnsi="宋体" w:cs="宋体"/>
                <w:color w:val="auto"/>
                <w:sz w:val="24"/>
                <w:szCs w:val="24"/>
                <w:highlight w:val="none"/>
              </w:rPr>
              <w:t>本次报价须为人民币报价，</w:t>
            </w:r>
            <w:r>
              <w:rPr>
                <w:rFonts w:hint="eastAsia" w:ascii="宋体" w:hAnsi="宋体" w:cs="宋体"/>
                <w:color w:val="auto"/>
                <w:sz w:val="24"/>
                <w:szCs w:val="24"/>
                <w:highlight w:val="none"/>
                <w:lang w:val="en-US" w:eastAsia="zh-CN"/>
              </w:rPr>
              <w:t>本项目采取总价包干的方式，</w:t>
            </w:r>
            <w:r>
              <w:rPr>
                <w:rFonts w:hint="eastAsia" w:ascii="宋体" w:hAnsi="宋体" w:cs="宋体"/>
                <w:color w:val="auto"/>
                <w:sz w:val="24"/>
                <w:szCs w:val="24"/>
                <w:highlight w:val="none"/>
              </w:rPr>
              <w:t>包含服务</w:t>
            </w:r>
            <w:r>
              <w:rPr>
                <w:rFonts w:hint="eastAsia" w:ascii="宋体" w:hAnsi="宋体" w:eastAsia="宋体" w:cs="宋体"/>
                <w:color w:val="auto"/>
                <w:sz w:val="24"/>
                <w:szCs w:val="24"/>
                <w:highlight w:val="none"/>
              </w:rPr>
              <w:t>人员费用、收集费用、设施费用、运输费用、处置费用、车辆设备使用费用、利润税金等为完成</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文件规定的一切工作所需的全部费用。合同履行过程中，采购人不再支付合同以外的其他费用。</w:t>
            </w:r>
            <w:r>
              <w:rPr>
                <w:rFonts w:hint="eastAsia" w:ascii="宋体" w:hAnsi="宋体" w:eastAsia="宋体" w:cs="宋体"/>
                <w:color w:val="auto"/>
                <w:sz w:val="24"/>
                <w:szCs w:val="24"/>
                <w:highlight w:val="none"/>
                <w:lang w:val="en-US" w:eastAsia="zh-CN"/>
              </w:rPr>
              <w:t>竞标</w:t>
            </w:r>
            <w:r>
              <w:rPr>
                <w:rFonts w:hint="eastAsia" w:ascii="宋体" w:hAnsi="宋体" w:eastAsia="宋体" w:cs="宋体"/>
                <w:color w:val="auto"/>
                <w:sz w:val="24"/>
                <w:szCs w:val="24"/>
                <w:highlight w:val="none"/>
              </w:rPr>
              <w:t>人自行考虑并承担</w:t>
            </w:r>
            <w:r>
              <w:rPr>
                <w:rFonts w:hint="eastAsia" w:ascii="宋体" w:hAnsi="宋体" w:cs="宋体"/>
                <w:color w:val="auto"/>
                <w:sz w:val="24"/>
                <w:highlight w:val="none"/>
              </w:rPr>
              <w:t>响应</w:t>
            </w:r>
            <w:r>
              <w:rPr>
                <w:rFonts w:hint="eastAsia" w:ascii="宋体" w:hAnsi="宋体" w:eastAsia="宋体" w:cs="宋体"/>
                <w:color w:val="auto"/>
                <w:sz w:val="24"/>
                <w:szCs w:val="24"/>
                <w:highlight w:val="none"/>
              </w:rPr>
              <w:t>报价风险。</w:t>
            </w:r>
          </w:p>
          <w:p w14:paraId="3B1986F8">
            <w:pPr>
              <w:pStyle w:val="12"/>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2采购人床位数会根据实际使用情况有所增加或减少，</w:t>
            </w:r>
            <w:r>
              <w:rPr>
                <w:rFonts w:hint="eastAsia"/>
                <w:color w:val="auto"/>
                <w:highlight w:val="none"/>
                <w:lang w:val="en-US" w:eastAsia="zh-CN"/>
              </w:rPr>
              <w:t>合同金额不随床位数的增加或者减少而改变。</w:t>
            </w:r>
          </w:p>
          <w:p w14:paraId="454EFC72">
            <w:pPr>
              <w:keepNext w:val="0"/>
              <w:keepLines w:val="0"/>
              <w:pageBreakBefore w:val="0"/>
              <w:kinsoku/>
              <w:wordWrap/>
              <w:overflowPunct/>
              <w:topLinePunct w:val="0"/>
              <w:autoSpaceDE/>
              <w:autoSpaceDN/>
              <w:bidi w:val="0"/>
              <w:adjustRightInd/>
              <w:snapToGrid w:val="0"/>
              <w:spacing w:line="420" w:lineRule="exact"/>
              <w:ind w:firstLine="482" w:firstLineChars="200"/>
              <w:textAlignment w:val="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lang w:val="en-US" w:eastAsia="zh-CN"/>
              </w:rPr>
              <w:t>5.2</w:t>
            </w:r>
            <w:r>
              <w:rPr>
                <w:rFonts w:hint="eastAsia" w:ascii="宋体" w:hAnsi="宋体" w:cs="宋体"/>
                <w:b/>
                <w:bCs/>
                <w:color w:val="auto"/>
                <w:sz w:val="24"/>
                <w:szCs w:val="24"/>
                <w:highlight w:val="none"/>
              </w:rPr>
              <w:t>售后服务要求</w:t>
            </w:r>
          </w:p>
          <w:p w14:paraId="32DD7565">
            <w:pPr>
              <w:keepNext w:val="0"/>
              <w:keepLines w:val="0"/>
              <w:pageBreakBefore w:val="0"/>
              <w:kinsoku/>
              <w:wordWrap/>
              <w:overflowPunct/>
              <w:topLinePunct w:val="0"/>
              <w:autoSpaceDE/>
              <w:autoSpaceDN/>
              <w:bidi w:val="0"/>
              <w:adjustRightInd/>
              <w:snapToGrid w:val="0"/>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5.2.1</w:t>
            </w:r>
            <w:r>
              <w:rPr>
                <w:rFonts w:hint="eastAsia" w:ascii="宋体" w:hAnsi="宋体" w:eastAsia="宋体" w:cs="宋体"/>
                <w:color w:val="auto"/>
                <w:sz w:val="24"/>
                <w:szCs w:val="24"/>
                <w:highlight w:val="none"/>
              </w:rPr>
              <w:t>供应商若因突发事件或不可抗力不能及时清运医疗废物时，应在出现突发事件后马上电话通知采购人。供应商应于突发事件发生后24小时内启动应急响应预案恢复清运采购人的医疗废物。如因供应商原因需临时调整收运时间及频次的，需提前至少24小时与采购人沟通。</w:t>
            </w:r>
          </w:p>
          <w:p w14:paraId="5BDC1D0A">
            <w:pPr>
              <w:keepNext w:val="0"/>
              <w:keepLines w:val="0"/>
              <w:pageBreakBefore w:val="0"/>
              <w:kinsoku/>
              <w:wordWrap/>
              <w:overflowPunct/>
              <w:topLinePunct w:val="0"/>
              <w:autoSpaceDE/>
              <w:autoSpaceDN/>
              <w:bidi w:val="0"/>
              <w:adjustRightInd/>
              <w:snapToGrid w:val="0"/>
              <w:spacing w:line="420" w:lineRule="exact"/>
              <w:ind w:firstLine="480" w:firstLineChars="200"/>
              <w:textAlignment w:val="auto"/>
              <w:rPr>
                <w:rFonts w:hint="eastAsia"/>
                <w:color w:val="auto"/>
                <w:highlight w:val="none"/>
              </w:rPr>
            </w:pPr>
            <w:r>
              <w:rPr>
                <w:rFonts w:hint="eastAsia" w:ascii="宋体" w:hAnsi="宋体" w:eastAsia="宋体" w:cs="宋体"/>
                <w:color w:val="auto"/>
                <w:sz w:val="24"/>
                <w:szCs w:val="24"/>
                <w:highlight w:val="none"/>
                <w:lang w:val="en-US" w:eastAsia="zh-CN"/>
              </w:rPr>
              <w:t>5.2.2</w:t>
            </w:r>
            <w:r>
              <w:rPr>
                <w:rFonts w:hint="eastAsia" w:ascii="宋体" w:hAnsi="宋体" w:eastAsia="宋体" w:cs="宋体"/>
                <w:color w:val="auto"/>
                <w:sz w:val="24"/>
                <w:szCs w:val="24"/>
                <w:highlight w:val="none"/>
              </w:rPr>
              <w:t>发生医疗废物泄漏、丢失等突发事件时，供应商应在2小时内到达现场处置，并提供书面应急处理方案且按方案执行。</w:t>
            </w:r>
          </w:p>
          <w:p w14:paraId="33A0E335">
            <w:pPr>
              <w:keepNext w:val="0"/>
              <w:keepLines w:val="0"/>
              <w:pageBreakBefore w:val="0"/>
              <w:kinsoku/>
              <w:wordWrap/>
              <w:overflowPunct/>
              <w:topLinePunct w:val="0"/>
              <w:autoSpaceDE/>
              <w:autoSpaceDN/>
              <w:bidi w:val="0"/>
              <w:adjustRightInd/>
              <w:snapToGrid w:val="0"/>
              <w:spacing w:line="420" w:lineRule="exact"/>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5</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清理作业要求</w:t>
            </w:r>
          </w:p>
          <w:p w14:paraId="2B929B56">
            <w:pPr>
              <w:keepNext w:val="0"/>
              <w:keepLines w:val="0"/>
              <w:pageBreakBefore w:val="0"/>
              <w:kinsoku/>
              <w:wordWrap/>
              <w:overflowPunct/>
              <w:topLinePunct w:val="0"/>
              <w:autoSpaceDE/>
              <w:autoSpaceDN/>
              <w:bidi w:val="0"/>
              <w:adjustRightInd/>
              <w:snapToGrid w:val="0"/>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.3.1</w:t>
            </w:r>
            <w:r>
              <w:rPr>
                <w:rFonts w:hint="eastAsia" w:ascii="宋体" w:hAnsi="宋体" w:eastAsia="宋体" w:cs="宋体"/>
                <w:color w:val="auto"/>
                <w:sz w:val="24"/>
                <w:szCs w:val="24"/>
                <w:highlight w:val="none"/>
              </w:rPr>
              <w:t>作业时设置安全警示标志；</w:t>
            </w:r>
          </w:p>
          <w:p w14:paraId="10FD3BD0">
            <w:pPr>
              <w:keepNext w:val="0"/>
              <w:keepLines w:val="0"/>
              <w:pageBreakBefore w:val="0"/>
              <w:kinsoku/>
              <w:wordWrap/>
              <w:overflowPunct/>
              <w:topLinePunct w:val="0"/>
              <w:autoSpaceDE/>
              <w:autoSpaceDN/>
              <w:bidi w:val="0"/>
              <w:adjustRightInd/>
              <w:snapToGrid w:val="0"/>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.3.2</w:t>
            </w:r>
            <w:r>
              <w:rPr>
                <w:rFonts w:hint="eastAsia" w:ascii="宋体" w:hAnsi="宋体" w:eastAsia="宋体" w:cs="宋体"/>
                <w:color w:val="auto"/>
                <w:sz w:val="24"/>
                <w:szCs w:val="24"/>
                <w:highlight w:val="none"/>
              </w:rPr>
              <w:t>不得乱占道、乱鸣笛、大声喧哗等扰民行为；</w:t>
            </w:r>
          </w:p>
          <w:p w14:paraId="01023444">
            <w:pPr>
              <w:keepNext w:val="0"/>
              <w:keepLines w:val="0"/>
              <w:pageBreakBefore w:val="0"/>
              <w:kinsoku/>
              <w:wordWrap/>
              <w:overflowPunct/>
              <w:topLinePunct w:val="0"/>
              <w:autoSpaceDE/>
              <w:autoSpaceDN/>
              <w:bidi w:val="0"/>
              <w:adjustRightInd/>
              <w:snapToGrid w:val="0"/>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.3.3</w:t>
            </w:r>
            <w:r>
              <w:rPr>
                <w:rFonts w:hint="eastAsia" w:ascii="宋体" w:hAnsi="宋体" w:eastAsia="宋体" w:cs="宋体"/>
                <w:color w:val="auto"/>
                <w:sz w:val="24"/>
                <w:szCs w:val="24"/>
                <w:highlight w:val="none"/>
              </w:rPr>
              <w:t>作业人员开展工作时必须遵守采购人规章制度，不得在非作业区闲逛逗留；</w:t>
            </w:r>
          </w:p>
          <w:p w14:paraId="43830225">
            <w:pPr>
              <w:keepNext w:val="0"/>
              <w:keepLines w:val="0"/>
              <w:pageBreakBefore w:val="0"/>
              <w:kinsoku/>
              <w:wordWrap/>
              <w:overflowPunct/>
              <w:topLinePunct w:val="0"/>
              <w:autoSpaceDE/>
              <w:autoSpaceDN/>
              <w:bidi w:val="0"/>
              <w:adjustRightInd/>
              <w:snapToGrid w:val="0"/>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.3.4</w:t>
            </w:r>
            <w:r>
              <w:rPr>
                <w:rFonts w:hint="eastAsia" w:ascii="宋体" w:hAnsi="宋体" w:eastAsia="宋体" w:cs="宋体"/>
                <w:color w:val="auto"/>
                <w:sz w:val="24"/>
                <w:szCs w:val="24"/>
                <w:highlight w:val="none"/>
              </w:rPr>
              <w:t>每次清运装车完毕须清洗现场，清理完毕方可离场；</w:t>
            </w:r>
          </w:p>
          <w:p w14:paraId="51ADCC2A">
            <w:pPr>
              <w:keepNext w:val="0"/>
              <w:keepLines w:val="0"/>
              <w:pageBreakBefore w:val="0"/>
              <w:kinsoku/>
              <w:wordWrap/>
              <w:overflowPunct/>
              <w:topLinePunct w:val="0"/>
              <w:autoSpaceDE/>
              <w:autoSpaceDN/>
              <w:bidi w:val="0"/>
              <w:adjustRightInd/>
              <w:snapToGrid w:val="0"/>
              <w:spacing w:line="4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.3.5</w:t>
            </w:r>
            <w:r>
              <w:rPr>
                <w:rFonts w:hint="eastAsia" w:ascii="宋体" w:hAnsi="宋体" w:eastAsia="宋体" w:cs="宋体"/>
                <w:color w:val="auto"/>
                <w:sz w:val="24"/>
                <w:szCs w:val="24"/>
                <w:highlight w:val="none"/>
              </w:rPr>
              <w:t>供应商进入采购人区域作业后，必须遵守国家相关法律法规、采购人的规章制度，确保作业安全。作业期间，作业人员的人身安全问题由供应商负责。如因供应商违规操作给采购人造成损失的，由供应商全部承担。</w:t>
            </w:r>
          </w:p>
          <w:p w14:paraId="50C14D8E">
            <w:pPr>
              <w:keepNext w:val="0"/>
              <w:keepLines w:val="0"/>
              <w:pageBreakBefore w:val="0"/>
              <w:kinsoku/>
              <w:wordWrap/>
              <w:overflowPunct/>
              <w:topLinePunct w:val="0"/>
              <w:autoSpaceDE/>
              <w:autoSpaceDN/>
              <w:bidi w:val="0"/>
              <w:adjustRightInd/>
              <w:snapToGrid w:val="0"/>
              <w:spacing w:line="420" w:lineRule="exact"/>
              <w:ind w:firstLine="482" w:firstLineChars="200"/>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5.4验收标准：</w:t>
            </w:r>
          </w:p>
          <w:p w14:paraId="50391E2D">
            <w:pPr>
              <w:keepNext w:val="0"/>
              <w:keepLines w:val="0"/>
              <w:pageBreakBefore w:val="0"/>
              <w:kinsoku/>
              <w:wordWrap/>
              <w:overflowPunct/>
              <w:topLinePunct w:val="0"/>
              <w:autoSpaceDE/>
              <w:autoSpaceDN/>
              <w:bidi w:val="0"/>
              <w:adjustRightInd/>
              <w:spacing w:line="420" w:lineRule="exact"/>
              <w:ind w:firstLine="480"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5.4.1</w:t>
            </w:r>
            <w:r>
              <w:rPr>
                <w:rFonts w:hint="eastAsia" w:ascii="宋体" w:hAnsi="宋体" w:cs="宋体"/>
                <w:color w:val="auto"/>
                <w:kern w:val="0"/>
                <w:sz w:val="24"/>
                <w:szCs w:val="24"/>
                <w:highlight w:val="none"/>
              </w:rPr>
              <w:t>验收内容：</w:t>
            </w:r>
          </w:p>
          <w:p w14:paraId="3A477C2A">
            <w:pPr>
              <w:keepNext w:val="0"/>
              <w:keepLines w:val="0"/>
              <w:pageBreakBefore w:val="0"/>
              <w:kinsoku/>
              <w:wordWrap/>
              <w:overflowPunct/>
              <w:topLinePunct w:val="0"/>
              <w:autoSpaceDE/>
              <w:autoSpaceDN/>
              <w:bidi w:val="0"/>
              <w:adjustRightInd/>
              <w:spacing w:line="420" w:lineRule="exact"/>
              <w:ind w:firstLine="480"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（1）符合现行国家相关标准、行业标准、地方标准或者其他标准、规范。</w:t>
            </w:r>
          </w:p>
          <w:p w14:paraId="63732C99">
            <w:pPr>
              <w:keepNext w:val="0"/>
              <w:keepLines w:val="0"/>
              <w:pageBreakBefore w:val="0"/>
              <w:kinsoku/>
              <w:wordWrap/>
              <w:overflowPunct/>
              <w:topLinePunct w:val="0"/>
              <w:autoSpaceDE/>
              <w:autoSpaceDN/>
              <w:bidi w:val="0"/>
              <w:adjustRightInd/>
              <w:spacing w:line="420" w:lineRule="exact"/>
              <w:ind w:firstLine="480"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（2）符合</w:t>
            </w:r>
            <w:r>
              <w:rPr>
                <w:rFonts w:hint="eastAsia" w:ascii="宋体" w:hAnsi="宋体" w:cs="宋体"/>
                <w:color w:val="auto"/>
                <w:kern w:val="0"/>
                <w:sz w:val="24"/>
                <w:szCs w:val="24"/>
                <w:highlight w:val="none"/>
                <w:lang w:val="en-US" w:eastAsia="zh-CN"/>
              </w:rPr>
              <w:t>采购</w:t>
            </w:r>
            <w:r>
              <w:rPr>
                <w:rFonts w:hint="eastAsia" w:ascii="宋体" w:hAnsi="宋体" w:cs="宋体"/>
                <w:color w:val="auto"/>
                <w:kern w:val="0"/>
                <w:sz w:val="24"/>
                <w:szCs w:val="24"/>
                <w:highlight w:val="none"/>
              </w:rPr>
              <w:t>文件和</w:t>
            </w:r>
            <w:r>
              <w:rPr>
                <w:rFonts w:hint="eastAsia" w:ascii="宋体" w:hAnsi="宋体" w:cs="宋体"/>
                <w:color w:val="auto"/>
                <w:kern w:val="0"/>
                <w:sz w:val="24"/>
                <w:szCs w:val="24"/>
                <w:highlight w:val="none"/>
                <w:lang w:val="en-US" w:eastAsia="zh-CN"/>
              </w:rPr>
              <w:t>竞</w:t>
            </w:r>
            <w:r>
              <w:rPr>
                <w:rFonts w:hint="eastAsia" w:ascii="宋体" w:hAnsi="宋体" w:cs="宋体"/>
                <w:color w:val="auto"/>
                <w:kern w:val="0"/>
                <w:sz w:val="24"/>
                <w:szCs w:val="24"/>
                <w:highlight w:val="none"/>
              </w:rPr>
              <w:t>标响应承诺中采购人认可的服务标准及各项要求。</w:t>
            </w:r>
          </w:p>
          <w:p w14:paraId="5482E583">
            <w:pPr>
              <w:keepNext w:val="0"/>
              <w:keepLines w:val="0"/>
              <w:pageBreakBefore w:val="0"/>
              <w:kinsoku/>
              <w:wordWrap/>
              <w:overflowPunct/>
              <w:topLinePunct w:val="0"/>
              <w:autoSpaceDE/>
              <w:autoSpaceDN/>
              <w:bidi w:val="0"/>
              <w:adjustRightInd/>
              <w:spacing w:line="420" w:lineRule="exact"/>
              <w:ind w:firstLine="480"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（3）符合合同约定的服务要求。</w:t>
            </w:r>
          </w:p>
          <w:p w14:paraId="3CABBD10">
            <w:pPr>
              <w:keepNext w:val="0"/>
              <w:keepLines w:val="0"/>
              <w:pageBreakBefore w:val="0"/>
              <w:kinsoku/>
              <w:wordWrap/>
              <w:overflowPunct/>
              <w:topLinePunct w:val="0"/>
              <w:autoSpaceDE/>
              <w:autoSpaceDN/>
              <w:bidi w:val="0"/>
              <w:adjustRightInd/>
              <w:spacing w:line="420" w:lineRule="exact"/>
              <w:ind w:firstLine="480"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（4）双方约定的其他验收标准。</w:t>
            </w:r>
          </w:p>
          <w:p w14:paraId="2380ECED">
            <w:pPr>
              <w:keepNext w:val="0"/>
              <w:keepLines w:val="0"/>
              <w:pageBreakBefore w:val="0"/>
              <w:kinsoku/>
              <w:wordWrap/>
              <w:overflowPunct/>
              <w:topLinePunct w:val="0"/>
              <w:autoSpaceDE/>
              <w:autoSpaceDN/>
              <w:bidi w:val="0"/>
              <w:adjustRightInd/>
              <w:spacing w:line="420" w:lineRule="exact"/>
              <w:ind w:firstLine="480"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5.4.2</w:t>
            </w:r>
            <w:r>
              <w:rPr>
                <w:rFonts w:hint="eastAsia" w:ascii="宋体" w:hAnsi="宋体" w:cs="宋体"/>
                <w:color w:val="auto"/>
                <w:kern w:val="0"/>
                <w:sz w:val="24"/>
                <w:szCs w:val="24"/>
                <w:highlight w:val="none"/>
              </w:rPr>
              <w:t>履约验收标准：验收小组按照政府采购合同规定的技术、服务标准对供应商履约情况进行验收。</w:t>
            </w:r>
          </w:p>
          <w:p w14:paraId="240DF8F8">
            <w:pPr>
              <w:keepNext w:val="0"/>
              <w:keepLines w:val="0"/>
              <w:pageBreakBefore w:val="0"/>
              <w:kinsoku/>
              <w:wordWrap/>
              <w:overflowPunct/>
              <w:topLinePunct w:val="0"/>
              <w:autoSpaceDE/>
              <w:autoSpaceDN/>
              <w:bidi w:val="0"/>
              <w:adjustRightInd/>
              <w:spacing w:line="420" w:lineRule="exact"/>
              <w:ind w:firstLine="480"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5.4.3</w:t>
            </w:r>
            <w:r>
              <w:rPr>
                <w:rFonts w:hint="eastAsia" w:ascii="宋体" w:hAnsi="宋体" w:cs="宋体"/>
                <w:color w:val="auto"/>
                <w:kern w:val="0"/>
                <w:sz w:val="24"/>
                <w:szCs w:val="24"/>
                <w:highlight w:val="none"/>
              </w:rPr>
              <w:t>履约验收其他事项：其他未尽事宜严格按照《关于印发广西壮族自治区政府采购项目履约验收管理办法的通知》[桂财采〔2015〕22号]以及《财政部关于进一步加强政府采购需求和履约验收管理的指导意见》[财库〔2016〕205号]规定执行。</w:t>
            </w:r>
          </w:p>
          <w:p w14:paraId="21A7EC59">
            <w:pPr>
              <w:pStyle w:val="32"/>
              <w:keepNext w:val="0"/>
              <w:keepLines w:val="0"/>
              <w:pageBreakBefore w:val="0"/>
              <w:kinsoku/>
              <w:wordWrap/>
              <w:overflowPunct/>
              <w:topLinePunct w:val="0"/>
              <w:autoSpaceDE/>
              <w:autoSpaceDN/>
              <w:bidi w:val="0"/>
              <w:adjustRightInd/>
              <w:spacing w:line="420" w:lineRule="exact"/>
              <w:ind w:left="0" w:leftChars="0" w:firstLine="480" w:firstLineChars="200"/>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5</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val="en-US" w:eastAsia="zh-CN"/>
              </w:rPr>
              <w:t>4.4</w:t>
            </w:r>
            <w:r>
              <w:rPr>
                <w:rFonts w:hint="eastAsia" w:ascii="宋体" w:hAnsi="宋体" w:cs="宋体"/>
                <w:color w:val="auto"/>
                <w:kern w:val="0"/>
                <w:sz w:val="24"/>
                <w:szCs w:val="24"/>
                <w:highlight w:val="none"/>
              </w:rPr>
              <w:t>验收产生的费用由</w:t>
            </w:r>
            <w:r>
              <w:rPr>
                <w:rFonts w:hint="eastAsia" w:ascii="宋体" w:hAnsi="宋体" w:cs="宋体"/>
                <w:color w:val="auto"/>
                <w:kern w:val="0"/>
                <w:sz w:val="24"/>
                <w:szCs w:val="24"/>
                <w:highlight w:val="none"/>
                <w:lang w:val="en-US" w:eastAsia="zh-CN"/>
              </w:rPr>
              <w:t>成交</w:t>
            </w:r>
            <w:r>
              <w:rPr>
                <w:rFonts w:hint="eastAsia" w:ascii="宋体" w:hAnsi="宋体" w:cs="宋体"/>
                <w:color w:val="auto"/>
                <w:kern w:val="0"/>
                <w:sz w:val="24"/>
                <w:szCs w:val="24"/>
                <w:highlight w:val="none"/>
              </w:rPr>
              <w:t>供应商负责。</w:t>
            </w:r>
          </w:p>
          <w:p w14:paraId="4D2F10FA">
            <w:pPr>
              <w:pStyle w:val="32"/>
              <w:keepNext w:val="0"/>
              <w:keepLines w:val="0"/>
              <w:pageBreakBefore w:val="0"/>
              <w:kinsoku/>
              <w:wordWrap/>
              <w:overflowPunct/>
              <w:topLinePunct w:val="0"/>
              <w:autoSpaceDE/>
              <w:autoSpaceDN/>
              <w:bidi w:val="0"/>
              <w:adjustRightInd/>
              <w:spacing w:line="420" w:lineRule="exact"/>
              <w:ind w:left="0" w:leftChars="0" w:firstLine="480" w:firstLineChars="200"/>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5.5 收集、运输过程中，医疗废弃物处置所需要的周转箱等一切工具由供应商负责。</w:t>
            </w:r>
          </w:p>
          <w:p w14:paraId="3AEFE6AA">
            <w:pPr>
              <w:pStyle w:val="32"/>
              <w:keepNext w:val="0"/>
              <w:keepLines w:val="0"/>
              <w:pageBreakBefore w:val="0"/>
              <w:kinsoku/>
              <w:wordWrap/>
              <w:overflowPunct/>
              <w:topLinePunct w:val="0"/>
              <w:autoSpaceDE/>
              <w:autoSpaceDN/>
              <w:bidi w:val="0"/>
              <w:adjustRightInd/>
              <w:spacing w:line="420" w:lineRule="exact"/>
              <w:ind w:left="0" w:leftChars="0" w:firstLine="480" w:firstLineChars="200"/>
              <w:textAlignment w:val="auto"/>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5.6供应商在运输、处置医疗废弃物过程中造成的不良后果、环境污染、事故等，由供应商负全部责任。</w:t>
            </w:r>
          </w:p>
        </w:tc>
      </w:tr>
    </w:tbl>
    <w:p w14:paraId="7C69B323">
      <w:pPr>
        <w:pStyle w:val="19"/>
        <w:keepNext w:val="0"/>
        <w:keepLines w:val="0"/>
        <w:pageBreakBefore/>
        <w:widowControl w:val="0"/>
        <w:kinsoku/>
        <w:wordWrap/>
        <w:overflowPunct/>
        <w:topLinePunct w:val="0"/>
        <w:autoSpaceDE/>
        <w:autoSpaceDN/>
        <w:bidi w:val="0"/>
        <w:adjustRightInd/>
        <w:snapToGrid/>
        <w:jc w:val="left"/>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附件</w:t>
      </w:r>
      <w:r>
        <w:rPr>
          <w:rFonts w:hint="eastAsia" w:ascii="宋体" w:hAnsi="宋体" w:eastAsia="宋体" w:cs="宋体"/>
          <w:color w:val="auto"/>
          <w:sz w:val="32"/>
          <w:szCs w:val="32"/>
          <w:highlight w:val="none"/>
          <w:lang w:val="en-US" w:eastAsia="zh-CN"/>
        </w:rPr>
        <w:t>1</w:t>
      </w:r>
      <w:r>
        <w:rPr>
          <w:rFonts w:hint="eastAsia" w:ascii="宋体" w:hAnsi="宋体" w:eastAsia="宋体" w:cs="宋体"/>
          <w:color w:val="auto"/>
          <w:sz w:val="32"/>
          <w:szCs w:val="32"/>
          <w:highlight w:val="none"/>
        </w:rPr>
        <w:t>：</w:t>
      </w:r>
    </w:p>
    <w:p w14:paraId="70C83B67">
      <w:pPr>
        <w:pStyle w:val="19"/>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color w:val="auto"/>
          <w:sz w:val="32"/>
          <w:szCs w:val="32"/>
          <w:highlight w:val="none"/>
        </w:rPr>
      </w:pPr>
      <w:r>
        <w:rPr>
          <w:rFonts w:hint="eastAsia" w:ascii="宋体" w:hAnsi="宋体" w:eastAsia="宋体" w:cs="宋体"/>
          <w:b/>
          <w:bCs/>
          <w:color w:val="auto"/>
          <w:kern w:val="2"/>
          <w:sz w:val="40"/>
          <w:szCs w:val="40"/>
          <w:highlight w:val="none"/>
          <w:lang w:val="en-US" w:eastAsia="zh-CN" w:bidi="ar-SA"/>
        </w:rPr>
        <w:t>《医疗废物种类及特性分析表》</w:t>
      </w:r>
    </w:p>
    <w:tbl>
      <w:tblPr>
        <w:tblStyle w:val="33"/>
        <w:tblW w:w="96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2126"/>
        <w:gridCol w:w="6500"/>
      </w:tblGrid>
      <w:tr w14:paraId="44530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064" w:type="dxa"/>
            <w:noWrap w:val="0"/>
            <w:vAlign w:val="center"/>
          </w:tcPr>
          <w:p w14:paraId="72B2E8C2">
            <w:pPr>
              <w:spacing w:line="360" w:lineRule="auto"/>
              <w:ind w:firstLine="241" w:firstLineChars="100"/>
              <w:jc w:val="left"/>
              <w:rPr>
                <w:rFonts w:hint="eastAsia" w:ascii="宋体" w:hAnsi="宋体" w:eastAsia="宋体" w:cs="宋体"/>
                <w:b/>
                <w:bCs/>
                <w:color w:val="auto"/>
                <w:sz w:val="24"/>
                <w:szCs w:val="24"/>
                <w:highlight w:val="none"/>
                <w:lang w:bidi="ar"/>
              </w:rPr>
            </w:pPr>
            <w:r>
              <w:rPr>
                <w:rFonts w:hint="eastAsia" w:ascii="宋体" w:hAnsi="宋体" w:eastAsia="宋体" w:cs="宋体"/>
                <w:b/>
                <w:bCs/>
                <w:color w:val="auto"/>
                <w:sz w:val="24"/>
                <w:szCs w:val="24"/>
                <w:highlight w:val="none"/>
                <w:lang w:bidi="ar"/>
              </w:rPr>
              <w:t>类别</w:t>
            </w:r>
          </w:p>
        </w:tc>
        <w:tc>
          <w:tcPr>
            <w:tcW w:w="2126" w:type="dxa"/>
            <w:noWrap w:val="0"/>
            <w:vAlign w:val="center"/>
          </w:tcPr>
          <w:p w14:paraId="6CA01809">
            <w:pPr>
              <w:spacing w:line="360" w:lineRule="auto"/>
              <w:jc w:val="center"/>
              <w:rPr>
                <w:rFonts w:hint="eastAsia" w:ascii="宋体" w:hAnsi="宋体" w:eastAsia="宋体" w:cs="宋体"/>
                <w:b/>
                <w:bCs/>
                <w:color w:val="auto"/>
                <w:sz w:val="24"/>
                <w:szCs w:val="24"/>
                <w:highlight w:val="none"/>
                <w:lang w:bidi="ar"/>
              </w:rPr>
            </w:pPr>
            <w:r>
              <w:rPr>
                <w:rFonts w:hint="eastAsia" w:ascii="宋体" w:hAnsi="宋体" w:eastAsia="宋体" w:cs="宋体"/>
                <w:b/>
                <w:bCs/>
                <w:color w:val="auto"/>
                <w:sz w:val="24"/>
                <w:szCs w:val="24"/>
                <w:highlight w:val="none"/>
                <w:lang w:bidi="ar"/>
              </w:rPr>
              <w:t>特征</w:t>
            </w:r>
          </w:p>
        </w:tc>
        <w:tc>
          <w:tcPr>
            <w:tcW w:w="6500" w:type="dxa"/>
            <w:noWrap w:val="0"/>
            <w:vAlign w:val="center"/>
          </w:tcPr>
          <w:p w14:paraId="0E6CADBE">
            <w:pPr>
              <w:spacing w:line="360" w:lineRule="auto"/>
              <w:ind w:firstLine="1930" w:firstLineChars="801"/>
              <w:jc w:val="left"/>
              <w:rPr>
                <w:rFonts w:hint="eastAsia" w:ascii="宋体" w:hAnsi="宋体" w:eastAsia="宋体" w:cs="宋体"/>
                <w:b/>
                <w:bCs/>
                <w:color w:val="auto"/>
                <w:sz w:val="24"/>
                <w:szCs w:val="24"/>
                <w:highlight w:val="none"/>
                <w:lang w:bidi="ar"/>
              </w:rPr>
            </w:pPr>
            <w:r>
              <w:rPr>
                <w:rFonts w:hint="eastAsia" w:ascii="宋体" w:hAnsi="宋体" w:eastAsia="宋体" w:cs="宋体"/>
                <w:b/>
                <w:bCs/>
                <w:color w:val="auto"/>
                <w:sz w:val="24"/>
                <w:szCs w:val="24"/>
                <w:highlight w:val="none"/>
                <w:lang w:bidi="ar"/>
              </w:rPr>
              <w:t>常见组分或者废物名称</w:t>
            </w:r>
          </w:p>
        </w:tc>
      </w:tr>
      <w:tr w14:paraId="15906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1" w:hRule="atLeast"/>
        </w:trPr>
        <w:tc>
          <w:tcPr>
            <w:tcW w:w="1064" w:type="dxa"/>
            <w:vMerge w:val="restart"/>
            <w:noWrap w:val="0"/>
            <w:vAlign w:val="center"/>
          </w:tcPr>
          <w:p w14:paraId="509D00CD">
            <w:pPr>
              <w:spacing w:line="360" w:lineRule="auto"/>
              <w:ind w:firstLine="484" w:firstLineChars="202"/>
              <w:jc w:val="center"/>
              <w:rPr>
                <w:rFonts w:hint="eastAsia" w:ascii="宋体" w:hAnsi="宋体" w:eastAsia="宋体" w:cs="宋体"/>
                <w:color w:val="auto"/>
                <w:sz w:val="24"/>
                <w:szCs w:val="24"/>
                <w:highlight w:val="none"/>
                <w:lang w:bidi="ar"/>
              </w:rPr>
            </w:pPr>
          </w:p>
          <w:p w14:paraId="15FD420A">
            <w:pPr>
              <w:spacing w:line="360" w:lineRule="auto"/>
              <w:ind w:firstLine="484" w:firstLineChars="202"/>
              <w:jc w:val="center"/>
              <w:rPr>
                <w:rFonts w:hint="eastAsia" w:ascii="宋体" w:hAnsi="宋体" w:eastAsia="宋体" w:cs="宋体"/>
                <w:color w:val="auto"/>
                <w:sz w:val="24"/>
                <w:szCs w:val="24"/>
                <w:highlight w:val="none"/>
                <w:lang w:bidi="ar"/>
              </w:rPr>
            </w:pPr>
          </w:p>
          <w:p w14:paraId="05B9C1CA">
            <w:pPr>
              <w:spacing w:line="360" w:lineRule="auto"/>
              <w:ind w:firstLine="484" w:firstLineChars="202"/>
              <w:jc w:val="center"/>
              <w:rPr>
                <w:rFonts w:hint="eastAsia" w:ascii="宋体" w:hAnsi="宋体" w:eastAsia="宋体" w:cs="宋体"/>
                <w:color w:val="auto"/>
                <w:sz w:val="24"/>
                <w:szCs w:val="24"/>
                <w:highlight w:val="none"/>
                <w:lang w:bidi="ar"/>
              </w:rPr>
            </w:pPr>
          </w:p>
          <w:p w14:paraId="039AD2A1">
            <w:pPr>
              <w:spacing w:line="360" w:lineRule="auto"/>
              <w:jc w:val="center"/>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感染性废物</w:t>
            </w:r>
          </w:p>
        </w:tc>
        <w:tc>
          <w:tcPr>
            <w:tcW w:w="2126" w:type="dxa"/>
            <w:vMerge w:val="restart"/>
            <w:noWrap w:val="0"/>
            <w:vAlign w:val="center"/>
          </w:tcPr>
          <w:p w14:paraId="3A4C39D3">
            <w:pPr>
              <w:spacing w:line="360" w:lineRule="auto"/>
              <w:ind w:firstLine="484" w:firstLineChars="202"/>
              <w:jc w:val="center"/>
              <w:rPr>
                <w:rFonts w:hint="eastAsia" w:ascii="宋体" w:hAnsi="宋体" w:eastAsia="宋体" w:cs="宋体"/>
                <w:color w:val="auto"/>
                <w:sz w:val="24"/>
                <w:szCs w:val="24"/>
                <w:highlight w:val="none"/>
                <w:lang w:bidi="ar"/>
              </w:rPr>
            </w:pPr>
          </w:p>
          <w:p w14:paraId="110DDC03">
            <w:pPr>
              <w:spacing w:line="360" w:lineRule="auto"/>
              <w:ind w:firstLine="484" w:firstLineChars="202"/>
              <w:jc w:val="center"/>
              <w:rPr>
                <w:rFonts w:hint="eastAsia" w:ascii="宋体" w:hAnsi="宋体" w:eastAsia="宋体" w:cs="宋体"/>
                <w:color w:val="auto"/>
                <w:sz w:val="24"/>
                <w:szCs w:val="24"/>
                <w:highlight w:val="none"/>
                <w:lang w:bidi="ar"/>
              </w:rPr>
            </w:pPr>
          </w:p>
          <w:p w14:paraId="57D48016">
            <w:pPr>
              <w:spacing w:line="360" w:lineRule="auto"/>
              <w:jc w:val="center"/>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携带病原微生物，具有引发感染性疾病传播危险的医疗废物</w:t>
            </w:r>
          </w:p>
        </w:tc>
        <w:tc>
          <w:tcPr>
            <w:tcW w:w="6500" w:type="dxa"/>
            <w:noWrap w:val="0"/>
            <w:vAlign w:val="top"/>
          </w:tcPr>
          <w:p w14:paraId="0E5228CC">
            <w:pPr>
              <w:spacing w:line="360" w:lineRule="auto"/>
              <w:jc w:val="left"/>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1.人血液、体液、排泄物污染的物品，包括：棉球、棉签、引流棉条、纱布及其他各种敷料；一次性使用卫生用品、一次性使用医疗用品及一次性医疗器械；废弃的被服；其他被病人血液、体液、排泄物污染的物品。</w:t>
            </w:r>
          </w:p>
        </w:tc>
      </w:tr>
      <w:tr w14:paraId="374F1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064" w:type="dxa"/>
            <w:vMerge w:val="continue"/>
            <w:noWrap w:val="0"/>
            <w:vAlign w:val="center"/>
          </w:tcPr>
          <w:p w14:paraId="533DB026">
            <w:pPr>
              <w:spacing w:line="360" w:lineRule="auto"/>
              <w:ind w:firstLine="484" w:firstLineChars="202"/>
              <w:jc w:val="center"/>
              <w:rPr>
                <w:rFonts w:hint="eastAsia" w:ascii="宋体" w:hAnsi="宋体" w:eastAsia="宋体" w:cs="宋体"/>
                <w:color w:val="auto"/>
                <w:sz w:val="24"/>
                <w:szCs w:val="24"/>
                <w:highlight w:val="none"/>
                <w:lang w:bidi="ar"/>
              </w:rPr>
            </w:pPr>
          </w:p>
        </w:tc>
        <w:tc>
          <w:tcPr>
            <w:tcW w:w="2126" w:type="dxa"/>
            <w:vMerge w:val="continue"/>
            <w:noWrap w:val="0"/>
            <w:vAlign w:val="center"/>
          </w:tcPr>
          <w:p w14:paraId="33529B59">
            <w:pPr>
              <w:spacing w:line="360" w:lineRule="auto"/>
              <w:ind w:firstLine="484" w:firstLineChars="202"/>
              <w:jc w:val="center"/>
              <w:rPr>
                <w:rFonts w:hint="eastAsia" w:ascii="宋体" w:hAnsi="宋体" w:eastAsia="宋体" w:cs="宋体"/>
                <w:color w:val="auto"/>
                <w:sz w:val="24"/>
                <w:szCs w:val="24"/>
                <w:highlight w:val="none"/>
                <w:lang w:bidi="ar"/>
              </w:rPr>
            </w:pPr>
          </w:p>
        </w:tc>
        <w:tc>
          <w:tcPr>
            <w:tcW w:w="6500" w:type="dxa"/>
            <w:noWrap w:val="0"/>
            <w:vAlign w:val="top"/>
          </w:tcPr>
          <w:p w14:paraId="16233CC8">
            <w:pPr>
              <w:spacing w:line="360" w:lineRule="auto"/>
              <w:jc w:val="left"/>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2.医疗机构收治的隔离传染病病人或者疑似传染病病人产生的生活垃圾。</w:t>
            </w:r>
          </w:p>
        </w:tc>
      </w:tr>
      <w:tr w14:paraId="1D46B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064" w:type="dxa"/>
            <w:vMerge w:val="continue"/>
            <w:noWrap w:val="0"/>
            <w:vAlign w:val="center"/>
          </w:tcPr>
          <w:p w14:paraId="7E44F464">
            <w:pPr>
              <w:spacing w:line="360" w:lineRule="auto"/>
              <w:ind w:firstLine="484" w:firstLineChars="202"/>
              <w:jc w:val="center"/>
              <w:rPr>
                <w:rFonts w:hint="eastAsia" w:ascii="宋体" w:hAnsi="宋体" w:eastAsia="宋体" w:cs="宋体"/>
                <w:color w:val="auto"/>
                <w:sz w:val="24"/>
                <w:szCs w:val="24"/>
                <w:highlight w:val="none"/>
                <w:lang w:bidi="ar"/>
              </w:rPr>
            </w:pPr>
          </w:p>
        </w:tc>
        <w:tc>
          <w:tcPr>
            <w:tcW w:w="2126" w:type="dxa"/>
            <w:vMerge w:val="continue"/>
            <w:noWrap w:val="0"/>
            <w:vAlign w:val="center"/>
          </w:tcPr>
          <w:p w14:paraId="34DB3072">
            <w:pPr>
              <w:spacing w:line="360" w:lineRule="auto"/>
              <w:ind w:firstLine="484" w:firstLineChars="202"/>
              <w:jc w:val="center"/>
              <w:rPr>
                <w:rFonts w:hint="eastAsia" w:ascii="宋体" w:hAnsi="宋体" w:eastAsia="宋体" w:cs="宋体"/>
                <w:color w:val="auto"/>
                <w:sz w:val="24"/>
                <w:szCs w:val="24"/>
                <w:highlight w:val="none"/>
                <w:lang w:bidi="ar"/>
              </w:rPr>
            </w:pPr>
          </w:p>
        </w:tc>
        <w:tc>
          <w:tcPr>
            <w:tcW w:w="6500" w:type="dxa"/>
            <w:noWrap w:val="0"/>
            <w:vAlign w:val="top"/>
          </w:tcPr>
          <w:p w14:paraId="1F084E27">
            <w:pPr>
              <w:spacing w:line="360" w:lineRule="auto"/>
              <w:jc w:val="left"/>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3.病原体的培养基、标本和菌种、毒种保存液。</w:t>
            </w:r>
          </w:p>
        </w:tc>
      </w:tr>
      <w:tr w14:paraId="1B6B5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064" w:type="dxa"/>
            <w:vMerge w:val="continue"/>
            <w:noWrap w:val="0"/>
            <w:vAlign w:val="center"/>
          </w:tcPr>
          <w:p w14:paraId="10E92100">
            <w:pPr>
              <w:spacing w:line="360" w:lineRule="auto"/>
              <w:ind w:firstLine="484" w:firstLineChars="202"/>
              <w:jc w:val="center"/>
              <w:rPr>
                <w:rFonts w:hint="eastAsia" w:ascii="宋体" w:hAnsi="宋体" w:eastAsia="宋体" w:cs="宋体"/>
                <w:color w:val="auto"/>
                <w:sz w:val="24"/>
                <w:szCs w:val="24"/>
                <w:highlight w:val="none"/>
                <w:lang w:bidi="ar"/>
              </w:rPr>
            </w:pPr>
          </w:p>
        </w:tc>
        <w:tc>
          <w:tcPr>
            <w:tcW w:w="2126" w:type="dxa"/>
            <w:vMerge w:val="continue"/>
            <w:noWrap w:val="0"/>
            <w:vAlign w:val="center"/>
          </w:tcPr>
          <w:p w14:paraId="2C881C3E">
            <w:pPr>
              <w:spacing w:line="360" w:lineRule="auto"/>
              <w:ind w:firstLine="484" w:firstLineChars="202"/>
              <w:jc w:val="center"/>
              <w:rPr>
                <w:rFonts w:hint="eastAsia" w:ascii="宋体" w:hAnsi="宋体" w:eastAsia="宋体" w:cs="宋体"/>
                <w:color w:val="auto"/>
                <w:sz w:val="24"/>
                <w:szCs w:val="24"/>
                <w:highlight w:val="none"/>
                <w:lang w:bidi="ar"/>
              </w:rPr>
            </w:pPr>
          </w:p>
        </w:tc>
        <w:tc>
          <w:tcPr>
            <w:tcW w:w="6500" w:type="dxa"/>
            <w:noWrap w:val="0"/>
            <w:vAlign w:val="top"/>
          </w:tcPr>
          <w:p w14:paraId="6130C39C">
            <w:pPr>
              <w:spacing w:line="360" w:lineRule="auto"/>
              <w:jc w:val="left"/>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4.各种废弃的医学标本。</w:t>
            </w:r>
          </w:p>
        </w:tc>
      </w:tr>
      <w:tr w14:paraId="6C4E3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064" w:type="dxa"/>
            <w:vMerge w:val="continue"/>
            <w:noWrap w:val="0"/>
            <w:vAlign w:val="center"/>
          </w:tcPr>
          <w:p w14:paraId="09EB3AF5">
            <w:pPr>
              <w:spacing w:line="360" w:lineRule="auto"/>
              <w:ind w:firstLine="484" w:firstLineChars="202"/>
              <w:jc w:val="center"/>
              <w:rPr>
                <w:rFonts w:hint="eastAsia" w:ascii="宋体" w:hAnsi="宋体" w:eastAsia="宋体" w:cs="宋体"/>
                <w:color w:val="auto"/>
                <w:sz w:val="24"/>
                <w:szCs w:val="24"/>
                <w:highlight w:val="none"/>
                <w:lang w:bidi="ar"/>
              </w:rPr>
            </w:pPr>
          </w:p>
        </w:tc>
        <w:tc>
          <w:tcPr>
            <w:tcW w:w="2126" w:type="dxa"/>
            <w:vMerge w:val="continue"/>
            <w:noWrap w:val="0"/>
            <w:vAlign w:val="center"/>
          </w:tcPr>
          <w:p w14:paraId="0E1584EC">
            <w:pPr>
              <w:spacing w:line="360" w:lineRule="auto"/>
              <w:ind w:firstLine="484" w:firstLineChars="202"/>
              <w:jc w:val="center"/>
              <w:rPr>
                <w:rFonts w:hint="eastAsia" w:ascii="宋体" w:hAnsi="宋体" w:eastAsia="宋体" w:cs="宋体"/>
                <w:color w:val="auto"/>
                <w:sz w:val="24"/>
                <w:szCs w:val="24"/>
                <w:highlight w:val="none"/>
                <w:lang w:bidi="ar"/>
              </w:rPr>
            </w:pPr>
          </w:p>
        </w:tc>
        <w:tc>
          <w:tcPr>
            <w:tcW w:w="6500" w:type="dxa"/>
            <w:noWrap w:val="0"/>
            <w:vAlign w:val="top"/>
          </w:tcPr>
          <w:p w14:paraId="1367057A">
            <w:pPr>
              <w:spacing w:line="360" w:lineRule="auto"/>
              <w:jc w:val="left"/>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5.废弃的血液、血清。</w:t>
            </w:r>
          </w:p>
        </w:tc>
      </w:tr>
      <w:tr w14:paraId="314EE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064" w:type="dxa"/>
            <w:vMerge w:val="continue"/>
            <w:noWrap w:val="0"/>
            <w:vAlign w:val="center"/>
          </w:tcPr>
          <w:p w14:paraId="1F235A78">
            <w:pPr>
              <w:spacing w:line="360" w:lineRule="auto"/>
              <w:ind w:firstLine="484" w:firstLineChars="202"/>
              <w:jc w:val="center"/>
              <w:rPr>
                <w:rFonts w:hint="eastAsia" w:ascii="宋体" w:hAnsi="宋体" w:eastAsia="宋体" w:cs="宋体"/>
                <w:color w:val="auto"/>
                <w:sz w:val="24"/>
                <w:szCs w:val="24"/>
                <w:highlight w:val="none"/>
                <w:lang w:bidi="ar"/>
              </w:rPr>
            </w:pPr>
          </w:p>
        </w:tc>
        <w:tc>
          <w:tcPr>
            <w:tcW w:w="2126" w:type="dxa"/>
            <w:vMerge w:val="continue"/>
            <w:noWrap w:val="0"/>
            <w:vAlign w:val="center"/>
          </w:tcPr>
          <w:p w14:paraId="01B9238D">
            <w:pPr>
              <w:spacing w:line="360" w:lineRule="auto"/>
              <w:ind w:firstLine="484" w:firstLineChars="202"/>
              <w:jc w:val="center"/>
              <w:rPr>
                <w:rFonts w:hint="eastAsia" w:ascii="宋体" w:hAnsi="宋体" w:eastAsia="宋体" w:cs="宋体"/>
                <w:color w:val="auto"/>
                <w:sz w:val="24"/>
                <w:szCs w:val="24"/>
                <w:highlight w:val="none"/>
                <w:lang w:bidi="ar"/>
              </w:rPr>
            </w:pPr>
          </w:p>
        </w:tc>
        <w:tc>
          <w:tcPr>
            <w:tcW w:w="6500" w:type="dxa"/>
            <w:noWrap w:val="0"/>
            <w:vAlign w:val="top"/>
          </w:tcPr>
          <w:p w14:paraId="5A432451">
            <w:pPr>
              <w:spacing w:line="360" w:lineRule="auto"/>
              <w:jc w:val="left"/>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6.使用后的一次性使用医疗用品及一次性医疗器械视为感染性废物。</w:t>
            </w:r>
          </w:p>
        </w:tc>
      </w:tr>
      <w:tr w14:paraId="0CA88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064" w:type="dxa"/>
            <w:vMerge w:val="restart"/>
            <w:noWrap w:val="0"/>
            <w:vAlign w:val="center"/>
          </w:tcPr>
          <w:p w14:paraId="41E9ACBC">
            <w:pPr>
              <w:spacing w:line="360" w:lineRule="auto"/>
              <w:jc w:val="center"/>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损伤性废物</w:t>
            </w:r>
          </w:p>
        </w:tc>
        <w:tc>
          <w:tcPr>
            <w:tcW w:w="2126" w:type="dxa"/>
            <w:vMerge w:val="restart"/>
            <w:noWrap w:val="0"/>
            <w:vAlign w:val="center"/>
          </w:tcPr>
          <w:p w14:paraId="4657B8C0">
            <w:pPr>
              <w:spacing w:line="360" w:lineRule="auto"/>
              <w:jc w:val="center"/>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能够刺伤或者割伤人体的废弃的 医用锐器。</w:t>
            </w:r>
          </w:p>
        </w:tc>
        <w:tc>
          <w:tcPr>
            <w:tcW w:w="6500" w:type="dxa"/>
            <w:noWrap w:val="0"/>
            <w:vAlign w:val="top"/>
          </w:tcPr>
          <w:p w14:paraId="69A168D1">
            <w:pPr>
              <w:spacing w:line="360" w:lineRule="auto"/>
              <w:jc w:val="left"/>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1.医用针头、缝合针。</w:t>
            </w:r>
          </w:p>
        </w:tc>
      </w:tr>
      <w:tr w14:paraId="3A653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064" w:type="dxa"/>
            <w:vMerge w:val="continue"/>
            <w:noWrap w:val="0"/>
            <w:vAlign w:val="center"/>
          </w:tcPr>
          <w:p w14:paraId="67022EB4">
            <w:pPr>
              <w:spacing w:line="360" w:lineRule="auto"/>
              <w:ind w:firstLine="484" w:firstLineChars="202"/>
              <w:jc w:val="center"/>
              <w:rPr>
                <w:rFonts w:hint="eastAsia" w:ascii="宋体" w:hAnsi="宋体" w:eastAsia="宋体" w:cs="宋体"/>
                <w:color w:val="auto"/>
                <w:sz w:val="24"/>
                <w:szCs w:val="24"/>
                <w:highlight w:val="none"/>
                <w:lang w:bidi="ar"/>
              </w:rPr>
            </w:pPr>
          </w:p>
        </w:tc>
        <w:tc>
          <w:tcPr>
            <w:tcW w:w="2126" w:type="dxa"/>
            <w:vMerge w:val="continue"/>
            <w:noWrap w:val="0"/>
            <w:vAlign w:val="center"/>
          </w:tcPr>
          <w:p w14:paraId="1793A1D5">
            <w:pPr>
              <w:spacing w:line="360" w:lineRule="auto"/>
              <w:ind w:firstLine="484" w:firstLineChars="202"/>
              <w:jc w:val="center"/>
              <w:rPr>
                <w:rFonts w:hint="eastAsia" w:ascii="宋体" w:hAnsi="宋体" w:eastAsia="宋体" w:cs="宋体"/>
                <w:color w:val="auto"/>
                <w:sz w:val="24"/>
                <w:szCs w:val="24"/>
                <w:highlight w:val="none"/>
                <w:lang w:bidi="ar"/>
              </w:rPr>
            </w:pPr>
          </w:p>
        </w:tc>
        <w:tc>
          <w:tcPr>
            <w:tcW w:w="6500" w:type="dxa"/>
            <w:noWrap w:val="0"/>
            <w:vAlign w:val="top"/>
          </w:tcPr>
          <w:p w14:paraId="05367077">
            <w:pPr>
              <w:spacing w:line="360" w:lineRule="auto"/>
              <w:jc w:val="left"/>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2.各类医用锐器，包括：解剖刀、手术刀、备皮刀等。</w:t>
            </w:r>
          </w:p>
        </w:tc>
      </w:tr>
      <w:tr w14:paraId="0761C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064" w:type="dxa"/>
            <w:vMerge w:val="continue"/>
            <w:noWrap w:val="0"/>
            <w:vAlign w:val="center"/>
          </w:tcPr>
          <w:p w14:paraId="0F325F07">
            <w:pPr>
              <w:spacing w:line="360" w:lineRule="auto"/>
              <w:ind w:firstLine="484" w:firstLineChars="202"/>
              <w:jc w:val="center"/>
              <w:rPr>
                <w:rFonts w:hint="eastAsia" w:ascii="宋体" w:hAnsi="宋体" w:eastAsia="宋体" w:cs="宋体"/>
                <w:color w:val="auto"/>
                <w:sz w:val="24"/>
                <w:szCs w:val="24"/>
                <w:highlight w:val="none"/>
                <w:lang w:bidi="ar"/>
              </w:rPr>
            </w:pPr>
          </w:p>
        </w:tc>
        <w:tc>
          <w:tcPr>
            <w:tcW w:w="2126" w:type="dxa"/>
            <w:vMerge w:val="continue"/>
            <w:noWrap w:val="0"/>
            <w:vAlign w:val="center"/>
          </w:tcPr>
          <w:p w14:paraId="615E9F08">
            <w:pPr>
              <w:spacing w:line="360" w:lineRule="auto"/>
              <w:ind w:firstLine="484" w:firstLineChars="202"/>
              <w:jc w:val="center"/>
              <w:rPr>
                <w:rFonts w:hint="eastAsia" w:ascii="宋体" w:hAnsi="宋体" w:eastAsia="宋体" w:cs="宋体"/>
                <w:color w:val="auto"/>
                <w:sz w:val="24"/>
                <w:szCs w:val="24"/>
                <w:highlight w:val="none"/>
                <w:lang w:bidi="ar"/>
              </w:rPr>
            </w:pPr>
          </w:p>
        </w:tc>
        <w:tc>
          <w:tcPr>
            <w:tcW w:w="6500" w:type="dxa"/>
            <w:noWrap w:val="0"/>
            <w:vAlign w:val="top"/>
          </w:tcPr>
          <w:p w14:paraId="798162B9">
            <w:pPr>
              <w:spacing w:line="360" w:lineRule="auto"/>
              <w:jc w:val="left"/>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3.载玻片、玻璃试管、玻璃安瓿等。</w:t>
            </w:r>
          </w:p>
        </w:tc>
      </w:tr>
      <w:tr w14:paraId="2A01F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064" w:type="dxa"/>
            <w:vMerge w:val="restart"/>
            <w:noWrap w:val="0"/>
            <w:vAlign w:val="center"/>
          </w:tcPr>
          <w:p w14:paraId="37858266">
            <w:pPr>
              <w:spacing w:line="360" w:lineRule="auto"/>
              <w:jc w:val="center"/>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病理性废物</w:t>
            </w:r>
          </w:p>
        </w:tc>
        <w:tc>
          <w:tcPr>
            <w:tcW w:w="2126" w:type="dxa"/>
            <w:vMerge w:val="restart"/>
            <w:noWrap w:val="0"/>
            <w:vAlign w:val="center"/>
          </w:tcPr>
          <w:p w14:paraId="0361E23A">
            <w:pPr>
              <w:spacing w:line="360" w:lineRule="auto"/>
              <w:jc w:val="center"/>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诊疗过程中产生的人体废弃物和医学实验动物尸体等</w:t>
            </w:r>
          </w:p>
        </w:tc>
        <w:tc>
          <w:tcPr>
            <w:tcW w:w="6500" w:type="dxa"/>
            <w:noWrap w:val="0"/>
            <w:vAlign w:val="top"/>
          </w:tcPr>
          <w:p w14:paraId="3518A119">
            <w:pPr>
              <w:spacing w:line="360" w:lineRule="auto"/>
              <w:jc w:val="left"/>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1.手术及其他诊疗过程中产生的废弃人体组织、器官等。（如手术室、人流室、产房）</w:t>
            </w:r>
          </w:p>
        </w:tc>
      </w:tr>
      <w:tr w14:paraId="6781A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064" w:type="dxa"/>
            <w:vMerge w:val="continue"/>
            <w:noWrap w:val="0"/>
            <w:vAlign w:val="center"/>
          </w:tcPr>
          <w:p w14:paraId="0419BBF8">
            <w:pPr>
              <w:spacing w:line="360" w:lineRule="auto"/>
              <w:ind w:firstLine="484" w:firstLineChars="202"/>
              <w:jc w:val="center"/>
              <w:rPr>
                <w:rFonts w:hint="eastAsia" w:ascii="宋体" w:hAnsi="宋体" w:eastAsia="宋体" w:cs="宋体"/>
                <w:color w:val="auto"/>
                <w:sz w:val="24"/>
                <w:szCs w:val="24"/>
                <w:highlight w:val="none"/>
                <w:lang w:bidi="ar"/>
              </w:rPr>
            </w:pPr>
          </w:p>
        </w:tc>
        <w:tc>
          <w:tcPr>
            <w:tcW w:w="2126" w:type="dxa"/>
            <w:vMerge w:val="continue"/>
            <w:noWrap w:val="0"/>
            <w:vAlign w:val="center"/>
          </w:tcPr>
          <w:p w14:paraId="4798859E">
            <w:pPr>
              <w:spacing w:line="360" w:lineRule="auto"/>
              <w:ind w:firstLine="484" w:firstLineChars="202"/>
              <w:jc w:val="center"/>
              <w:rPr>
                <w:rFonts w:hint="eastAsia" w:ascii="宋体" w:hAnsi="宋体" w:eastAsia="宋体" w:cs="宋体"/>
                <w:color w:val="auto"/>
                <w:sz w:val="24"/>
                <w:szCs w:val="24"/>
                <w:highlight w:val="none"/>
                <w:lang w:bidi="ar"/>
              </w:rPr>
            </w:pPr>
          </w:p>
        </w:tc>
        <w:tc>
          <w:tcPr>
            <w:tcW w:w="6500" w:type="dxa"/>
            <w:noWrap w:val="0"/>
            <w:vAlign w:val="top"/>
          </w:tcPr>
          <w:p w14:paraId="452D7C1C">
            <w:pPr>
              <w:spacing w:line="360" w:lineRule="auto"/>
              <w:jc w:val="left"/>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2.医学实验动物的组织、尸体。</w:t>
            </w:r>
          </w:p>
        </w:tc>
      </w:tr>
      <w:tr w14:paraId="11C97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064" w:type="dxa"/>
            <w:vMerge w:val="continue"/>
            <w:noWrap w:val="0"/>
            <w:vAlign w:val="center"/>
          </w:tcPr>
          <w:p w14:paraId="67940BED">
            <w:pPr>
              <w:spacing w:line="360" w:lineRule="auto"/>
              <w:ind w:firstLine="484" w:firstLineChars="202"/>
              <w:jc w:val="center"/>
              <w:rPr>
                <w:rFonts w:hint="eastAsia" w:ascii="宋体" w:hAnsi="宋体" w:eastAsia="宋体" w:cs="宋体"/>
                <w:color w:val="auto"/>
                <w:sz w:val="24"/>
                <w:szCs w:val="24"/>
                <w:highlight w:val="none"/>
                <w:lang w:bidi="ar"/>
              </w:rPr>
            </w:pPr>
          </w:p>
        </w:tc>
        <w:tc>
          <w:tcPr>
            <w:tcW w:w="2126" w:type="dxa"/>
            <w:vMerge w:val="continue"/>
            <w:noWrap w:val="0"/>
            <w:vAlign w:val="center"/>
          </w:tcPr>
          <w:p w14:paraId="2183F91D">
            <w:pPr>
              <w:spacing w:line="360" w:lineRule="auto"/>
              <w:ind w:firstLine="484" w:firstLineChars="202"/>
              <w:jc w:val="center"/>
              <w:rPr>
                <w:rFonts w:hint="eastAsia" w:ascii="宋体" w:hAnsi="宋体" w:eastAsia="宋体" w:cs="宋体"/>
                <w:color w:val="auto"/>
                <w:sz w:val="24"/>
                <w:szCs w:val="24"/>
                <w:highlight w:val="none"/>
                <w:lang w:bidi="ar"/>
              </w:rPr>
            </w:pPr>
          </w:p>
        </w:tc>
        <w:tc>
          <w:tcPr>
            <w:tcW w:w="6500" w:type="dxa"/>
            <w:noWrap w:val="0"/>
            <w:vAlign w:val="top"/>
          </w:tcPr>
          <w:p w14:paraId="60855EBA">
            <w:pPr>
              <w:spacing w:line="360" w:lineRule="auto"/>
              <w:jc w:val="left"/>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3.病理切片后废弃的人体组织、病理腊块等。</w:t>
            </w:r>
          </w:p>
        </w:tc>
      </w:tr>
      <w:tr w14:paraId="7EDAC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064" w:type="dxa"/>
            <w:vMerge w:val="restart"/>
            <w:noWrap w:val="0"/>
            <w:vAlign w:val="center"/>
          </w:tcPr>
          <w:p w14:paraId="04F6062E">
            <w:pPr>
              <w:spacing w:line="360" w:lineRule="auto"/>
              <w:jc w:val="center"/>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药物性废物</w:t>
            </w:r>
          </w:p>
        </w:tc>
        <w:tc>
          <w:tcPr>
            <w:tcW w:w="2126" w:type="dxa"/>
            <w:vMerge w:val="restart"/>
            <w:noWrap w:val="0"/>
            <w:vAlign w:val="center"/>
          </w:tcPr>
          <w:p w14:paraId="2BA5BC1A">
            <w:pPr>
              <w:spacing w:line="360" w:lineRule="auto"/>
              <w:jc w:val="center"/>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过期、淘汰、变质或者被污染的废弃药品</w:t>
            </w:r>
          </w:p>
        </w:tc>
        <w:tc>
          <w:tcPr>
            <w:tcW w:w="6500" w:type="dxa"/>
            <w:noWrap w:val="0"/>
            <w:vAlign w:val="top"/>
          </w:tcPr>
          <w:p w14:paraId="186EE1F3">
            <w:pPr>
              <w:spacing w:line="360" w:lineRule="auto"/>
              <w:jc w:val="left"/>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1.废弃的一般性药品，如：抗生素、非处方类药品等。</w:t>
            </w:r>
          </w:p>
        </w:tc>
      </w:tr>
      <w:tr w14:paraId="68F86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064" w:type="dxa"/>
            <w:vMerge w:val="continue"/>
            <w:noWrap w:val="0"/>
            <w:vAlign w:val="center"/>
          </w:tcPr>
          <w:p w14:paraId="7AE83188">
            <w:pPr>
              <w:spacing w:line="360" w:lineRule="auto"/>
              <w:ind w:firstLine="484" w:firstLineChars="202"/>
              <w:jc w:val="center"/>
              <w:rPr>
                <w:rFonts w:hint="eastAsia" w:ascii="宋体" w:hAnsi="宋体" w:eastAsia="宋体" w:cs="宋体"/>
                <w:color w:val="auto"/>
                <w:sz w:val="24"/>
                <w:szCs w:val="24"/>
                <w:highlight w:val="none"/>
                <w:lang w:bidi="ar"/>
              </w:rPr>
            </w:pPr>
          </w:p>
        </w:tc>
        <w:tc>
          <w:tcPr>
            <w:tcW w:w="2126" w:type="dxa"/>
            <w:vMerge w:val="continue"/>
            <w:noWrap w:val="0"/>
            <w:vAlign w:val="center"/>
          </w:tcPr>
          <w:p w14:paraId="569B1368">
            <w:pPr>
              <w:spacing w:line="360" w:lineRule="auto"/>
              <w:ind w:firstLine="484" w:firstLineChars="202"/>
              <w:jc w:val="center"/>
              <w:rPr>
                <w:rFonts w:hint="eastAsia" w:ascii="宋体" w:hAnsi="宋体" w:eastAsia="宋体" w:cs="宋体"/>
                <w:color w:val="auto"/>
                <w:sz w:val="24"/>
                <w:szCs w:val="24"/>
                <w:highlight w:val="none"/>
                <w:lang w:bidi="ar"/>
              </w:rPr>
            </w:pPr>
          </w:p>
        </w:tc>
        <w:tc>
          <w:tcPr>
            <w:tcW w:w="6500" w:type="dxa"/>
            <w:noWrap w:val="0"/>
            <w:vAlign w:val="top"/>
          </w:tcPr>
          <w:p w14:paraId="637094AF">
            <w:pPr>
              <w:spacing w:line="360" w:lineRule="auto"/>
              <w:jc w:val="left"/>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2.废弃的细胞毒性药物和遗传毒性药物。</w:t>
            </w:r>
          </w:p>
        </w:tc>
      </w:tr>
      <w:tr w14:paraId="22F13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064" w:type="dxa"/>
            <w:vMerge w:val="continue"/>
            <w:noWrap w:val="0"/>
            <w:vAlign w:val="center"/>
          </w:tcPr>
          <w:p w14:paraId="6A40A3AB">
            <w:pPr>
              <w:spacing w:line="360" w:lineRule="auto"/>
              <w:ind w:firstLine="484" w:firstLineChars="202"/>
              <w:jc w:val="center"/>
              <w:rPr>
                <w:rFonts w:hint="eastAsia" w:ascii="宋体" w:hAnsi="宋体" w:eastAsia="宋体" w:cs="宋体"/>
                <w:color w:val="auto"/>
                <w:sz w:val="24"/>
                <w:szCs w:val="24"/>
                <w:highlight w:val="none"/>
                <w:lang w:bidi="ar"/>
              </w:rPr>
            </w:pPr>
          </w:p>
        </w:tc>
        <w:tc>
          <w:tcPr>
            <w:tcW w:w="2126" w:type="dxa"/>
            <w:vMerge w:val="continue"/>
            <w:noWrap w:val="0"/>
            <w:vAlign w:val="center"/>
          </w:tcPr>
          <w:p w14:paraId="2E839B92">
            <w:pPr>
              <w:spacing w:line="360" w:lineRule="auto"/>
              <w:ind w:firstLine="484" w:firstLineChars="202"/>
              <w:jc w:val="center"/>
              <w:rPr>
                <w:rFonts w:hint="eastAsia" w:ascii="宋体" w:hAnsi="宋体" w:eastAsia="宋体" w:cs="宋体"/>
                <w:color w:val="auto"/>
                <w:sz w:val="24"/>
                <w:szCs w:val="24"/>
                <w:highlight w:val="none"/>
                <w:lang w:bidi="ar"/>
              </w:rPr>
            </w:pPr>
          </w:p>
        </w:tc>
        <w:tc>
          <w:tcPr>
            <w:tcW w:w="6500" w:type="dxa"/>
            <w:noWrap w:val="0"/>
            <w:vAlign w:val="top"/>
          </w:tcPr>
          <w:p w14:paraId="03D015CE">
            <w:pPr>
              <w:spacing w:line="360" w:lineRule="auto"/>
              <w:jc w:val="left"/>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3.废弃的疫苗、血液制品等。</w:t>
            </w:r>
          </w:p>
        </w:tc>
      </w:tr>
      <w:tr w14:paraId="47425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064" w:type="dxa"/>
            <w:vMerge w:val="restart"/>
            <w:noWrap w:val="0"/>
            <w:vAlign w:val="center"/>
          </w:tcPr>
          <w:p w14:paraId="434D592B">
            <w:pPr>
              <w:spacing w:line="360" w:lineRule="auto"/>
              <w:jc w:val="center"/>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化学性废物</w:t>
            </w:r>
          </w:p>
        </w:tc>
        <w:tc>
          <w:tcPr>
            <w:tcW w:w="2126" w:type="dxa"/>
            <w:vMerge w:val="restart"/>
            <w:noWrap w:val="0"/>
            <w:vAlign w:val="center"/>
          </w:tcPr>
          <w:p w14:paraId="5F0C85B3">
            <w:pPr>
              <w:spacing w:line="360" w:lineRule="auto"/>
              <w:jc w:val="center"/>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具有毒性、腐蚀性、易燃易爆性的废弃的化学物品</w:t>
            </w:r>
          </w:p>
        </w:tc>
        <w:tc>
          <w:tcPr>
            <w:tcW w:w="6500" w:type="dxa"/>
            <w:noWrap w:val="0"/>
            <w:vAlign w:val="top"/>
          </w:tcPr>
          <w:p w14:paraId="547C16C8">
            <w:pPr>
              <w:spacing w:line="360" w:lineRule="auto"/>
              <w:jc w:val="left"/>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1.医学影像室、实验室废弃的化学试剂。</w:t>
            </w:r>
          </w:p>
        </w:tc>
      </w:tr>
      <w:tr w14:paraId="33A16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064" w:type="dxa"/>
            <w:vMerge w:val="continue"/>
            <w:noWrap w:val="0"/>
            <w:vAlign w:val="center"/>
          </w:tcPr>
          <w:p w14:paraId="00863163">
            <w:pPr>
              <w:spacing w:line="360" w:lineRule="auto"/>
              <w:ind w:firstLine="484" w:firstLineChars="202"/>
              <w:jc w:val="left"/>
              <w:rPr>
                <w:rFonts w:hint="eastAsia" w:ascii="宋体" w:hAnsi="宋体" w:eastAsia="宋体" w:cs="宋体"/>
                <w:color w:val="auto"/>
                <w:sz w:val="24"/>
                <w:szCs w:val="24"/>
                <w:highlight w:val="none"/>
                <w:lang w:bidi="ar"/>
              </w:rPr>
            </w:pPr>
          </w:p>
        </w:tc>
        <w:tc>
          <w:tcPr>
            <w:tcW w:w="2126" w:type="dxa"/>
            <w:vMerge w:val="continue"/>
            <w:noWrap w:val="0"/>
            <w:vAlign w:val="center"/>
          </w:tcPr>
          <w:p w14:paraId="702FEF2B">
            <w:pPr>
              <w:spacing w:line="360" w:lineRule="auto"/>
              <w:ind w:firstLine="484" w:firstLineChars="202"/>
              <w:jc w:val="left"/>
              <w:rPr>
                <w:rFonts w:hint="eastAsia" w:ascii="宋体" w:hAnsi="宋体" w:eastAsia="宋体" w:cs="宋体"/>
                <w:color w:val="auto"/>
                <w:sz w:val="24"/>
                <w:szCs w:val="24"/>
                <w:highlight w:val="none"/>
                <w:lang w:bidi="ar"/>
              </w:rPr>
            </w:pPr>
          </w:p>
        </w:tc>
        <w:tc>
          <w:tcPr>
            <w:tcW w:w="6500" w:type="dxa"/>
            <w:noWrap w:val="0"/>
            <w:vAlign w:val="top"/>
          </w:tcPr>
          <w:p w14:paraId="5FEE1E06">
            <w:pPr>
              <w:spacing w:line="360" w:lineRule="auto"/>
              <w:jc w:val="left"/>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2.废弃的过氧乙酸、戊二醛等化学消毒剂。</w:t>
            </w:r>
          </w:p>
        </w:tc>
      </w:tr>
      <w:tr w14:paraId="7D8A8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1064" w:type="dxa"/>
            <w:vMerge w:val="continue"/>
            <w:noWrap w:val="0"/>
            <w:vAlign w:val="center"/>
          </w:tcPr>
          <w:p w14:paraId="64F5EAA6">
            <w:pPr>
              <w:spacing w:line="360" w:lineRule="auto"/>
              <w:ind w:firstLine="484" w:firstLineChars="202"/>
              <w:jc w:val="left"/>
              <w:rPr>
                <w:rFonts w:hint="eastAsia" w:ascii="宋体" w:hAnsi="宋体" w:eastAsia="宋体" w:cs="宋体"/>
                <w:color w:val="auto"/>
                <w:sz w:val="24"/>
                <w:szCs w:val="24"/>
                <w:highlight w:val="none"/>
                <w:lang w:bidi="ar"/>
              </w:rPr>
            </w:pPr>
          </w:p>
        </w:tc>
        <w:tc>
          <w:tcPr>
            <w:tcW w:w="2126" w:type="dxa"/>
            <w:vMerge w:val="continue"/>
            <w:noWrap w:val="0"/>
            <w:vAlign w:val="center"/>
          </w:tcPr>
          <w:p w14:paraId="5310830C">
            <w:pPr>
              <w:spacing w:line="360" w:lineRule="auto"/>
              <w:ind w:firstLine="484" w:firstLineChars="202"/>
              <w:jc w:val="left"/>
              <w:rPr>
                <w:rFonts w:hint="eastAsia" w:ascii="宋体" w:hAnsi="宋体" w:eastAsia="宋体" w:cs="宋体"/>
                <w:color w:val="auto"/>
                <w:sz w:val="24"/>
                <w:szCs w:val="24"/>
                <w:highlight w:val="none"/>
                <w:lang w:bidi="ar"/>
              </w:rPr>
            </w:pPr>
          </w:p>
        </w:tc>
        <w:tc>
          <w:tcPr>
            <w:tcW w:w="6500" w:type="dxa"/>
            <w:noWrap w:val="0"/>
            <w:vAlign w:val="top"/>
          </w:tcPr>
          <w:p w14:paraId="0721D003">
            <w:pPr>
              <w:spacing w:line="360" w:lineRule="auto"/>
              <w:jc w:val="left"/>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3.废弃的汞血压计、汞温度计。</w:t>
            </w:r>
          </w:p>
        </w:tc>
      </w:tr>
    </w:tbl>
    <w:p w14:paraId="2A83B9CE">
      <w:pPr>
        <w:pStyle w:val="19"/>
        <w:pageBreakBefore/>
        <w:jc w:val="left"/>
        <w:rPr>
          <w:rFonts w:hAnsi="宋体" w:cs="宋体"/>
          <w:color w:val="auto"/>
          <w:sz w:val="32"/>
          <w:szCs w:val="32"/>
          <w:highlight w:val="none"/>
        </w:rPr>
      </w:pPr>
      <w:r>
        <w:rPr>
          <w:rFonts w:hint="eastAsia" w:hAnsi="宋体" w:cs="宋体"/>
          <w:color w:val="auto"/>
          <w:sz w:val="32"/>
          <w:szCs w:val="32"/>
          <w:highlight w:val="none"/>
        </w:rPr>
        <w:t>附件</w:t>
      </w:r>
      <w:r>
        <w:rPr>
          <w:rFonts w:hint="eastAsia" w:hAnsi="宋体" w:cs="宋体"/>
          <w:color w:val="auto"/>
          <w:sz w:val="32"/>
          <w:szCs w:val="32"/>
          <w:highlight w:val="none"/>
          <w:lang w:val="en-US" w:eastAsia="zh-CN"/>
        </w:rPr>
        <w:t>2</w:t>
      </w:r>
      <w:r>
        <w:rPr>
          <w:rFonts w:hint="eastAsia" w:hAnsi="宋体" w:cs="宋体"/>
          <w:color w:val="auto"/>
          <w:sz w:val="32"/>
          <w:szCs w:val="32"/>
          <w:highlight w:val="none"/>
        </w:rPr>
        <w:t>：</w:t>
      </w:r>
    </w:p>
    <w:p w14:paraId="4A533E39">
      <w:pPr>
        <w:spacing w:line="528" w:lineRule="exact"/>
        <w:ind w:left="1871" w:firstLine="1205" w:firstLineChars="300"/>
        <w:rPr>
          <w:rFonts w:ascii="宋体" w:hAnsi="宋体" w:cs="宋体"/>
          <w:b/>
          <w:bCs/>
          <w:color w:val="auto"/>
          <w:sz w:val="40"/>
          <w:szCs w:val="40"/>
          <w:highlight w:val="none"/>
        </w:rPr>
      </w:pPr>
      <w:r>
        <w:rPr>
          <w:rFonts w:hint="eastAsia" w:ascii="宋体" w:hAnsi="宋体" w:cs="宋体"/>
          <w:b/>
          <w:bCs/>
          <w:color w:val="auto"/>
          <w:sz w:val="40"/>
          <w:szCs w:val="40"/>
          <w:highlight w:val="none"/>
        </w:rPr>
        <w:t>中小微企业划型标准</w:t>
      </w:r>
    </w:p>
    <w:tbl>
      <w:tblPr>
        <w:tblStyle w:val="33"/>
        <w:tblW w:w="9350" w:type="dxa"/>
        <w:tblInd w:w="250" w:type="dxa"/>
        <w:tblLayout w:type="fixed"/>
        <w:tblCellMar>
          <w:top w:w="0" w:type="dxa"/>
          <w:left w:w="108" w:type="dxa"/>
          <w:bottom w:w="0" w:type="dxa"/>
          <w:right w:w="108" w:type="dxa"/>
        </w:tblCellMar>
      </w:tblPr>
      <w:tblGrid>
        <w:gridCol w:w="1895"/>
        <w:gridCol w:w="2074"/>
        <w:gridCol w:w="851"/>
        <w:gridCol w:w="1842"/>
        <w:gridCol w:w="1701"/>
        <w:gridCol w:w="987"/>
      </w:tblGrid>
      <w:tr w14:paraId="187A61F5">
        <w:tblPrEx>
          <w:tblCellMar>
            <w:top w:w="0" w:type="dxa"/>
            <w:left w:w="108" w:type="dxa"/>
            <w:bottom w:w="0" w:type="dxa"/>
            <w:right w:w="108" w:type="dxa"/>
          </w:tblCellMar>
        </w:tblPrEx>
        <w:trPr>
          <w:trHeight w:val="285" w:hRule="atLeast"/>
        </w:trPr>
        <w:tc>
          <w:tcPr>
            <w:tcW w:w="1895" w:type="dxa"/>
            <w:tcBorders>
              <w:top w:val="single" w:color="auto" w:sz="4" w:space="0"/>
              <w:left w:val="single" w:color="auto" w:sz="4" w:space="0"/>
              <w:bottom w:val="single" w:color="auto" w:sz="4" w:space="0"/>
              <w:right w:val="single" w:color="auto" w:sz="4" w:space="0"/>
            </w:tcBorders>
            <w:vAlign w:val="center"/>
          </w:tcPr>
          <w:p w14:paraId="0278FA32">
            <w:pPr>
              <w:widowControl/>
              <w:jc w:val="left"/>
              <w:rPr>
                <w:rFonts w:ascii="宋体" w:hAnsi="宋体" w:cs="宋体"/>
                <w:b/>
                <w:color w:val="auto"/>
                <w:kern w:val="0"/>
                <w:sz w:val="24"/>
                <w:highlight w:val="none"/>
              </w:rPr>
            </w:pPr>
            <w:r>
              <w:rPr>
                <w:rFonts w:hint="eastAsia" w:ascii="宋体" w:hAnsi="宋体" w:cs="宋体"/>
                <w:b/>
                <w:color w:val="auto"/>
                <w:kern w:val="0"/>
                <w:sz w:val="24"/>
                <w:highlight w:val="none"/>
              </w:rPr>
              <w:t>行业名称</w:t>
            </w:r>
          </w:p>
        </w:tc>
        <w:tc>
          <w:tcPr>
            <w:tcW w:w="2074" w:type="dxa"/>
            <w:tcBorders>
              <w:top w:val="single" w:color="auto" w:sz="4" w:space="0"/>
              <w:left w:val="nil"/>
              <w:bottom w:val="single" w:color="auto" w:sz="4" w:space="0"/>
              <w:right w:val="single" w:color="auto" w:sz="4" w:space="0"/>
            </w:tcBorders>
            <w:vAlign w:val="center"/>
          </w:tcPr>
          <w:p w14:paraId="56900993">
            <w:pPr>
              <w:widowControl/>
              <w:jc w:val="left"/>
              <w:rPr>
                <w:rFonts w:ascii="宋体" w:hAnsi="宋体" w:cs="宋体"/>
                <w:b/>
                <w:color w:val="auto"/>
                <w:kern w:val="0"/>
                <w:sz w:val="24"/>
                <w:highlight w:val="none"/>
              </w:rPr>
            </w:pPr>
            <w:r>
              <w:rPr>
                <w:rFonts w:hint="eastAsia" w:ascii="宋体" w:hAnsi="宋体" w:cs="宋体"/>
                <w:b/>
                <w:color w:val="auto"/>
                <w:kern w:val="0"/>
                <w:sz w:val="24"/>
                <w:highlight w:val="none"/>
              </w:rPr>
              <w:t>指标名称</w:t>
            </w:r>
          </w:p>
        </w:tc>
        <w:tc>
          <w:tcPr>
            <w:tcW w:w="851" w:type="dxa"/>
            <w:tcBorders>
              <w:top w:val="single" w:color="auto" w:sz="4" w:space="0"/>
              <w:left w:val="nil"/>
              <w:bottom w:val="single" w:color="auto" w:sz="4" w:space="0"/>
              <w:right w:val="single" w:color="auto" w:sz="4" w:space="0"/>
            </w:tcBorders>
            <w:vAlign w:val="center"/>
          </w:tcPr>
          <w:p w14:paraId="6799A037">
            <w:pPr>
              <w:widowControl/>
              <w:jc w:val="left"/>
              <w:rPr>
                <w:rFonts w:ascii="宋体" w:hAnsi="宋体" w:cs="宋体"/>
                <w:b/>
                <w:color w:val="auto"/>
                <w:kern w:val="0"/>
                <w:sz w:val="24"/>
                <w:highlight w:val="none"/>
              </w:rPr>
            </w:pPr>
            <w:r>
              <w:rPr>
                <w:rFonts w:hint="eastAsia" w:ascii="宋体" w:hAnsi="宋体" w:cs="宋体"/>
                <w:b/>
                <w:color w:val="auto"/>
                <w:kern w:val="0"/>
                <w:sz w:val="24"/>
                <w:highlight w:val="none"/>
              </w:rPr>
              <w:t>计量单位</w:t>
            </w:r>
          </w:p>
        </w:tc>
        <w:tc>
          <w:tcPr>
            <w:tcW w:w="1842" w:type="dxa"/>
            <w:tcBorders>
              <w:top w:val="single" w:color="auto" w:sz="4" w:space="0"/>
              <w:left w:val="nil"/>
              <w:bottom w:val="single" w:color="auto" w:sz="4" w:space="0"/>
              <w:right w:val="single" w:color="auto" w:sz="4" w:space="0"/>
            </w:tcBorders>
            <w:vAlign w:val="center"/>
          </w:tcPr>
          <w:p w14:paraId="713BB4C1">
            <w:pPr>
              <w:widowControl/>
              <w:jc w:val="left"/>
              <w:rPr>
                <w:rFonts w:ascii="宋体" w:hAnsi="宋体" w:cs="宋体"/>
                <w:b/>
                <w:color w:val="auto"/>
                <w:kern w:val="0"/>
                <w:sz w:val="24"/>
                <w:highlight w:val="none"/>
              </w:rPr>
            </w:pPr>
            <w:r>
              <w:rPr>
                <w:rFonts w:hint="eastAsia" w:ascii="宋体" w:hAnsi="宋体" w:cs="宋体"/>
                <w:b/>
                <w:color w:val="auto"/>
                <w:kern w:val="0"/>
                <w:sz w:val="24"/>
                <w:highlight w:val="none"/>
              </w:rPr>
              <w:t>中型</w:t>
            </w:r>
          </w:p>
        </w:tc>
        <w:tc>
          <w:tcPr>
            <w:tcW w:w="1701" w:type="dxa"/>
            <w:tcBorders>
              <w:top w:val="single" w:color="auto" w:sz="4" w:space="0"/>
              <w:left w:val="nil"/>
              <w:bottom w:val="single" w:color="auto" w:sz="4" w:space="0"/>
              <w:right w:val="single" w:color="auto" w:sz="4" w:space="0"/>
            </w:tcBorders>
            <w:vAlign w:val="center"/>
          </w:tcPr>
          <w:p w14:paraId="5DBA45CF">
            <w:pPr>
              <w:widowControl/>
              <w:jc w:val="left"/>
              <w:rPr>
                <w:rFonts w:ascii="宋体" w:hAnsi="宋体" w:cs="宋体"/>
                <w:b/>
                <w:color w:val="auto"/>
                <w:kern w:val="0"/>
                <w:sz w:val="24"/>
                <w:highlight w:val="none"/>
              </w:rPr>
            </w:pPr>
            <w:r>
              <w:rPr>
                <w:rFonts w:hint="eastAsia" w:ascii="宋体" w:hAnsi="宋体" w:cs="宋体"/>
                <w:b/>
                <w:color w:val="auto"/>
                <w:kern w:val="0"/>
                <w:sz w:val="24"/>
                <w:highlight w:val="none"/>
              </w:rPr>
              <w:t>小型</w:t>
            </w:r>
          </w:p>
        </w:tc>
        <w:tc>
          <w:tcPr>
            <w:tcW w:w="987" w:type="dxa"/>
            <w:tcBorders>
              <w:top w:val="single" w:color="auto" w:sz="4" w:space="0"/>
              <w:left w:val="nil"/>
              <w:bottom w:val="single" w:color="auto" w:sz="4" w:space="0"/>
              <w:right w:val="single" w:color="auto" w:sz="4" w:space="0"/>
            </w:tcBorders>
            <w:vAlign w:val="center"/>
          </w:tcPr>
          <w:p w14:paraId="012FACD0">
            <w:pPr>
              <w:widowControl/>
              <w:jc w:val="left"/>
              <w:rPr>
                <w:rFonts w:ascii="宋体" w:hAnsi="宋体" w:cs="宋体"/>
                <w:b/>
                <w:color w:val="auto"/>
                <w:kern w:val="0"/>
                <w:sz w:val="24"/>
                <w:highlight w:val="none"/>
              </w:rPr>
            </w:pPr>
            <w:r>
              <w:rPr>
                <w:rFonts w:hint="eastAsia" w:ascii="宋体" w:hAnsi="宋体" w:cs="宋体"/>
                <w:b/>
                <w:color w:val="auto"/>
                <w:kern w:val="0"/>
                <w:sz w:val="24"/>
                <w:highlight w:val="none"/>
              </w:rPr>
              <w:t>微型</w:t>
            </w:r>
          </w:p>
        </w:tc>
      </w:tr>
      <w:tr w14:paraId="718E9685">
        <w:tblPrEx>
          <w:tblCellMar>
            <w:top w:w="0" w:type="dxa"/>
            <w:left w:w="108" w:type="dxa"/>
            <w:bottom w:w="0" w:type="dxa"/>
            <w:right w:w="108" w:type="dxa"/>
          </w:tblCellMar>
        </w:tblPrEx>
        <w:trPr>
          <w:trHeight w:val="225" w:hRule="atLeast"/>
        </w:trPr>
        <w:tc>
          <w:tcPr>
            <w:tcW w:w="1895" w:type="dxa"/>
            <w:tcBorders>
              <w:top w:val="nil"/>
              <w:left w:val="single" w:color="auto" w:sz="4" w:space="0"/>
              <w:bottom w:val="single" w:color="auto" w:sz="4" w:space="0"/>
              <w:right w:val="single" w:color="auto" w:sz="4" w:space="0"/>
            </w:tcBorders>
            <w:vAlign w:val="bottom"/>
          </w:tcPr>
          <w:p w14:paraId="0D102B64">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农、林、牧、渔</w:t>
            </w:r>
          </w:p>
        </w:tc>
        <w:tc>
          <w:tcPr>
            <w:tcW w:w="2074" w:type="dxa"/>
            <w:tcBorders>
              <w:top w:val="nil"/>
              <w:left w:val="nil"/>
              <w:bottom w:val="single" w:color="auto" w:sz="4" w:space="0"/>
              <w:right w:val="single" w:color="auto" w:sz="4" w:space="0"/>
            </w:tcBorders>
            <w:vAlign w:val="center"/>
          </w:tcPr>
          <w:p w14:paraId="4CA53557">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营业收入（Y）</w:t>
            </w:r>
          </w:p>
        </w:tc>
        <w:tc>
          <w:tcPr>
            <w:tcW w:w="851" w:type="dxa"/>
            <w:tcBorders>
              <w:top w:val="nil"/>
              <w:left w:val="nil"/>
              <w:bottom w:val="single" w:color="auto" w:sz="4" w:space="0"/>
              <w:right w:val="single" w:color="auto" w:sz="4" w:space="0"/>
            </w:tcBorders>
            <w:vAlign w:val="center"/>
          </w:tcPr>
          <w:p w14:paraId="01608AE2">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万元</w:t>
            </w:r>
          </w:p>
        </w:tc>
        <w:tc>
          <w:tcPr>
            <w:tcW w:w="1842" w:type="dxa"/>
            <w:tcBorders>
              <w:top w:val="nil"/>
              <w:left w:val="nil"/>
              <w:bottom w:val="single" w:color="auto" w:sz="4" w:space="0"/>
              <w:right w:val="single" w:color="auto" w:sz="4" w:space="0"/>
            </w:tcBorders>
            <w:vAlign w:val="center"/>
          </w:tcPr>
          <w:p w14:paraId="65ECED9D">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500≤Y＜20000</w:t>
            </w:r>
          </w:p>
        </w:tc>
        <w:tc>
          <w:tcPr>
            <w:tcW w:w="1701" w:type="dxa"/>
            <w:tcBorders>
              <w:top w:val="nil"/>
              <w:left w:val="nil"/>
              <w:bottom w:val="single" w:color="auto" w:sz="4" w:space="0"/>
              <w:right w:val="single" w:color="auto" w:sz="4" w:space="0"/>
            </w:tcBorders>
            <w:vAlign w:val="center"/>
          </w:tcPr>
          <w:p w14:paraId="737E9864">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50≤Y＜500</w:t>
            </w:r>
          </w:p>
        </w:tc>
        <w:tc>
          <w:tcPr>
            <w:tcW w:w="987" w:type="dxa"/>
            <w:tcBorders>
              <w:top w:val="nil"/>
              <w:left w:val="nil"/>
              <w:bottom w:val="single" w:color="auto" w:sz="4" w:space="0"/>
              <w:right w:val="single" w:color="auto" w:sz="4" w:space="0"/>
            </w:tcBorders>
            <w:vAlign w:val="center"/>
          </w:tcPr>
          <w:p w14:paraId="71348845">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Y＜50</w:t>
            </w:r>
          </w:p>
        </w:tc>
      </w:tr>
      <w:tr w14:paraId="6341BC95">
        <w:tblPrEx>
          <w:tblCellMar>
            <w:top w:w="0" w:type="dxa"/>
            <w:left w:w="108" w:type="dxa"/>
            <w:bottom w:w="0" w:type="dxa"/>
            <w:right w:w="108" w:type="dxa"/>
          </w:tblCellMar>
        </w:tblPrEx>
        <w:trPr>
          <w:trHeight w:val="225" w:hRule="atLeast"/>
        </w:trPr>
        <w:tc>
          <w:tcPr>
            <w:tcW w:w="1895" w:type="dxa"/>
            <w:vMerge w:val="restart"/>
            <w:tcBorders>
              <w:top w:val="nil"/>
              <w:left w:val="single" w:color="auto" w:sz="4" w:space="0"/>
              <w:bottom w:val="single" w:color="auto" w:sz="4" w:space="0"/>
              <w:right w:val="single" w:color="auto" w:sz="4" w:space="0"/>
            </w:tcBorders>
            <w:vAlign w:val="bottom"/>
          </w:tcPr>
          <w:p w14:paraId="7B918B52">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工业</w:t>
            </w:r>
          </w:p>
        </w:tc>
        <w:tc>
          <w:tcPr>
            <w:tcW w:w="2074" w:type="dxa"/>
            <w:tcBorders>
              <w:top w:val="nil"/>
              <w:left w:val="nil"/>
              <w:bottom w:val="single" w:color="auto" w:sz="4" w:space="0"/>
              <w:right w:val="single" w:color="auto" w:sz="4" w:space="0"/>
            </w:tcBorders>
            <w:vAlign w:val="center"/>
          </w:tcPr>
          <w:p w14:paraId="6EEF4642">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从业人员（X）</w:t>
            </w:r>
          </w:p>
        </w:tc>
        <w:tc>
          <w:tcPr>
            <w:tcW w:w="851" w:type="dxa"/>
            <w:tcBorders>
              <w:top w:val="nil"/>
              <w:left w:val="nil"/>
              <w:bottom w:val="single" w:color="auto" w:sz="4" w:space="0"/>
              <w:right w:val="single" w:color="auto" w:sz="4" w:space="0"/>
            </w:tcBorders>
            <w:vAlign w:val="center"/>
          </w:tcPr>
          <w:p w14:paraId="035607FD">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人</w:t>
            </w:r>
          </w:p>
        </w:tc>
        <w:tc>
          <w:tcPr>
            <w:tcW w:w="1842" w:type="dxa"/>
            <w:tcBorders>
              <w:top w:val="nil"/>
              <w:left w:val="nil"/>
              <w:bottom w:val="single" w:color="auto" w:sz="4" w:space="0"/>
              <w:right w:val="single" w:color="auto" w:sz="4" w:space="0"/>
            </w:tcBorders>
            <w:vAlign w:val="center"/>
          </w:tcPr>
          <w:p w14:paraId="77604E4F">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300≤X＜1000</w:t>
            </w:r>
          </w:p>
        </w:tc>
        <w:tc>
          <w:tcPr>
            <w:tcW w:w="1701" w:type="dxa"/>
            <w:tcBorders>
              <w:top w:val="nil"/>
              <w:left w:val="nil"/>
              <w:bottom w:val="single" w:color="auto" w:sz="4" w:space="0"/>
              <w:right w:val="single" w:color="auto" w:sz="4" w:space="0"/>
            </w:tcBorders>
            <w:vAlign w:val="center"/>
          </w:tcPr>
          <w:p w14:paraId="64CB499E">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20≤X＜300</w:t>
            </w:r>
          </w:p>
        </w:tc>
        <w:tc>
          <w:tcPr>
            <w:tcW w:w="987" w:type="dxa"/>
            <w:tcBorders>
              <w:top w:val="nil"/>
              <w:left w:val="nil"/>
              <w:bottom w:val="single" w:color="auto" w:sz="4" w:space="0"/>
              <w:right w:val="single" w:color="auto" w:sz="4" w:space="0"/>
            </w:tcBorders>
            <w:vAlign w:val="center"/>
          </w:tcPr>
          <w:p w14:paraId="083A4CEE">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X＜20</w:t>
            </w:r>
          </w:p>
        </w:tc>
      </w:tr>
      <w:tr w14:paraId="750287D5">
        <w:tblPrEx>
          <w:tblCellMar>
            <w:top w:w="0" w:type="dxa"/>
            <w:left w:w="108" w:type="dxa"/>
            <w:bottom w:w="0" w:type="dxa"/>
            <w:right w:w="108" w:type="dxa"/>
          </w:tblCellMar>
        </w:tblPrEx>
        <w:trPr>
          <w:trHeight w:val="225" w:hRule="atLeast"/>
        </w:trPr>
        <w:tc>
          <w:tcPr>
            <w:tcW w:w="1895" w:type="dxa"/>
            <w:vMerge w:val="continue"/>
            <w:tcBorders>
              <w:top w:val="nil"/>
              <w:left w:val="single" w:color="auto" w:sz="4" w:space="0"/>
              <w:bottom w:val="single" w:color="auto" w:sz="4" w:space="0"/>
              <w:right w:val="single" w:color="auto" w:sz="4" w:space="0"/>
            </w:tcBorders>
            <w:vAlign w:val="center"/>
          </w:tcPr>
          <w:p w14:paraId="14E47341">
            <w:pPr>
              <w:widowControl/>
              <w:jc w:val="left"/>
              <w:rPr>
                <w:rFonts w:ascii="宋体" w:hAnsi="宋体" w:cs="宋体"/>
                <w:b/>
                <w:bCs/>
                <w:color w:val="auto"/>
                <w:kern w:val="0"/>
                <w:sz w:val="22"/>
                <w:szCs w:val="22"/>
                <w:highlight w:val="none"/>
              </w:rPr>
            </w:pPr>
          </w:p>
        </w:tc>
        <w:tc>
          <w:tcPr>
            <w:tcW w:w="2074" w:type="dxa"/>
            <w:tcBorders>
              <w:top w:val="nil"/>
              <w:left w:val="nil"/>
              <w:bottom w:val="single" w:color="auto" w:sz="4" w:space="0"/>
              <w:right w:val="single" w:color="auto" w:sz="4" w:space="0"/>
            </w:tcBorders>
            <w:vAlign w:val="center"/>
          </w:tcPr>
          <w:p w14:paraId="03750441">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营业收入（Y）</w:t>
            </w:r>
          </w:p>
        </w:tc>
        <w:tc>
          <w:tcPr>
            <w:tcW w:w="851" w:type="dxa"/>
            <w:tcBorders>
              <w:top w:val="nil"/>
              <w:left w:val="nil"/>
              <w:bottom w:val="single" w:color="auto" w:sz="4" w:space="0"/>
              <w:right w:val="single" w:color="auto" w:sz="4" w:space="0"/>
            </w:tcBorders>
            <w:vAlign w:val="center"/>
          </w:tcPr>
          <w:p w14:paraId="29C5A15B">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万元</w:t>
            </w:r>
          </w:p>
        </w:tc>
        <w:tc>
          <w:tcPr>
            <w:tcW w:w="1842" w:type="dxa"/>
            <w:tcBorders>
              <w:top w:val="nil"/>
              <w:left w:val="nil"/>
              <w:bottom w:val="single" w:color="auto" w:sz="4" w:space="0"/>
              <w:right w:val="single" w:color="auto" w:sz="4" w:space="0"/>
            </w:tcBorders>
            <w:vAlign w:val="center"/>
          </w:tcPr>
          <w:p w14:paraId="3A8A6783">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2000≤Y＜40000</w:t>
            </w:r>
          </w:p>
        </w:tc>
        <w:tc>
          <w:tcPr>
            <w:tcW w:w="1701" w:type="dxa"/>
            <w:tcBorders>
              <w:top w:val="nil"/>
              <w:left w:val="nil"/>
              <w:bottom w:val="single" w:color="auto" w:sz="4" w:space="0"/>
              <w:right w:val="single" w:color="auto" w:sz="4" w:space="0"/>
            </w:tcBorders>
            <w:vAlign w:val="center"/>
          </w:tcPr>
          <w:p w14:paraId="65E1C185">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300≤Y＜2000</w:t>
            </w:r>
          </w:p>
        </w:tc>
        <w:tc>
          <w:tcPr>
            <w:tcW w:w="987" w:type="dxa"/>
            <w:tcBorders>
              <w:top w:val="nil"/>
              <w:left w:val="nil"/>
              <w:bottom w:val="single" w:color="auto" w:sz="4" w:space="0"/>
              <w:right w:val="single" w:color="auto" w:sz="4" w:space="0"/>
            </w:tcBorders>
            <w:vAlign w:val="center"/>
          </w:tcPr>
          <w:p w14:paraId="48BE0CCB">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Y＜300</w:t>
            </w:r>
          </w:p>
        </w:tc>
      </w:tr>
      <w:tr w14:paraId="6D4AF4F3">
        <w:tblPrEx>
          <w:tblCellMar>
            <w:top w:w="0" w:type="dxa"/>
            <w:left w:w="108" w:type="dxa"/>
            <w:bottom w:w="0" w:type="dxa"/>
            <w:right w:w="108" w:type="dxa"/>
          </w:tblCellMar>
        </w:tblPrEx>
        <w:trPr>
          <w:trHeight w:val="225" w:hRule="atLeast"/>
        </w:trPr>
        <w:tc>
          <w:tcPr>
            <w:tcW w:w="1895" w:type="dxa"/>
            <w:vMerge w:val="restart"/>
            <w:tcBorders>
              <w:top w:val="nil"/>
              <w:left w:val="single" w:color="auto" w:sz="4" w:space="0"/>
              <w:bottom w:val="single" w:color="auto" w:sz="4" w:space="0"/>
              <w:right w:val="single" w:color="auto" w:sz="4" w:space="0"/>
            </w:tcBorders>
            <w:vAlign w:val="bottom"/>
          </w:tcPr>
          <w:p w14:paraId="0C5F4917">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建筑业</w:t>
            </w:r>
          </w:p>
        </w:tc>
        <w:tc>
          <w:tcPr>
            <w:tcW w:w="2074" w:type="dxa"/>
            <w:tcBorders>
              <w:top w:val="nil"/>
              <w:left w:val="nil"/>
              <w:bottom w:val="single" w:color="auto" w:sz="4" w:space="0"/>
              <w:right w:val="single" w:color="auto" w:sz="4" w:space="0"/>
            </w:tcBorders>
            <w:vAlign w:val="center"/>
          </w:tcPr>
          <w:p w14:paraId="08B888BA">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营业收入（Y）</w:t>
            </w:r>
          </w:p>
        </w:tc>
        <w:tc>
          <w:tcPr>
            <w:tcW w:w="851" w:type="dxa"/>
            <w:tcBorders>
              <w:top w:val="nil"/>
              <w:left w:val="nil"/>
              <w:bottom w:val="single" w:color="auto" w:sz="4" w:space="0"/>
              <w:right w:val="single" w:color="auto" w:sz="4" w:space="0"/>
            </w:tcBorders>
            <w:vAlign w:val="center"/>
          </w:tcPr>
          <w:p w14:paraId="1544A772">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万元</w:t>
            </w:r>
          </w:p>
        </w:tc>
        <w:tc>
          <w:tcPr>
            <w:tcW w:w="1842" w:type="dxa"/>
            <w:tcBorders>
              <w:top w:val="nil"/>
              <w:left w:val="nil"/>
              <w:bottom w:val="single" w:color="auto" w:sz="4" w:space="0"/>
              <w:right w:val="single" w:color="auto" w:sz="4" w:space="0"/>
            </w:tcBorders>
            <w:vAlign w:val="center"/>
          </w:tcPr>
          <w:p w14:paraId="368E4AB7">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6000≤Y＜80000</w:t>
            </w:r>
          </w:p>
        </w:tc>
        <w:tc>
          <w:tcPr>
            <w:tcW w:w="1701" w:type="dxa"/>
            <w:tcBorders>
              <w:top w:val="nil"/>
              <w:left w:val="nil"/>
              <w:bottom w:val="single" w:color="auto" w:sz="4" w:space="0"/>
              <w:right w:val="single" w:color="auto" w:sz="4" w:space="0"/>
            </w:tcBorders>
            <w:vAlign w:val="center"/>
          </w:tcPr>
          <w:p w14:paraId="26E27147">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300≤Y＜6000</w:t>
            </w:r>
          </w:p>
        </w:tc>
        <w:tc>
          <w:tcPr>
            <w:tcW w:w="987" w:type="dxa"/>
            <w:tcBorders>
              <w:top w:val="nil"/>
              <w:left w:val="nil"/>
              <w:bottom w:val="single" w:color="auto" w:sz="4" w:space="0"/>
              <w:right w:val="single" w:color="auto" w:sz="4" w:space="0"/>
            </w:tcBorders>
            <w:vAlign w:val="center"/>
          </w:tcPr>
          <w:p w14:paraId="59D3F36E">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Y＜300</w:t>
            </w:r>
          </w:p>
        </w:tc>
      </w:tr>
      <w:tr w14:paraId="5030DEC3">
        <w:tblPrEx>
          <w:tblCellMar>
            <w:top w:w="0" w:type="dxa"/>
            <w:left w:w="108" w:type="dxa"/>
            <w:bottom w:w="0" w:type="dxa"/>
            <w:right w:w="108" w:type="dxa"/>
          </w:tblCellMar>
        </w:tblPrEx>
        <w:trPr>
          <w:trHeight w:val="225" w:hRule="atLeast"/>
        </w:trPr>
        <w:tc>
          <w:tcPr>
            <w:tcW w:w="1895" w:type="dxa"/>
            <w:vMerge w:val="continue"/>
            <w:tcBorders>
              <w:top w:val="nil"/>
              <w:left w:val="single" w:color="auto" w:sz="4" w:space="0"/>
              <w:bottom w:val="single" w:color="auto" w:sz="4" w:space="0"/>
              <w:right w:val="single" w:color="auto" w:sz="4" w:space="0"/>
            </w:tcBorders>
            <w:vAlign w:val="center"/>
          </w:tcPr>
          <w:p w14:paraId="40E8470F">
            <w:pPr>
              <w:widowControl/>
              <w:jc w:val="left"/>
              <w:rPr>
                <w:rFonts w:ascii="宋体" w:hAnsi="宋体" w:cs="宋体"/>
                <w:b/>
                <w:bCs/>
                <w:color w:val="auto"/>
                <w:kern w:val="0"/>
                <w:sz w:val="22"/>
                <w:szCs w:val="22"/>
                <w:highlight w:val="none"/>
              </w:rPr>
            </w:pPr>
          </w:p>
        </w:tc>
        <w:tc>
          <w:tcPr>
            <w:tcW w:w="2074" w:type="dxa"/>
            <w:tcBorders>
              <w:top w:val="nil"/>
              <w:left w:val="nil"/>
              <w:bottom w:val="single" w:color="auto" w:sz="4" w:space="0"/>
              <w:right w:val="single" w:color="auto" w:sz="4" w:space="0"/>
            </w:tcBorders>
            <w:vAlign w:val="center"/>
          </w:tcPr>
          <w:p w14:paraId="65CD42BA">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资产总额（Z）</w:t>
            </w:r>
          </w:p>
        </w:tc>
        <w:tc>
          <w:tcPr>
            <w:tcW w:w="851" w:type="dxa"/>
            <w:tcBorders>
              <w:top w:val="nil"/>
              <w:left w:val="nil"/>
              <w:bottom w:val="single" w:color="auto" w:sz="4" w:space="0"/>
              <w:right w:val="single" w:color="auto" w:sz="4" w:space="0"/>
            </w:tcBorders>
            <w:vAlign w:val="center"/>
          </w:tcPr>
          <w:p w14:paraId="55CE4834">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万元</w:t>
            </w:r>
          </w:p>
        </w:tc>
        <w:tc>
          <w:tcPr>
            <w:tcW w:w="1842" w:type="dxa"/>
            <w:tcBorders>
              <w:top w:val="nil"/>
              <w:left w:val="nil"/>
              <w:bottom w:val="single" w:color="auto" w:sz="4" w:space="0"/>
              <w:right w:val="single" w:color="auto" w:sz="4" w:space="0"/>
            </w:tcBorders>
            <w:vAlign w:val="center"/>
          </w:tcPr>
          <w:p w14:paraId="2C82EF27">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5000≤Z＜80000</w:t>
            </w:r>
          </w:p>
        </w:tc>
        <w:tc>
          <w:tcPr>
            <w:tcW w:w="1701" w:type="dxa"/>
            <w:tcBorders>
              <w:top w:val="nil"/>
              <w:left w:val="nil"/>
              <w:bottom w:val="single" w:color="auto" w:sz="4" w:space="0"/>
              <w:right w:val="single" w:color="auto" w:sz="4" w:space="0"/>
            </w:tcBorders>
            <w:vAlign w:val="center"/>
          </w:tcPr>
          <w:p w14:paraId="5903BD66">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300≤Z＜5000</w:t>
            </w:r>
          </w:p>
        </w:tc>
        <w:tc>
          <w:tcPr>
            <w:tcW w:w="987" w:type="dxa"/>
            <w:tcBorders>
              <w:top w:val="nil"/>
              <w:left w:val="nil"/>
              <w:bottom w:val="single" w:color="auto" w:sz="4" w:space="0"/>
              <w:right w:val="single" w:color="auto" w:sz="4" w:space="0"/>
            </w:tcBorders>
            <w:vAlign w:val="center"/>
          </w:tcPr>
          <w:p w14:paraId="3274A65D">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Z＜300</w:t>
            </w:r>
          </w:p>
        </w:tc>
      </w:tr>
      <w:tr w14:paraId="573B49BA">
        <w:tblPrEx>
          <w:tblCellMar>
            <w:top w:w="0" w:type="dxa"/>
            <w:left w:w="108" w:type="dxa"/>
            <w:bottom w:w="0" w:type="dxa"/>
            <w:right w:w="108" w:type="dxa"/>
          </w:tblCellMar>
        </w:tblPrEx>
        <w:trPr>
          <w:trHeight w:val="225" w:hRule="atLeast"/>
        </w:trPr>
        <w:tc>
          <w:tcPr>
            <w:tcW w:w="1895" w:type="dxa"/>
            <w:vMerge w:val="restart"/>
            <w:tcBorders>
              <w:top w:val="nil"/>
              <w:left w:val="single" w:color="auto" w:sz="4" w:space="0"/>
              <w:bottom w:val="single" w:color="auto" w:sz="4" w:space="0"/>
              <w:right w:val="single" w:color="auto" w:sz="4" w:space="0"/>
            </w:tcBorders>
            <w:vAlign w:val="bottom"/>
          </w:tcPr>
          <w:p w14:paraId="61C6B4F7">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批发业</w:t>
            </w:r>
          </w:p>
        </w:tc>
        <w:tc>
          <w:tcPr>
            <w:tcW w:w="2074" w:type="dxa"/>
            <w:tcBorders>
              <w:top w:val="nil"/>
              <w:left w:val="nil"/>
              <w:bottom w:val="single" w:color="auto" w:sz="4" w:space="0"/>
              <w:right w:val="single" w:color="auto" w:sz="4" w:space="0"/>
            </w:tcBorders>
            <w:vAlign w:val="center"/>
          </w:tcPr>
          <w:p w14:paraId="4666F5EC">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从业人员（X）</w:t>
            </w:r>
          </w:p>
        </w:tc>
        <w:tc>
          <w:tcPr>
            <w:tcW w:w="851" w:type="dxa"/>
            <w:tcBorders>
              <w:top w:val="nil"/>
              <w:left w:val="nil"/>
              <w:bottom w:val="single" w:color="auto" w:sz="4" w:space="0"/>
              <w:right w:val="single" w:color="auto" w:sz="4" w:space="0"/>
            </w:tcBorders>
            <w:vAlign w:val="center"/>
          </w:tcPr>
          <w:p w14:paraId="2F929B32">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人</w:t>
            </w:r>
          </w:p>
        </w:tc>
        <w:tc>
          <w:tcPr>
            <w:tcW w:w="1842" w:type="dxa"/>
            <w:tcBorders>
              <w:top w:val="nil"/>
              <w:left w:val="nil"/>
              <w:bottom w:val="single" w:color="auto" w:sz="4" w:space="0"/>
              <w:right w:val="single" w:color="auto" w:sz="4" w:space="0"/>
            </w:tcBorders>
            <w:vAlign w:val="center"/>
          </w:tcPr>
          <w:p w14:paraId="7A3F5BBD">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20≤X＜200</w:t>
            </w:r>
          </w:p>
        </w:tc>
        <w:tc>
          <w:tcPr>
            <w:tcW w:w="1701" w:type="dxa"/>
            <w:tcBorders>
              <w:top w:val="nil"/>
              <w:left w:val="nil"/>
              <w:bottom w:val="single" w:color="auto" w:sz="4" w:space="0"/>
              <w:right w:val="single" w:color="auto" w:sz="4" w:space="0"/>
            </w:tcBorders>
            <w:vAlign w:val="center"/>
          </w:tcPr>
          <w:p w14:paraId="14821C7E">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5≤X＜20</w:t>
            </w:r>
          </w:p>
        </w:tc>
        <w:tc>
          <w:tcPr>
            <w:tcW w:w="987" w:type="dxa"/>
            <w:tcBorders>
              <w:top w:val="nil"/>
              <w:left w:val="nil"/>
              <w:bottom w:val="single" w:color="auto" w:sz="4" w:space="0"/>
              <w:right w:val="single" w:color="auto" w:sz="4" w:space="0"/>
            </w:tcBorders>
            <w:vAlign w:val="center"/>
          </w:tcPr>
          <w:p w14:paraId="199A3E0D">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X＜5</w:t>
            </w:r>
          </w:p>
        </w:tc>
      </w:tr>
      <w:tr w14:paraId="150A98B6">
        <w:tblPrEx>
          <w:tblCellMar>
            <w:top w:w="0" w:type="dxa"/>
            <w:left w:w="108" w:type="dxa"/>
            <w:bottom w:w="0" w:type="dxa"/>
            <w:right w:w="108" w:type="dxa"/>
          </w:tblCellMar>
        </w:tblPrEx>
        <w:trPr>
          <w:trHeight w:val="225" w:hRule="atLeast"/>
        </w:trPr>
        <w:tc>
          <w:tcPr>
            <w:tcW w:w="1895" w:type="dxa"/>
            <w:vMerge w:val="continue"/>
            <w:tcBorders>
              <w:top w:val="nil"/>
              <w:left w:val="single" w:color="auto" w:sz="4" w:space="0"/>
              <w:bottom w:val="single" w:color="auto" w:sz="4" w:space="0"/>
              <w:right w:val="single" w:color="auto" w:sz="4" w:space="0"/>
            </w:tcBorders>
            <w:vAlign w:val="center"/>
          </w:tcPr>
          <w:p w14:paraId="3A3D8518">
            <w:pPr>
              <w:widowControl/>
              <w:jc w:val="left"/>
              <w:rPr>
                <w:rFonts w:ascii="宋体" w:hAnsi="宋体" w:cs="宋体"/>
                <w:b/>
                <w:bCs/>
                <w:color w:val="auto"/>
                <w:kern w:val="0"/>
                <w:sz w:val="22"/>
                <w:szCs w:val="22"/>
                <w:highlight w:val="none"/>
              </w:rPr>
            </w:pPr>
          </w:p>
        </w:tc>
        <w:tc>
          <w:tcPr>
            <w:tcW w:w="2074" w:type="dxa"/>
            <w:tcBorders>
              <w:top w:val="nil"/>
              <w:left w:val="nil"/>
              <w:bottom w:val="single" w:color="auto" w:sz="4" w:space="0"/>
              <w:right w:val="single" w:color="auto" w:sz="4" w:space="0"/>
            </w:tcBorders>
            <w:vAlign w:val="center"/>
          </w:tcPr>
          <w:p w14:paraId="4C74793D">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营业收入（Y）</w:t>
            </w:r>
          </w:p>
        </w:tc>
        <w:tc>
          <w:tcPr>
            <w:tcW w:w="851" w:type="dxa"/>
            <w:tcBorders>
              <w:top w:val="nil"/>
              <w:left w:val="nil"/>
              <w:bottom w:val="single" w:color="auto" w:sz="4" w:space="0"/>
              <w:right w:val="single" w:color="auto" w:sz="4" w:space="0"/>
            </w:tcBorders>
            <w:vAlign w:val="center"/>
          </w:tcPr>
          <w:p w14:paraId="7E9F71A4">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万元</w:t>
            </w:r>
          </w:p>
        </w:tc>
        <w:tc>
          <w:tcPr>
            <w:tcW w:w="1842" w:type="dxa"/>
            <w:tcBorders>
              <w:top w:val="nil"/>
              <w:left w:val="nil"/>
              <w:bottom w:val="single" w:color="auto" w:sz="4" w:space="0"/>
              <w:right w:val="single" w:color="auto" w:sz="4" w:space="0"/>
            </w:tcBorders>
            <w:vAlign w:val="center"/>
          </w:tcPr>
          <w:p w14:paraId="1E9C9CB3">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5000≤Y＜40000</w:t>
            </w:r>
          </w:p>
        </w:tc>
        <w:tc>
          <w:tcPr>
            <w:tcW w:w="1701" w:type="dxa"/>
            <w:tcBorders>
              <w:top w:val="nil"/>
              <w:left w:val="nil"/>
              <w:bottom w:val="single" w:color="auto" w:sz="4" w:space="0"/>
              <w:right w:val="single" w:color="auto" w:sz="4" w:space="0"/>
            </w:tcBorders>
            <w:vAlign w:val="center"/>
          </w:tcPr>
          <w:p w14:paraId="2D54B6A0">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1000≤Y＜5000</w:t>
            </w:r>
          </w:p>
        </w:tc>
        <w:tc>
          <w:tcPr>
            <w:tcW w:w="987" w:type="dxa"/>
            <w:tcBorders>
              <w:top w:val="nil"/>
              <w:left w:val="nil"/>
              <w:bottom w:val="single" w:color="auto" w:sz="4" w:space="0"/>
              <w:right w:val="single" w:color="auto" w:sz="4" w:space="0"/>
            </w:tcBorders>
            <w:vAlign w:val="center"/>
          </w:tcPr>
          <w:p w14:paraId="7F3CE381">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Y＜1000</w:t>
            </w:r>
          </w:p>
        </w:tc>
      </w:tr>
      <w:tr w14:paraId="42A85E67">
        <w:tblPrEx>
          <w:tblCellMar>
            <w:top w:w="0" w:type="dxa"/>
            <w:left w:w="108" w:type="dxa"/>
            <w:bottom w:w="0" w:type="dxa"/>
            <w:right w:w="108" w:type="dxa"/>
          </w:tblCellMar>
        </w:tblPrEx>
        <w:trPr>
          <w:trHeight w:val="225" w:hRule="atLeast"/>
        </w:trPr>
        <w:tc>
          <w:tcPr>
            <w:tcW w:w="1895" w:type="dxa"/>
            <w:vMerge w:val="restart"/>
            <w:tcBorders>
              <w:top w:val="nil"/>
              <w:left w:val="single" w:color="auto" w:sz="4" w:space="0"/>
              <w:bottom w:val="single" w:color="auto" w:sz="4" w:space="0"/>
              <w:right w:val="single" w:color="auto" w:sz="4" w:space="0"/>
            </w:tcBorders>
            <w:vAlign w:val="bottom"/>
          </w:tcPr>
          <w:p w14:paraId="73C41E02">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零售业</w:t>
            </w:r>
          </w:p>
        </w:tc>
        <w:tc>
          <w:tcPr>
            <w:tcW w:w="2074" w:type="dxa"/>
            <w:tcBorders>
              <w:top w:val="nil"/>
              <w:left w:val="nil"/>
              <w:bottom w:val="single" w:color="auto" w:sz="4" w:space="0"/>
              <w:right w:val="single" w:color="auto" w:sz="4" w:space="0"/>
            </w:tcBorders>
            <w:vAlign w:val="center"/>
          </w:tcPr>
          <w:p w14:paraId="276CBD6E">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从业人员（X）</w:t>
            </w:r>
          </w:p>
        </w:tc>
        <w:tc>
          <w:tcPr>
            <w:tcW w:w="851" w:type="dxa"/>
            <w:tcBorders>
              <w:top w:val="nil"/>
              <w:left w:val="nil"/>
              <w:bottom w:val="single" w:color="auto" w:sz="4" w:space="0"/>
              <w:right w:val="single" w:color="auto" w:sz="4" w:space="0"/>
            </w:tcBorders>
            <w:vAlign w:val="center"/>
          </w:tcPr>
          <w:p w14:paraId="21316C57">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人</w:t>
            </w:r>
          </w:p>
        </w:tc>
        <w:tc>
          <w:tcPr>
            <w:tcW w:w="1842" w:type="dxa"/>
            <w:tcBorders>
              <w:top w:val="nil"/>
              <w:left w:val="nil"/>
              <w:bottom w:val="single" w:color="auto" w:sz="4" w:space="0"/>
              <w:right w:val="single" w:color="auto" w:sz="4" w:space="0"/>
            </w:tcBorders>
            <w:vAlign w:val="center"/>
          </w:tcPr>
          <w:p w14:paraId="18F87536">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50≤X＜300</w:t>
            </w:r>
          </w:p>
        </w:tc>
        <w:tc>
          <w:tcPr>
            <w:tcW w:w="1701" w:type="dxa"/>
            <w:tcBorders>
              <w:top w:val="nil"/>
              <w:left w:val="nil"/>
              <w:bottom w:val="single" w:color="auto" w:sz="4" w:space="0"/>
              <w:right w:val="single" w:color="auto" w:sz="4" w:space="0"/>
            </w:tcBorders>
            <w:vAlign w:val="center"/>
          </w:tcPr>
          <w:p w14:paraId="16EC458A">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10≤X＜50</w:t>
            </w:r>
          </w:p>
        </w:tc>
        <w:tc>
          <w:tcPr>
            <w:tcW w:w="987" w:type="dxa"/>
            <w:tcBorders>
              <w:top w:val="nil"/>
              <w:left w:val="nil"/>
              <w:bottom w:val="single" w:color="auto" w:sz="4" w:space="0"/>
              <w:right w:val="single" w:color="auto" w:sz="4" w:space="0"/>
            </w:tcBorders>
            <w:vAlign w:val="center"/>
          </w:tcPr>
          <w:p w14:paraId="4059B28D">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X＜10</w:t>
            </w:r>
          </w:p>
        </w:tc>
      </w:tr>
      <w:tr w14:paraId="0256804B">
        <w:tblPrEx>
          <w:tblCellMar>
            <w:top w:w="0" w:type="dxa"/>
            <w:left w:w="108" w:type="dxa"/>
            <w:bottom w:w="0" w:type="dxa"/>
            <w:right w:w="108" w:type="dxa"/>
          </w:tblCellMar>
        </w:tblPrEx>
        <w:trPr>
          <w:trHeight w:val="225" w:hRule="atLeast"/>
        </w:trPr>
        <w:tc>
          <w:tcPr>
            <w:tcW w:w="1895" w:type="dxa"/>
            <w:vMerge w:val="continue"/>
            <w:tcBorders>
              <w:top w:val="nil"/>
              <w:left w:val="single" w:color="auto" w:sz="4" w:space="0"/>
              <w:bottom w:val="single" w:color="auto" w:sz="4" w:space="0"/>
              <w:right w:val="single" w:color="auto" w:sz="4" w:space="0"/>
            </w:tcBorders>
            <w:vAlign w:val="center"/>
          </w:tcPr>
          <w:p w14:paraId="4AFADD0D">
            <w:pPr>
              <w:widowControl/>
              <w:jc w:val="left"/>
              <w:rPr>
                <w:rFonts w:ascii="宋体" w:hAnsi="宋体" w:cs="宋体"/>
                <w:b/>
                <w:bCs/>
                <w:color w:val="auto"/>
                <w:kern w:val="0"/>
                <w:sz w:val="22"/>
                <w:szCs w:val="22"/>
                <w:highlight w:val="none"/>
              </w:rPr>
            </w:pPr>
          </w:p>
        </w:tc>
        <w:tc>
          <w:tcPr>
            <w:tcW w:w="2074" w:type="dxa"/>
            <w:tcBorders>
              <w:top w:val="nil"/>
              <w:left w:val="nil"/>
              <w:bottom w:val="single" w:color="auto" w:sz="4" w:space="0"/>
              <w:right w:val="single" w:color="auto" w:sz="4" w:space="0"/>
            </w:tcBorders>
            <w:vAlign w:val="center"/>
          </w:tcPr>
          <w:p w14:paraId="5A143E6F">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营业收入（Y）</w:t>
            </w:r>
          </w:p>
        </w:tc>
        <w:tc>
          <w:tcPr>
            <w:tcW w:w="851" w:type="dxa"/>
            <w:tcBorders>
              <w:top w:val="nil"/>
              <w:left w:val="nil"/>
              <w:bottom w:val="single" w:color="auto" w:sz="4" w:space="0"/>
              <w:right w:val="single" w:color="auto" w:sz="4" w:space="0"/>
            </w:tcBorders>
            <w:vAlign w:val="center"/>
          </w:tcPr>
          <w:p w14:paraId="12EDCDE8">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万元</w:t>
            </w:r>
          </w:p>
        </w:tc>
        <w:tc>
          <w:tcPr>
            <w:tcW w:w="1842" w:type="dxa"/>
            <w:tcBorders>
              <w:top w:val="nil"/>
              <w:left w:val="nil"/>
              <w:bottom w:val="single" w:color="auto" w:sz="4" w:space="0"/>
              <w:right w:val="single" w:color="auto" w:sz="4" w:space="0"/>
            </w:tcBorders>
            <w:vAlign w:val="center"/>
          </w:tcPr>
          <w:p w14:paraId="6ABD74F1">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500≤Y＜20000</w:t>
            </w:r>
          </w:p>
        </w:tc>
        <w:tc>
          <w:tcPr>
            <w:tcW w:w="1701" w:type="dxa"/>
            <w:tcBorders>
              <w:top w:val="nil"/>
              <w:left w:val="nil"/>
              <w:bottom w:val="single" w:color="auto" w:sz="4" w:space="0"/>
              <w:right w:val="single" w:color="auto" w:sz="4" w:space="0"/>
            </w:tcBorders>
            <w:vAlign w:val="center"/>
          </w:tcPr>
          <w:p w14:paraId="23BB6851">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100≤Y＜500</w:t>
            </w:r>
          </w:p>
        </w:tc>
        <w:tc>
          <w:tcPr>
            <w:tcW w:w="987" w:type="dxa"/>
            <w:tcBorders>
              <w:top w:val="nil"/>
              <w:left w:val="nil"/>
              <w:bottom w:val="single" w:color="auto" w:sz="4" w:space="0"/>
              <w:right w:val="single" w:color="auto" w:sz="4" w:space="0"/>
            </w:tcBorders>
            <w:vAlign w:val="center"/>
          </w:tcPr>
          <w:p w14:paraId="4E86F546">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Y＜100</w:t>
            </w:r>
          </w:p>
        </w:tc>
      </w:tr>
      <w:tr w14:paraId="4C82F09C">
        <w:tblPrEx>
          <w:tblCellMar>
            <w:top w:w="0" w:type="dxa"/>
            <w:left w:w="108" w:type="dxa"/>
            <w:bottom w:w="0" w:type="dxa"/>
            <w:right w:w="108" w:type="dxa"/>
          </w:tblCellMar>
        </w:tblPrEx>
        <w:trPr>
          <w:trHeight w:val="225" w:hRule="atLeast"/>
        </w:trPr>
        <w:tc>
          <w:tcPr>
            <w:tcW w:w="1895" w:type="dxa"/>
            <w:vMerge w:val="restart"/>
            <w:tcBorders>
              <w:top w:val="nil"/>
              <w:left w:val="single" w:color="auto" w:sz="4" w:space="0"/>
              <w:bottom w:val="single" w:color="auto" w:sz="4" w:space="0"/>
              <w:right w:val="single" w:color="auto" w:sz="4" w:space="0"/>
            </w:tcBorders>
            <w:vAlign w:val="bottom"/>
          </w:tcPr>
          <w:p w14:paraId="08670AA3">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交通运输业</w:t>
            </w:r>
          </w:p>
        </w:tc>
        <w:tc>
          <w:tcPr>
            <w:tcW w:w="2074" w:type="dxa"/>
            <w:tcBorders>
              <w:top w:val="nil"/>
              <w:left w:val="nil"/>
              <w:bottom w:val="single" w:color="auto" w:sz="4" w:space="0"/>
              <w:right w:val="single" w:color="auto" w:sz="4" w:space="0"/>
            </w:tcBorders>
            <w:vAlign w:val="center"/>
          </w:tcPr>
          <w:p w14:paraId="5840085D">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从业人员（X）</w:t>
            </w:r>
          </w:p>
        </w:tc>
        <w:tc>
          <w:tcPr>
            <w:tcW w:w="851" w:type="dxa"/>
            <w:tcBorders>
              <w:top w:val="nil"/>
              <w:left w:val="nil"/>
              <w:bottom w:val="single" w:color="auto" w:sz="4" w:space="0"/>
              <w:right w:val="single" w:color="auto" w:sz="4" w:space="0"/>
            </w:tcBorders>
            <w:vAlign w:val="center"/>
          </w:tcPr>
          <w:p w14:paraId="6226185E">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人</w:t>
            </w:r>
          </w:p>
        </w:tc>
        <w:tc>
          <w:tcPr>
            <w:tcW w:w="1842" w:type="dxa"/>
            <w:tcBorders>
              <w:top w:val="nil"/>
              <w:left w:val="nil"/>
              <w:bottom w:val="single" w:color="auto" w:sz="4" w:space="0"/>
              <w:right w:val="single" w:color="auto" w:sz="4" w:space="0"/>
            </w:tcBorders>
            <w:vAlign w:val="center"/>
          </w:tcPr>
          <w:p w14:paraId="7D3A15B3">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300≤X＜1000</w:t>
            </w:r>
          </w:p>
        </w:tc>
        <w:tc>
          <w:tcPr>
            <w:tcW w:w="1701" w:type="dxa"/>
            <w:tcBorders>
              <w:top w:val="nil"/>
              <w:left w:val="nil"/>
              <w:bottom w:val="single" w:color="auto" w:sz="4" w:space="0"/>
              <w:right w:val="single" w:color="auto" w:sz="4" w:space="0"/>
            </w:tcBorders>
            <w:vAlign w:val="center"/>
          </w:tcPr>
          <w:p w14:paraId="42FF15A6">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20≤X＜300</w:t>
            </w:r>
          </w:p>
        </w:tc>
        <w:tc>
          <w:tcPr>
            <w:tcW w:w="987" w:type="dxa"/>
            <w:tcBorders>
              <w:top w:val="nil"/>
              <w:left w:val="nil"/>
              <w:bottom w:val="single" w:color="auto" w:sz="4" w:space="0"/>
              <w:right w:val="single" w:color="auto" w:sz="4" w:space="0"/>
            </w:tcBorders>
            <w:vAlign w:val="center"/>
          </w:tcPr>
          <w:p w14:paraId="33B54761">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X＜20</w:t>
            </w:r>
          </w:p>
        </w:tc>
      </w:tr>
      <w:tr w14:paraId="107814DE">
        <w:tblPrEx>
          <w:tblCellMar>
            <w:top w:w="0" w:type="dxa"/>
            <w:left w:w="108" w:type="dxa"/>
            <w:bottom w:w="0" w:type="dxa"/>
            <w:right w:w="108" w:type="dxa"/>
          </w:tblCellMar>
        </w:tblPrEx>
        <w:trPr>
          <w:trHeight w:val="225" w:hRule="atLeast"/>
        </w:trPr>
        <w:tc>
          <w:tcPr>
            <w:tcW w:w="1895" w:type="dxa"/>
            <w:vMerge w:val="continue"/>
            <w:tcBorders>
              <w:top w:val="nil"/>
              <w:left w:val="single" w:color="auto" w:sz="4" w:space="0"/>
              <w:bottom w:val="single" w:color="auto" w:sz="4" w:space="0"/>
              <w:right w:val="single" w:color="auto" w:sz="4" w:space="0"/>
            </w:tcBorders>
            <w:vAlign w:val="center"/>
          </w:tcPr>
          <w:p w14:paraId="72A850D1">
            <w:pPr>
              <w:widowControl/>
              <w:jc w:val="left"/>
              <w:rPr>
                <w:rFonts w:ascii="宋体" w:hAnsi="宋体" w:cs="宋体"/>
                <w:b/>
                <w:bCs/>
                <w:color w:val="auto"/>
                <w:kern w:val="0"/>
                <w:sz w:val="22"/>
                <w:szCs w:val="22"/>
                <w:highlight w:val="none"/>
              </w:rPr>
            </w:pPr>
          </w:p>
        </w:tc>
        <w:tc>
          <w:tcPr>
            <w:tcW w:w="2074" w:type="dxa"/>
            <w:tcBorders>
              <w:top w:val="nil"/>
              <w:left w:val="nil"/>
              <w:bottom w:val="single" w:color="auto" w:sz="4" w:space="0"/>
              <w:right w:val="single" w:color="auto" w:sz="4" w:space="0"/>
            </w:tcBorders>
            <w:vAlign w:val="center"/>
          </w:tcPr>
          <w:p w14:paraId="704097E8">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营业收入（Y）</w:t>
            </w:r>
          </w:p>
        </w:tc>
        <w:tc>
          <w:tcPr>
            <w:tcW w:w="851" w:type="dxa"/>
            <w:tcBorders>
              <w:top w:val="nil"/>
              <w:left w:val="nil"/>
              <w:bottom w:val="single" w:color="auto" w:sz="4" w:space="0"/>
              <w:right w:val="single" w:color="auto" w:sz="4" w:space="0"/>
            </w:tcBorders>
            <w:vAlign w:val="center"/>
          </w:tcPr>
          <w:p w14:paraId="4DB7E9DE">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万元</w:t>
            </w:r>
          </w:p>
        </w:tc>
        <w:tc>
          <w:tcPr>
            <w:tcW w:w="1842" w:type="dxa"/>
            <w:tcBorders>
              <w:top w:val="nil"/>
              <w:left w:val="nil"/>
              <w:bottom w:val="single" w:color="auto" w:sz="4" w:space="0"/>
              <w:right w:val="single" w:color="auto" w:sz="4" w:space="0"/>
            </w:tcBorders>
            <w:vAlign w:val="center"/>
          </w:tcPr>
          <w:p w14:paraId="76A183EA">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3000≤Y＜30000</w:t>
            </w:r>
          </w:p>
        </w:tc>
        <w:tc>
          <w:tcPr>
            <w:tcW w:w="1701" w:type="dxa"/>
            <w:tcBorders>
              <w:top w:val="nil"/>
              <w:left w:val="nil"/>
              <w:bottom w:val="single" w:color="auto" w:sz="4" w:space="0"/>
              <w:right w:val="single" w:color="auto" w:sz="4" w:space="0"/>
            </w:tcBorders>
            <w:vAlign w:val="center"/>
          </w:tcPr>
          <w:p w14:paraId="090B3B44">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200≤Y＜3000</w:t>
            </w:r>
          </w:p>
        </w:tc>
        <w:tc>
          <w:tcPr>
            <w:tcW w:w="987" w:type="dxa"/>
            <w:tcBorders>
              <w:top w:val="nil"/>
              <w:left w:val="nil"/>
              <w:bottom w:val="single" w:color="auto" w:sz="4" w:space="0"/>
              <w:right w:val="single" w:color="auto" w:sz="4" w:space="0"/>
            </w:tcBorders>
            <w:vAlign w:val="center"/>
          </w:tcPr>
          <w:p w14:paraId="7882B7FE">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Y＜200</w:t>
            </w:r>
          </w:p>
        </w:tc>
      </w:tr>
      <w:tr w14:paraId="45451721">
        <w:tblPrEx>
          <w:tblCellMar>
            <w:top w:w="0" w:type="dxa"/>
            <w:left w:w="108" w:type="dxa"/>
            <w:bottom w:w="0" w:type="dxa"/>
            <w:right w:w="108" w:type="dxa"/>
          </w:tblCellMar>
        </w:tblPrEx>
        <w:trPr>
          <w:trHeight w:val="225" w:hRule="atLeast"/>
        </w:trPr>
        <w:tc>
          <w:tcPr>
            <w:tcW w:w="1895" w:type="dxa"/>
            <w:vMerge w:val="restart"/>
            <w:tcBorders>
              <w:top w:val="nil"/>
              <w:left w:val="single" w:color="auto" w:sz="4" w:space="0"/>
              <w:bottom w:val="single" w:color="auto" w:sz="4" w:space="0"/>
              <w:right w:val="single" w:color="auto" w:sz="4" w:space="0"/>
            </w:tcBorders>
            <w:vAlign w:val="bottom"/>
          </w:tcPr>
          <w:p w14:paraId="61E97A00">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仓储业</w:t>
            </w:r>
          </w:p>
        </w:tc>
        <w:tc>
          <w:tcPr>
            <w:tcW w:w="2074" w:type="dxa"/>
            <w:tcBorders>
              <w:top w:val="nil"/>
              <w:left w:val="nil"/>
              <w:bottom w:val="single" w:color="auto" w:sz="4" w:space="0"/>
              <w:right w:val="single" w:color="auto" w:sz="4" w:space="0"/>
            </w:tcBorders>
            <w:vAlign w:val="center"/>
          </w:tcPr>
          <w:p w14:paraId="092C9A5F">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从业人员（X）</w:t>
            </w:r>
          </w:p>
        </w:tc>
        <w:tc>
          <w:tcPr>
            <w:tcW w:w="851" w:type="dxa"/>
            <w:tcBorders>
              <w:top w:val="nil"/>
              <w:left w:val="nil"/>
              <w:bottom w:val="single" w:color="auto" w:sz="4" w:space="0"/>
              <w:right w:val="single" w:color="auto" w:sz="4" w:space="0"/>
            </w:tcBorders>
            <w:vAlign w:val="center"/>
          </w:tcPr>
          <w:p w14:paraId="4DD55759">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人</w:t>
            </w:r>
          </w:p>
        </w:tc>
        <w:tc>
          <w:tcPr>
            <w:tcW w:w="1842" w:type="dxa"/>
            <w:tcBorders>
              <w:top w:val="nil"/>
              <w:left w:val="nil"/>
              <w:bottom w:val="single" w:color="auto" w:sz="4" w:space="0"/>
              <w:right w:val="single" w:color="auto" w:sz="4" w:space="0"/>
            </w:tcBorders>
            <w:vAlign w:val="center"/>
          </w:tcPr>
          <w:p w14:paraId="57864759">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100≤X＜200</w:t>
            </w:r>
          </w:p>
        </w:tc>
        <w:tc>
          <w:tcPr>
            <w:tcW w:w="1701" w:type="dxa"/>
            <w:tcBorders>
              <w:top w:val="nil"/>
              <w:left w:val="nil"/>
              <w:bottom w:val="single" w:color="auto" w:sz="4" w:space="0"/>
              <w:right w:val="single" w:color="auto" w:sz="4" w:space="0"/>
            </w:tcBorders>
            <w:vAlign w:val="center"/>
          </w:tcPr>
          <w:p w14:paraId="66B828CE">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20≤X＜100</w:t>
            </w:r>
          </w:p>
        </w:tc>
        <w:tc>
          <w:tcPr>
            <w:tcW w:w="987" w:type="dxa"/>
            <w:tcBorders>
              <w:top w:val="nil"/>
              <w:left w:val="nil"/>
              <w:bottom w:val="single" w:color="auto" w:sz="4" w:space="0"/>
              <w:right w:val="single" w:color="auto" w:sz="4" w:space="0"/>
            </w:tcBorders>
            <w:vAlign w:val="center"/>
          </w:tcPr>
          <w:p w14:paraId="6E14EABF">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X＜20</w:t>
            </w:r>
          </w:p>
        </w:tc>
      </w:tr>
      <w:tr w14:paraId="26489C8D">
        <w:tblPrEx>
          <w:tblCellMar>
            <w:top w:w="0" w:type="dxa"/>
            <w:left w:w="108" w:type="dxa"/>
            <w:bottom w:w="0" w:type="dxa"/>
            <w:right w:w="108" w:type="dxa"/>
          </w:tblCellMar>
        </w:tblPrEx>
        <w:trPr>
          <w:trHeight w:val="225" w:hRule="atLeast"/>
        </w:trPr>
        <w:tc>
          <w:tcPr>
            <w:tcW w:w="1895" w:type="dxa"/>
            <w:vMerge w:val="continue"/>
            <w:tcBorders>
              <w:top w:val="nil"/>
              <w:left w:val="single" w:color="auto" w:sz="4" w:space="0"/>
              <w:bottom w:val="single" w:color="auto" w:sz="4" w:space="0"/>
              <w:right w:val="single" w:color="auto" w:sz="4" w:space="0"/>
            </w:tcBorders>
            <w:vAlign w:val="center"/>
          </w:tcPr>
          <w:p w14:paraId="63A050D9">
            <w:pPr>
              <w:widowControl/>
              <w:jc w:val="left"/>
              <w:rPr>
                <w:rFonts w:ascii="宋体" w:hAnsi="宋体" w:cs="宋体"/>
                <w:b/>
                <w:bCs/>
                <w:color w:val="auto"/>
                <w:kern w:val="0"/>
                <w:sz w:val="22"/>
                <w:szCs w:val="22"/>
                <w:highlight w:val="none"/>
              </w:rPr>
            </w:pPr>
          </w:p>
        </w:tc>
        <w:tc>
          <w:tcPr>
            <w:tcW w:w="2074" w:type="dxa"/>
            <w:tcBorders>
              <w:top w:val="nil"/>
              <w:left w:val="nil"/>
              <w:bottom w:val="single" w:color="auto" w:sz="4" w:space="0"/>
              <w:right w:val="single" w:color="auto" w:sz="4" w:space="0"/>
            </w:tcBorders>
            <w:vAlign w:val="center"/>
          </w:tcPr>
          <w:p w14:paraId="503F4255">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营业收入（Y）</w:t>
            </w:r>
          </w:p>
        </w:tc>
        <w:tc>
          <w:tcPr>
            <w:tcW w:w="851" w:type="dxa"/>
            <w:tcBorders>
              <w:top w:val="nil"/>
              <w:left w:val="nil"/>
              <w:bottom w:val="single" w:color="auto" w:sz="4" w:space="0"/>
              <w:right w:val="single" w:color="auto" w:sz="4" w:space="0"/>
            </w:tcBorders>
            <w:vAlign w:val="center"/>
          </w:tcPr>
          <w:p w14:paraId="06AA2B13">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万元</w:t>
            </w:r>
          </w:p>
        </w:tc>
        <w:tc>
          <w:tcPr>
            <w:tcW w:w="1842" w:type="dxa"/>
            <w:tcBorders>
              <w:top w:val="nil"/>
              <w:left w:val="nil"/>
              <w:bottom w:val="single" w:color="auto" w:sz="4" w:space="0"/>
              <w:right w:val="single" w:color="auto" w:sz="4" w:space="0"/>
            </w:tcBorders>
            <w:vAlign w:val="center"/>
          </w:tcPr>
          <w:p w14:paraId="5266CB1B">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1000≤Y＜30000</w:t>
            </w:r>
          </w:p>
        </w:tc>
        <w:tc>
          <w:tcPr>
            <w:tcW w:w="1701" w:type="dxa"/>
            <w:tcBorders>
              <w:top w:val="nil"/>
              <w:left w:val="nil"/>
              <w:bottom w:val="single" w:color="auto" w:sz="4" w:space="0"/>
              <w:right w:val="single" w:color="auto" w:sz="4" w:space="0"/>
            </w:tcBorders>
            <w:vAlign w:val="center"/>
          </w:tcPr>
          <w:p w14:paraId="4D3FD364">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100≤Y＜1000</w:t>
            </w:r>
          </w:p>
        </w:tc>
        <w:tc>
          <w:tcPr>
            <w:tcW w:w="987" w:type="dxa"/>
            <w:tcBorders>
              <w:top w:val="nil"/>
              <w:left w:val="nil"/>
              <w:bottom w:val="single" w:color="auto" w:sz="4" w:space="0"/>
              <w:right w:val="single" w:color="auto" w:sz="4" w:space="0"/>
            </w:tcBorders>
            <w:vAlign w:val="center"/>
          </w:tcPr>
          <w:p w14:paraId="4EDC8579">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Y＜100</w:t>
            </w:r>
          </w:p>
        </w:tc>
      </w:tr>
      <w:tr w14:paraId="3ED8D56E">
        <w:tblPrEx>
          <w:tblCellMar>
            <w:top w:w="0" w:type="dxa"/>
            <w:left w:w="108" w:type="dxa"/>
            <w:bottom w:w="0" w:type="dxa"/>
            <w:right w:w="108" w:type="dxa"/>
          </w:tblCellMar>
        </w:tblPrEx>
        <w:trPr>
          <w:trHeight w:val="225" w:hRule="atLeast"/>
        </w:trPr>
        <w:tc>
          <w:tcPr>
            <w:tcW w:w="1895" w:type="dxa"/>
            <w:vMerge w:val="restart"/>
            <w:tcBorders>
              <w:top w:val="nil"/>
              <w:left w:val="single" w:color="auto" w:sz="4" w:space="0"/>
              <w:bottom w:val="single" w:color="auto" w:sz="4" w:space="0"/>
              <w:right w:val="single" w:color="auto" w:sz="4" w:space="0"/>
            </w:tcBorders>
            <w:vAlign w:val="bottom"/>
          </w:tcPr>
          <w:p w14:paraId="769F124F">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邮政业</w:t>
            </w:r>
          </w:p>
        </w:tc>
        <w:tc>
          <w:tcPr>
            <w:tcW w:w="2074" w:type="dxa"/>
            <w:tcBorders>
              <w:top w:val="nil"/>
              <w:left w:val="nil"/>
              <w:bottom w:val="single" w:color="auto" w:sz="4" w:space="0"/>
              <w:right w:val="single" w:color="auto" w:sz="4" w:space="0"/>
            </w:tcBorders>
            <w:vAlign w:val="center"/>
          </w:tcPr>
          <w:p w14:paraId="5006C2CA">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从业人员（X）</w:t>
            </w:r>
          </w:p>
        </w:tc>
        <w:tc>
          <w:tcPr>
            <w:tcW w:w="851" w:type="dxa"/>
            <w:tcBorders>
              <w:top w:val="nil"/>
              <w:left w:val="nil"/>
              <w:bottom w:val="single" w:color="auto" w:sz="4" w:space="0"/>
              <w:right w:val="single" w:color="auto" w:sz="4" w:space="0"/>
            </w:tcBorders>
            <w:vAlign w:val="center"/>
          </w:tcPr>
          <w:p w14:paraId="109016CB">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人</w:t>
            </w:r>
          </w:p>
        </w:tc>
        <w:tc>
          <w:tcPr>
            <w:tcW w:w="1842" w:type="dxa"/>
            <w:tcBorders>
              <w:top w:val="nil"/>
              <w:left w:val="nil"/>
              <w:bottom w:val="single" w:color="auto" w:sz="4" w:space="0"/>
              <w:right w:val="single" w:color="auto" w:sz="4" w:space="0"/>
            </w:tcBorders>
            <w:vAlign w:val="center"/>
          </w:tcPr>
          <w:p w14:paraId="49958D80">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300≤X＜1000</w:t>
            </w:r>
          </w:p>
        </w:tc>
        <w:tc>
          <w:tcPr>
            <w:tcW w:w="1701" w:type="dxa"/>
            <w:tcBorders>
              <w:top w:val="nil"/>
              <w:left w:val="nil"/>
              <w:bottom w:val="single" w:color="auto" w:sz="4" w:space="0"/>
              <w:right w:val="single" w:color="auto" w:sz="4" w:space="0"/>
            </w:tcBorders>
            <w:vAlign w:val="center"/>
          </w:tcPr>
          <w:p w14:paraId="47BF2ABA">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20≤X＜300</w:t>
            </w:r>
          </w:p>
        </w:tc>
        <w:tc>
          <w:tcPr>
            <w:tcW w:w="987" w:type="dxa"/>
            <w:tcBorders>
              <w:top w:val="nil"/>
              <w:left w:val="nil"/>
              <w:bottom w:val="single" w:color="auto" w:sz="4" w:space="0"/>
              <w:right w:val="single" w:color="auto" w:sz="4" w:space="0"/>
            </w:tcBorders>
            <w:vAlign w:val="center"/>
          </w:tcPr>
          <w:p w14:paraId="6488F14E">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X＜20</w:t>
            </w:r>
          </w:p>
        </w:tc>
      </w:tr>
      <w:tr w14:paraId="1A0B02BA">
        <w:tblPrEx>
          <w:tblCellMar>
            <w:top w:w="0" w:type="dxa"/>
            <w:left w:w="108" w:type="dxa"/>
            <w:bottom w:w="0" w:type="dxa"/>
            <w:right w:w="108" w:type="dxa"/>
          </w:tblCellMar>
        </w:tblPrEx>
        <w:trPr>
          <w:trHeight w:val="225" w:hRule="atLeast"/>
        </w:trPr>
        <w:tc>
          <w:tcPr>
            <w:tcW w:w="1895" w:type="dxa"/>
            <w:vMerge w:val="continue"/>
            <w:tcBorders>
              <w:top w:val="nil"/>
              <w:left w:val="single" w:color="auto" w:sz="4" w:space="0"/>
              <w:bottom w:val="single" w:color="auto" w:sz="4" w:space="0"/>
              <w:right w:val="single" w:color="auto" w:sz="4" w:space="0"/>
            </w:tcBorders>
            <w:vAlign w:val="center"/>
          </w:tcPr>
          <w:p w14:paraId="45B33E07">
            <w:pPr>
              <w:widowControl/>
              <w:jc w:val="left"/>
              <w:rPr>
                <w:rFonts w:ascii="宋体" w:hAnsi="宋体" w:cs="宋体"/>
                <w:b/>
                <w:bCs/>
                <w:color w:val="auto"/>
                <w:kern w:val="0"/>
                <w:sz w:val="22"/>
                <w:szCs w:val="22"/>
                <w:highlight w:val="none"/>
              </w:rPr>
            </w:pPr>
          </w:p>
        </w:tc>
        <w:tc>
          <w:tcPr>
            <w:tcW w:w="2074" w:type="dxa"/>
            <w:tcBorders>
              <w:top w:val="nil"/>
              <w:left w:val="nil"/>
              <w:bottom w:val="single" w:color="auto" w:sz="4" w:space="0"/>
              <w:right w:val="single" w:color="auto" w:sz="4" w:space="0"/>
            </w:tcBorders>
            <w:vAlign w:val="center"/>
          </w:tcPr>
          <w:p w14:paraId="0A6FF4D4">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营业收入（Y）</w:t>
            </w:r>
          </w:p>
        </w:tc>
        <w:tc>
          <w:tcPr>
            <w:tcW w:w="851" w:type="dxa"/>
            <w:tcBorders>
              <w:top w:val="nil"/>
              <w:left w:val="nil"/>
              <w:bottom w:val="single" w:color="auto" w:sz="4" w:space="0"/>
              <w:right w:val="single" w:color="auto" w:sz="4" w:space="0"/>
            </w:tcBorders>
            <w:vAlign w:val="center"/>
          </w:tcPr>
          <w:p w14:paraId="5ECFA6B5">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万元</w:t>
            </w:r>
          </w:p>
        </w:tc>
        <w:tc>
          <w:tcPr>
            <w:tcW w:w="1842" w:type="dxa"/>
            <w:tcBorders>
              <w:top w:val="nil"/>
              <w:left w:val="nil"/>
              <w:bottom w:val="single" w:color="auto" w:sz="4" w:space="0"/>
              <w:right w:val="single" w:color="auto" w:sz="4" w:space="0"/>
            </w:tcBorders>
            <w:vAlign w:val="center"/>
          </w:tcPr>
          <w:p w14:paraId="05233464">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2000≤Y＜30000</w:t>
            </w:r>
          </w:p>
        </w:tc>
        <w:tc>
          <w:tcPr>
            <w:tcW w:w="1701" w:type="dxa"/>
            <w:tcBorders>
              <w:top w:val="nil"/>
              <w:left w:val="nil"/>
              <w:bottom w:val="single" w:color="auto" w:sz="4" w:space="0"/>
              <w:right w:val="single" w:color="auto" w:sz="4" w:space="0"/>
            </w:tcBorders>
            <w:vAlign w:val="center"/>
          </w:tcPr>
          <w:p w14:paraId="4EBD47A3">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100≤Y＜2000</w:t>
            </w:r>
          </w:p>
        </w:tc>
        <w:tc>
          <w:tcPr>
            <w:tcW w:w="987" w:type="dxa"/>
            <w:tcBorders>
              <w:top w:val="nil"/>
              <w:left w:val="nil"/>
              <w:bottom w:val="single" w:color="auto" w:sz="4" w:space="0"/>
              <w:right w:val="single" w:color="auto" w:sz="4" w:space="0"/>
            </w:tcBorders>
            <w:vAlign w:val="center"/>
          </w:tcPr>
          <w:p w14:paraId="71A9B697">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Y＜100</w:t>
            </w:r>
          </w:p>
        </w:tc>
      </w:tr>
      <w:tr w14:paraId="059878DF">
        <w:tblPrEx>
          <w:tblCellMar>
            <w:top w:w="0" w:type="dxa"/>
            <w:left w:w="108" w:type="dxa"/>
            <w:bottom w:w="0" w:type="dxa"/>
            <w:right w:w="108" w:type="dxa"/>
          </w:tblCellMar>
        </w:tblPrEx>
        <w:trPr>
          <w:trHeight w:val="225" w:hRule="atLeast"/>
        </w:trPr>
        <w:tc>
          <w:tcPr>
            <w:tcW w:w="1895" w:type="dxa"/>
            <w:vMerge w:val="restart"/>
            <w:tcBorders>
              <w:top w:val="nil"/>
              <w:left w:val="single" w:color="auto" w:sz="4" w:space="0"/>
              <w:bottom w:val="single" w:color="auto" w:sz="4" w:space="0"/>
              <w:right w:val="single" w:color="auto" w:sz="4" w:space="0"/>
            </w:tcBorders>
            <w:vAlign w:val="bottom"/>
          </w:tcPr>
          <w:p w14:paraId="42E45A47">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住宿业</w:t>
            </w:r>
          </w:p>
        </w:tc>
        <w:tc>
          <w:tcPr>
            <w:tcW w:w="2074" w:type="dxa"/>
            <w:tcBorders>
              <w:top w:val="nil"/>
              <w:left w:val="nil"/>
              <w:bottom w:val="single" w:color="auto" w:sz="4" w:space="0"/>
              <w:right w:val="single" w:color="auto" w:sz="4" w:space="0"/>
            </w:tcBorders>
            <w:vAlign w:val="center"/>
          </w:tcPr>
          <w:p w14:paraId="673D8D86">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从业人员（X）</w:t>
            </w:r>
          </w:p>
        </w:tc>
        <w:tc>
          <w:tcPr>
            <w:tcW w:w="851" w:type="dxa"/>
            <w:tcBorders>
              <w:top w:val="nil"/>
              <w:left w:val="nil"/>
              <w:bottom w:val="single" w:color="auto" w:sz="4" w:space="0"/>
              <w:right w:val="single" w:color="auto" w:sz="4" w:space="0"/>
            </w:tcBorders>
            <w:vAlign w:val="center"/>
          </w:tcPr>
          <w:p w14:paraId="22923AD9">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人</w:t>
            </w:r>
          </w:p>
        </w:tc>
        <w:tc>
          <w:tcPr>
            <w:tcW w:w="1842" w:type="dxa"/>
            <w:tcBorders>
              <w:top w:val="nil"/>
              <w:left w:val="nil"/>
              <w:bottom w:val="single" w:color="auto" w:sz="4" w:space="0"/>
              <w:right w:val="single" w:color="auto" w:sz="4" w:space="0"/>
            </w:tcBorders>
            <w:vAlign w:val="center"/>
          </w:tcPr>
          <w:p w14:paraId="10D1AFD7">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100≤X＜300</w:t>
            </w:r>
          </w:p>
        </w:tc>
        <w:tc>
          <w:tcPr>
            <w:tcW w:w="1701" w:type="dxa"/>
            <w:tcBorders>
              <w:top w:val="nil"/>
              <w:left w:val="nil"/>
              <w:bottom w:val="single" w:color="auto" w:sz="4" w:space="0"/>
              <w:right w:val="single" w:color="auto" w:sz="4" w:space="0"/>
            </w:tcBorders>
            <w:vAlign w:val="center"/>
          </w:tcPr>
          <w:p w14:paraId="17E9C6A1">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10≤X＜100</w:t>
            </w:r>
          </w:p>
        </w:tc>
        <w:tc>
          <w:tcPr>
            <w:tcW w:w="987" w:type="dxa"/>
            <w:tcBorders>
              <w:top w:val="nil"/>
              <w:left w:val="nil"/>
              <w:bottom w:val="single" w:color="auto" w:sz="4" w:space="0"/>
              <w:right w:val="single" w:color="auto" w:sz="4" w:space="0"/>
            </w:tcBorders>
            <w:vAlign w:val="center"/>
          </w:tcPr>
          <w:p w14:paraId="1FC4983E">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X＜10</w:t>
            </w:r>
          </w:p>
        </w:tc>
      </w:tr>
      <w:tr w14:paraId="5C1CD6ED">
        <w:tblPrEx>
          <w:tblCellMar>
            <w:top w:w="0" w:type="dxa"/>
            <w:left w:w="108" w:type="dxa"/>
            <w:bottom w:w="0" w:type="dxa"/>
            <w:right w:w="108" w:type="dxa"/>
          </w:tblCellMar>
        </w:tblPrEx>
        <w:trPr>
          <w:trHeight w:val="225" w:hRule="atLeast"/>
        </w:trPr>
        <w:tc>
          <w:tcPr>
            <w:tcW w:w="1895" w:type="dxa"/>
            <w:vMerge w:val="continue"/>
            <w:tcBorders>
              <w:top w:val="nil"/>
              <w:left w:val="single" w:color="auto" w:sz="4" w:space="0"/>
              <w:bottom w:val="single" w:color="auto" w:sz="4" w:space="0"/>
              <w:right w:val="single" w:color="auto" w:sz="4" w:space="0"/>
            </w:tcBorders>
            <w:vAlign w:val="center"/>
          </w:tcPr>
          <w:p w14:paraId="4A8A47FB">
            <w:pPr>
              <w:widowControl/>
              <w:jc w:val="left"/>
              <w:rPr>
                <w:rFonts w:ascii="宋体" w:hAnsi="宋体" w:cs="宋体"/>
                <w:b/>
                <w:bCs/>
                <w:color w:val="auto"/>
                <w:kern w:val="0"/>
                <w:sz w:val="22"/>
                <w:szCs w:val="22"/>
                <w:highlight w:val="none"/>
              </w:rPr>
            </w:pPr>
          </w:p>
        </w:tc>
        <w:tc>
          <w:tcPr>
            <w:tcW w:w="2074" w:type="dxa"/>
            <w:tcBorders>
              <w:top w:val="nil"/>
              <w:left w:val="nil"/>
              <w:bottom w:val="single" w:color="auto" w:sz="4" w:space="0"/>
              <w:right w:val="single" w:color="auto" w:sz="4" w:space="0"/>
            </w:tcBorders>
            <w:vAlign w:val="center"/>
          </w:tcPr>
          <w:p w14:paraId="45142A55">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营业收入（Y）</w:t>
            </w:r>
          </w:p>
        </w:tc>
        <w:tc>
          <w:tcPr>
            <w:tcW w:w="851" w:type="dxa"/>
            <w:tcBorders>
              <w:top w:val="nil"/>
              <w:left w:val="nil"/>
              <w:bottom w:val="single" w:color="auto" w:sz="4" w:space="0"/>
              <w:right w:val="single" w:color="auto" w:sz="4" w:space="0"/>
            </w:tcBorders>
            <w:vAlign w:val="center"/>
          </w:tcPr>
          <w:p w14:paraId="0AF1B2A8">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万元</w:t>
            </w:r>
          </w:p>
        </w:tc>
        <w:tc>
          <w:tcPr>
            <w:tcW w:w="1842" w:type="dxa"/>
            <w:tcBorders>
              <w:top w:val="nil"/>
              <w:left w:val="nil"/>
              <w:bottom w:val="single" w:color="auto" w:sz="4" w:space="0"/>
              <w:right w:val="single" w:color="auto" w:sz="4" w:space="0"/>
            </w:tcBorders>
            <w:vAlign w:val="center"/>
          </w:tcPr>
          <w:p w14:paraId="0E2D190D">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2000≤Y＜10000</w:t>
            </w:r>
          </w:p>
        </w:tc>
        <w:tc>
          <w:tcPr>
            <w:tcW w:w="1701" w:type="dxa"/>
            <w:tcBorders>
              <w:top w:val="nil"/>
              <w:left w:val="nil"/>
              <w:bottom w:val="single" w:color="auto" w:sz="4" w:space="0"/>
              <w:right w:val="single" w:color="auto" w:sz="4" w:space="0"/>
            </w:tcBorders>
            <w:vAlign w:val="center"/>
          </w:tcPr>
          <w:p w14:paraId="78BC8A98">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100≤Y＜2000</w:t>
            </w:r>
          </w:p>
        </w:tc>
        <w:tc>
          <w:tcPr>
            <w:tcW w:w="987" w:type="dxa"/>
            <w:tcBorders>
              <w:top w:val="nil"/>
              <w:left w:val="nil"/>
              <w:bottom w:val="single" w:color="auto" w:sz="4" w:space="0"/>
              <w:right w:val="single" w:color="auto" w:sz="4" w:space="0"/>
            </w:tcBorders>
            <w:vAlign w:val="center"/>
          </w:tcPr>
          <w:p w14:paraId="3B279281">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Y＜100</w:t>
            </w:r>
          </w:p>
        </w:tc>
      </w:tr>
      <w:tr w14:paraId="6198EA4C">
        <w:tblPrEx>
          <w:tblCellMar>
            <w:top w:w="0" w:type="dxa"/>
            <w:left w:w="108" w:type="dxa"/>
            <w:bottom w:w="0" w:type="dxa"/>
            <w:right w:w="108" w:type="dxa"/>
          </w:tblCellMar>
        </w:tblPrEx>
        <w:trPr>
          <w:trHeight w:val="225" w:hRule="atLeast"/>
        </w:trPr>
        <w:tc>
          <w:tcPr>
            <w:tcW w:w="1895" w:type="dxa"/>
            <w:vMerge w:val="restart"/>
            <w:tcBorders>
              <w:top w:val="nil"/>
              <w:left w:val="single" w:color="auto" w:sz="4" w:space="0"/>
              <w:bottom w:val="single" w:color="auto" w:sz="4" w:space="0"/>
              <w:right w:val="single" w:color="auto" w:sz="4" w:space="0"/>
            </w:tcBorders>
            <w:vAlign w:val="bottom"/>
          </w:tcPr>
          <w:p w14:paraId="3BE2D444">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餐饮业</w:t>
            </w:r>
          </w:p>
        </w:tc>
        <w:tc>
          <w:tcPr>
            <w:tcW w:w="2074" w:type="dxa"/>
            <w:tcBorders>
              <w:top w:val="nil"/>
              <w:left w:val="nil"/>
              <w:bottom w:val="single" w:color="auto" w:sz="4" w:space="0"/>
              <w:right w:val="single" w:color="auto" w:sz="4" w:space="0"/>
            </w:tcBorders>
            <w:vAlign w:val="center"/>
          </w:tcPr>
          <w:p w14:paraId="671A039A">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从业人员（X）</w:t>
            </w:r>
          </w:p>
        </w:tc>
        <w:tc>
          <w:tcPr>
            <w:tcW w:w="851" w:type="dxa"/>
            <w:tcBorders>
              <w:top w:val="nil"/>
              <w:left w:val="nil"/>
              <w:bottom w:val="single" w:color="auto" w:sz="4" w:space="0"/>
              <w:right w:val="single" w:color="auto" w:sz="4" w:space="0"/>
            </w:tcBorders>
            <w:vAlign w:val="center"/>
          </w:tcPr>
          <w:p w14:paraId="4AAB540F">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人</w:t>
            </w:r>
          </w:p>
        </w:tc>
        <w:tc>
          <w:tcPr>
            <w:tcW w:w="1842" w:type="dxa"/>
            <w:tcBorders>
              <w:top w:val="nil"/>
              <w:left w:val="nil"/>
              <w:bottom w:val="single" w:color="auto" w:sz="4" w:space="0"/>
              <w:right w:val="single" w:color="auto" w:sz="4" w:space="0"/>
            </w:tcBorders>
            <w:vAlign w:val="center"/>
          </w:tcPr>
          <w:p w14:paraId="768FCBEE">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100≤X＜300</w:t>
            </w:r>
          </w:p>
        </w:tc>
        <w:tc>
          <w:tcPr>
            <w:tcW w:w="1701" w:type="dxa"/>
            <w:tcBorders>
              <w:top w:val="nil"/>
              <w:left w:val="nil"/>
              <w:bottom w:val="single" w:color="auto" w:sz="4" w:space="0"/>
              <w:right w:val="single" w:color="auto" w:sz="4" w:space="0"/>
            </w:tcBorders>
            <w:vAlign w:val="center"/>
          </w:tcPr>
          <w:p w14:paraId="2F7B1ABB">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10≤X＜100</w:t>
            </w:r>
          </w:p>
        </w:tc>
        <w:tc>
          <w:tcPr>
            <w:tcW w:w="987" w:type="dxa"/>
            <w:tcBorders>
              <w:top w:val="nil"/>
              <w:left w:val="nil"/>
              <w:bottom w:val="single" w:color="auto" w:sz="4" w:space="0"/>
              <w:right w:val="single" w:color="auto" w:sz="4" w:space="0"/>
            </w:tcBorders>
            <w:vAlign w:val="center"/>
          </w:tcPr>
          <w:p w14:paraId="77D62E96">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X＜10</w:t>
            </w:r>
          </w:p>
        </w:tc>
      </w:tr>
      <w:tr w14:paraId="47021B77">
        <w:tblPrEx>
          <w:tblCellMar>
            <w:top w:w="0" w:type="dxa"/>
            <w:left w:w="108" w:type="dxa"/>
            <w:bottom w:w="0" w:type="dxa"/>
            <w:right w:w="108" w:type="dxa"/>
          </w:tblCellMar>
        </w:tblPrEx>
        <w:trPr>
          <w:trHeight w:val="225" w:hRule="atLeast"/>
        </w:trPr>
        <w:tc>
          <w:tcPr>
            <w:tcW w:w="1895" w:type="dxa"/>
            <w:vMerge w:val="continue"/>
            <w:tcBorders>
              <w:top w:val="nil"/>
              <w:left w:val="single" w:color="auto" w:sz="4" w:space="0"/>
              <w:bottom w:val="single" w:color="auto" w:sz="4" w:space="0"/>
              <w:right w:val="single" w:color="auto" w:sz="4" w:space="0"/>
            </w:tcBorders>
            <w:vAlign w:val="center"/>
          </w:tcPr>
          <w:p w14:paraId="41FED5D6">
            <w:pPr>
              <w:widowControl/>
              <w:jc w:val="left"/>
              <w:rPr>
                <w:rFonts w:ascii="宋体" w:hAnsi="宋体" w:cs="宋体"/>
                <w:b/>
                <w:bCs/>
                <w:color w:val="auto"/>
                <w:kern w:val="0"/>
                <w:sz w:val="22"/>
                <w:szCs w:val="22"/>
                <w:highlight w:val="none"/>
              </w:rPr>
            </w:pPr>
          </w:p>
        </w:tc>
        <w:tc>
          <w:tcPr>
            <w:tcW w:w="2074" w:type="dxa"/>
            <w:tcBorders>
              <w:top w:val="nil"/>
              <w:left w:val="nil"/>
              <w:bottom w:val="single" w:color="auto" w:sz="4" w:space="0"/>
              <w:right w:val="single" w:color="auto" w:sz="4" w:space="0"/>
            </w:tcBorders>
            <w:vAlign w:val="center"/>
          </w:tcPr>
          <w:p w14:paraId="3552487C">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营业收入（Y）</w:t>
            </w:r>
          </w:p>
        </w:tc>
        <w:tc>
          <w:tcPr>
            <w:tcW w:w="851" w:type="dxa"/>
            <w:tcBorders>
              <w:top w:val="nil"/>
              <w:left w:val="nil"/>
              <w:bottom w:val="single" w:color="auto" w:sz="4" w:space="0"/>
              <w:right w:val="single" w:color="auto" w:sz="4" w:space="0"/>
            </w:tcBorders>
            <w:vAlign w:val="center"/>
          </w:tcPr>
          <w:p w14:paraId="0B51425B">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万元</w:t>
            </w:r>
          </w:p>
        </w:tc>
        <w:tc>
          <w:tcPr>
            <w:tcW w:w="1842" w:type="dxa"/>
            <w:tcBorders>
              <w:top w:val="nil"/>
              <w:left w:val="nil"/>
              <w:bottom w:val="single" w:color="auto" w:sz="4" w:space="0"/>
              <w:right w:val="single" w:color="auto" w:sz="4" w:space="0"/>
            </w:tcBorders>
            <w:vAlign w:val="center"/>
          </w:tcPr>
          <w:p w14:paraId="0803B863">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2000≤Y＜10000</w:t>
            </w:r>
          </w:p>
        </w:tc>
        <w:tc>
          <w:tcPr>
            <w:tcW w:w="1701" w:type="dxa"/>
            <w:tcBorders>
              <w:top w:val="nil"/>
              <w:left w:val="nil"/>
              <w:bottom w:val="single" w:color="auto" w:sz="4" w:space="0"/>
              <w:right w:val="single" w:color="auto" w:sz="4" w:space="0"/>
            </w:tcBorders>
            <w:vAlign w:val="center"/>
          </w:tcPr>
          <w:p w14:paraId="3FC7F1E2">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100≤Y＜2000</w:t>
            </w:r>
          </w:p>
        </w:tc>
        <w:tc>
          <w:tcPr>
            <w:tcW w:w="987" w:type="dxa"/>
            <w:tcBorders>
              <w:top w:val="nil"/>
              <w:left w:val="nil"/>
              <w:bottom w:val="single" w:color="auto" w:sz="4" w:space="0"/>
              <w:right w:val="single" w:color="auto" w:sz="4" w:space="0"/>
            </w:tcBorders>
            <w:vAlign w:val="center"/>
          </w:tcPr>
          <w:p w14:paraId="722BDE08">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Y＜100</w:t>
            </w:r>
          </w:p>
        </w:tc>
      </w:tr>
      <w:tr w14:paraId="6214EA54">
        <w:tblPrEx>
          <w:tblCellMar>
            <w:top w:w="0" w:type="dxa"/>
            <w:left w:w="108" w:type="dxa"/>
            <w:bottom w:w="0" w:type="dxa"/>
            <w:right w:w="108" w:type="dxa"/>
          </w:tblCellMar>
        </w:tblPrEx>
        <w:trPr>
          <w:trHeight w:val="225" w:hRule="atLeast"/>
        </w:trPr>
        <w:tc>
          <w:tcPr>
            <w:tcW w:w="1895" w:type="dxa"/>
            <w:vMerge w:val="restart"/>
            <w:tcBorders>
              <w:top w:val="nil"/>
              <w:left w:val="single" w:color="auto" w:sz="4" w:space="0"/>
              <w:bottom w:val="single" w:color="auto" w:sz="4" w:space="0"/>
              <w:right w:val="single" w:color="auto" w:sz="4" w:space="0"/>
            </w:tcBorders>
            <w:vAlign w:val="bottom"/>
          </w:tcPr>
          <w:p w14:paraId="3BFBECF2">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信息传输业</w:t>
            </w:r>
          </w:p>
        </w:tc>
        <w:tc>
          <w:tcPr>
            <w:tcW w:w="2074" w:type="dxa"/>
            <w:tcBorders>
              <w:top w:val="nil"/>
              <w:left w:val="nil"/>
              <w:bottom w:val="single" w:color="auto" w:sz="4" w:space="0"/>
              <w:right w:val="single" w:color="auto" w:sz="4" w:space="0"/>
            </w:tcBorders>
            <w:vAlign w:val="center"/>
          </w:tcPr>
          <w:p w14:paraId="1392B3C3">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从业人员（X）</w:t>
            </w:r>
          </w:p>
        </w:tc>
        <w:tc>
          <w:tcPr>
            <w:tcW w:w="851" w:type="dxa"/>
            <w:tcBorders>
              <w:top w:val="nil"/>
              <w:left w:val="nil"/>
              <w:bottom w:val="single" w:color="auto" w:sz="4" w:space="0"/>
              <w:right w:val="single" w:color="auto" w:sz="4" w:space="0"/>
            </w:tcBorders>
            <w:vAlign w:val="center"/>
          </w:tcPr>
          <w:p w14:paraId="6EE49BFA">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人</w:t>
            </w:r>
          </w:p>
        </w:tc>
        <w:tc>
          <w:tcPr>
            <w:tcW w:w="1842" w:type="dxa"/>
            <w:tcBorders>
              <w:top w:val="nil"/>
              <w:left w:val="nil"/>
              <w:bottom w:val="single" w:color="auto" w:sz="4" w:space="0"/>
              <w:right w:val="single" w:color="auto" w:sz="4" w:space="0"/>
            </w:tcBorders>
            <w:vAlign w:val="center"/>
          </w:tcPr>
          <w:p w14:paraId="3809B4FE">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100≤X＜2000</w:t>
            </w:r>
          </w:p>
        </w:tc>
        <w:tc>
          <w:tcPr>
            <w:tcW w:w="1701" w:type="dxa"/>
            <w:tcBorders>
              <w:top w:val="nil"/>
              <w:left w:val="nil"/>
              <w:bottom w:val="single" w:color="auto" w:sz="4" w:space="0"/>
              <w:right w:val="single" w:color="auto" w:sz="4" w:space="0"/>
            </w:tcBorders>
            <w:vAlign w:val="center"/>
          </w:tcPr>
          <w:p w14:paraId="24DAA0A1">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10≤X＜100</w:t>
            </w:r>
          </w:p>
        </w:tc>
        <w:tc>
          <w:tcPr>
            <w:tcW w:w="987" w:type="dxa"/>
            <w:tcBorders>
              <w:top w:val="nil"/>
              <w:left w:val="nil"/>
              <w:bottom w:val="single" w:color="auto" w:sz="4" w:space="0"/>
              <w:right w:val="single" w:color="auto" w:sz="4" w:space="0"/>
            </w:tcBorders>
            <w:vAlign w:val="center"/>
          </w:tcPr>
          <w:p w14:paraId="2C1E7CBD">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X＜10</w:t>
            </w:r>
          </w:p>
        </w:tc>
      </w:tr>
      <w:tr w14:paraId="6EB38E13">
        <w:tblPrEx>
          <w:tblCellMar>
            <w:top w:w="0" w:type="dxa"/>
            <w:left w:w="108" w:type="dxa"/>
            <w:bottom w:w="0" w:type="dxa"/>
            <w:right w:w="108" w:type="dxa"/>
          </w:tblCellMar>
        </w:tblPrEx>
        <w:trPr>
          <w:trHeight w:val="225" w:hRule="atLeast"/>
        </w:trPr>
        <w:tc>
          <w:tcPr>
            <w:tcW w:w="1895" w:type="dxa"/>
            <w:vMerge w:val="continue"/>
            <w:tcBorders>
              <w:top w:val="nil"/>
              <w:left w:val="single" w:color="auto" w:sz="4" w:space="0"/>
              <w:bottom w:val="single" w:color="auto" w:sz="4" w:space="0"/>
              <w:right w:val="single" w:color="auto" w:sz="4" w:space="0"/>
            </w:tcBorders>
            <w:vAlign w:val="center"/>
          </w:tcPr>
          <w:p w14:paraId="39B8737F">
            <w:pPr>
              <w:widowControl/>
              <w:jc w:val="left"/>
              <w:rPr>
                <w:rFonts w:ascii="宋体" w:hAnsi="宋体" w:cs="宋体"/>
                <w:b/>
                <w:bCs/>
                <w:color w:val="auto"/>
                <w:kern w:val="0"/>
                <w:sz w:val="22"/>
                <w:szCs w:val="22"/>
                <w:highlight w:val="none"/>
              </w:rPr>
            </w:pPr>
          </w:p>
        </w:tc>
        <w:tc>
          <w:tcPr>
            <w:tcW w:w="2074" w:type="dxa"/>
            <w:tcBorders>
              <w:top w:val="nil"/>
              <w:left w:val="nil"/>
              <w:bottom w:val="single" w:color="auto" w:sz="4" w:space="0"/>
              <w:right w:val="single" w:color="auto" w:sz="4" w:space="0"/>
            </w:tcBorders>
            <w:vAlign w:val="center"/>
          </w:tcPr>
          <w:p w14:paraId="5401B5CD">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营业收入（Y）</w:t>
            </w:r>
          </w:p>
        </w:tc>
        <w:tc>
          <w:tcPr>
            <w:tcW w:w="851" w:type="dxa"/>
            <w:tcBorders>
              <w:top w:val="nil"/>
              <w:left w:val="nil"/>
              <w:bottom w:val="single" w:color="auto" w:sz="4" w:space="0"/>
              <w:right w:val="single" w:color="auto" w:sz="4" w:space="0"/>
            </w:tcBorders>
            <w:vAlign w:val="center"/>
          </w:tcPr>
          <w:p w14:paraId="55AA301D">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万元</w:t>
            </w:r>
          </w:p>
        </w:tc>
        <w:tc>
          <w:tcPr>
            <w:tcW w:w="1842" w:type="dxa"/>
            <w:tcBorders>
              <w:top w:val="nil"/>
              <w:left w:val="nil"/>
              <w:bottom w:val="single" w:color="auto" w:sz="4" w:space="0"/>
              <w:right w:val="single" w:color="auto" w:sz="4" w:space="0"/>
            </w:tcBorders>
            <w:vAlign w:val="center"/>
          </w:tcPr>
          <w:p w14:paraId="31BD0E9A">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1000≤Y＜100000</w:t>
            </w:r>
          </w:p>
        </w:tc>
        <w:tc>
          <w:tcPr>
            <w:tcW w:w="1701" w:type="dxa"/>
            <w:tcBorders>
              <w:top w:val="nil"/>
              <w:left w:val="nil"/>
              <w:bottom w:val="single" w:color="auto" w:sz="4" w:space="0"/>
              <w:right w:val="single" w:color="auto" w:sz="4" w:space="0"/>
            </w:tcBorders>
            <w:vAlign w:val="center"/>
          </w:tcPr>
          <w:p w14:paraId="2E87CB21">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100≤Y＜1000</w:t>
            </w:r>
          </w:p>
        </w:tc>
        <w:tc>
          <w:tcPr>
            <w:tcW w:w="987" w:type="dxa"/>
            <w:tcBorders>
              <w:top w:val="nil"/>
              <w:left w:val="nil"/>
              <w:bottom w:val="single" w:color="auto" w:sz="4" w:space="0"/>
              <w:right w:val="single" w:color="auto" w:sz="4" w:space="0"/>
            </w:tcBorders>
            <w:vAlign w:val="center"/>
          </w:tcPr>
          <w:p w14:paraId="33AF3222">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Y＜100</w:t>
            </w:r>
          </w:p>
        </w:tc>
      </w:tr>
      <w:tr w14:paraId="39415444">
        <w:tblPrEx>
          <w:tblCellMar>
            <w:top w:w="0" w:type="dxa"/>
            <w:left w:w="108" w:type="dxa"/>
            <w:bottom w:w="0" w:type="dxa"/>
            <w:right w:w="108" w:type="dxa"/>
          </w:tblCellMar>
        </w:tblPrEx>
        <w:trPr>
          <w:trHeight w:val="225" w:hRule="atLeast"/>
        </w:trPr>
        <w:tc>
          <w:tcPr>
            <w:tcW w:w="1895" w:type="dxa"/>
            <w:vMerge w:val="restart"/>
            <w:tcBorders>
              <w:top w:val="nil"/>
              <w:left w:val="single" w:color="auto" w:sz="4" w:space="0"/>
              <w:bottom w:val="single" w:color="auto" w:sz="4" w:space="0"/>
              <w:right w:val="single" w:color="auto" w:sz="4" w:space="0"/>
            </w:tcBorders>
            <w:vAlign w:val="bottom"/>
          </w:tcPr>
          <w:p w14:paraId="7638BB7B">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软件和信息技术服务业</w:t>
            </w:r>
          </w:p>
        </w:tc>
        <w:tc>
          <w:tcPr>
            <w:tcW w:w="2074" w:type="dxa"/>
            <w:tcBorders>
              <w:top w:val="nil"/>
              <w:left w:val="nil"/>
              <w:bottom w:val="single" w:color="auto" w:sz="4" w:space="0"/>
              <w:right w:val="single" w:color="auto" w:sz="4" w:space="0"/>
            </w:tcBorders>
            <w:vAlign w:val="center"/>
          </w:tcPr>
          <w:p w14:paraId="673C50C5">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从业人员（X）</w:t>
            </w:r>
          </w:p>
        </w:tc>
        <w:tc>
          <w:tcPr>
            <w:tcW w:w="851" w:type="dxa"/>
            <w:tcBorders>
              <w:top w:val="nil"/>
              <w:left w:val="nil"/>
              <w:bottom w:val="single" w:color="auto" w:sz="4" w:space="0"/>
              <w:right w:val="single" w:color="auto" w:sz="4" w:space="0"/>
            </w:tcBorders>
            <w:vAlign w:val="center"/>
          </w:tcPr>
          <w:p w14:paraId="0FD18CED">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人</w:t>
            </w:r>
          </w:p>
        </w:tc>
        <w:tc>
          <w:tcPr>
            <w:tcW w:w="1842" w:type="dxa"/>
            <w:tcBorders>
              <w:top w:val="nil"/>
              <w:left w:val="nil"/>
              <w:bottom w:val="single" w:color="auto" w:sz="4" w:space="0"/>
              <w:right w:val="single" w:color="auto" w:sz="4" w:space="0"/>
            </w:tcBorders>
            <w:vAlign w:val="center"/>
          </w:tcPr>
          <w:p w14:paraId="26B3670E">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100≤X＜300</w:t>
            </w:r>
          </w:p>
        </w:tc>
        <w:tc>
          <w:tcPr>
            <w:tcW w:w="1701" w:type="dxa"/>
            <w:tcBorders>
              <w:top w:val="nil"/>
              <w:left w:val="nil"/>
              <w:bottom w:val="single" w:color="auto" w:sz="4" w:space="0"/>
              <w:right w:val="single" w:color="auto" w:sz="4" w:space="0"/>
            </w:tcBorders>
            <w:vAlign w:val="center"/>
          </w:tcPr>
          <w:p w14:paraId="58CEAB46">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10≤X＜100</w:t>
            </w:r>
          </w:p>
        </w:tc>
        <w:tc>
          <w:tcPr>
            <w:tcW w:w="987" w:type="dxa"/>
            <w:tcBorders>
              <w:top w:val="nil"/>
              <w:left w:val="nil"/>
              <w:bottom w:val="single" w:color="auto" w:sz="4" w:space="0"/>
              <w:right w:val="single" w:color="auto" w:sz="4" w:space="0"/>
            </w:tcBorders>
            <w:vAlign w:val="center"/>
          </w:tcPr>
          <w:p w14:paraId="6BF91B2E">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X＜10</w:t>
            </w:r>
          </w:p>
        </w:tc>
      </w:tr>
      <w:tr w14:paraId="13D72B41">
        <w:tblPrEx>
          <w:tblCellMar>
            <w:top w:w="0" w:type="dxa"/>
            <w:left w:w="108" w:type="dxa"/>
            <w:bottom w:w="0" w:type="dxa"/>
            <w:right w:w="108" w:type="dxa"/>
          </w:tblCellMar>
        </w:tblPrEx>
        <w:trPr>
          <w:trHeight w:val="225" w:hRule="atLeast"/>
        </w:trPr>
        <w:tc>
          <w:tcPr>
            <w:tcW w:w="1895" w:type="dxa"/>
            <w:vMerge w:val="continue"/>
            <w:tcBorders>
              <w:top w:val="nil"/>
              <w:left w:val="single" w:color="auto" w:sz="4" w:space="0"/>
              <w:bottom w:val="single" w:color="auto" w:sz="4" w:space="0"/>
              <w:right w:val="single" w:color="auto" w:sz="4" w:space="0"/>
            </w:tcBorders>
            <w:vAlign w:val="center"/>
          </w:tcPr>
          <w:p w14:paraId="6691D8B8">
            <w:pPr>
              <w:widowControl/>
              <w:jc w:val="left"/>
              <w:rPr>
                <w:rFonts w:ascii="宋体" w:hAnsi="宋体" w:cs="宋体"/>
                <w:b/>
                <w:bCs/>
                <w:color w:val="auto"/>
                <w:kern w:val="0"/>
                <w:sz w:val="22"/>
                <w:szCs w:val="22"/>
                <w:highlight w:val="none"/>
              </w:rPr>
            </w:pPr>
          </w:p>
        </w:tc>
        <w:tc>
          <w:tcPr>
            <w:tcW w:w="2074" w:type="dxa"/>
            <w:tcBorders>
              <w:top w:val="nil"/>
              <w:left w:val="nil"/>
              <w:bottom w:val="single" w:color="auto" w:sz="4" w:space="0"/>
              <w:right w:val="single" w:color="auto" w:sz="4" w:space="0"/>
            </w:tcBorders>
            <w:vAlign w:val="center"/>
          </w:tcPr>
          <w:p w14:paraId="242CABE0">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营业收入（Y）</w:t>
            </w:r>
          </w:p>
        </w:tc>
        <w:tc>
          <w:tcPr>
            <w:tcW w:w="851" w:type="dxa"/>
            <w:tcBorders>
              <w:top w:val="nil"/>
              <w:left w:val="nil"/>
              <w:bottom w:val="single" w:color="auto" w:sz="4" w:space="0"/>
              <w:right w:val="single" w:color="auto" w:sz="4" w:space="0"/>
            </w:tcBorders>
            <w:vAlign w:val="center"/>
          </w:tcPr>
          <w:p w14:paraId="6872B7A6">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万元</w:t>
            </w:r>
          </w:p>
        </w:tc>
        <w:tc>
          <w:tcPr>
            <w:tcW w:w="1842" w:type="dxa"/>
            <w:tcBorders>
              <w:top w:val="nil"/>
              <w:left w:val="nil"/>
              <w:bottom w:val="single" w:color="auto" w:sz="4" w:space="0"/>
              <w:right w:val="single" w:color="auto" w:sz="4" w:space="0"/>
            </w:tcBorders>
            <w:vAlign w:val="center"/>
          </w:tcPr>
          <w:p w14:paraId="61E8B3D9">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1000≤Y＜10000</w:t>
            </w:r>
          </w:p>
        </w:tc>
        <w:tc>
          <w:tcPr>
            <w:tcW w:w="1701" w:type="dxa"/>
            <w:tcBorders>
              <w:top w:val="nil"/>
              <w:left w:val="nil"/>
              <w:bottom w:val="single" w:color="auto" w:sz="4" w:space="0"/>
              <w:right w:val="single" w:color="auto" w:sz="4" w:space="0"/>
            </w:tcBorders>
            <w:vAlign w:val="center"/>
          </w:tcPr>
          <w:p w14:paraId="79BD127E">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50≤Y＜1000</w:t>
            </w:r>
          </w:p>
        </w:tc>
        <w:tc>
          <w:tcPr>
            <w:tcW w:w="987" w:type="dxa"/>
            <w:tcBorders>
              <w:top w:val="nil"/>
              <w:left w:val="nil"/>
              <w:bottom w:val="single" w:color="auto" w:sz="4" w:space="0"/>
              <w:right w:val="single" w:color="auto" w:sz="4" w:space="0"/>
            </w:tcBorders>
            <w:vAlign w:val="center"/>
          </w:tcPr>
          <w:p w14:paraId="272A4AF3">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Y＜50</w:t>
            </w:r>
          </w:p>
        </w:tc>
      </w:tr>
      <w:tr w14:paraId="4582BBBA">
        <w:tblPrEx>
          <w:tblCellMar>
            <w:top w:w="0" w:type="dxa"/>
            <w:left w:w="108" w:type="dxa"/>
            <w:bottom w:w="0" w:type="dxa"/>
            <w:right w:w="108" w:type="dxa"/>
          </w:tblCellMar>
        </w:tblPrEx>
        <w:trPr>
          <w:trHeight w:val="225" w:hRule="atLeast"/>
        </w:trPr>
        <w:tc>
          <w:tcPr>
            <w:tcW w:w="1895" w:type="dxa"/>
            <w:vMerge w:val="restart"/>
            <w:tcBorders>
              <w:top w:val="nil"/>
              <w:left w:val="single" w:color="auto" w:sz="4" w:space="0"/>
              <w:bottom w:val="single" w:color="auto" w:sz="4" w:space="0"/>
              <w:right w:val="single" w:color="auto" w:sz="4" w:space="0"/>
            </w:tcBorders>
            <w:vAlign w:val="bottom"/>
          </w:tcPr>
          <w:p w14:paraId="08D1624A">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房地产开发经营</w:t>
            </w:r>
          </w:p>
        </w:tc>
        <w:tc>
          <w:tcPr>
            <w:tcW w:w="2074" w:type="dxa"/>
            <w:tcBorders>
              <w:top w:val="nil"/>
              <w:left w:val="nil"/>
              <w:bottom w:val="single" w:color="auto" w:sz="4" w:space="0"/>
              <w:right w:val="single" w:color="auto" w:sz="4" w:space="0"/>
            </w:tcBorders>
            <w:vAlign w:val="center"/>
          </w:tcPr>
          <w:p w14:paraId="6B2A4AEB">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营业收入（Y）</w:t>
            </w:r>
          </w:p>
        </w:tc>
        <w:tc>
          <w:tcPr>
            <w:tcW w:w="851" w:type="dxa"/>
            <w:tcBorders>
              <w:top w:val="nil"/>
              <w:left w:val="nil"/>
              <w:bottom w:val="single" w:color="auto" w:sz="4" w:space="0"/>
              <w:right w:val="single" w:color="auto" w:sz="4" w:space="0"/>
            </w:tcBorders>
            <w:vAlign w:val="center"/>
          </w:tcPr>
          <w:p w14:paraId="726360D6">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万元</w:t>
            </w:r>
          </w:p>
        </w:tc>
        <w:tc>
          <w:tcPr>
            <w:tcW w:w="1842" w:type="dxa"/>
            <w:tcBorders>
              <w:top w:val="nil"/>
              <w:left w:val="nil"/>
              <w:bottom w:val="single" w:color="auto" w:sz="4" w:space="0"/>
              <w:right w:val="single" w:color="auto" w:sz="4" w:space="0"/>
            </w:tcBorders>
            <w:vAlign w:val="center"/>
          </w:tcPr>
          <w:p w14:paraId="1FD739A9">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1000≤Y＜200000</w:t>
            </w:r>
          </w:p>
        </w:tc>
        <w:tc>
          <w:tcPr>
            <w:tcW w:w="1701" w:type="dxa"/>
            <w:tcBorders>
              <w:top w:val="nil"/>
              <w:left w:val="nil"/>
              <w:bottom w:val="single" w:color="auto" w:sz="4" w:space="0"/>
              <w:right w:val="single" w:color="auto" w:sz="4" w:space="0"/>
            </w:tcBorders>
            <w:vAlign w:val="center"/>
          </w:tcPr>
          <w:p w14:paraId="2EA6BD4C">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100≤X＜1000</w:t>
            </w:r>
          </w:p>
        </w:tc>
        <w:tc>
          <w:tcPr>
            <w:tcW w:w="987" w:type="dxa"/>
            <w:tcBorders>
              <w:top w:val="nil"/>
              <w:left w:val="nil"/>
              <w:bottom w:val="single" w:color="auto" w:sz="4" w:space="0"/>
              <w:right w:val="single" w:color="auto" w:sz="4" w:space="0"/>
            </w:tcBorders>
            <w:vAlign w:val="center"/>
          </w:tcPr>
          <w:p w14:paraId="1A73FA01">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X＜100</w:t>
            </w:r>
          </w:p>
        </w:tc>
      </w:tr>
      <w:tr w14:paraId="69191DD4">
        <w:tblPrEx>
          <w:tblCellMar>
            <w:top w:w="0" w:type="dxa"/>
            <w:left w:w="108" w:type="dxa"/>
            <w:bottom w:w="0" w:type="dxa"/>
            <w:right w:w="108" w:type="dxa"/>
          </w:tblCellMar>
        </w:tblPrEx>
        <w:trPr>
          <w:trHeight w:val="225" w:hRule="atLeast"/>
        </w:trPr>
        <w:tc>
          <w:tcPr>
            <w:tcW w:w="1895" w:type="dxa"/>
            <w:vMerge w:val="continue"/>
            <w:tcBorders>
              <w:top w:val="nil"/>
              <w:left w:val="single" w:color="auto" w:sz="4" w:space="0"/>
              <w:bottom w:val="single" w:color="auto" w:sz="4" w:space="0"/>
              <w:right w:val="single" w:color="auto" w:sz="4" w:space="0"/>
            </w:tcBorders>
            <w:vAlign w:val="center"/>
          </w:tcPr>
          <w:p w14:paraId="4F9D0833">
            <w:pPr>
              <w:widowControl/>
              <w:jc w:val="left"/>
              <w:rPr>
                <w:rFonts w:ascii="宋体" w:hAnsi="宋体" w:cs="宋体"/>
                <w:b/>
                <w:bCs/>
                <w:color w:val="auto"/>
                <w:kern w:val="0"/>
                <w:sz w:val="22"/>
                <w:szCs w:val="22"/>
                <w:highlight w:val="none"/>
              </w:rPr>
            </w:pPr>
          </w:p>
        </w:tc>
        <w:tc>
          <w:tcPr>
            <w:tcW w:w="2074" w:type="dxa"/>
            <w:tcBorders>
              <w:top w:val="nil"/>
              <w:left w:val="nil"/>
              <w:bottom w:val="single" w:color="auto" w:sz="4" w:space="0"/>
              <w:right w:val="single" w:color="auto" w:sz="4" w:space="0"/>
            </w:tcBorders>
            <w:vAlign w:val="center"/>
          </w:tcPr>
          <w:p w14:paraId="56C1C42C">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资产总额（Z）</w:t>
            </w:r>
          </w:p>
        </w:tc>
        <w:tc>
          <w:tcPr>
            <w:tcW w:w="851" w:type="dxa"/>
            <w:tcBorders>
              <w:top w:val="nil"/>
              <w:left w:val="nil"/>
              <w:bottom w:val="single" w:color="auto" w:sz="4" w:space="0"/>
              <w:right w:val="single" w:color="auto" w:sz="4" w:space="0"/>
            </w:tcBorders>
            <w:vAlign w:val="center"/>
          </w:tcPr>
          <w:p w14:paraId="3DE8149D">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万元</w:t>
            </w:r>
          </w:p>
        </w:tc>
        <w:tc>
          <w:tcPr>
            <w:tcW w:w="1842" w:type="dxa"/>
            <w:tcBorders>
              <w:top w:val="nil"/>
              <w:left w:val="nil"/>
              <w:bottom w:val="single" w:color="auto" w:sz="4" w:space="0"/>
              <w:right w:val="single" w:color="auto" w:sz="4" w:space="0"/>
            </w:tcBorders>
            <w:vAlign w:val="center"/>
          </w:tcPr>
          <w:p w14:paraId="258A8A76">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5000≤Z＜10000</w:t>
            </w:r>
          </w:p>
        </w:tc>
        <w:tc>
          <w:tcPr>
            <w:tcW w:w="1701" w:type="dxa"/>
            <w:tcBorders>
              <w:top w:val="nil"/>
              <w:left w:val="nil"/>
              <w:bottom w:val="single" w:color="auto" w:sz="4" w:space="0"/>
              <w:right w:val="single" w:color="auto" w:sz="4" w:space="0"/>
            </w:tcBorders>
            <w:vAlign w:val="center"/>
          </w:tcPr>
          <w:p w14:paraId="348D7DFA">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2000≤Y＜5000</w:t>
            </w:r>
          </w:p>
        </w:tc>
        <w:tc>
          <w:tcPr>
            <w:tcW w:w="987" w:type="dxa"/>
            <w:tcBorders>
              <w:top w:val="nil"/>
              <w:left w:val="nil"/>
              <w:bottom w:val="single" w:color="auto" w:sz="4" w:space="0"/>
              <w:right w:val="single" w:color="auto" w:sz="4" w:space="0"/>
            </w:tcBorders>
            <w:vAlign w:val="center"/>
          </w:tcPr>
          <w:p w14:paraId="79DE86F9">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Y＜2000</w:t>
            </w:r>
          </w:p>
        </w:tc>
      </w:tr>
      <w:tr w14:paraId="3871C911">
        <w:tblPrEx>
          <w:tblCellMar>
            <w:top w:w="0" w:type="dxa"/>
            <w:left w:w="108" w:type="dxa"/>
            <w:bottom w:w="0" w:type="dxa"/>
            <w:right w:w="108" w:type="dxa"/>
          </w:tblCellMar>
        </w:tblPrEx>
        <w:trPr>
          <w:trHeight w:val="225" w:hRule="atLeast"/>
        </w:trPr>
        <w:tc>
          <w:tcPr>
            <w:tcW w:w="1895" w:type="dxa"/>
            <w:vMerge w:val="restart"/>
            <w:tcBorders>
              <w:top w:val="nil"/>
              <w:left w:val="single" w:color="auto" w:sz="4" w:space="0"/>
              <w:bottom w:val="single" w:color="auto" w:sz="4" w:space="0"/>
              <w:right w:val="single" w:color="auto" w:sz="4" w:space="0"/>
            </w:tcBorders>
            <w:vAlign w:val="bottom"/>
          </w:tcPr>
          <w:p w14:paraId="0BCDFC78">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物业管理</w:t>
            </w:r>
          </w:p>
        </w:tc>
        <w:tc>
          <w:tcPr>
            <w:tcW w:w="2074" w:type="dxa"/>
            <w:tcBorders>
              <w:top w:val="nil"/>
              <w:left w:val="nil"/>
              <w:bottom w:val="single" w:color="auto" w:sz="4" w:space="0"/>
              <w:right w:val="single" w:color="auto" w:sz="4" w:space="0"/>
            </w:tcBorders>
            <w:vAlign w:val="center"/>
          </w:tcPr>
          <w:p w14:paraId="1EA8D1EE">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从业人员（X）</w:t>
            </w:r>
          </w:p>
        </w:tc>
        <w:tc>
          <w:tcPr>
            <w:tcW w:w="851" w:type="dxa"/>
            <w:tcBorders>
              <w:top w:val="nil"/>
              <w:left w:val="nil"/>
              <w:bottom w:val="single" w:color="auto" w:sz="4" w:space="0"/>
              <w:right w:val="single" w:color="auto" w:sz="4" w:space="0"/>
            </w:tcBorders>
            <w:vAlign w:val="center"/>
          </w:tcPr>
          <w:p w14:paraId="37F0E7E8">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人</w:t>
            </w:r>
          </w:p>
        </w:tc>
        <w:tc>
          <w:tcPr>
            <w:tcW w:w="1842" w:type="dxa"/>
            <w:tcBorders>
              <w:top w:val="nil"/>
              <w:left w:val="nil"/>
              <w:bottom w:val="single" w:color="auto" w:sz="4" w:space="0"/>
              <w:right w:val="single" w:color="auto" w:sz="4" w:space="0"/>
            </w:tcBorders>
            <w:vAlign w:val="center"/>
          </w:tcPr>
          <w:p w14:paraId="16C2012C">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300≤X＜1000</w:t>
            </w:r>
          </w:p>
        </w:tc>
        <w:tc>
          <w:tcPr>
            <w:tcW w:w="1701" w:type="dxa"/>
            <w:tcBorders>
              <w:top w:val="nil"/>
              <w:left w:val="nil"/>
              <w:bottom w:val="single" w:color="auto" w:sz="4" w:space="0"/>
              <w:right w:val="single" w:color="auto" w:sz="4" w:space="0"/>
            </w:tcBorders>
            <w:vAlign w:val="center"/>
          </w:tcPr>
          <w:p w14:paraId="1B5A75CE">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100≤X＜300</w:t>
            </w:r>
          </w:p>
        </w:tc>
        <w:tc>
          <w:tcPr>
            <w:tcW w:w="987" w:type="dxa"/>
            <w:tcBorders>
              <w:top w:val="nil"/>
              <w:left w:val="nil"/>
              <w:bottom w:val="single" w:color="auto" w:sz="4" w:space="0"/>
              <w:right w:val="single" w:color="auto" w:sz="4" w:space="0"/>
            </w:tcBorders>
            <w:vAlign w:val="center"/>
          </w:tcPr>
          <w:p w14:paraId="27C88095">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X＜100</w:t>
            </w:r>
          </w:p>
        </w:tc>
      </w:tr>
      <w:tr w14:paraId="70423DB9">
        <w:tblPrEx>
          <w:tblCellMar>
            <w:top w:w="0" w:type="dxa"/>
            <w:left w:w="108" w:type="dxa"/>
            <w:bottom w:w="0" w:type="dxa"/>
            <w:right w:w="108" w:type="dxa"/>
          </w:tblCellMar>
        </w:tblPrEx>
        <w:trPr>
          <w:trHeight w:val="225" w:hRule="atLeast"/>
        </w:trPr>
        <w:tc>
          <w:tcPr>
            <w:tcW w:w="1895" w:type="dxa"/>
            <w:vMerge w:val="continue"/>
            <w:tcBorders>
              <w:top w:val="nil"/>
              <w:left w:val="single" w:color="auto" w:sz="4" w:space="0"/>
              <w:bottom w:val="single" w:color="auto" w:sz="4" w:space="0"/>
              <w:right w:val="single" w:color="auto" w:sz="4" w:space="0"/>
            </w:tcBorders>
            <w:vAlign w:val="center"/>
          </w:tcPr>
          <w:p w14:paraId="7FB242A9">
            <w:pPr>
              <w:widowControl/>
              <w:jc w:val="left"/>
              <w:rPr>
                <w:rFonts w:ascii="宋体" w:hAnsi="宋体" w:cs="宋体"/>
                <w:b/>
                <w:bCs/>
                <w:color w:val="auto"/>
                <w:kern w:val="0"/>
                <w:sz w:val="22"/>
                <w:szCs w:val="22"/>
                <w:highlight w:val="none"/>
              </w:rPr>
            </w:pPr>
          </w:p>
        </w:tc>
        <w:tc>
          <w:tcPr>
            <w:tcW w:w="2074" w:type="dxa"/>
            <w:tcBorders>
              <w:top w:val="nil"/>
              <w:left w:val="nil"/>
              <w:bottom w:val="single" w:color="auto" w:sz="4" w:space="0"/>
              <w:right w:val="single" w:color="auto" w:sz="4" w:space="0"/>
            </w:tcBorders>
            <w:vAlign w:val="center"/>
          </w:tcPr>
          <w:p w14:paraId="629C89B2">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营业收入（Y）</w:t>
            </w:r>
          </w:p>
        </w:tc>
        <w:tc>
          <w:tcPr>
            <w:tcW w:w="851" w:type="dxa"/>
            <w:tcBorders>
              <w:top w:val="nil"/>
              <w:left w:val="nil"/>
              <w:bottom w:val="single" w:color="auto" w:sz="4" w:space="0"/>
              <w:right w:val="single" w:color="auto" w:sz="4" w:space="0"/>
            </w:tcBorders>
            <w:vAlign w:val="center"/>
          </w:tcPr>
          <w:p w14:paraId="3BDB5064">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万元</w:t>
            </w:r>
          </w:p>
        </w:tc>
        <w:tc>
          <w:tcPr>
            <w:tcW w:w="1842" w:type="dxa"/>
            <w:tcBorders>
              <w:top w:val="nil"/>
              <w:left w:val="nil"/>
              <w:bottom w:val="single" w:color="auto" w:sz="4" w:space="0"/>
              <w:right w:val="single" w:color="auto" w:sz="4" w:space="0"/>
            </w:tcBorders>
            <w:vAlign w:val="center"/>
          </w:tcPr>
          <w:p w14:paraId="1D30508E">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1000≤Y＜5000</w:t>
            </w:r>
          </w:p>
        </w:tc>
        <w:tc>
          <w:tcPr>
            <w:tcW w:w="1701" w:type="dxa"/>
            <w:tcBorders>
              <w:top w:val="nil"/>
              <w:left w:val="nil"/>
              <w:bottom w:val="single" w:color="auto" w:sz="4" w:space="0"/>
              <w:right w:val="single" w:color="auto" w:sz="4" w:space="0"/>
            </w:tcBorders>
            <w:vAlign w:val="center"/>
          </w:tcPr>
          <w:p w14:paraId="4E9D2C9C">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500≤Y＜1000</w:t>
            </w:r>
          </w:p>
        </w:tc>
        <w:tc>
          <w:tcPr>
            <w:tcW w:w="987" w:type="dxa"/>
            <w:tcBorders>
              <w:top w:val="nil"/>
              <w:left w:val="nil"/>
              <w:bottom w:val="single" w:color="auto" w:sz="4" w:space="0"/>
              <w:right w:val="single" w:color="auto" w:sz="4" w:space="0"/>
            </w:tcBorders>
            <w:vAlign w:val="center"/>
          </w:tcPr>
          <w:p w14:paraId="5F25EEBD">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Y＜500</w:t>
            </w:r>
          </w:p>
        </w:tc>
      </w:tr>
      <w:tr w14:paraId="6671B5C6">
        <w:tblPrEx>
          <w:tblCellMar>
            <w:top w:w="0" w:type="dxa"/>
            <w:left w:w="108" w:type="dxa"/>
            <w:bottom w:w="0" w:type="dxa"/>
            <w:right w:w="108" w:type="dxa"/>
          </w:tblCellMar>
        </w:tblPrEx>
        <w:trPr>
          <w:trHeight w:val="225" w:hRule="atLeast"/>
        </w:trPr>
        <w:tc>
          <w:tcPr>
            <w:tcW w:w="1895" w:type="dxa"/>
            <w:vMerge w:val="restart"/>
            <w:tcBorders>
              <w:top w:val="nil"/>
              <w:left w:val="single" w:color="auto" w:sz="4" w:space="0"/>
              <w:bottom w:val="single" w:color="auto" w:sz="4" w:space="0"/>
              <w:right w:val="single" w:color="auto" w:sz="4" w:space="0"/>
            </w:tcBorders>
            <w:vAlign w:val="bottom"/>
          </w:tcPr>
          <w:p w14:paraId="2834567F">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租赁和商务</w:t>
            </w:r>
          </w:p>
          <w:p w14:paraId="44D58FBD">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服务业</w:t>
            </w:r>
          </w:p>
        </w:tc>
        <w:tc>
          <w:tcPr>
            <w:tcW w:w="2074" w:type="dxa"/>
            <w:tcBorders>
              <w:top w:val="nil"/>
              <w:left w:val="nil"/>
              <w:bottom w:val="single" w:color="auto" w:sz="4" w:space="0"/>
              <w:right w:val="single" w:color="auto" w:sz="4" w:space="0"/>
            </w:tcBorders>
            <w:vAlign w:val="center"/>
          </w:tcPr>
          <w:p w14:paraId="289E2369">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从业人员（X）</w:t>
            </w:r>
          </w:p>
        </w:tc>
        <w:tc>
          <w:tcPr>
            <w:tcW w:w="851" w:type="dxa"/>
            <w:tcBorders>
              <w:top w:val="nil"/>
              <w:left w:val="nil"/>
              <w:bottom w:val="single" w:color="auto" w:sz="4" w:space="0"/>
              <w:right w:val="single" w:color="auto" w:sz="4" w:space="0"/>
            </w:tcBorders>
            <w:vAlign w:val="center"/>
          </w:tcPr>
          <w:p w14:paraId="59BD8E1C">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人</w:t>
            </w:r>
          </w:p>
        </w:tc>
        <w:tc>
          <w:tcPr>
            <w:tcW w:w="1842" w:type="dxa"/>
            <w:tcBorders>
              <w:top w:val="nil"/>
              <w:left w:val="nil"/>
              <w:bottom w:val="single" w:color="auto" w:sz="4" w:space="0"/>
              <w:right w:val="single" w:color="auto" w:sz="4" w:space="0"/>
            </w:tcBorders>
            <w:vAlign w:val="center"/>
          </w:tcPr>
          <w:p w14:paraId="2B290AB4">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100≤X＜300</w:t>
            </w:r>
          </w:p>
        </w:tc>
        <w:tc>
          <w:tcPr>
            <w:tcW w:w="1701" w:type="dxa"/>
            <w:tcBorders>
              <w:top w:val="nil"/>
              <w:left w:val="nil"/>
              <w:bottom w:val="single" w:color="auto" w:sz="4" w:space="0"/>
              <w:right w:val="single" w:color="auto" w:sz="4" w:space="0"/>
            </w:tcBorders>
            <w:vAlign w:val="center"/>
          </w:tcPr>
          <w:p w14:paraId="3468A129">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10≤X＜100</w:t>
            </w:r>
          </w:p>
        </w:tc>
        <w:tc>
          <w:tcPr>
            <w:tcW w:w="987" w:type="dxa"/>
            <w:tcBorders>
              <w:top w:val="nil"/>
              <w:left w:val="nil"/>
              <w:bottom w:val="single" w:color="auto" w:sz="4" w:space="0"/>
              <w:right w:val="single" w:color="auto" w:sz="4" w:space="0"/>
            </w:tcBorders>
            <w:vAlign w:val="center"/>
          </w:tcPr>
          <w:p w14:paraId="601DF0F0">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X＜10</w:t>
            </w:r>
          </w:p>
        </w:tc>
      </w:tr>
      <w:tr w14:paraId="4B765F77">
        <w:tblPrEx>
          <w:tblCellMar>
            <w:top w:w="0" w:type="dxa"/>
            <w:left w:w="108" w:type="dxa"/>
            <w:bottom w:w="0" w:type="dxa"/>
            <w:right w:w="108" w:type="dxa"/>
          </w:tblCellMar>
        </w:tblPrEx>
        <w:trPr>
          <w:trHeight w:val="225" w:hRule="atLeast"/>
        </w:trPr>
        <w:tc>
          <w:tcPr>
            <w:tcW w:w="1895" w:type="dxa"/>
            <w:vMerge w:val="continue"/>
            <w:tcBorders>
              <w:top w:val="nil"/>
              <w:left w:val="single" w:color="auto" w:sz="4" w:space="0"/>
              <w:bottom w:val="single" w:color="auto" w:sz="4" w:space="0"/>
              <w:right w:val="single" w:color="auto" w:sz="4" w:space="0"/>
            </w:tcBorders>
            <w:vAlign w:val="center"/>
          </w:tcPr>
          <w:p w14:paraId="701037BF">
            <w:pPr>
              <w:widowControl/>
              <w:jc w:val="left"/>
              <w:rPr>
                <w:rFonts w:ascii="宋体" w:hAnsi="宋体" w:cs="宋体"/>
                <w:b/>
                <w:bCs/>
                <w:color w:val="auto"/>
                <w:kern w:val="0"/>
                <w:sz w:val="22"/>
                <w:szCs w:val="22"/>
                <w:highlight w:val="none"/>
              </w:rPr>
            </w:pPr>
          </w:p>
        </w:tc>
        <w:tc>
          <w:tcPr>
            <w:tcW w:w="2074" w:type="dxa"/>
            <w:tcBorders>
              <w:top w:val="nil"/>
              <w:left w:val="nil"/>
              <w:bottom w:val="single" w:color="auto" w:sz="4" w:space="0"/>
              <w:right w:val="single" w:color="auto" w:sz="4" w:space="0"/>
            </w:tcBorders>
            <w:vAlign w:val="center"/>
          </w:tcPr>
          <w:p w14:paraId="11C6AA11">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资产总额（Z）</w:t>
            </w:r>
          </w:p>
        </w:tc>
        <w:tc>
          <w:tcPr>
            <w:tcW w:w="851" w:type="dxa"/>
            <w:tcBorders>
              <w:top w:val="nil"/>
              <w:left w:val="nil"/>
              <w:bottom w:val="single" w:color="auto" w:sz="4" w:space="0"/>
              <w:right w:val="single" w:color="auto" w:sz="4" w:space="0"/>
            </w:tcBorders>
            <w:vAlign w:val="center"/>
          </w:tcPr>
          <w:p w14:paraId="010BE230">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万元</w:t>
            </w:r>
          </w:p>
        </w:tc>
        <w:tc>
          <w:tcPr>
            <w:tcW w:w="1842" w:type="dxa"/>
            <w:tcBorders>
              <w:top w:val="nil"/>
              <w:left w:val="nil"/>
              <w:bottom w:val="single" w:color="auto" w:sz="4" w:space="0"/>
              <w:right w:val="single" w:color="auto" w:sz="4" w:space="0"/>
            </w:tcBorders>
            <w:vAlign w:val="center"/>
          </w:tcPr>
          <w:p w14:paraId="5DD75108">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8000≤Z＜120000</w:t>
            </w:r>
          </w:p>
        </w:tc>
        <w:tc>
          <w:tcPr>
            <w:tcW w:w="1701" w:type="dxa"/>
            <w:tcBorders>
              <w:top w:val="nil"/>
              <w:left w:val="nil"/>
              <w:bottom w:val="single" w:color="auto" w:sz="4" w:space="0"/>
              <w:right w:val="single" w:color="auto" w:sz="4" w:space="0"/>
            </w:tcBorders>
            <w:vAlign w:val="center"/>
          </w:tcPr>
          <w:p w14:paraId="603B2EDE">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100≤Z＜8000</w:t>
            </w:r>
          </w:p>
        </w:tc>
        <w:tc>
          <w:tcPr>
            <w:tcW w:w="987" w:type="dxa"/>
            <w:tcBorders>
              <w:top w:val="nil"/>
              <w:left w:val="nil"/>
              <w:bottom w:val="single" w:color="auto" w:sz="4" w:space="0"/>
              <w:right w:val="single" w:color="auto" w:sz="4" w:space="0"/>
            </w:tcBorders>
            <w:vAlign w:val="center"/>
          </w:tcPr>
          <w:p w14:paraId="79FB2C8D">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Y＜100</w:t>
            </w:r>
          </w:p>
        </w:tc>
      </w:tr>
      <w:tr w14:paraId="57F9D3C9">
        <w:tblPrEx>
          <w:tblCellMar>
            <w:top w:w="0" w:type="dxa"/>
            <w:left w:w="108" w:type="dxa"/>
            <w:bottom w:w="0" w:type="dxa"/>
            <w:right w:w="108" w:type="dxa"/>
          </w:tblCellMar>
        </w:tblPrEx>
        <w:trPr>
          <w:trHeight w:val="225" w:hRule="atLeast"/>
        </w:trPr>
        <w:tc>
          <w:tcPr>
            <w:tcW w:w="1895" w:type="dxa"/>
            <w:tcBorders>
              <w:top w:val="nil"/>
              <w:left w:val="single" w:color="auto" w:sz="4" w:space="0"/>
              <w:bottom w:val="single" w:color="auto" w:sz="4" w:space="0"/>
              <w:right w:val="single" w:color="auto" w:sz="4" w:space="0"/>
            </w:tcBorders>
            <w:vAlign w:val="bottom"/>
          </w:tcPr>
          <w:p w14:paraId="21351DDB">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其他未列明行业</w:t>
            </w:r>
          </w:p>
        </w:tc>
        <w:tc>
          <w:tcPr>
            <w:tcW w:w="2074" w:type="dxa"/>
            <w:tcBorders>
              <w:top w:val="nil"/>
              <w:left w:val="nil"/>
              <w:bottom w:val="single" w:color="auto" w:sz="4" w:space="0"/>
              <w:right w:val="single" w:color="auto" w:sz="4" w:space="0"/>
            </w:tcBorders>
            <w:vAlign w:val="center"/>
          </w:tcPr>
          <w:p w14:paraId="67B2E85A">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从业人员（X）</w:t>
            </w:r>
          </w:p>
        </w:tc>
        <w:tc>
          <w:tcPr>
            <w:tcW w:w="851" w:type="dxa"/>
            <w:tcBorders>
              <w:top w:val="nil"/>
              <w:left w:val="nil"/>
              <w:bottom w:val="single" w:color="auto" w:sz="4" w:space="0"/>
              <w:right w:val="single" w:color="auto" w:sz="4" w:space="0"/>
            </w:tcBorders>
            <w:vAlign w:val="center"/>
          </w:tcPr>
          <w:p w14:paraId="1B37D501">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人</w:t>
            </w:r>
          </w:p>
        </w:tc>
        <w:tc>
          <w:tcPr>
            <w:tcW w:w="1842" w:type="dxa"/>
            <w:tcBorders>
              <w:top w:val="nil"/>
              <w:left w:val="nil"/>
              <w:bottom w:val="single" w:color="auto" w:sz="4" w:space="0"/>
              <w:right w:val="single" w:color="auto" w:sz="4" w:space="0"/>
            </w:tcBorders>
            <w:vAlign w:val="center"/>
          </w:tcPr>
          <w:p w14:paraId="3423132D">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100≤X＜300</w:t>
            </w:r>
          </w:p>
        </w:tc>
        <w:tc>
          <w:tcPr>
            <w:tcW w:w="1701" w:type="dxa"/>
            <w:tcBorders>
              <w:top w:val="nil"/>
              <w:left w:val="nil"/>
              <w:bottom w:val="single" w:color="auto" w:sz="4" w:space="0"/>
              <w:right w:val="single" w:color="auto" w:sz="4" w:space="0"/>
            </w:tcBorders>
            <w:vAlign w:val="center"/>
          </w:tcPr>
          <w:p w14:paraId="085105F2">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10≤X＜100</w:t>
            </w:r>
          </w:p>
        </w:tc>
        <w:tc>
          <w:tcPr>
            <w:tcW w:w="987" w:type="dxa"/>
            <w:tcBorders>
              <w:top w:val="nil"/>
              <w:left w:val="nil"/>
              <w:bottom w:val="single" w:color="auto" w:sz="4" w:space="0"/>
              <w:right w:val="single" w:color="auto" w:sz="4" w:space="0"/>
            </w:tcBorders>
            <w:vAlign w:val="center"/>
          </w:tcPr>
          <w:p w14:paraId="06ED5F47">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X＜10</w:t>
            </w:r>
          </w:p>
        </w:tc>
      </w:tr>
    </w:tbl>
    <w:p w14:paraId="382AF901">
      <w:pPr>
        <w:spacing w:line="480" w:lineRule="exact"/>
        <w:ind w:firstLine="600" w:firstLineChars="250"/>
        <w:rPr>
          <w:rFonts w:ascii="宋体" w:hAnsi="宋体" w:cs="宋体"/>
          <w:color w:val="auto"/>
          <w:sz w:val="24"/>
          <w:highlight w:val="none"/>
        </w:rPr>
      </w:pPr>
      <w:r>
        <w:rPr>
          <w:rFonts w:hint="eastAsia" w:ascii="宋体" w:hAnsi="宋体" w:cs="宋体"/>
          <w:color w:val="auto"/>
          <w:sz w:val="24"/>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5EEE96BA">
      <w:pPr>
        <w:pStyle w:val="19"/>
        <w:jc w:val="center"/>
        <w:outlineLvl w:val="0"/>
        <w:rPr>
          <w:rFonts w:hAnsi="宋体"/>
          <w:color w:val="auto"/>
          <w:highlight w:val="none"/>
        </w:rPr>
        <w:sectPr>
          <w:footerReference r:id="rId7" w:type="default"/>
          <w:pgSz w:w="11906" w:h="16838"/>
          <w:pgMar w:top="1134" w:right="1134" w:bottom="1134" w:left="1134" w:header="720" w:footer="720" w:gutter="0"/>
          <w:cols w:space="720" w:num="1"/>
          <w:docGrid w:type="lines" w:linePitch="331" w:charSpace="0"/>
        </w:sectPr>
      </w:pPr>
    </w:p>
    <w:p w14:paraId="5FEC5AB9">
      <w:pPr>
        <w:keepNext/>
        <w:keepLines/>
        <w:pageBreakBefore/>
        <w:spacing w:before="340" w:after="330" w:line="560" w:lineRule="exact"/>
        <w:jc w:val="center"/>
        <w:outlineLvl w:val="0"/>
        <w:rPr>
          <w:rFonts w:ascii="宋体" w:hAnsi="宋体" w:cs="宋体"/>
          <w:b/>
          <w:bCs/>
          <w:color w:val="auto"/>
          <w:kern w:val="44"/>
          <w:sz w:val="44"/>
          <w:szCs w:val="44"/>
          <w:highlight w:val="none"/>
        </w:rPr>
      </w:pPr>
      <w:bookmarkStart w:id="27" w:name="_Toc5224"/>
      <w:bookmarkStart w:id="28" w:name="_Toc2455"/>
      <w:bookmarkStart w:id="29" w:name="_Toc97909552"/>
      <w:r>
        <w:rPr>
          <w:rFonts w:hint="eastAsia" w:ascii="宋体" w:hAnsi="宋体" w:cs="宋体"/>
          <w:b/>
          <w:bCs/>
          <w:color w:val="auto"/>
          <w:kern w:val="44"/>
          <w:sz w:val="44"/>
          <w:szCs w:val="44"/>
          <w:highlight w:val="none"/>
        </w:rPr>
        <w:t>第三章 供应商须知</w:t>
      </w:r>
      <w:bookmarkEnd w:id="27"/>
      <w:bookmarkEnd w:id="28"/>
      <w:bookmarkEnd w:id="29"/>
    </w:p>
    <w:p w14:paraId="56F46A1F">
      <w:pPr>
        <w:keepNext/>
        <w:keepLines/>
        <w:spacing w:before="260" w:after="260" w:line="480" w:lineRule="exact"/>
        <w:jc w:val="center"/>
        <w:outlineLvl w:val="1"/>
        <w:rPr>
          <w:rFonts w:ascii="宋体" w:hAnsi="宋体" w:cs="宋体"/>
          <w:b/>
          <w:color w:val="auto"/>
          <w:sz w:val="32"/>
          <w:szCs w:val="32"/>
          <w:highlight w:val="none"/>
        </w:rPr>
      </w:pPr>
      <w:bookmarkStart w:id="30" w:name="_Toc6872"/>
      <w:bookmarkStart w:id="31" w:name="_Toc97909553"/>
      <w:bookmarkStart w:id="32" w:name="_Toc23343"/>
      <w:r>
        <w:rPr>
          <w:rFonts w:hint="eastAsia" w:ascii="宋体" w:hAnsi="宋体" w:cs="宋体"/>
          <w:b/>
          <w:color w:val="auto"/>
          <w:sz w:val="32"/>
          <w:szCs w:val="32"/>
          <w:highlight w:val="none"/>
        </w:rPr>
        <w:t>第一节 供应商须知前附表</w:t>
      </w:r>
      <w:bookmarkEnd w:id="30"/>
      <w:bookmarkEnd w:id="31"/>
      <w:bookmarkEnd w:id="32"/>
    </w:p>
    <w:tbl>
      <w:tblPr>
        <w:tblStyle w:val="33"/>
        <w:tblW w:w="103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
        <w:gridCol w:w="1625"/>
        <w:gridCol w:w="7754"/>
      </w:tblGrid>
      <w:tr w14:paraId="6A6057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85" w:type="dxa"/>
          </w:tcPr>
          <w:p w14:paraId="6A17D236">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条款号</w:t>
            </w:r>
          </w:p>
        </w:tc>
        <w:tc>
          <w:tcPr>
            <w:tcW w:w="1625" w:type="dxa"/>
            <w:vAlign w:val="center"/>
          </w:tcPr>
          <w:p w14:paraId="036AC263">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条款内容</w:t>
            </w:r>
          </w:p>
        </w:tc>
        <w:tc>
          <w:tcPr>
            <w:tcW w:w="7754" w:type="dxa"/>
          </w:tcPr>
          <w:p w14:paraId="6A93C431">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具体要求</w:t>
            </w:r>
          </w:p>
        </w:tc>
      </w:tr>
      <w:tr w14:paraId="46D86E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40" w:hRule="atLeast"/>
          <w:jc w:val="center"/>
        </w:trPr>
        <w:tc>
          <w:tcPr>
            <w:tcW w:w="985" w:type="dxa"/>
            <w:vMerge w:val="restart"/>
            <w:vAlign w:val="center"/>
          </w:tcPr>
          <w:p w14:paraId="5B2AE4AE">
            <w:pPr>
              <w:spacing w:line="420" w:lineRule="exact"/>
              <w:jc w:val="center"/>
              <w:rPr>
                <w:rFonts w:ascii="宋体" w:hAnsi="宋体" w:cs="宋体"/>
                <w:color w:val="auto"/>
                <w:sz w:val="24"/>
                <w:highlight w:val="none"/>
              </w:rPr>
            </w:pPr>
            <w:r>
              <w:rPr>
                <w:rFonts w:hint="eastAsia" w:ascii="宋体" w:hAnsi="宋体" w:cs="宋体"/>
                <w:color w:val="auto"/>
                <w:sz w:val="24"/>
                <w:highlight w:val="none"/>
              </w:rPr>
              <w:t>3</w:t>
            </w:r>
          </w:p>
        </w:tc>
        <w:tc>
          <w:tcPr>
            <w:tcW w:w="1625" w:type="dxa"/>
            <w:vAlign w:val="center"/>
          </w:tcPr>
          <w:p w14:paraId="7665F651">
            <w:pPr>
              <w:spacing w:line="420" w:lineRule="exact"/>
              <w:jc w:val="center"/>
              <w:rPr>
                <w:rFonts w:hint="eastAsia" w:ascii="宋体" w:hAnsi="宋体" w:eastAsia="宋体" w:cs="宋体"/>
                <w:color w:val="auto"/>
                <w:sz w:val="24"/>
                <w:highlight w:val="none"/>
                <w:lang w:eastAsia="zh-CN"/>
              </w:rPr>
            </w:pPr>
            <w:r>
              <w:rPr>
                <w:rFonts w:hint="eastAsia" w:ascii="宋体" w:hAnsi="宋体" w:cs="宋体"/>
                <w:color w:val="auto"/>
                <w:sz w:val="24"/>
                <w:highlight w:val="none"/>
              </w:rPr>
              <w:t>供应商资格</w:t>
            </w:r>
            <w:r>
              <w:rPr>
                <w:rFonts w:hint="eastAsia" w:ascii="宋体" w:hAnsi="宋体" w:cs="宋体"/>
                <w:color w:val="auto"/>
                <w:sz w:val="24"/>
                <w:highlight w:val="none"/>
                <w:lang w:val="en-US" w:eastAsia="zh-CN"/>
              </w:rPr>
              <w:t>要求</w:t>
            </w:r>
          </w:p>
        </w:tc>
        <w:tc>
          <w:tcPr>
            <w:tcW w:w="7754" w:type="dxa"/>
            <w:vAlign w:val="center"/>
          </w:tcPr>
          <w:p w14:paraId="2D468296">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1.满足《中华人民共和国政府采购法》第二十二条规定；</w:t>
            </w:r>
          </w:p>
          <w:p w14:paraId="31DD7400">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2.落实政府采购政策需满足的资格要求：</w:t>
            </w:r>
          </w:p>
          <w:p w14:paraId="4D1CE004">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highlight w:val="none"/>
              </w:rPr>
            </w:pPr>
            <w:r>
              <w:rPr>
                <w:rFonts w:hint="eastAsia" w:ascii="宋体" w:hAnsi="宋体" w:cs="宋体"/>
                <w:b w:val="0"/>
                <w:bCs w:val="0"/>
                <w:color w:val="auto"/>
                <w:sz w:val="24"/>
                <w:highlight w:val="none"/>
                <w:lang w:eastAsia="zh-CN"/>
              </w:rPr>
              <w:t>□</w:t>
            </w:r>
            <w:r>
              <w:rPr>
                <w:rFonts w:hint="eastAsia" w:ascii="宋体" w:hAnsi="宋体" w:cs="宋体"/>
                <w:b w:val="0"/>
                <w:bCs w:val="0"/>
                <w:color w:val="auto"/>
                <w:sz w:val="24"/>
                <w:highlight w:val="none"/>
              </w:rPr>
              <w:t>专门面向中小企业采购的项目</w:t>
            </w:r>
            <w:r>
              <w:rPr>
                <w:rFonts w:hint="eastAsia" w:ascii="宋体" w:hAnsi="宋体" w:cs="宋体"/>
                <w:color w:val="auto"/>
                <w:sz w:val="24"/>
                <w:highlight w:val="none"/>
              </w:rPr>
              <w:t>（供应商应为中小微企业、监狱企业、残疾人福利性单位）</w:t>
            </w:r>
          </w:p>
          <w:p w14:paraId="136E685A">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highlight w:val="none"/>
              </w:rPr>
            </w:pPr>
            <w:r>
              <w:rPr>
                <w:rFonts w:hint="eastAsia" w:ascii="宋体" w:hAnsi="宋体" w:cs="宋体"/>
                <w:b/>
                <w:bCs/>
                <w:color w:val="auto"/>
                <w:sz w:val="24"/>
                <w:highlight w:val="none"/>
                <w:lang w:eastAsia="zh-CN"/>
              </w:rPr>
              <w:t>☑</w:t>
            </w:r>
            <w:r>
              <w:rPr>
                <w:rFonts w:hint="eastAsia" w:ascii="宋体" w:hAnsi="宋体" w:cs="宋体"/>
                <w:b/>
                <w:bCs/>
                <w:color w:val="auto"/>
                <w:sz w:val="24"/>
                <w:highlight w:val="none"/>
              </w:rPr>
              <w:t>非专门面向中小企业采购的项目</w:t>
            </w:r>
          </w:p>
          <w:p w14:paraId="6522D9FA">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3.本项目的特定资格要求：</w:t>
            </w:r>
            <w:r>
              <w:rPr>
                <w:rFonts w:hint="eastAsia" w:ascii="宋体" w:hAnsi="宋体" w:cs="宋体"/>
                <w:color w:val="auto"/>
                <w:sz w:val="24"/>
                <w:highlight w:val="none"/>
                <w:u w:val="single"/>
              </w:rPr>
              <w:t>具有有效的生态环境部门颁发的《危险废物经营许可证》且核准经营危险废物类别必须包含HW01类或提供生态环境部门颁发的允许收集处置医疗废物的相关证明文件。</w:t>
            </w:r>
          </w:p>
          <w:p w14:paraId="2DBFC5D3">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4.本项目的特定条件：无。</w:t>
            </w:r>
          </w:p>
          <w:p w14:paraId="34134636">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717950F">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6.对在“信用中国”网站(www.creditchina.gov.cn) 、中国政府采购网(www.ccgp.gov.cn）被列入失信被执行人、</w:t>
            </w:r>
            <w:r>
              <w:rPr>
                <w:rFonts w:hint="eastAsia" w:ascii="宋体" w:hAnsi="宋体" w:cs="宋体"/>
                <w:color w:val="auto"/>
                <w:sz w:val="24"/>
                <w:highlight w:val="none"/>
                <w:lang w:eastAsia="zh-CN"/>
              </w:rPr>
              <w:t>重大税收违法失信主体</w:t>
            </w:r>
            <w:r>
              <w:rPr>
                <w:rFonts w:hint="eastAsia" w:ascii="宋体" w:hAnsi="宋体" w:cs="宋体"/>
                <w:color w:val="auto"/>
                <w:sz w:val="24"/>
                <w:highlight w:val="none"/>
              </w:rPr>
              <w:t>、政府采购严重违法失信行为记录名单及其他不符合《中华人民共和国政府采购法》第二十二条规定条件的供应商，不得参与政府采购活动。</w:t>
            </w:r>
          </w:p>
        </w:tc>
      </w:tr>
      <w:tr w14:paraId="032CC4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985" w:type="dxa"/>
            <w:vMerge w:val="continue"/>
            <w:vAlign w:val="center"/>
          </w:tcPr>
          <w:p w14:paraId="17E9D388">
            <w:pPr>
              <w:spacing w:line="420" w:lineRule="exact"/>
              <w:jc w:val="center"/>
              <w:rPr>
                <w:rFonts w:hint="eastAsia" w:ascii="宋体" w:hAnsi="宋体" w:cs="宋体"/>
                <w:color w:val="auto"/>
                <w:sz w:val="24"/>
                <w:highlight w:val="none"/>
              </w:rPr>
            </w:pPr>
          </w:p>
        </w:tc>
        <w:tc>
          <w:tcPr>
            <w:tcW w:w="1625" w:type="dxa"/>
            <w:vMerge w:val="restart"/>
            <w:vAlign w:val="center"/>
          </w:tcPr>
          <w:p w14:paraId="7F6C9B7B">
            <w:pPr>
              <w:spacing w:line="420" w:lineRule="exact"/>
              <w:jc w:val="center"/>
              <w:rPr>
                <w:rFonts w:hint="eastAsia" w:ascii="宋体" w:hAnsi="宋体" w:cs="宋体"/>
                <w:color w:val="auto"/>
                <w:sz w:val="24"/>
                <w:highlight w:val="none"/>
              </w:rPr>
            </w:pPr>
            <w:r>
              <w:rPr>
                <w:rFonts w:hint="eastAsia" w:ascii="宋体" w:hAnsi="宋体" w:eastAsia="宋体" w:cs="宋体"/>
                <w:color w:val="auto"/>
                <w:sz w:val="24"/>
                <w:szCs w:val="24"/>
                <w:highlight w:val="none"/>
              </w:rPr>
              <w:t>中小企业政策相关要求</w:t>
            </w:r>
          </w:p>
        </w:tc>
        <w:tc>
          <w:tcPr>
            <w:tcW w:w="7754" w:type="dxa"/>
            <w:vAlign w:val="center"/>
          </w:tcPr>
          <w:p w14:paraId="37098413">
            <w:pPr>
              <w:spacing w:line="420" w:lineRule="exact"/>
              <w:rPr>
                <w:rFonts w:ascii="宋体" w:hAnsi="宋体" w:cs="宋体"/>
                <w:color w:val="auto"/>
                <w:sz w:val="24"/>
                <w:highlight w:val="none"/>
              </w:rPr>
            </w:pPr>
            <w:r>
              <w:rPr>
                <w:rFonts w:hint="eastAsia" w:ascii="宋体" w:hAnsi="宋体" w:cs="宋体"/>
                <w:b/>
                <w:bCs/>
                <w:color w:val="auto"/>
                <w:sz w:val="24"/>
                <w:szCs w:val="24"/>
                <w:highlight w:val="none"/>
                <w:lang w:val="en-US" w:eastAsia="zh-CN"/>
              </w:rPr>
              <w:t>非</w:t>
            </w:r>
            <w:r>
              <w:rPr>
                <w:rFonts w:hint="eastAsia" w:ascii="宋体" w:hAnsi="宋体" w:eastAsia="宋体" w:cs="宋体"/>
                <w:b/>
                <w:bCs/>
                <w:color w:val="auto"/>
                <w:sz w:val="24"/>
                <w:szCs w:val="24"/>
                <w:highlight w:val="none"/>
              </w:rPr>
              <w:t>专门面向中小企业采购的项目</w:t>
            </w:r>
          </w:p>
        </w:tc>
      </w:tr>
      <w:tr w14:paraId="52EF9F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985" w:type="dxa"/>
            <w:vMerge w:val="continue"/>
            <w:vAlign w:val="center"/>
          </w:tcPr>
          <w:p w14:paraId="63851E70">
            <w:pPr>
              <w:spacing w:line="420" w:lineRule="exact"/>
              <w:jc w:val="center"/>
              <w:rPr>
                <w:rFonts w:hint="eastAsia" w:ascii="宋体" w:hAnsi="宋体" w:cs="宋体"/>
                <w:color w:val="auto"/>
                <w:sz w:val="24"/>
                <w:highlight w:val="none"/>
              </w:rPr>
            </w:pPr>
          </w:p>
        </w:tc>
        <w:tc>
          <w:tcPr>
            <w:tcW w:w="1625" w:type="dxa"/>
            <w:vMerge w:val="continue"/>
            <w:vAlign w:val="center"/>
          </w:tcPr>
          <w:p w14:paraId="7B63B82A">
            <w:pPr>
              <w:spacing w:line="420" w:lineRule="exact"/>
              <w:jc w:val="center"/>
              <w:rPr>
                <w:rFonts w:hint="eastAsia" w:ascii="宋体" w:hAnsi="宋体" w:eastAsia="宋体" w:cs="宋体"/>
                <w:color w:val="auto"/>
                <w:sz w:val="24"/>
                <w:szCs w:val="24"/>
                <w:highlight w:val="none"/>
              </w:rPr>
            </w:pPr>
          </w:p>
        </w:tc>
        <w:tc>
          <w:tcPr>
            <w:tcW w:w="7754" w:type="dxa"/>
            <w:vAlign w:val="center"/>
          </w:tcPr>
          <w:p w14:paraId="1B6A9B3D">
            <w:pPr>
              <w:spacing w:line="420" w:lineRule="exact"/>
              <w:rPr>
                <w:rFonts w:ascii="宋体" w:hAnsi="宋体" w:cs="宋体"/>
                <w:b w:val="0"/>
                <w:bCs w:val="0"/>
                <w:color w:val="auto"/>
                <w:sz w:val="24"/>
                <w:highlight w:val="none"/>
              </w:rPr>
            </w:pPr>
            <w:r>
              <w:rPr>
                <w:rFonts w:hint="eastAsia" w:ascii="宋体" w:hAnsi="宋体" w:eastAsia="宋体" w:cs="宋体"/>
                <w:b/>
                <w:bCs/>
                <w:color w:val="auto"/>
                <w:sz w:val="24"/>
                <w:szCs w:val="24"/>
                <w:highlight w:val="none"/>
              </w:rPr>
              <w:t>本项目中小企业划分标准所属行业名称：</w:t>
            </w:r>
            <w:r>
              <w:rPr>
                <w:rFonts w:hint="eastAsia" w:ascii="宋体" w:hAnsi="宋体" w:eastAsia="宋体" w:cs="宋体"/>
                <w:b/>
                <w:bCs/>
                <w:color w:val="auto"/>
                <w:kern w:val="2"/>
                <w:sz w:val="24"/>
                <w:szCs w:val="24"/>
                <w:highlight w:val="none"/>
              </w:rPr>
              <w:t>其他未列明行业</w:t>
            </w:r>
          </w:p>
        </w:tc>
      </w:tr>
      <w:tr w14:paraId="72944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985" w:type="dxa"/>
            <w:vMerge w:val="continue"/>
            <w:vAlign w:val="center"/>
          </w:tcPr>
          <w:p w14:paraId="52C47DEF">
            <w:pPr>
              <w:spacing w:line="420" w:lineRule="exact"/>
              <w:jc w:val="center"/>
              <w:rPr>
                <w:rFonts w:hint="eastAsia" w:ascii="宋体" w:hAnsi="宋体" w:cs="宋体"/>
                <w:color w:val="auto"/>
                <w:sz w:val="24"/>
                <w:highlight w:val="none"/>
              </w:rPr>
            </w:pPr>
          </w:p>
        </w:tc>
        <w:tc>
          <w:tcPr>
            <w:tcW w:w="1625" w:type="dxa"/>
            <w:vAlign w:val="center"/>
          </w:tcPr>
          <w:p w14:paraId="33240DEC">
            <w:pPr>
              <w:spacing w:line="420" w:lineRule="exact"/>
              <w:jc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标的名称</w:t>
            </w:r>
          </w:p>
        </w:tc>
        <w:tc>
          <w:tcPr>
            <w:tcW w:w="7754" w:type="dxa"/>
            <w:vAlign w:val="center"/>
          </w:tcPr>
          <w:p w14:paraId="52D8536E">
            <w:pPr>
              <w:spacing w:line="420" w:lineRule="exact"/>
              <w:rPr>
                <w:rFonts w:ascii="宋体" w:hAnsi="宋体" w:cs="宋体"/>
                <w:b w:val="0"/>
                <w:bCs w:val="0"/>
                <w:color w:val="auto"/>
                <w:sz w:val="24"/>
                <w:highlight w:val="none"/>
              </w:rPr>
            </w:pPr>
            <w:r>
              <w:rPr>
                <w:rFonts w:hint="eastAsia" w:ascii="宋体" w:hAnsi="宋体" w:cs="宋体"/>
                <w:b/>
                <w:bCs/>
                <w:color w:val="auto"/>
                <w:sz w:val="24"/>
                <w:highlight w:val="none"/>
                <w:lang w:val="en-US" w:eastAsia="zh-CN"/>
              </w:rPr>
              <w:t>医疗废弃物处置服务采购项目</w:t>
            </w:r>
          </w:p>
        </w:tc>
      </w:tr>
      <w:tr w14:paraId="4CBB6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985" w:type="dxa"/>
            <w:vMerge w:val="continue"/>
            <w:vAlign w:val="center"/>
          </w:tcPr>
          <w:p w14:paraId="08CBB11A">
            <w:pPr>
              <w:spacing w:line="420" w:lineRule="exact"/>
              <w:jc w:val="center"/>
              <w:rPr>
                <w:rFonts w:hint="eastAsia" w:ascii="宋体" w:hAnsi="宋体" w:cs="宋体"/>
                <w:color w:val="auto"/>
                <w:sz w:val="24"/>
                <w:highlight w:val="none"/>
              </w:rPr>
            </w:pPr>
          </w:p>
        </w:tc>
        <w:tc>
          <w:tcPr>
            <w:tcW w:w="1625" w:type="dxa"/>
            <w:vAlign w:val="center"/>
          </w:tcPr>
          <w:p w14:paraId="4E187330">
            <w:pPr>
              <w:spacing w:line="420" w:lineRule="exact"/>
              <w:jc w:val="center"/>
              <w:rPr>
                <w:rFonts w:hint="eastAsia" w:ascii="宋体" w:hAnsi="宋体" w:cs="宋体"/>
                <w:color w:val="auto"/>
                <w:sz w:val="24"/>
                <w:highlight w:val="none"/>
              </w:rPr>
            </w:pPr>
            <w:r>
              <w:rPr>
                <w:rFonts w:hint="eastAsia" w:ascii="宋体" w:hAnsi="宋体" w:eastAsia="宋体" w:cs="宋体"/>
                <w:color w:val="auto"/>
                <w:sz w:val="24"/>
                <w:szCs w:val="24"/>
                <w:highlight w:val="none"/>
              </w:rPr>
              <w:t>采购预算</w:t>
            </w:r>
          </w:p>
        </w:tc>
        <w:tc>
          <w:tcPr>
            <w:tcW w:w="7754" w:type="dxa"/>
            <w:vAlign w:val="center"/>
          </w:tcPr>
          <w:p w14:paraId="78E3AADA">
            <w:pPr>
              <w:spacing w:line="420" w:lineRule="exact"/>
              <w:rPr>
                <w:rFonts w:hint="eastAsia" w:ascii="宋体" w:hAnsi="宋体" w:eastAsia="宋体" w:cs="宋体"/>
                <w:b w:val="0"/>
                <w:bCs w:val="0"/>
                <w:color w:val="auto"/>
                <w:sz w:val="24"/>
                <w:szCs w:val="24"/>
                <w:highlight w:val="none"/>
              </w:rPr>
            </w:pPr>
            <w:r>
              <w:rPr>
                <w:rFonts w:hint="eastAsia" w:ascii="宋体" w:hAnsi="宋体" w:eastAsia="宋体" w:cs="宋体"/>
                <w:b/>
                <w:bCs/>
                <w:color w:val="auto"/>
                <w:sz w:val="24"/>
                <w:szCs w:val="24"/>
                <w:highlight w:val="none"/>
              </w:rPr>
              <w:t>本项目</w:t>
            </w:r>
            <w:r>
              <w:rPr>
                <w:rFonts w:hint="eastAsia" w:ascii="宋体" w:hAnsi="宋体" w:eastAsia="宋体" w:cs="宋体"/>
                <w:b/>
                <w:bCs/>
                <w:color w:val="auto"/>
                <w:sz w:val="24"/>
                <w:szCs w:val="24"/>
                <w:highlight w:val="none"/>
                <w:lang w:val="en-US" w:eastAsia="zh-CN"/>
              </w:rPr>
              <w:t>采购预算</w:t>
            </w:r>
            <w:r>
              <w:rPr>
                <w:rFonts w:hint="eastAsia" w:ascii="宋体" w:hAnsi="宋体" w:eastAsia="宋体" w:cs="宋体"/>
                <w:b/>
                <w:bCs/>
                <w:color w:val="auto"/>
                <w:sz w:val="24"/>
                <w:szCs w:val="24"/>
                <w:highlight w:val="none"/>
              </w:rPr>
              <w:t>金额为：</w:t>
            </w:r>
            <w:r>
              <w:rPr>
                <w:rFonts w:hint="eastAsia" w:ascii="宋体" w:hAnsi="宋体" w:cs="宋体"/>
                <w:b/>
                <w:bCs/>
                <w:color w:val="auto"/>
                <w:kern w:val="0"/>
                <w:sz w:val="24"/>
                <w:szCs w:val="24"/>
                <w:highlight w:val="none"/>
                <w:lang w:val="en-US" w:eastAsia="zh-CN"/>
              </w:rPr>
              <w:t>229.95</w:t>
            </w:r>
            <w:r>
              <w:rPr>
                <w:rFonts w:hint="eastAsia" w:ascii="宋体" w:hAnsi="宋体" w:eastAsia="宋体" w:cs="宋体"/>
                <w:b/>
                <w:bCs/>
                <w:color w:val="auto"/>
                <w:kern w:val="0"/>
                <w:sz w:val="24"/>
                <w:szCs w:val="24"/>
                <w:highlight w:val="none"/>
                <w:lang w:val="en-US" w:eastAsia="zh-CN"/>
              </w:rPr>
              <w:t>万元</w:t>
            </w:r>
          </w:p>
        </w:tc>
      </w:tr>
      <w:tr w14:paraId="01D973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5" w:type="dxa"/>
            <w:vAlign w:val="center"/>
          </w:tcPr>
          <w:p w14:paraId="6C99EEE6">
            <w:pPr>
              <w:spacing w:line="420" w:lineRule="exact"/>
              <w:jc w:val="center"/>
              <w:rPr>
                <w:rFonts w:ascii="宋体" w:hAnsi="宋体" w:cs="宋体"/>
                <w:color w:val="auto"/>
                <w:sz w:val="24"/>
                <w:highlight w:val="none"/>
              </w:rPr>
            </w:pPr>
            <w:r>
              <w:rPr>
                <w:rFonts w:hint="eastAsia" w:ascii="宋体" w:hAnsi="宋体" w:cs="宋体"/>
                <w:color w:val="auto"/>
                <w:sz w:val="24"/>
                <w:highlight w:val="none"/>
              </w:rPr>
              <w:t>5.1</w:t>
            </w:r>
          </w:p>
        </w:tc>
        <w:tc>
          <w:tcPr>
            <w:tcW w:w="1625" w:type="dxa"/>
            <w:vAlign w:val="center"/>
          </w:tcPr>
          <w:p w14:paraId="42D02C82">
            <w:pPr>
              <w:spacing w:line="420" w:lineRule="exact"/>
              <w:jc w:val="center"/>
              <w:rPr>
                <w:rFonts w:ascii="宋体" w:hAnsi="宋体" w:cs="宋体"/>
                <w:color w:val="auto"/>
                <w:sz w:val="24"/>
                <w:highlight w:val="none"/>
              </w:rPr>
            </w:pPr>
            <w:r>
              <w:rPr>
                <w:rFonts w:hint="eastAsia" w:ascii="宋体" w:hAnsi="宋体" w:cs="宋体"/>
                <w:color w:val="auto"/>
                <w:sz w:val="24"/>
                <w:highlight w:val="none"/>
              </w:rPr>
              <w:t>是否接受联合体竞标</w:t>
            </w:r>
          </w:p>
        </w:tc>
        <w:tc>
          <w:tcPr>
            <w:tcW w:w="7754" w:type="dxa"/>
            <w:vAlign w:val="center"/>
          </w:tcPr>
          <w:p w14:paraId="1A05AD35">
            <w:pPr>
              <w:spacing w:line="420" w:lineRule="exact"/>
              <w:rPr>
                <w:rFonts w:ascii="宋体" w:hAnsi="宋体" w:cs="宋体"/>
                <w:color w:val="auto"/>
                <w:sz w:val="24"/>
                <w:highlight w:val="none"/>
              </w:rPr>
            </w:pPr>
            <w:r>
              <w:rPr>
                <w:rFonts w:hint="eastAsia" w:ascii="宋体" w:hAnsi="宋体" w:cs="宋体"/>
                <w:color w:val="auto"/>
                <w:sz w:val="24"/>
                <w:highlight w:val="none"/>
              </w:rPr>
              <w:t>不接受</w:t>
            </w:r>
          </w:p>
        </w:tc>
      </w:tr>
      <w:tr w14:paraId="1DE01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5" w:type="dxa"/>
            <w:vAlign w:val="center"/>
          </w:tcPr>
          <w:p w14:paraId="7DE8BDB3">
            <w:pPr>
              <w:spacing w:line="420" w:lineRule="exact"/>
              <w:jc w:val="center"/>
              <w:rPr>
                <w:rFonts w:ascii="宋体" w:hAnsi="宋体" w:cs="宋体"/>
                <w:color w:val="auto"/>
                <w:sz w:val="24"/>
                <w:highlight w:val="none"/>
              </w:rPr>
            </w:pPr>
            <w:r>
              <w:rPr>
                <w:rFonts w:hint="eastAsia" w:ascii="宋体" w:hAnsi="宋体" w:cs="宋体"/>
                <w:color w:val="auto"/>
                <w:sz w:val="24"/>
                <w:highlight w:val="none"/>
              </w:rPr>
              <w:t>5.2</w:t>
            </w:r>
          </w:p>
        </w:tc>
        <w:tc>
          <w:tcPr>
            <w:tcW w:w="1625" w:type="dxa"/>
            <w:vAlign w:val="center"/>
          </w:tcPr>
          <w:p w14:paraId="101CDC77">
            <w:pPr>
              <w:spacing w:line="420" w:lineRule="exact"/>
              <w:jc w:val="center"/>
              <w:rPr>
                <w:rFonts w:ascii="宋体" w:hAnsi="宋体" w:cs="宋体"/>
                <w:color w:val="auto"/>
                <w:sz w:val="24"/>
                <w:highlight w:val="none"/>
              </w:rPr>
            </w:pPr>
            <w:r>
              <w:rPr>
                <w:rFonts w:hint="eastAsia" w:ascii="宋体" w:hAnsi="宋体" w:cs="宋体"/>
                <w:color w:val="auto"/>
                <w:sz w:val="24"/>
                <w:highlight w:val="none"/>
              </w:rPr>
              <w:t>联合体竞标要求</w:t>
            </w:r>
          </w:p>
        </w:tc>
        <w:tc>
          <w:tcPr>
            <w:tcW w:w="7754" w:type="dxa"/>
            <w:vAlign w:val="center"/>
          </w:tcPr>
          <w:p w14:paraId="6DEF8BCB">
            <w:pPr>
              <w:spacing w:line="420" w:lineRule="exact"/>
              <w:rPr>
                <w:rFonts w:ascii="宋体" w:hAnsi="宋体" w:cs="宋体"/>
                <w:color w:val="auto"/>
                <w:sz w:val="24"/>
                <w:highlight w:val="none"/>
              </w:rPr>
            </w:pPr>
            <w:r>
              <w:rPr>
                <w:rFonts w:hint="eastAsia" w:ascii="宋体" w:hAnsi="宋体" w:cs="宋体"/>
                <w:color w:val="auto"/>
                <w:sz w:val="24"/>
                <w:highlight w:val="none"/>
              </w:rPr>
              <w:t>无</w:t>
            </w:r>
          </w:p>
        </w:tc>
      </w:tr>
      <w:tr w14:paraId="6D587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5" w:type="dxa"/>
            <w:vAlign w:val="center"/>
          </w:tcPr>
          <w:p w14:paraId="07F558F8">
            <w:pPr>
              <w:spacing w:line="420" w:lineRule="exact"/>
              <w:jc w:val="center"/>
              <w:rPr>
                <w:rFonts w:ascii="宋体" w:hAnsi="宋体" w:cs="宋体"/>
                <w:color w:val="auto"/>
                <w:sz w:val="24"/>
                <w:highlight w:val="none"/>
              </w:rPr>
            </w:pPr>
            <w:r>
              <w:rPr>
                <w:rFonts w:hint="eastAsia" w:ascii="宋体" w:hAnsi="宋体" w:cs="宋体"/>
                <w:color w:val="auto"/>
                <w:sz w:val="24"/>
                <w:highlight w:val="none"/>
              </w:rPr>
              <w:t>6.1</w:t>
            </w:r>
          </w:p>
        </w:tc>
        <w:tc>
          <w:tcPr>
            <w:tcW w:w="1625" w:type="dxa"/>
            <w:vAlign w:val="center"/>
          </w:tcPr>
          <w:p w14:paraId="69F5339B">
            <w:pPr>
              <w:spacing w:line="420" w:lineRule="exact"/>
              <w:jc w:val="center"/>
              <w:rPr>
                <w:rFonts w:ascii="宋体" w:hAnsi="宋体" w:cs="宋体"/>
                <w:color w:val="auto"/>
                <w:sz w:val="24"/>
                <w:highlight w:val="none"/>
              </w:rPr>
            </w:pPr>
            <w:r>
              <w:rPr>
                <w:rFonts w:hint="eastAsia" w:ascii="宋体" w:hAnsi="宋体" w:cs="宋体"/>
                <w:color w:val="auto"/>
                <w:sz w:val="24"/>
                <w:highlight w:val="none"/>
              </w:rPr>
              <w:t>是否允许分包</w:t>
            </w:r>
          </w:p>
        </w:tc>
        <w:tc>
          <w:tcPr>
            <w:tcW w:w="7754" w:type="dxa"/>
            <w:vAlign w:val="center"/>
          </w:tcPr>
          <w:p w14:paraId="2914B4AA">
            <w:pPr>
              <w:spacing w:line="420" w:lineRule="exact"/>
              <w:jc w:val="left"/>
              <w:rPr>
                <w:rFonts w:ascii="宋体" w:hAnsi="宋体" w:cs="宋体"/>
                <w:color w:val="auto"/>
                <w:sz w:val="24"/>
                <w:highlight w:val="none"/>
              </w:rPr>
            </w:pPr>
            <w:r>
              <w:rPr>
                <w:rFonts w:hint="eastAsia" w:ascii="宋体" w:hAnsi="宋体" w:cs="宋体"/>
                <w:color w:val="auto"/>
                <w:sz w:val="24"/>
                <w:highlight w:val="none"/>
              </w:rPr>
              <w:t>不允许</w:t>
            </w:r>
          </w:p>
        </w:tc>
      </w:tr>
      <w:tr w14:paraId="67AD53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5" w:type="dxa"/>
            <w:vAlign w:val="center"/>
          </w:tcPr>
          <w:p w14:paraId="07113871">
            <w:pPr>
              <w:spacing w:line="420" w:lineRule="exact"/>
              <w:jc w:val="center"/>
              <w:rPr>
                <w:rFonts w:ascii="宋体" w:hAnsi="宋体" w:cs="宋体"/>
                <w:color w:val="auto"/>
                <w:sz w:val="24"/>
                <w:highlight w:val="none"/>
              </w:rPr>
            </w:pPr>
            <w:r>
              <w:rPr>
                <w:rFonts w:hint="eastAsia" w:ascii="宋体" w:hAnsi="宋体" w:cs="宋体"/>
                <w:color w:val="auto"/>
                <w:sz w:val="24"/>
                <w:highlight w:val="none"/>
              </w:rPr>
              <w:t>12.1.1</w:t>
            </w:r>
          </w:p>
        </w:tc>
        <w:tc>
          <w:tcPr>
            <w:tcW w:w="1625" w:type="dxa"/>
            <w:vAlign w:val="center"/>
          </w:tcPr>
          <w:p w14:paraId="1B4E581C">
            <w:pPr>
              <w:snapToGrid w:val="0"/>
              <w:spacing w:line="420" w:lineRule="exact"/>
              <w:jc w:val="center"/>
              <w:rPr>
                <w:rFonts w:ascii="宋体" w:hAnsi="宋体" w:cs="宋体"/>
                <w:b/>
                <w:color w:val="auto"/>
                <w:sz w:val="24"/>
                <w:highlight w:val="none"/>
              </w:rPr>
            </w:pPr>
            <w:r>
              <w:rPr>
                <w:rFonts w:hint="eastAsia" w:ascii="宋体" w:hAnsi="宋体" w:cs="宋体"/>
                <w:b/>
                <w:color w:val="auto"/>
                <w:sz w:val="24"/>
                <w:highlight w:val="none"/>
              </w:rPr>
              <w:t>资格证明文件组成</w:t>
            </w:r>
          </w:p>
          <w:p w14:paraId="11DC4B4D">
            <w:pPr>
              <w:spacing w:line="420" w:lineRule="exact"/>
              <w:jc w:val="center"/>
              <w:rPr>
                <w:rFonts w:ascii="宋体" w:hAnsi="宋体" w:cs="宋体"/>
                <w:color w:val="auto"/>
                <w:sz w:val="24"/>
                <w:highlight w:val="none"/>
              </w:rPr>
            </w:pPr>
          </w:p>
        </w:tc>
        <w:tc>
          <w:tcPr>
            <w:tcW w:w="7754" w:type="dxa"/>
            <w:vAlign w:val="center"/>
          </w:tcPr>
          <w:p w14:paraId="258042B5">
            <w:pPr>
              <w:keepNext w:val="0"/>
              <w:keepLines w:val="0"/>
              <w:pageBreakBefore w:val="0"/>
              <w:widowControl w:val="0"/>
              <w:kinsoku/>
              <w:wordWrap/>
              <w:overflowPunct/>
              <w:topLinePunct w:val="0"/>
              <w:autoSpaceDE/>
              <w:autoSpaceDN/>
              <w:bidi w:val="0"/>
              <w:adjustRightInd/>
              <w:spacing w:line="440" w:lineRule="exact"/>
              <w:jc w:val="left"/>
              <w:textAlignment w:val="auto"/>
              <w:rPr>
                <w:rFonts w:ascii="宋体" w:hAnsi="宋体" w:cs="宋体"/>
                <w:color w:val="auto"/>
                <w:sz w:val="24"/>
                <w:highlight w:val="none"/>
              </w:rPr>
            </w:pPr>
            <w:r>
              <w:rPr>
                <w:rFonts w:hint="eastAsia" w:ascii="宋体" w:hAnsi="宋体" w:cs="宋体"/>
                <w:color w:val="auto"/>
                <w:sz w:val="24"/>
                <w:highlight w:val="none"/>
              </w:rPr>
              <w:t>1.供应商为法人或者其他组织的提供其营业执照等证明文件（如营业执照或者事业单位法人证书或者执业许可证等），供应商为自然人的提供其身份证复印件；（</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44AB393D">
            <w:pPr>
              <w:keepNext w:val="0"/>
              <w:keepLines w:val="0"/>
              <w:pageBreakBefore w:val="0"/>
              <w:widowControl w:val="0"/>
              <w:kinsoku/>
              <w:wordWrap/>
              <w:overflowPunct/>
              <w:topLinePunct w:val="0"/>
              <w:autoSpaceDE/>
              <w:autoSpaceDN/>
              <w:bidi w:val="0"/>
              <w:adjustRightInd/>
              <w:snapToGrid w:val="0"/>
              <w:spacing w:line="440" w:lineRule="exact"/>
              <w:jc w:val="left"/>
              <w:textAlignment w:val="auto"/>
              <w:rPr>
                <w:rFonts w:ascii="宋体" w:hAnsi="宋体" w:cs="宋体"/>
                <w:color w:val="auto"/>
                <w:sz w:val="24"/>
                <w:highlight w:val="none"/>
              </w:rPr>
            </w:pPr>
            <w:r>
              <w:rPr>
                <w:rFonts w:hint="eastAsia" w:ascii="宋体" w:hAnsi="宋体" w:cs="宋体"/>
                <w:color w:val="auto"/>
                <w:sz w:val="24"/>
                <w:highlight w:val="none"/>
              </w:rPr>
              <w:t>2.供应商依法缴纳税收的相关材料：[</w:t>
            </w:r>
            <w:r>
              <w:rPr>
                <w:rFonts w:hint="eastAsia" w:ascii="宋体" w:hAnsi="宋体"/>
                <w:b/>
                <w:bCs/>
                <w:color w:val="auto"/>
                <w:sz w:val="24"/>
                <w:highlight w:val="none"/>
                <w:u w:val="single"/>
                <w:lang w:val="en-US" w:eastAsia="zh-CN"/>
              </w:rPr>
              <w:t>截标前</w:t>
            </w:r>
            <w:r>
              <w:rPr>
                <w:rFonts w:hint="eastAsia" w:ascii="宋体" w:hAnsi="宋体"/>
                <w:b/>
                <w:bCs/>
                <w:color w:val="auto"/>
                <w:sz w:val="24"/>
                <w:highlight w:val="none"/>
                <w:u w:val="single"/>
              </w:rPr>
              <w:t>半年内连续3个月</w:t>
            </w:r>
            <w:r>
              <w:rPr>
                <w:rFonts w:hint="eastAsia" w:ascii="宋体" w:hAnsi="宋体" w:cs="宋体"/>
                <w:color w:val="auto"/>
                <w:sz w:val="24"/>
                <w:highlight w:val="none"/>
              </w:rPr>
              <w:t>依法缴纳税收的凭据复印件；依法免税的供应商，必须提供相应文件证明其依法免税。从取得营业执照时间起到响应文件提交截止时间为止不足要求月数的，只需提供从取得营业执照起的依法缴纳税收相应证明文件]；（</w:t>
            </w:r>
            <w:r>
              <w:rPr>
                <w:rFonts w:hint="eastAsia" w:ascii="宋体" w:hAnsi="宋体" w:cs="宋体"/>
                <w:b/>
                <w:color w:val="auto"/>
                <w:sz w:val="24"/>
                <w:highlight w:val="none"/>
              </w:rPr>
              <w:t>必须提供，否则作无效竞标处理</w:t>
            </w:r>
            <w:r>
              <w:rPr>
                <w:rFonts w:hint="eastAsia" w:ascii="宋体" w:hAnsi="宋体" w:cs="宋体"/>
                <w:color w:val="auto"/>
                <w:sz w:val="24"/>
                <w:highlight w:val="none"/>
              </w:rPr>
              <w:t>）</w:t>
            </w:r>
          </w:p>
          <w:p w14:paraId="652933EC">
            <w:pPr>
              <w:keepNext w:val="0"/>
              <w:keepLines w:val="0"/>
              <w:pageBreakBefore w:val="0"/>
              <w:widowControl w:val="0"/>
              <w:kinsoku/>
              <w:wordWrap/>
              <w:overflowPunct/>
              <w:topLinePunct w:val="0"/>
              <w:autoSpaceDE/>
              <w:autoSpaceDN/>
              <w:bidi w:val="0"/>
              <w:adjustRightInd/>
              <w:snapToGrid w:val="0"/>
              <w:spacing w:line="440" w:lineRule="exact"/>
              <w:jc w:val="left"/>
              <w:textAlignment w:val="auto"/>
              <w:rPr>
                <w:rFonts w:ascii="宋体" w:hAnsi="宋体" w:cs="宋体"/>
                <w:color w:val="auto"/>
                <w:sz w:val="24"/>
                <w:highlight w:val="none"/>
              </w:rPr>
            </w:pPr>
            <w:r>
              <w:rPr>
                <w:rFonts w:hint="eastAsia" w:ascii="宋体" w:hAnsi="宋体" w:cs="宋体"/>
                <w:color w:val="auto"/>
                <w:sz w:val="24"/>
                <w:highlight w:val="none"/>
              </w:rPr>
              <w:t>3.供应商依法缴纳社会保障资金的相关材料：</w:t>
            </w:r>
            <w:r>
              <w:rPr>
                <w:rFonts w:hint="eastAsia" w:ascii="宋体" w:hAnsi="宋体" w:cs="宋体"/>
                <w:b/>
                <w:bCs/>
                <w:color w:val="auto"/>
                <w:sz w:val="24"/>
                <w:highlight w:val="none"/>
              </w:rPr>
              <w:t>[</w:t>
            </w:r>
            <w:r>
              <w:rPr>
                <w:rFonts w:hint="eastAsia" w:ascii="宋体" w:hAnsi="宋体"/>
                <w:b/>
                <w:bCs/>
                <w:color w:val="auto"/>
                <w:sz w:val="24"/>
                <w:highlight w:val="none"/>
                <w:u w:val="single"/>
                <w:lang w:val="en-US" w:eastAsia="zh-CN"/>
              </w:rPr>
              <w:t>截标前</w:t>
            </w:r>
            <w:r>
              <w:rPr>
                <w:rFonts w:hint="eastAsia" w:ascii="宋体" w:hAnsi="宋体"/>
                <w:b/>
                <w:bCs/>
                <w:color w:val="auto"/>
                <w:sz w:val="24"/>
                <w:highlight w:val="none"/>
                <w:u w:val="single"/>
              </w:rPr>
              <w:t>半年内连续3个月</w:t>
            </w:r>
            <w:r>
              <w:rPr>
                <w:rFonts w:hint="eastAsia" w:ascii="宋体" w:hAnsi="宋体" w:cs="宋体"/>
                <w:color w:val="auto"/>
                <w:sz w:val="24"/>
                <w:highlight w:val="none"/>
              </w:rPr>
              <w:t>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cs="宋体"/>
                <w:b/>
                <w:color w:val="auto"/>
                <w:sz w:val="24"/>
                <w:highlight w:val="none"/>
              </w:rPr>
              <w:t>必须提供，否则作无效竞标处理</w:t>
            </w:r>
            <w:r>
              <w:rPr>
                <w:rFonts w:hint="eastAsia" w:ascii="宋体" w:hAnsi="宋体" w:cs="宋体"/>
                <w:color w:val="auto"/>
                <w:sz w:val="24"/>
                <w:highlight w:val="none"/>
              </w:rPr>
              <w:t>）</w:t>
            </w:r>
          </w:p>
          <w:p w14:paraId="64969866">
            <w:pPr>
              <w:keepNext w:val="0"/>
              <w:keepLines w:val="0"/>
              <w:pageBreakBefore w:val="0"/>
              <w:widowControl w:val="0"/>
              <w:kinsoku/>
              <w:wordWrap/>
              <w:overflowPunct/>
              <w:topLinePunct w:val="0"/>
              <w:autoSpaceDE/>
              <w:autoSpaceDN/>
              <w:bidi w:val="0"/>
              <w:adjustRightInd/>
              <w:snapToGrid w:val="0"/>
              <w:spacing w:line="440" w:lineRule="exact"/>
              <w:jc w:val="left"/>
              <w:textAlignment w:val="auto"/>
              <w:rPr>
                <w:rFonts w:ascii="宋体" w:hAnsi="宋体" w:cs="宋体"/>
                <w:b/>
                <w:bCs/>
                <w:color w:val="auto"/>
                <w:sz w:val="24"/>
                <w:highlight w:val="none"/>
              </w:rPr>
            </w:pPr>
            <w:r>
              <w:rPr>
                <w:rFonts w:hint="eastAsia" w:ascii="宋体" w:hAnsi="宋体" w:cs="宋体"/>
                <w:color w:val="auto"/>
                <w:sz w:val="24"/>
                <w:highlight w:val="none"/>
              </w:rPr>
              <w:t>4.供应商财务报表复印件：</w:t>
            </w:r>
            <w:r>
              <w:rPr>
                <w:rFonts w:hint="eastAsia" w:ascii="宋体" w:hAnsi="宋体" w:cs="宋体"/>
                <w:b/>
                <w:bCs/>
                <w:color w:val="auto"/>
                <w:sz w:val="24"/>
                <w:highlight w:val="none"/>
                <w:u w:val="single"/>
                <w:lang w:val="en-US" w:eastAsia="zh-CN"/>
              </w:rPr>
              <w:t>2025年</w:t>
            </w:r>
            <w:r>
              <w:rPr>
                <w:rFonts w:hint="eastAsia" w:ascii="宋体" w:hAnsi="宋体" w:cs="宋体"/>
                <w:color w:val="auto"/>
                <w:sz w:val="24"/>
                <w:highlight w:val="none"/>
              </w:rPr>
              <w:t>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cs="宋体"/>
                <w:b/>
                <w:bCs/>
                <w:color w:val="auto"/>
                <w:sz w:val="24"/>
                <w:highlight w:val="none"/>
              </w:rPr>
              <w:t>（必须提供，否则作无效竞标处理）</w:t>
            </w:r>
          </w:p>
          <w:p w14:paraId="502604BE">
            <w:pPr>
              <w:keepNext w:val="0"/>
              <w:keepLines w:val="0"/>
              <w:pageBreakBefore w:val="0"/>
              <w:widowControl w:val="0"/>
              <w:kinsoku/>
              <w:wordWrap/>
              <w:overflowPunct/>
              <w:topLinePunct w:val="0"/>
              <w:autoSpaceDE/>
              <w:autoSpaceDN/>
              <w:bidi w:val="0"/>
              <w:adjustRightInd/>
              <w:snapToGrid w:val="0"/>
              <w:spacing w:line="440" w:lineRule="exact"/>
              <w:jc w:val="left"/>
              <w:textAlignment w:val="auto"/>
              <w:rPr>
                <w:rFonts w:ascii="宋体" w:hAnsi="宋体" w:cs="宋体"/>
                <w:color w:val="auto"/>
                <w:sz w:val="24"/>
                <w:highlight w:val="none"/>
              </w:rPr>
            </w:pPr>
            <w:r>
              <w:rPr>
                <w:rFonts w:hint="eastAsia" w:ascii="宋体" w:hAnsi="宋体" w:cs="宋体"/>
                <w:color w:val="auto"/>
                <w:sz w:val="24"/>
                <w:highlight w:val="none"/>
              </w:rPr>
              <w:t>5.供应商直接控股、管理关系信息表；（</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02881252">
            <w:pPr>
              <w:keepNext w:val="0"/>
              <w:keepLines w:val="0"/>
              <w:pageBreakBefore w:val="0"/>
              <w:widowControl w:val="0"/>
              <w:kinsoku/>
              <w:wordWrap/>
              <w:overflowPunct/>
              <w:topLinePunct w:val="0"/>
              <w:autoSpaceDE/>
              <w:autoSpaceDN/>
              <w:bidi w:val="0"/>
              <w:adjustRightInd/>
              <w:snapToGrid w:val="0"/>
              <w:spacing w:line="440" w:lineRule="exact"/>
              <w:jc w:val="left"/>
              <w:textAlignment w:val="auto"/>
              <w:rPr>
                <w:rFonts w:hint="eastAsia" w:ascii="宋体" w:hAnsi="宋体" w:cs="宋体"/>
                <w:color w:val="auto"/>
                <w:sz w:val="24"/>
                <w:highlight w:val="none"/>
              </w:rPr>
            </w:pPr>
            <w:r>
              <w:rPr>
                <w:rFonts w:hint="eastAsia" w:ascii="宋体" w:hAnsi="宋体" w:cs="宋体"/>
                <w:color w:val="auto"/>
                <w:sz w:val="24"/>
                <w:highlight w:val="none"/>
              </w:rPr>
              <w:t>6.资格声明函；（</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35FDE896">
            <w:pPr>
              <w:pStyle w:val="22"/>
              <w:keepNext w:val="0"/>
              <w:keepLines w:val="0"/>
              <w:pageBreakBefore w:val="0"/>
              <w:widowControl w:val="0"/>
              <w:kinsoku/>
              <w:wordWrap/>
              <w:overflowPunct/>
              <w:topLinePunct w:val="0"/>
              <w:autoSpaceDE/>
              <w:autoSpaceDN/>
              <w:bidi w:val="0"/>
              <w:adjustRightInd/>
              <w:spacing w:line="440" w:lineRule="exact"/>
              <w:textAlignment w:val="auto"/>
              <w:rPr>
                <w:color w:val="auto"/>
                <w:highlight w:val="none"/>
              </w:rPr>
            </w:pPr>
            <w:r>
              <w:rPr>
                <w:rFonts w:hint="eastAsia" w:ascii="宋体" w:hAnsi="宋体" w:cs="宋体"/>
                <w:color w:val="auto"/>
                <w:sz w:val="24"/>
                <w:highlight w:val="none"/>
                <w:lang w:val="en-US" w:eastAsia="zh-CN"/>
              </w:rPr>
              <w:t>7.</w:t>
            </w:r>
            <w:r>
              <w:rPr>
                <w:rFonts w:hint="eastAsia" w:ascii="宋体" w:hAnsi="宋体" w:cs="宋体"/>
                <w:color w:val="auto"/>
                <w:sz w:val="24"/>
                <w:highlight w:val="none"/>
              </w:rPr>
              <w:t>磋商保证金提交凭证；</w:t>
            </w:r>
            <w:r>
              <w:rPr>
                <w:rFonts w:hint="eastAsia" w:ascii="宋体" w:hAnsi="宋体" w:cs="宋体"/>
                <w:b/>
                <w:color w:val="auto"/>
                <w:sz w:val="24"/>
                <w:highlight w:val="none"/>
              </w:rPr>
              <w:t>（如要求提交磋商保证金的则必须提供，否则响应文件按无效响应处理）</w:t>
            </w:r>
          </w:p>
          <w:p w14:paraId="69B39237">
            <w:pPr>
              <w:keepNext w:val="0"/>
              <w:keepLines w:val="0"/>
              <w:pageBreakBefore w:val="0"/>
              <w:widowControl w:val="0"/>
              <w:kinsoku/>
              <w:wordWrap/>
              <w:overflowPunct/>
              <w:topLinePunct w:val="0"/>
              <w:autoSpaceDE/>
              <w:autoSpaceDN/>
              <w:bidi w:val="0"/>
              <w:adjustRightInd/>
              <w:snapToGrid w:val="0"/>
              <w:spacing w:line="440" w:lineRule="exact"/>
              <w:jc w:val="left"/>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8</w:t>
            </w:r>
            <w:r>
              <w:rPr>
                <w:rFonts w:hint="eastAsia" w:ascii="宋体" w:hAnsi="宋体" w:cs="宋体"/>
                <w:color w:val="auto"/>
                <w:sz w:val="24"/>
                <w:highlight w:val="none"/>
              </w:rPr>
              <w:t>.采购人或采购代理机构根据竞争性磋商公告对应的特定资格要求</w:t>
            </w:r>
            <w:r>
              <w:rPr>
                <w:rFonts w:hint="eastAsia" w:ascii="宋体" w:hAnsi="宋体" w:cs="宋体"/>
                <w:color w:val="auto"/>
                <w:sz w:val="24"/>
                <w:highlight w:val="none"/>
                <w:lang w:eastAsia="zh-CN"/>
              </w:rPr>
              <w:t>（</w:t>
            </w:r>
            <w:r>
              <w:rPr>
                <w:rFonts w:hint="eastAsia" w:ascii="宋体" w:hAnsi="宋体" w:cs="宋体"/>
                <w:b/>
                <w:color w:val="auto"/>
                <w:sz w:val="24"/>
                <w:highlight w:val="none"/>
                <w:lang w:val="en-US" w:eastAsia="zh-CN"/>
              </w:rPr>
              <w:t>含</w:t>
            </w:r>
            <w:r>
              <w:rPr>
                <w:rFonts w:hint="eastAsia" w:ascii="宋体" w:hAnsi="宋体" w:cs="宋体"/>
                <w:b/>
                <w:color w:val="auto"/>
                <w:sz w:val="24"/>
                <w:highlight w:val="none"/>
              </w:rPr>
              <w:t>有效的生态环境部门颁发的《危险废物经营许可证》且核准经营危险废物类别必须包含HW01类或提供生态环境部门颁发的允许收集处置医疗废物的相关证明文件</w:t>
            </w:r>
            <w:r>
              <w:rPr>
                <w:rFonts w:hint="eastAsia" w:ascii="宋体" w:hAnsi="宋体" w:cs="宋体"/>
                <w:color w:val="auto"/>
                <w:sz w:val="24"/>
                <w:highlight w:val="none"/>
                <w:lang w:eastAsia="zh-CN"/>
              </w:rPr>
              <w:t>）</w:t>
            </w:r>
            <w:r>
              <w:rPr>
                <w:rFonts w:hint="eastAsia" w:ascii="宋体" w:hAnsi="宋体" w:cs="宋体"/>
                <w:color w:val="auto"/>
                <w:sz w:val="24"/>
                <w:highlight w:val="none"/>
              </w:rPr>
              <w:t>及特定条件设置供应商提供的资格证明材料；（</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1A8C853E">
            <w:pPr>
              <w:keepNext w:val="0"/>
              <w:keepLines w:val="0"/>
              <w:pageBreakBefore w:val="0"/>
              <w:widowControl w:val="0"/>
              <w:kinsoku/>
              <w:wordWrap/>
              <w:overflowPunct/>
              <w:topLinePunct w:val="0"/>
              <w:autoSpaceDE/>
              <w:autoSpaceDN/>
              <w:bidi w:val="0"/>
              <w:adjustRightInd/>
              <w:snapToGrid w:val="0"/>
              <w:spacing w:line="440" w:lineRule="exact"/>
              <w:jc w:val="left"/>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9</w:t>
            </w:r>
            <w:r>
              <w:rPr>
                <w:rFonts w:hint="eastAsia" w:ascii="宋体" w:hAnsi="宋体" w:cs="宋体"/>
                <w:color w:val="auto"/>
                <w:sz w:val="24"/>
                <w:highlight w:val="none"/>
              </w:rPr>
              <w:t>.除磋商文件规定必须提供以外，供应商认为需要提供的其他证明材料；</w:t>
            </w:r>
          </w:p>
          <w:p w14:paraId="77A0417E">
            <w:pPr>
              <w:keepNext w:val="0"/>
              <w:keepLines w:val="0"/>
              <w:pageBreakBefore w:val="0"/>
              <w:widowControl w:val="0"/>
              <w:kinsoku/>
              <w:wordWrap/>
              <w:overflowPunct/>
              <w:topLinePunct w:val="0"/>
              <w:autoSpaceDE/>
              <w:autoSpaceDN/>
              <w:bidi w:val="0"/>
              <w:adjustRightInd/>
              <w:snapToGrid w:val="0"/>
              <w:spacing w:line="440" w:lineRule="exact"/>
              <w:jc w:val="left"/>
              <w:textAlignment w:val="auto"/>
              <w:rPr>
                <w:rFonts w:ascii="宋体" w:hAnsi="宋体" w:cs="宋体"/>
                <w:b/>
                <w:color w:val="auto"/>
                <w:sz w:val="24"/>
                <w:highlight w:val="none"/>
              </w:rPr>
            </w:pPr>
            <w:r>
              <w:rPr>
                <w:rFonts w:hint="eastAsia" w:ascii="宋体" w:hAnsi="宋体" w:cs="宋体"/>
                <w:b/>
                <w:color w:val="auto"/>
                <w:sz w:val="24"/>
                <w:highlight w:val="none"/>
              </w:rPr>
              <w:t>注：以上标明“必须提供”的材料必须加盖供应商电子公章，否则响应文件按无效响应处理。</w:t>
            </w:r>
          </w:p>
        </w:tc>
      </w:tr>
      <w:tr w14:paraId="738A60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5" w:type="dxa"/>
            <w:vMerge w:val="restart"/>
            <w:vAlign w:val="center"/>
          </w:tcPr>
          <w:p w14:paraId="2A8669EB">
            <w:pPr>
              <w:spacing w:line="420" w:lineRule="exact"/>
              <w:jc w:val="center"/>
              <w:rPr>
                <w:rFonts w:ascii="宋体" w:hAnsi="宋体" w:cs="宋体"/>
                <w:color w:val="auto"/>
                <w:sz w:val="24"/>
                <w:highlight w:val="none"/>
              </w:rPr>
            </w:pPr>
            <w:r>
              <w:rPr>
                <w:rFonts w:hint="eastAsia" w:ascii="宋体" w:hAnsi="宋体" w:cs="宋体"/>
                <w:color w:val="auto"/>
                <w:sz w:val="24"/>
                <w:highlight w:val="none"/>
              </w:rPr>
              <w:t>12.1.2</w:t>
            </w:r>
          </w:p>
        </w:tc>
        <w:tc>
          <w:tcPr>
            <w:tcW w:w="1625" w:type="dxa"/>
            <w:vAlign w:val="center"/>
          </w:tcPr>
          <w:p w14:paraId="21E6B7A3">
            <w:pPr>
              <w:spacing w:line="420" w:lineRule="exact"/>
              <w:jc w:val="center"/>
              <w:rPr>
                <w:rFonts w:ascii="宋体" w:hAnsi="宋体" w:cs="宋体"/>
                <w:b/>
                <w:bCs/>
                <w:color w:val="auto"/>
                <w:sz w:val="24"/>
                <w:highlight w:val="none"/>
              </w:rPr>
            </w:pPr>
            <w:r>
              <w:rPr>
                <w:rFonts w:hint="eastAsia" w:ascii="宋体" w:hAnsi="宋体" w:cs="宋体"/>
                <w:b/>
                <w:bCs/>
                <w:color w:val="auto"/>
                <w:sz w:val="24"/>
                <w:highlight w:val="none"/>
              </w:rPr>
              <w:t>商务文件组成</w:t>
            </w:r>
          </w:p>
        </w:tc>
        <w:tc>
          <w:tcPr>
            <w:tcW w:w="7754" w:type="dxa"/>
            <w:vAlign w:val="center"/>
          </w:tcPr>
          <w:p w14:paraId="257BFE0E">
            <w:pPr>
              <w:keepNext w:val="0"/>
              <w:keepLines w:val="0"/>
              <w:pageBreakBefore w:val="0"/>
              <w:widowControl w:val="0"/>
              <w:kinsoku/>
              <w:wordWrap/>
              <w:overflowPunct/>
              <w:topLinePunct w:val="0"/>
              <w:autoSpaceDE/>
              <w:autoSpaceDN/>
              <w:bidi w:val="0"/>
              <w:adjustRightInd/>
              <w:spacing w:line="440" w:lineRule="exact"/>
              <w:textAlignment w:val="auto"/>
              <w:rPr>
                <w:rFonts w:ascii="宋体" w:hAnsi="宋体" w:cs="宋体"/>
                <w:color w:val="auto"/>
                <w:sz w:val="24"/>
                <w:highlight w:val="none"/>
              </w:rPr>
            </w:pPr>
            <w:r>
              <w:rPr>
                <w:rFonts w:hint="eastAsia" w:ascii="宋体" w:hAnsi="宋体" w:cs="宋体"/>
                <w:color w:val="auto"/>
                <w:sz w:val="24"/>
                <w:highlight w:val="none"/>
              </w:rPr>
              <w:t>1.无串通竞标行为的承诺函；（</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0B00885C">
            <w:pPr>
              <w:keepNext w:val="0"/>
              <w:keepLines w:val="0"/>
              <w:pageBreakBefore w:val="0"/>
              <w:widowControl w:val="0"/>
              <w:kinsoku/>
              <w:wordWrap/>
              <w:overflowPunct/>
              <w:topLinePunct w:val="0"/>
              <w:autoSpaceDE/>
              <w:autoSpaceDN/>
              <w:bidi w:val="0"/>
              <w:adjustRightInd/>
              <w:spacing w:line="440" w:lineRule="exact"/>
              <w:jc w:val="left"/>
              <w:textAlignment w:val="auto"/>
              <w:rPr>
                <w:rFonts w:ascii="宋体" w:hAnsi="宋体" w:cs="宋体"/>
                <w:color w:val="auto"/>
                <w:sz w:val="24"/>
                <w:highlight w:val="none"/>
              </w:rPr>
            </w:pPr>
            <w:r>
              <w:rPr>
                <w:rFonts w:hint="eastAsia" w:ascii="宋体" w:hAnsi="宋体" w:cs="宋体"/>
                <w:color w:val="auto"/>
                <w:sz w:val="24"/>
                <w:highlight w:val="none"/>
              </w:rPr>
              <w:t>2.法定代表人身份证明书及法定代表人有效身份证正反面复印件；（</w:t>
            </w:r>
            <w:r>
              <w:rPr>
                <w:rFonts w:hint="eastAsia" w:ascii="宋体" w:hAnsi="宋体" w:cs="宋体"/>
                <w:b/>
                <w:bCs/>
                <w:color w:val="auto"/>
                <w:sz w:val="24"/>
                <w:highlight w:val="none"/>
              </w:rPr>
              <w:t>除自然人竞标外</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188BC5FE">
            <w:pPr>
              <w:keepNext w:val="0"/>
              <w:keepLines w:val="0"/>
              <w:pageBreakBefore w:val="0"/>
              <w:widowControl w:val="0"/>
              <w:kinsoku/>
              <w:wordWrap/>
              <w:overflowPunct/>
              <w:topLinePunct w:val="0"/>
              <w:autoSpaceDE/>
              <w:autoSpaceDN/>
              <w:bidi w:val="0"/>
              <w:adjustRightInd/>
              <w:spacing w:line="440" w:lineRule="exact"/>
              <w:textAlignment w:val="auto"/>
              <w:rPr>
                <w:rFonts w:ascii="宋体" w:hAnsi="宋体" w:cs="宋体"/>
                <w:b/>
                <w:color w:val="auto"/>
                <w:sz w:val="24"/>
                <w:highlight w:val="none"/>
              </w:rPr>
            </w:pPr>
            <w:r>
              <w:rPr>
                <w:rFonts w:hint="eastAsia" w:ascii="宋体" w:hAnsi="宋体" w:cs="宋体"/>
                <w:color w:val="auto"/>
                <w:sz w:val="24"/>
                <w:highlight w:val="none"/>
              </w:rPr>
              <w:t>3.法定代表人授权委托书及委托代理人有效身份证正反面复印件；（</w:t>
            </w:r>
            <w:r>
              <w:rPr>
                <w:rFonts w:hint="eastAsia" w:ascii="宋体" w:hAnsi="宋体" w:cs="宋体"/>
                <w:b/>
                <w:color w:val="auto"/>
                <w:sz w:val="24"/>
                <w:highlight w:val="none"/>
              </w:rPr>
              <w:t>委托时必须提供，否则响应文件按无效响应处理</w:t>
            </w:r>
            <w:r>
              <w:rPr>
                <w:rFonts w:hint="eastAsia" w:ascii="宋体" w:hAnsi="宋体" w:cs="宋体"/>
                <w:color w:val="auto"/>
                <w:sz w:val="24"/>
                <w:highlight w:val="none"/>
              </w:rPr>
              <w:t>）</w:t>
            </w:r>
          </w:p>
          <w:p w14:paraId="2BB93476">
            <w:pPr>
              <w:keepNext w:val="0"/>
              <w:keepLines w:val="0"/>
              <w:pageBreakBefore w:val="0"/>
              <w:widowControl w:val="0"/>
              <w:kinsoku/>
              <w:wordWrap/>
              <w:overflowPunct/>
              <w:topLinePunct w:val="0"/>
              <w:autoSpaceDE/>
              <w:autoSpaceDN/>
              <w:bidi w:val="0"/>
              <w:adjustRightInd/>
              <w:spacing w:line="440" w:lineRule="exact"/>
              <w:textAlignment w:val="auto"/>
              <w:rPr>
                <w:rFonts w:ascii="宋体" w:hAnsi="宋体" w:cs="宋体"/>
                <w:color w:val="auto"/>
                <w:sz w:val="24"/>
                <w:highlight w:val="none"/>
              </w:rPr>
            </w:pPr>
            <w:r>
              <w:rPr>
                <w:rFonts w:hint="eastAsia" w:ascii="宋体" w:hAnsi="宋体" w:cs="宋体"/>
                <w:color w:val="auto"/>
                <w:sz w:val="24"/>
                <w:highlight w:val="none"/>
              </w:rPr>
              <w:t>4.商务条款偏离表；（</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5AEE2C13">
            <w:pPr>
              <w:keepNext w:val="0"/>
              <w:keepLines w:val="0"/>
              <w:pageBreakBefore w:val="0"/>
              <w:widowControl w:val="0"/>
              <w:kinsoku/>
              <w:wordWrap/>
              <w:overflowPunct/>
              <w:topLinePunct w:val="0"/>
              <w:autoSpaceDE/>
              <w:autoSpaceDN/>
              <w:bidi w:val="0"/>
              <w:adjustRightInd/>
              <w:spacing w:line="440" w:lineRule="exact"/>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5</w:t>
            </w:r>
            <w:r>
              <w:rPr>
                <w:rFonts w:hint="eastAsia" w:ascii="宋体" w:hAnsi="宋体" w:cs="宋体"/>
                <w:color w:val="auto"/>
                <w:sz w:val="24"/>
                <w:highlight w:val="none"/>
              </w:rPr>
              <w:t>.竞标人情况介绍；</w:t>
            </w:r>
          </w:p>
          <w:p w14:paraId="2373380E">
            <w:pPr>
              <w:keepNext w:val="0"/>
              <w:keepLines w:val="0"/>
              <w:pageBreakBefore w:val="0"/>
              <w:widowControl w:val="0"/>
              <w:kinsoku/>
              <w:wordWrap/>
              <w:overflowPunct/>
              <w:topLinePunct w:val="0"/>
              <w:autoSpaceDE/>
              <w:autoSpaceDN/>
              <w:bidi w:val="0"/>
              <w:adjustRightInd/>
              <w:spacing w:line="440" w:lineRule="exact"/>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cs="宋体"/>
                <w:color w:val="auto"/>
                <w:sz w:val="24"/>
                <w:highlight w:val="none"/>
              </w:rPr>
              <w:t>.供应商认为需要提供的其他有关资料。</w:t>
            </w:r>
          </w:p>
          <w:p w14:paraId="021424C0">
            <w:pPr>
              <w:keepNext w:val="0"/>
              <w:keepLines w:val="0"/>
              <w:pageBreakBefore w:val="0"/>
              <w:widowControl w:val="0"/>
              <w:kinsoku/>
              <w:wordWrap/>
              <w:overflowPunct/>
              <w:topLinePunct w:val="0"/>
              <w:autoSpaceDE/>
              <w:autoSpaceDN/>
              <w:bidi w:val="0"/>
              <w:adjustRightInd/>
              <w:spacing w:line="440" w:lineRule="exact"/>
              <w:jc w:val="left"/>
              <w:textAlignment w:val="auto"/>
              <w:rPr>
                <w:rFonts w:ascii="宋体" w:hAnsi="宋体" w:cs="宋体"/>
                <w:b/>
                <w:color w:val="auto"/>
                <w:sz w:val="24"/>
                <w:highlight w:val="none"/>
              </w:rPr>
            </w:pPr>
            <w:r>
              <w:rPr>
                <w:rFonts w:hint="eastAsia" w:ascii="宋体" w:hAnsi="宋体" w:cs="宋体"/>
                <w:b/>
                <w:color w:val="auto"/>
                <w:sz w:val="24"/>
                <w:highlight w:val="none"/>
              </w:rPr>
              <w:t>注： 1.法定代表人授权委托书必须由法定代表人及委托代理人签字，并加盖供应商公章，否则响应文件按无效响应处理。</w:t>
            </w:r>
          </w:p>
          <w:p w14:paraId="23A52B44">
            <w:pPr>
              <w:keepNext w:val="0"/>
              <w:keepLines w:val="0"/>
              <w:pageBreakBefore w:val="0"/>
              <w:widowControl w:val="0"/>
              <w:kinsoku/>
              <w:wordWrap/>
              <w:overflowPunct/>
              <w:topLinePunct w:val="0"/>
              <w:autoSpaceDE/>
              <w:autoSpaceDN/>
              <w:bidi w:val="0"/>
              <w:adjustRightInd/>
              <w:spacing w:line="440" w:lineRule="exact"/>
              <w:textAlignment w:val="auto"/>
              <w:rPr>
                <w:rFonts w:ascii="宋体" w:hAnsi="宋体" w:cs="宋体"/>
                <w:b/>
                <w:color w:val="auto"/>
                <w:sz w:val="24"/>
                <w:highlight w:val="none"/>
              </w:rPr>
            </w:pPr>
            <w:r>
              <w:rPr>
                <w:rFonts w:hint="eastAsia" w:ascii="宋体" w:hAnsi="宋体" w:cs="宋体"/>
                <w:b/>
                <w:color w:val="auto"/>
                <w:sz w:val="24"/>
                <w:highlight w:val="none"/>
              </w:rPr>
              <w:t>2.以上标明“必须提供”的材料必须加盖供应商电子公章，否则响应文件按无效响应处理。</w:t>
            </w:r>
          </w:p>
        </w:tc>
      </w:tr>
      <w:tr w14:paraId="32348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5" w:type="dxa"/>
            <w:vMerge w:val="continue"/>
            <w:vAlign w:val="center"/>
          </w:tcPr>
          <w:p w14:paraId="14E35C73">
            <w:pPr>
              <w:spacing w:line="420" w:lineRule="exact"/>
              <w:jc w:val="center"/>
              <w:rPr>
                <w:rFonts w:ascii="宋体" w:hAnsi="宋体" w:cs="宋体"/>
                <w:color w:val="auto"/>
                <w:sz w:val="24"/>
                <w:highlight w:val="none"/>
              </w:rPr>
            </w:pPr>
          </w:p>
        </w:tc>
        <w:tc>
          <w:tcPr>
            <w:tcW w:w="1625" w:type="dxa"/>
            <w:vAlign w:val="center"/>
          </w:tcPr>
          <w:p w14:paraId="325D365C">
            <w:pPr>
              <w:spacing w:line="420" w:lineRule="exact"/>
              <w:jc w:val="center"/>
              <w:rPr>
                <w:rFonts w:hint="eastAsia" w:ascii="宋体" w:hAnsi="宋体" w:cs="宋体"/>
                <w:b/>
                <w:bCs/>
                <w:color w:val="auto"/>
                <w:sz w:val="24"/>
                <w:highlight w:val="none"/>
              </w:rPr>
            </w:pPr>
            <w:r>
              <w:rPr>
                <w:rFonts w:hint="eastAsia" w:ascii="宋体" w:hAnsi="宋体" w:cs="宋体"/>
                <w:b/>
                <w:bCs/>
                <w:color w:val="auto"/>
                <w:sz w:val="24"/>
                <w:highlight w:val="none"/>
              </w:rPr>
              <w:t>技术文件</w:t>
            </w:r>
          </w:p>
          <w:p w14:paraId="1B5BEC8E">
            <w:pPr>
              <w:spacing w:line="420" w:lineRule="exact"/>
              <w:jc w:val="center"/>
              <w:rPr>
                <w:rFonts w:ascii="宋体" w:hAnsi="宋体" w:cs="宋体"/>
                <w:b/>
                <w:bCs/>
                <w:color w:val="auto"/>
                <w:sz w:val="24"/>
                <w:highlight w:val="none"/>
              </w:rPr>
            </w:pPr>
            <w:r>
              <w:rPr>
                <w:rFonts w:hint="eastAsia" w:ascii="宋体" w:hAnsi="宋体" w:cs="宋体"/>
                <w:b/>
                <w:bCs/>
                <w:color w:val="auto"/>
                <w:sz w:val="24"/>
                <w:highlight w:val="none"/>
              </w:rPr>
              <w:t>组成</w:t>
            </w:r>
          </w:p>
        </w:tc>
        <w:tc>
          <w:tcPr>
            <w:tcW w:w="7754" w:type="dxa"/>
            <w:vAlign w:val="center"/>
          </w:tcPr>
          <w:p w14:paraId="7D04575B">
            <w:pPr>
              <w:keepNext w:val="0"/>
              <w:keepLines w:val="0"/>
              <w:pageBreakBefore w:val="0"/>
              <w:widowControl w:val="0"/>
              <w:kinsoku/>
              <w:wordWrap/>
              <w:overflowPunct/>
              <w:topLinePunct w:val="0"/>
              <w:autoSpaceDE/>
              <w:autoSpaceDN/>
              <w:bidi w:val="0"/>
              <w:adjustRightInd/>
              <w:spacing w:line="440" w:lineRule="exact"/>
              <w:textAlignment w:val="auto"/>
              <w:rPr>
                <w:rFonts w:ascii="宋体" w:hAnsi="宋体" w:cs="宋体"/>
                <w:color w:val="auto"/>
                <w:sz w:val="24"/>
                <w:highlight w:val="none"/>
              </w:rPr>
            </w:pPr>
            <w:r>
              <w:rPr>
                <w:rFonts w:hint="eastAsia" w:ascii="宋体" w:hAnsi="宋体" w:cs="宋体"/>
                <w:color w:val="auto"/>
                <w:sz w:val="24"/>
                <w:highlight w:val="none"/>
              </w:rPr>
              <w:t>1.服务需求偏离表；（</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3B315963">
            <w:pPr>
              <w:keepNext w:val="0"/>
              <w:keepLines w:val="0"/>
              <w:pageBreakBefore w:val="0"/>
              <w:widowControl w:val="0"/>
              <w:kinsoku/>
              <w:wordWrap/>
              <w:overflowPunct/>
              <w:topLinePunct w:val="0"/>
              <w:autoSpaceDE/>
              <w:autoSpaceDN/>
              <w:bidi w:val="0"/>
              <w:adjustRightInd/>
              <w:spacing w:line="440" w:lineRule="exact"/>
              <w:textAlignment w:val="auto"/>
              <w:rPr>
                <w:rFonts w:ascii="宋体" w:hAnsi="宋体" w:cs="宋体"/>
                <w:b/>
                <w:bCs/>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val="en-US" w:eastAsia="zh-CN"/>
              </w:rPr>
              <w:t>技术</w:t>
            </w:r>
            <w:r>
              <w:rPr>
                <w:rFonts w:hint="eastAsia" w:ascii="宋体" w:hAnsi="宋体" w:cs="宋体"/>
                <w:color w:val="auto"/>
                <w:sz w:val="24"/>
                <w:highlight w:val="none"/>
              </w:rPr>
              <w:t>方案</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含</w:t>
            </w:r>
            <w:r>
              <w:rPr>
                <w:rFonts w:hint="eastAsia" w:ascii="宋体" w:hAnsi="宋体" w:cs="宋体"/>
                <w:color w:val="auto"/>
                <w:sz w:val="24"/>
                <w:highlight w:val="none"/>
              </w:rPr>
              <w:t>服务方案</w:t>
            </w:r>
            <w:r>
              <w:rPr>
                <w:rFonts w:hint="eastAsia" w:ascii="宋体" w:hAnsi="宋体" w:cs="宋体"/>
                <w:color w:val="auto"/>
                <w:sz w:val="24"/>
                <w:highlight w:val="none"/>
                <w:lang w:eastAsia="zh-CN"/>
              </w:rPr>
              <w:t>、</w:t>
            </w:r>
            <w:r>
              <w:rPr>
                <w:rFonts w:hint="eastAsia" w:ascii="宋体" w:hAnsi="宋体" w:cs="宋体"/>
                <w:color w:val="auto"/>
                <w:sz w:val="24"/>
                <w:highlight w:val="none"/>
              </w:rPr>
              <w:t>管理措施方案</w:t>
            </w:r>
            <w:r>
              <w:rPr>
                <w:rFonts w:hint="eastAsia" w:ascii="宋体" w:hAnsi="宋体" w:cs="宋体"/>
                <w:color w:val="auto"/>
                <w:sz w:val="24"/>
                <w:highlight w:val="none"/>
                <w:lang w:eastAsia="zh-CN"/>
              </w:rPr>
              <w:t>、</w:t>
            </w:r>
            <w:r>
              <w:rPr>
                <w:rFonts w:hint="eastAsia" w:ascii="宋体" w:hAnsi="宋体" w:cs="宋体"/>
                <w:color w:val="auto"/>
                <w:sz w:val="24"/>
                <w:highlight w:val="none"/>
              </w:rPr>
              <w:t>应急方案</w:t>
            </w:r>
            <w:r>
              <w:rPr>
                <w:rFonts w:hint="eastAsia" w:ascii="宋体" w:hAnsi="宋体" w:cs="宋体"/>
                <w:color w:val="auto"/>
                <w:sz w:val="24"/>
                <w:highlight w:val="none"/>
                <w:lang w:val="en-US" w:eastAsia="zh-CN"/>
              </w:rPr>
              <w:t>等</w:t>
            </w:r>
            <w:r>
              <w:rPr>
                <w:rFonts w:hint="eastAsia" w:ascii="宋体" w:hAnsi="宋体" w:cs="宋体"/>
                <w:color w:val="auto"/>
                <w:sz w:val="24"/>
                <w:highlight w:val="none"/>
                <w:lang w:eastAsia="zh-CN"/>
              </w:rPr>
              <w:t>）</w:t>
            </w:r>
            <w:r>
              <w:rPr>
                <w:rFonts w:hint="eastAsia" w:ascii="宋体" w:hAnsi="宋体" w:cs="宋体"/>
                <w:color w:val="auto"/>
                <w:sz w:val="24"/>
                <w:highlight w:val="none"/>
              </w:rPr>
              <w:t>；</w:t>
            </w:r>
          </w:p>
          <w:p w14:paraId="79220A49">
            <w:pPr>
              <w:keepNext w:val="0"/>
              <w:keepLines w:val="0"/>
              <w:pageBreakBefore w:val="0"/>
              <w:widowControl w:val="0"/>
              <w:kinsoku/>
              <w:wordWrap/>
              <w:overflowPunct/>
              <w:topLinePunct w:val="0"/>
              <w:autoSpaceDE/>
              <w:autoSpaceDN/>
              <w:bidi w:val="0"/>
              <w:adjustRightInd/>
              <w:spacing w:line="440" w:lineRule="exact"/>
              <w:textAlignment w:val="auto"/>
              <w:rPr>
                <w:rFonts w:ascii="宋体" w:hAnsi="宋体" w:cs="宋体"/>
                <w:color w:val="auto"/>
                <w:sz w:val="24"/>
                <w:highlight w:val="none"/>
              </w:rPr>
            </w:pPr>
            <w:r>
              <w:rPr>
                <w:rFonts w:hint="eastAsia" w:ascii="宋体" w:hAnsi="宋体" w:cs="宋体"/>
                <w:color w:val="auto"/>
                <w:sz w:val="24"/>
                <w:highlight w:val="none"/>
              </w:rPr>
              <w:t>3.服务承诺；</w:t>
            </w:r>
          </w:p>
          <w:p w14:paraId="1AFE5C6B">
            <w:pPr>
              <w:keepNext w:val="0"/>
              <w:keepLines w:val="0"/>
              <w:pageBreakBefore w:val="0"/>
              <w:widowControl w:val="0"/>
              <w:kinsoku/>
              <w:wordWrap/>
              <w:overflowPunct/>
              <w:topLinePunct w:val="0"/>
              <w:autoSpaceDE/>
              <w:autoSpaceDN/>
              <w:bidi w:val="0"/>
              <w:adjustRightInd/>
              <w:spacing w:line="440" w:lineRule="exact"/>
              <w:textAlignment w:val="auto"/>
              <w:rPr>
                <w:rFonts w:ascii="宋体" w:hAnsi="宋体" w:cs="宋体"/>
                <w:color w:val="auto"/>
                <w:sz w:val="24"/>
                <w:highlight w:val="none"/>
              </w:rPr>
            </w:pPr>
            <w:r>
              <w:rPr>
                <w:rFonts w:hint="eastAsia" w:ascii="宋体" w:hAnsi="宋体" w:cs="宋体"/>
                <w:color w:val="auto"/>
                <w:sz w:val="24"/>
                <w:highlight w:val="none"/>
              </w:rPr>
              <w:t xml:space="preserve">4.项目实施人员一览表； </w:t>
            </w:r>
          </w:p>
          <w:p w14:paraId="0C55A716">
            <w:pPr>
              <w:keepNext w:val="0"/>
              <w:keepLines w:val="0"/>
              <w:pageBreakBefore w:val="0"/>
              <w:widowControl w:val="0"/>
              <w:kinsoku/>
              <w:wordWrap/>
              <w:overflowPunct/>
              <w:topLinePunct w:val="0"/>
              <w:autoSpaceDE/>
              <w:autoSpaceDN/>
              <w:bidi w:val="0"/>
              <w:adjustRightInd/>
              <w:spacing w:line="440" w:lineRule="exact"/>
              <w:textAlignment w:val="auto"/>
              <w:rPr>
                <w:rFonts w:ascii="宋体" w:hAnsi="宋体" w:cs="宋体"/>
                <w:color w:val="auto"/>
                <w:sz w:val="24"/>
                <w:highlight w:val="none"/>
              </w:rPr>
            </w:pPr>
            <w:r>
              <w:rPr>
                <w:rFonts w:hint="eastAsia" w:ascii="宋体" w:hAnsi="宋体" w:cs="宋体"/>
                <w:color w:val="auto"/>
                <w:sz w:val="24"/>
                <w:highlight w:val="none"/>
              </w:rPr>
              <w:t>5.对应采购需求的服务需求、商务条款提供的其他文件资料；</w:t>
            </w:r>
          </w:p>
          <w:p w14:paraId="770B3D07">
            <w:pPr>
              <w:keepNext w:val="0"/>
              <w:keepLines w:val="0"/>
              <w:pageBreakBefore w:val="0"/>
              <w:widowControl w:val="0"/>
              <w:kinsoku/>
              <w:wordWrap/>
              <w:overflowPunct/>
              <w:topLinePunct w:val="0"/>
              <w:autoSpaceDE/>
              <w:autoSpaceDN/>
              <w:bidi w:val="0"/>
              <w:adjustRightInd/>
              <w:spacing w:line="440" w:lineRule="exact"/>
              <w:textAlignment w:val="auto"/>
              <w:rPr>
                <w:rFonts w:ascii="宋体" w:hAnsi="宋体" w:cs="宋体"/>
                <w:color w:val="auto"/>
                <w:sz w:val="24"/>
                <w:highlight w:val="none"/>
              </w:rPr>
            </w:pPr>
            <w:r>
              <w:rPr>
                <w:rFonts w:hint="eastAsia" w:ascii="宋体" w:hAnsi="宋体" w:cs="宋体"/>
                <w:color w:val="auto"/>
                <w:sz w:val="24"/>
                <w:highlight w:val="none"/>
              </w:rPr>
              <w:t>6.供应商认为需要提供的其他有关资料。</w:t>
            </w:r>
          </w:p>
          <w:p w14:paraId="539E35CB">
            <w:pPr>
              <w:keepNext w:val="0"/>
              <w:keepLines w:val="0"/>
              <w:pageBreakBefore w:val="0"/>
              <w:widowControl w:val="0"/>
              <w:kinsoku/>
              <w:wordWrap/>
              <w:overflowPunct/>
              <w:topLinePunct w:val="0"/>
              <w:autoSpaceDE/>
              <w:autoSpaceDN/>
              <w:bidi w:val="0"/>
              <w:adjustRightInd/>
              <w:spacing w:line="440" w:lineRule="exact"/>
              <w:textAlignment w:val="auto"/>
              <w:rPr>
                <w:rFonts w:ascii="宋体" w:hAnsi="宋体" w:cs="宋体"/>
                <w:color w:val="auto"/>
                <w:sz w:val="24"/>
                <w:highlight w:val="none"/>
              </w:rPr>
            </w:pPr>
            <w:r>
              <w:rPr>
                <w:rFonts w:hint="eastAsia" w:ascii="宋体" w:hAnsi="宋体" w:cs="宋体"/>
                <w:b/>
                <w:color w:val="auto"/>
                <w:sz w:val="24"/>
                <w:highlight w:val="none"/>
              </w:rPr>
              <w:t>注：1.以上标明“必须提供”的材料必须加盖供应商电子公章，否则响应文件按无效响应处理。</w:t>
            </w:r>
          </w:p>
        </w:tc>
      </w:tr>
      <w:tr w14:paraId="44EF03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5" w:type="dxa"/>
            <w:vAlign w:val="center"/>
          </w:tcPr>
          <w:p w14:paraId="183E72D4">
            <w:pPr>
              <w:spacing w:line="420" w:lineRule="exact"/>
              <w:jc w:val="center"/>
              <w:rPr>
                <w:rFonts w:ascii="宋体" w:hAnsi="宋体" w:cs="宋体"/>
                <w:color w:val="auto"/>
                <w:sz w:val="24"/>
                <w:highlight w:val="none"/>
              </w:rPr>
            </w:pPr>
            <w:r>
              <w:rPr>
                <w:rFonts w:hint="eastAsia" w:ascii="宋体" w:hAnsi="宋体" w:cs="宋体"/>
                <w:color w:val="auto"/>
                <w:sz w:val="24"/>
                <w:highlight w:val="none"/>
              </w:rPr>
              <w:t>12.1.2</w:t>
            </w:r>
          </w:p>
        </w:tc>
        <w:tc>
          <w:tcPr>
            <w:tcW w:w="1625" w:type="dxa"/>
            <w:vAlign w:val="center"/>
          </w:tcPr>
          <w:p w14:paraId="3D43989F">
            <w:pPr>
              <w:spacing w:line="420" w:lineRule="exact"/>
              <w:jc w:val="center"/>
              <w:rPr>
                <w:rFonts w:hint="eastAsia" w:ascii="宋体" w:hAnsi="宋体" w:cs="宋体"/>
                <w:b/>
                <w:bCs/>
                <w:color w:val="auto"/>
                <w:sz w:val="24"/>
                <w:highlight w:val="none"/>
              </w:rPr>
            </w:pPr>
            <w:r>
              <w:rPr>
                <w:rFonts w:hint="eastAsia" w:ascii="宋体" w:hAnsi="宋体" w:cs="宋体"/>
                <w:b/>
                <w:bCs/>
                <w:color w:val="auto"/>
                <w:sz w:val="24"/>
                <w:highlight w:val="none"/>
              </w:rPr>
              <w:t>报价文件</w:t>
            </w:r>
          </w:p>
          <w:p w14:paraId="76ED2DED">
            <w:pPr>
              <w:spacing w:line="420" w:lineRule="exact"/>
              <w:jc w:val="center"/>
              <w:rPr>
                <w:rFonts w:ascii="宋体" w:hAnsi="宋体" w:cs="宋体"/>
                <w:color w:val="auto"/>
                <w:sz w:val="24"/>
                <w:highlight w:val="none"/>
              </w:rPr>
            </w:pPr>
            <w:r>
              <w:rPr>
                <w:rFonts w:hint="eastAsia" w:ascii="宋体" w:hAnsi="宋体" w:cs="宋体"/>
                <w:b/>
                <w:bCs/>
                <w:color w:val="auto"/>
                <w:sz w:val="24"/>
                <w:highlight w:val="none"/>
              </w:rPr>
              <w:t>组成</w:t>
            </w:r>
          </w:p>
        </w:tc>
        <w:tc>
          <w:tcPr>
            <w:tcW w:w="7754" w:type="dxa"/>
            <w:vAlign w:val="center"/>
          </w:tcPr>
          <w:p w14:paraId="766A2A8A">
            <w:pPr>
              <w:keepNext w:val="0"/>
              <w:keepLines w:val="0"/>
              <w:pageBreakBefore w:val="0"/>
              <w:widowControl w:val="0"/>
              <w:tabs>
                <w:tab w:val="left" w:pos="459"/>
              </w:tabs>
              <w:kinsoku/>
              <w:wordWrap/>
              <w:overflowPunct/>
              <w:topLinePunct w:val="0"/>
              <w:autoSpaceDE/>
              <w:autoSpaceDN/>
              <w:bidi w:val="0"/>
              <w:adjustRightInd/>
              <w:snapToGrid w:val="0"/>
              <w:spacing w:line="440" w:lineRule="exact"/>
              <w:jc w:val="left"/>
              <w:textAlignment w:val="auto"/>
              <w:rPr>
                <w:rFonts w:ascii="宋体" w:hAnsi="宋体" w:cs="宋体"/>
                <w:color w:val="auto"/>
                <w:sz w:val="24"/>
                <w:highlight w:val="none"/>
              </w:rPr>
            </w:pPr>
            <w:r>
              <w:rPr>
                <w:rFonts w:hint="eastAsia" w:ascii="宋体" w:hAnsi="宋体" w:cs="宋体"/>
                <w:color w:val="auto"/>
                <w:sz w:val="24"/>
                <w:highlight w:val="none"/>
              </w:rPr>
              <w:t>1.响应函；</w:t>
            </w:r>
            <w:r>
              <w:rPr>
                <w:rFonts w:hint="eastAsia" w:ascii="宋体" w:hAnsi="宋体" w:cs="宋体"/>
                <w:b/>
                <w:color w:val="auto"/>
                <w:sz w:val="24"/>
                <w:highlight w:val="none"/>
              </w:rPr>
              <w:t>（必须提供，否则作无效响应处理）</w:t>
            </w:r>
          </w:p>
          <w:p w14:paraId="28E682B3">
            <w:pPr>
              <w:keepNext w:val="0"/>
              <w:keepLines w:val="0"/>
              <w:pageBreakBefore w:val="0"/>
              <w:widowControl w:val="0"/>
              <w:kinsoku/>
              <w:wordWrap/>
              <w:overflowPunct/>
              <w:topLinePunct w:val="0"/>
              <w:autoSpaceDE/>
              <w:autoSpaceDN/>
              <w:bidi w:val="0"/>
              <w:adjustRightInd/>
              <w:spacing w:line="440" w:lineRule="exact"/>
              <w:textAlignment w:val="auto"/>
              <w:rPr>
                <w:rFonts w:ascii="宋体" w:hAnsi="宋体" w:cs="宋体"/>
                <w:color w:val="auto"/>
                <w:sz w:val="24"/>
                <w:highlight w:val="none"/>
              </w:rPr>
            </w:pPr>
            <w:r>
              <w:rPr>
                <w:rFonts w:hint="eastAsia" w:ascii="宋体" w:hAnsi="宋体" w:cs="宋体"/>
                <w:color w:val="auto"/>
                <w:sz w:val="24"/>
                <w:highlight w:val="none"/>
              </w:rPr>
              <w:t>2.响应报价表；（</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1FBB5E30">
            <w:pPr>
              <w:keepNext w:val="0"/>
              <w:keepLines w:val="0"/>
              <w:pageBreakBefore w:val="0"/>
              <w:widowControl w:val="0"/>
              <w:kinsoku/>
              <w:wordWrap/>
              <w:overflowPunct/>
              <w:topLinePunct w:val="0"/>
              <w:autoSpaceDE/>
              <w:autoSpaceDN/>
              <w:bidi w:val="0"/>
              <w:adjustRightInd/>
              <w:spacing w:line="440" w:lineRule="exact"/>
              <w:textAlignment w:val="auto"/>
              <w:rPr>
                <w:rFonts w:ascii="宋体" w:hAnsi="宋体" w:cs="宋体"/>
                <w:color w:val="auto"/>
                <w:sz w:val="24"/>
                <w:highlight w:val="none"/>
              </w:rPr>
            </w:pPr>
            <w:r>
              <w:rPr>
                <w:rFonts w:hint="eastAsia" w:ascii="宋体" w:hAnsi="宋体" w:cs="宋体"/>
                <w:color w:val="auto"/>
                <w:sz w:val="24"/>
                <w:highlight w:val="none"/>
              </w:rPr>
              <w:t>3.供应商认为需要提供的其他有关资料（如中小企业声明函等）。</w:t>
            </w:r>
          </w:p>
        </w:tc>
      </w:tr>
      <w:tr w14:paraId="72F2D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5" w:type="dxa"/>
            <w:vAlign w:val="center"/>
          </w:tcPr>
          <w:p w14:paraId="62A3ECD5">
            <w:pPr>
              <w:spacing w:line="420" w:lineRule="exact"/>
              <w:jc w:val="center"/>
              <w:rPr>
                <w:rFonts w:ascii="宋体" w:hAnsi="宋体" w:cs="宋体"/>
                <w:color w:val="auto"/>
                <w:sz w:val="24"/>
                <w:highlight w:val="none"/>
              </w:rPr>
            </w:pPr>
            <w:r>
              <w:rPr>
                <w:rFonts w:hint="eastAsia" w:ascii="宋体" w:hAnsi="宋体" w:cs="宋体"/>
                <w:color w:val="auto"/>
                <w:sz w:val="24"/>
                <w:highlight w:val="none"/>
              </w:rPr>
              <w:t>12.2</w:t>
            </w:r>
          </w:p>
        </w:tc>
        <w:tc>
          <w:tcPr>
            <w:tcW w:w="1625" w:type="dxa"/>
            <w:vAlign w:val="center"/>
          </w:tcPr>
          <w:p w14:paraId="226197E7">
            <w:pPr>
              <w:spacing w:line="420" w:lineRule="exact"/>
              <w:jc w:val="center"/>
              <w:rPr>
                <w:rFonts w:ascii="宋体" w:hAnsi="宋体" w:cs="宋体"/>
                <w:color w:val="auto"/>
                <w:sz w:val="24"/>
                <w:highlight w:val="none"/>
              </w:rPr>
            </w:pPr>
            <w:r>
              <w:rPr>
                <w:rFonts w:hint="eastAsia" w:ascii="宋体" w:hAnsi="宋体" w:cs="宋体"/>
                <w:color w:val="auto"/>
                <w:sz w:val="24"/>
                <w:highlight w:val="none"/>
              </w:rPr>
              <w:t>响应文件电子版要求</w:t>
            </w:r>
          </w:p>
        </w:tc>
        <w:tc>
          <w:tcPr>
            <w:tcW w:w="7754" w:type="dxa"/>
            <w:vAlign w:val="center"/>
          </w:tcPr>
          <w:p w14:paraId="5FA2F1BD">
            <w:pPr>
              <w:keepNext w:val="0"/>
              <w:keepLines w:val="0"/>
              <w:pageBreakBefore w:val="0"/>
              <w:widowControl w:val="0"/>
              <w:kinsoku/>
              <w:wordWrap/>
              <w:overflowPunct/>
              <w:topLinePunct w:val="0"/>
              <w:autoSpaceDE/>
              <w:autoSpaceDN/>
              <w:bidi w:val="0"/>
              <w:adjustRightInd/>
              <w:snapToGrid w:val="0"/>
              <w:spacing w:line="440" w:lineRule="exact"/>
              <w:jc w:val="left"/>
              <w:textAlignment w:val="auto"/>
              <w:rPr>
                <w:rFonts w:ascii="宋体" w:hAnsi="宋体" w:cs="宋体"/>
                <w:color w:val="auto"/>
                <w:sz w:val="24"/>
                <w:highlight w:val="none"/>
              </w:rPr>
            </w:pPr>
            <w:r>
              <w:rPr>
                <w:rFonts w:hint="eastAsia" w:ascii="宋体" w:hAnsi="宋体" w:cs="宋体"/>
                <w:color w:val="auto"/>
                <w:sz w:val="24"/>
                <w:highlight w:val="none"/>
              </w:rPr>
              <w:t>1.响应文件电子版要求：按照本采购文件“第五章 响应文件格式”编写（第五章未附格式的，由供应商自行拟定），不可涂改并在规定加盖公章处加盖电子公章，</w:t>
            </w:r>
            <w:r>
              <w:rPr>
                <w:rFonts w:hint="eastAsia" w:ascii="宋体" w:hAnsi="宋体" w:cs="宋体"/>
                <w:b/>
                <w:color w:val="auto"/>
                <w:sz w:val="24"/>
                <w:highlight w:val="none"/>
              </w:rPr>
              <w:t>否则响应文件按无效响应处理</w:t>
            </w:r>
            <w:r>
              <w:rPr>
                <w:rFonts w:hint="eastAsia" w:ascii="宋体" w:hAnsi="宋体" w:cs="宋体"/>
                <w:color w:val="auto"/>
                <w:sz w:val="24"/>
                <w:highlight w:val="none"/>
              </w:rPr>
              <w:t>。</w:t>
            </w:r>
          </w:p>
          <w:p w14:paraId="03797577">
            <w:pPr>
              <w:keepNext w:val="0"/>
              <w:keepLines w:val="0"/>
              <w:pageBreakBefore w:val="0"/>
              <w:widowControl w:val="0"/>
              <w:kinsoku/>
              <w:wordWrap/>
              <w:overflowPunct/>
              <w:topLinePunct w:val="0"/>
              <w:autoSpaceDE/>
              <w:autoSpaceDN/>
              <w:bidi w:val="0"/>
              <w:adjustRightInd/>
              <w:snapToGrid w:val="0"/>
              <w:spacing w:line="440" w:lineRule="exact"/>
              <w:jc w:val="left"/>
              <w:textAlignment w:val="auto"/>
              <w:rPr>
                <w:rFonts w:hint="eastAsia" w:ascii="宋体" w:hAnsi="宋体" w:cs="宋体"/>
                <w:color w:val="auto"/>
                <w:sz w:val="24"/>
                <w:highlight w:val="none"/>
              </w:rPr>
            </w:pPr>
            <w:r>
              <w:rPr>
                <w:rFonts w:hint="eastAsia" w:ascii="宋体" w:hAnsi="宋体" w:cs="宋体"/>
                <w:color w:val="auto"/>
                <w:sz w:val="24"/>
                <w:highlight w:val="none"/>
              </w:rPr>
              <w:t>2.响应文件电子版密封方式：电子响应文件通过平台有效CA加密后在“</w:t>
            </w:r>
            <w:r>
              <w:rPr>
                <w:rFonts w:hint="eastAsia" w:ascii="宋体" w:hAnsi="宋体" w:cs="宋体"/>
                <w:color w:val="auto"/>
                <w:sz w:val="24"/>
                <w:highlight w:val="none"/>
                <w:lang w:eastAsia="zh-CN"/>
              </w:rPr>
              <w:t>广西政府采购云平台</w:t>
            </w:r>
            <w:r>
              <w:rPr>
                <w:rFonts w:hint="eastAsia" w:ascii="宋体" w:hAnsi="宋体" w:cs="宋体"/>
                <w:color w:val="auto"/>
                <w:sz w:val="24"/>
                <w:highlight w:val="none"/>
              </w:rPr>
              <w:t>”平台投送。（操作方式见公告附件“电子响应文件制作与投送教程” ）</w:t>
            </w:r>
          </w:p>
          <w:p w14:paraId="0D037A5C">
            <w:pPr>
              <w:keepNext w:val="0"/>
              <w:keepLines w:val="0"/>
              <w:pageBreakBefore w:val="0"/>
              <w:widowControl w:val="0"/>
              <w:kinsoku/>
              <w:wordWrap/>
              <w:overflowPunct/>
              <w:topLinePunct w:val="0"/>
              <w:autoSpaceDE/>
              <w:autoSpaceDN/>
              <w:bidi w:val="0"/>
              <w:adjustRightInd/>
              <w:snapToGrid w:val="0"/>
              <w:spacing w:line="440" w:lineRule="exact"/>
              <w:jc w:val="left"/>
              <w:textAlignment w:val="auto"/>
              <w:rPr>
                <w:rFonts w:hint="eastAsia" w:ascii="宋体" w:hAnsi="宋体" w:cs="宋体"/>
                <w:color w:val="auto"/>
                <w:sz w:val="24"/>
                <w:highlight w:val="none"/>
              </w:rPr>
            </w:pPr>
            <w:r>
              <w:rPr>
                <w:rFonts w:hint="eastAsia" w:ascii="宋体" w:hAnsi="宋体" w:eastAsia="宋体" w:cs="宋体"/>
                <w:b/>
                <w:bCs w:val="0"/>
                <w:color w:val="auto"/>
                <w:sz w:val="24"/>
                <w:highlight w:val="none"/>
                <w:u w:val="none"/>
                <w:lang w:val="en-US" w:eastAsia="zh-CN"/>
              </w:rPr>
              <w:t>3.成交供应商</w:t>
            </w:r>
            <w:r>
              <w:rPr>
                <w:rFonts w:hint="eastAsia" w:ascii="宋体" w:hAnsi="宋体" w:eastAsia="宋体" w:cs="宋体"/>
                <w:b/>
                <w:bCs w:val="0"/>
                <w:color w:val="auto"/>
                <w:sz w:val="24"/>
                <w:highlight w:val="none"/>
                <w:u w:val="none"/>
              </w:rPr>
              <w:t>在领取成交通知书时，需打印与</w:t>
            </w:r>
            <w:r>
              <w:rPr>
                <w:rFonts w:hint="eastAsia" w:ascii="宋体" w:hAnsi="宋体" w:eastAsia="宋体" w:cs="宋体"/>
                <w:b/>
                <w:bCs w:val="0"/>
                <w:color w:val="auto"/>
                <w:sz w:val="24"/>
                <w:highlight w:val="none"/>
                <w:u w:val="none"/>
                <w:lang w:val="en-US" w:eastAsia="zh-CN"/>
              </w:rPr>
              <w:t>上传政采云系统的</w:t>
            </w:r>
            <w:r>
              <w:rPr>
                <w:rFonts w:hint="eastAsia" w:ascii="宋体" w:hAnsi="宋体" w:eastAsia="宋体" w:cs="宋体"/>
                <w:b/>
                <w:bCs w:val="0"/>
                <w:color w:val="auto"/>
                <w:sz w:val="24"/>
                <w:highlight w:val="none"/>
                <w:u w:val="none"/>
              </w:rPr>
              <w:t>电子</w:t>
            </w:r>
            <w:r>
              <w:rPr>
                <w:rFonts w:hint="eastAsia" w:ascii="宋体" w:hAnsi="宋体" w:cs="宋体"/>
                <w:b/>
                <w:bCs w:val="0"/>
                <w:color w:val="auto"/>
                <w:sz w:val="24"/>
                <w:highlight w:val="none"/>
                <w:u w:val="none"/>
                <w:lang w:val="en-US" w:eastAsia="zh-CN"/>
              </w:rPr>
              <w:t>响应</w:t>
            </w:r>
            <w:r>
              <w:rPr>
                <w:rFonts w:hint="eastAsia" w:ascii="宋体" w:hAnsi="宋体" w:eastAsia="宋体" w:cs="宋体"/>
                <w:b/>
                <w:bCs w:val="0"/>
                <w:color w:val="auto"/>
                <w:sz w:val="24"/>
                <w:highlight w:val="none"/>
                <w:u w:val="none"/>
              </w:rPr>
              <w:t>文件一致的纸质文件一式</w:t>
            </w:r>
            <w:r>
              <w:rPr>
                <w:rFonts w:hint="eastAsia" w:ascii="宋体" w:hAnsi="宋体" w:eastAsia="宋体" w:cs="宋体"/>
                <w:b/>
                <w:bCs w:val="0"/>
                <w:color w:val="auto"/>
                <w:sz w:val="24"/>
                <w:highlight w:val="none"/>
                <w:u w:val="none"/>
                <w:lang w:val="en-US" w:eastAsia="zh-CN"/>
              </w:rPr>
              <w:t>二</w:t>
            </w:r>
            <w:r>
              <w:rPr>
                <w:rFonts w:hint="eastAsia" w:ascii="宋体" w:hAnsi="宋体" w:eastAsia="宋体" w:cs="宋体"/>
                <w:b/>
                <w:bCs w:val="0"/>
                <w:color w:val="auto"/>
                <w:sz w:val="24"/>
                <w:highlight w:val="none"/>
                <w:u w:val="none"/>
              </w:rPr>
              <w:t>份供采购人归档</w:t>
            </w:r>
            <w:r>
              <w:rPr>
                <w:rFonts w:hint="eastAsia" w:ascii="宋体" w:hAnsi="宋体" w:eastAsia="宋体" w:cs="宋体"/>
                <w:b/>
                <w:bCs w:val="0"/>
                <w:color w:val="auto"/>
                <w:sz w:val="24"/>
                <w:highlight w:val="none"/>
              </w:rPr>
              <w:t>。</w:t>
            </w:r>
          </w:p>
        </w:tc>
      </w:tr>
      <w:tr w14:paraId="27283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5" w:type="dxa"/>
            <w:vAlign w:val="center"/>
          </w:tcPr>
          <w:p w14:paraId="0FC4DE9E">
            <w:pPr>
              <w:spacing w:line="420" w:lineRule="exact"/>
              <w:jc w:val="center"/>
              <w:rPr>
                <w:rFonts w:ascii="宋体" w:hAnsi="宋体" w:cs="宋体"/>
                <w:color w:val="auto"/>
                <w:sz w:val="24"/>
                <w:highlight w:val="none"/>
              </w:rPr>
            </w:pPr>
            <w:r>
              <w:rPr>
                <w:rFonts w:hint="eastAsia" w:ascii="宋体" w:hAnsi="宋体" w:cs="宋体"/>
                <w:color w:val="auto"/>
                <w:sz w:val="24"/>
                <w:highlight w:val="none"/>
              </w:rPr>
              <w:t>15.2</w:t>
            </w:r>
          </w:p>
        </w:tc>
        <w:tc>
          <w:tcPr>
            <w:tcW w:w="1625" w:type="dxa"/>
            <w:vAlign w:val="center"/>
          </w:tcPr>
          <w:p w14:paraId="6C98258C">
            <w:pPr>
              <w:spacing w:line="420" w:lineRule="exact"/>
              <w:jc w:val="center"/>
              <w:rPr>
                <w:rFonts w:ascii="宋体" w:hAnsi="宋体" w:cs="宋体"/>
                <w:color w:val="auto"/>
                <w:sz w:val="24"/>
                <w:highlight w:val="none"/>
              </w:rPr>
            </w:pPr>
            <w:r>
              <w:rPr>
                <w:rFonts w:hint="eastAsia" w:ascii="宋体" w:hAnsi="宋体" w:cs="宋体"/>
                <w:color w:val="auto"/>
                <w:sz w:val="24"/>
                <w:highlight w:val="none"/>
              </w:rPr>
              <w:t>响应报价要求</w:t>
            </w:r>
          </w:p>
        </w:tc>
        <w:tc>
          <w:tcPr>
            <w:tcW w:w="7754" w:type="dxa"/>
            <w:vAlign w:val="center"/>
          </w:tcPr>
          <w:p w14:paraId="294E13BD">
            <w:pPr>
              <w:keepNext w:val="0"/>
              <w:keepLines w:val="0"/>
              <w:pageBreakBefore w:val="0"/>
              <w:widowControl w:val="0"/>
              <w:kinsoku/>
              <w:wordWrap/>
              <w:overflowPunct/>
              <w:topLinePunct w:val="0"/>
              <w:autoSpaceDE/>
              <w:autoSpaceDN/>
              <w:bidi w:val="0"/>
              <w:adjustRightInd/>
              <w:snapToGrid w:val="0"/>
              <w:spacing w:line="460" w:lineRule="exact"/>
              <w:jc w:val="left"/>
              <w:textAlignment w:val="auto"/>
              <w:rPr>
                <w:rFonts w:ascii="宋体" w:hAnsi="宋体" w:cs="宋体"/>
                <w:color w:val="auto"/>
                <w:sz w:val="24"/>
                <w:highlight w:val="none"/>
              </w:rPr>
            </w:pPr>
            <w:r>
              <w:rPr>
                <w:rFonts w:hint="eastAsia" w:ascii="宋体" w:hAnsi="宋体" w:cs="宋体"/>
                <w:color w:val="auto"/>
                <w:sz w:val="24"/>
                <w:highlight w:val="none"/>
              </w:rPr>
              <w:t>响应报价必须包含满足本次竞标全部采购需求所应提供的服务，以及伴随的货物和工程（如有）的价格；包含竞标服务、货物、工程的成本、运输（含保险）、安装（如有）、调试、检验、技术服务、培训、税费等所有费用。</w:t>
            </w:r>
            <w:r>
              <w:rPr>
                <w:rFonts w:hint="eastAsia" w:ascii="宋体" w:hAnsi="宋体" w:cs="宋体"/>
                <w:b/>
                <w:color w:val="auto"/>
                <w:sz w:val="24"/>
                <w:highlight w:val="none"/>
              </w:rPr>
              <w:t>（采购需求另有约定的，从其约定。）</w:t>
            </w:r>
          </w:p>
        </w:tc>
      </w:tr>
      <w:tr w14:paraId="45821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5" w:type="dxa"/>
            <w:vAlign w:val="center"/>
          </w:tcPr>
          <w:p w14:paraId="4CBCE0A4">
            <w:pPr>
              <w:spacing w:line="420" w:lineRule="exact"/>
              <w:jc w:val="center"/>
              <w:rPr>
                <w:rFonts w:ascii="宋体" w:hAnsi="宋体" w:cs="宋体"/>
                <w:color w:val="auto"/>
                <w:sz w:val="24"/>
                <w:highlight w:val="none"/>
              </w:rPr>
            </w:pPr>
            <w:r>
              <w:rPr>
                <w:rFonts w:hint="eastAsia" w:ascii="宋体" w:hAnsi="宋体" w:cs="宋体"/>
                <w:color w:val="auto"/>
                <w:sz w:val="24"/>
                <w:highlight w:val="none"/>
              </w:rPr>
              <w:t>16.2</w:t>
            </w:r>
          </w:p>
        </w:tc>
        <w:tc>
          <w:tcPr>
            <w:tcW w:w="1625" w:type="dxa"/>
            <w:vAlign w:val="center"/>
          </w:tcPr>
          <w:p w14:paraId="47B9B44E">
            <w:pPr>
              <w:spacing w:line="420" w:lineRule="exact"/>
              <w:jc w:val="center"/>
              <w:rPr>
                <w:rFonts w:ascii="宋体" w:hAnsi="宋体" w:cs="宋体"/>
                <w:color w:val="auto"/>
                <w:sz w:val="24"/>
                <w:highlight w:val="none"/>
              </w:rPr>
            </w:pPr>
            <w:r>
              <w:rPr>
                <w:rFonts w:hint="eastAsia" w:ascii="宋体" w:hAnsi="宋体" w:cs="宋体"/>
                <w:color w:val="auto"/>
                <w:sz w:val="24"/>
                <w:highlight w:val="none"/>
              </w:rPr>
              <w:t>竞标有效期</w:t>
            </w:r>
          </w:p>
        </w:tc>
        <w:tc>
          <w:tcPr>
            <w:tcW w:w="7754" w:type="dxa"/>
            <w:vAlign w:val="center"/>
          </w:tcPr>
          <w:p w14:paraId="400930FA">
            <w:pPr>
              <w:keepNext w:val="0"/>
              <w:keepLines w:val="0"/>
              <w:pageBreakBefore w:val="0"/>
              <w:widowControl w:val="0"/>
              <w:tabs>
                <w:tab w:val="left" w:pos="720"/>
                <w:tab w:val="left" w:pos="840"/>
              </w:tabs>
              <w:kinsoku/>
              <w:wordWrap/>
              <w:overflowPunct/>
              <w:topLinePunct w:val="0"/>
              <w:autoSpaceDE/>
              <w:autoSpaceDN/>
              <w:bidi w:val="0"/>
              <w:adjustRightInd/>
              <w:snapToGrid w:val="0"/>
              <w:spacing w:line="460" w:lineRule="exact"/>
              <w:ind w:left="324" w:hanging="324" w:hangingChars="135"/>
              <w:jc w:val="left"/>
              <w:textAlignment w:val="auto"/>
              <w:rPr>
                <w:rFonts w:ascii="宋体" w:hAnsi="宋体" w:cs="宋体"/>
                <w:color w:val="auto"/>
                <w:sz w:val="24"/>
                <w:highlight w:val="none"/>
              </w:rPr>
            </w:pPr>
            <w:r>
              <w:rPr>
                <w:rFonts w:hint="eastAsia" w:ascii="宋体" w:hAnsi="宋体" w:cs="宋体"/>
                <w:color w:val="auto"/>
                <w:sz w:val="24"/>
                <w:highlight w:val="none"/>
              </w:rPr>
              <w:t>自首次响应文件提交截止之日起</w:t>
            </w:r>
            <w:r>
              <w:rPr>
                <w:rFonts w:hint="eastAsia" w:ascii="宋体" w:hAnsi="宋体" w:cs="宋体"/>
                <w:color w:val="auto"/>
                <w:sz w:val="24"/>
                <w:highlight w:val="none"/>
                <w:u w:val="single"/>
              </w:rPr>
              <w:t>60</w:t>
            </w:r>
            <w:r>
              <w:rPr>
                <w:rFonts w:hint="eastAsia" w:ascii="宋体" w:hAnsi="宋体" w:cs="宋体"/>
                <w:color w:val="auto"/>
                <w:sz w:val="24"/>
                <w:highlight w:val="none"/>
              </w:rPr>
              <w:t>日。</w:t>
            </w:r>
          </w:p>
        </w:tc>
      </w:tr>
      <w:tr w14:paraId="7E0E0D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5" w:type="dxa"/>
            <w:vAlign w:val="center"/>
          </w:tcPr>
          <w:p w14:paraId="4F29223D">
            <w:pPr>
              <w:spacing w:line="420" w:lineRule="exact"/>
              <w:jc w:val="center"/>
              <w:rPr>
                <w:rFonts w:ascii="宋体" w:hAnsi="宋体" w:cs="宋体"/>
                <w:color w:val="auto"/>
                <w:sz w:val="24"/>
                <w:highlight w:val="none"/>
              </w:rPr>
            </w:pPr>
            <w:r>
              <w:rPr>
                <w:rFonts w:hint="eastAsia" w:ascii="宋体" w:hAnsi="宋体" w:cs="宋体"/>
                <w:color w:val="auto"/>
                <w:sz w:val="24"/>
                <w:highlight w:val="none"/>
              </w:rPr>
              <w:t>17.1</w:t>
            </w:r>
          </w:p>
        </w:tc>
        <w:tc>
          <w:tcPr>
            <w:tcW w:w="1625" w:type="dxa"/>
            <w:vAlign w:val="center"/>
          </w:tcPr>
          <w:p w14:paraId="00DBD080">
            <w:pPr>
              <w:spacing w:line="420" w:lineRule="exact"/>
              <w:jc w:val="center"/>
              <w:rPr>
                <w:rFonts w:ascii="宋体" w:hAnsi="宋体" w:cs="宋体"/>
                <w:color w:val="auto"/>
                <w:sz w:val="24"/>
                <w:highlight w:val="none"/>
              </w:rPr>
            </w:pPr>
            <w:r>
              <w:rPr>
                <w:rFonts w:hint="eastAsia" w:ascii="宋体" w:hAnsi="宋体" w:cs="宋体"/>
                <w:color w:val="auto"/>
                <w:sz w:val="24"/>
                <w:highlight w:val="none"/>
              </w:rPr>
              <w:t>磋商保证金</w:t>
            </w:r>
          </w:p>
        </w:tc>
        <w:tc>
          <w:tcPr>
            <w:tcW w:w="7754" w:type="dxa"/>
            <w:vAlign w:val="center"/>
          </w:tcPr>
          <w:p w14:paraId="606D3A9B">
            <w:pPr>
              <w:keepNext w:val="0"/>
              <w:keepLines w:val="0"/>
              <w:pageBreakBefore w:val="0"/>
              <w:widowControl w:val="0"/>
              <w:kinsoku/>
              <w:wordWrap/>
              <w:overflowPunct/>
              <w:topLinePunct w:val="0"/>
              <w:autoSpaceDE/>
              <w:autoSpaceDN/>
              <w:bidi w:val="0"/>
              <w:adjustRightInd/>
              <w:snapToGrid w:val="0"/>
              <w:spacing w:line="460" w:lineRule="exact"/>
              <w:textAlignment w:val="auto"/>
              <w:rPr>
                <w:rFonts w:ascii="宋体" w:hAnsi="宋体" w:cs="宋体"/>
                <w:color w:val="auto"/>
                <w:sz w:val="24"/>
                <w:highlight w:val="none"/>
              </w:rPr>
            </w:pPr>
            <w:r>
              <w:rPr>
                <w:rFonts w:hint="eastAsia" w:ascii="宋体" w:hAnsi="宋体" w:cs="宋体"/>
                <w:color w:val="auto"/>
                <w:sz w:val="24"/>
                <w:highlight w:val="none"/>
              </w:rPr>
              <w:t>□本项目不收取磋商保证金。</w:t>
            </w:r>
          </w:p>
          <w:p w14:paraId="5C8517B0">
            <w:pPr>
              <w:keepNext w:val="0"/>
              <w:keepLines w:val="0"/>
              <w:pageBreakBefore w:val="0"/>
              <w:widowControl w:val="0"/>
              <w:kinsoku/>
              <w:wordWrap/>
              <w:overflowPunct/>
              <w:topLinePunct w:val="0"/>
              <w:autoSpaceDE/>
              <w:autoSpaceDN/>
              <w:bidi w:val="0"/>
              <w:adjustRightInd/>
              <w:snapToGrid w:val="0"/>
              <w:spacing w:line="460" w:lineRule="exact"/>
              <w:textAlignment w:val="auto"/>
              <w:rPr>
                <w:rFonts w:ascii="宋体" w:hAnsi="宋体" w:cs="宋体"/>
                <w:color w:val="auto"/>
                <w:sz w:val="24"/>
                <w:highlight w:val="none"/>
              </w:rPr>
            </w:pPr>
            <w:r>
              <w:rPr>
                <w:rFonts w:hint="eastAsia" w:ascii="宋体" w:hAnsi="宋体" w:cs="宋体"/>
                <w:color w:val="auto"/>
                <w:sz w:val="24"/>
                <w:highlight w:val="none"/>
              </w:rPr>
              <w:t>☑本项目收取磋商保证金，具体规定如下：</w:t>
            </w:r>
          </w:p>
          <w:p w14:paraId="76F74759">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460" w:lineRule="exact"/>
              <w:ind w:right="0" w:rightChars="0" w:firstLine="482" w:firstLineChars="200"/>
              <w:textAlignment w:val="auto"/>
              <w:rPr>
                <w:rFonts w:ascii="宋体" w:hAnsi="宋体" w:cs="宋体"/>
                <w:color w:val="auto"/>
                <w:sz w:val="24"/>
                <w:highlight w:val="none"/>
              </w:rPr>
            </w:pPr>
            <w:r>
              <w:rPr>
                <w:rFonts w:hint="eastAsia" w:ascii="宋体" w:hAnsi="宋体" w:cs="宋体"/>
                <w:b/>
                <w:bCs/>
                <w:color w:val="auto"/>
                <w:sz w:val="24"/>
                <w:highlight w:val="none"/>
                <w:lang w:val="en-US" w:eastAsia="zh-CN"/>
              </w:rPr>
              <w:t>1.</w:t>
            </w:r>
            <w:r>
              <w:rPr>
                <w:rFonts w:hint="eastAsia" w:ascii="宋体" w:hAnsi="宋体" w:cs="宋体"/>
                <w:b/>
                <w:bCs/>
                <w:color w:val="auto"/>
                <w:sz w:val="24"/>
                <w:highlight w:val="none"/>
              </w:rPr>
              <w:t>磋商保证金：</w:t>
            </w:r>
            <w:r>
              <w:rPr>
                <w:rFonts w:hint="eastAsia" w:ascii="宋体" w:hAnsi="宋体" w:cs="宋体"/>
                <w:b/>
                <w:bCs/>
                <w:color w:val="auto"/>
                <w:kern w:val="0"/>
                <w:sz w:val="24"/>
                <w:highlight w:val="none"/>
                <w:u w:val="single"/>
                <w:lang w:val="en-US" w:eastAsia="zh-CN"/>
              </w:rPr>
              <w:t>贰</w:t>
            </w:r>
            <w:r>
              <w:rPr>
                <w:rFonts w:hint="eastAsia" w:ascii="宋体" w:hAnsi="宋体" w:cs="宋体"/>
                <w:b/>
                <w:bCs/>
                <w:color w:val="auto"/>
                <w:kern w:val="0"/>
                <w:sz w:val="24"/>
                <w:highlight w:val="none"/>
                <w:u w:val="single"/>
              </w:rPr>
              <w:t>万</w:t>
            </w:r>
            <w:r>
              <w:rPr>
                <w:rFonts w:hint="eastAsia" w:ascii="宋体" w:hAnsi="宋体" w:cs="宋体"/>
                <w:b/>
                <w:bCs/>
                <w:color w:val="auto"/>
                <w:kern w:val="0"/>
                <w:sz w:val="24"/>
                <w:highlight w:val="none"/>
                <w:u w:val="single"/>
                <w:lang w:val="en-US" w:eastAsia="zh-CN"/>
              </w:rPr>
              <w:t>贰仟</w:t>
            </w:r>
            <w:r>
              <w:rPr>
                <w:rFonts w:hint="eastAsia" w:ascii="宋体" w:hAnsi="宋体" w:cs="宋体"/>
                <w:b/>
                <w:bCs/>
                <w:color w:val="auto"/>
                <w:kern w:val="0"/>
                <w:sz w:val="24"/>
                <w:highlight w:val="none"/>
                <w:u w:val="single"/>
              </w:rPr>
              <w:t>元整（</w:t>
            </w:r>
            <w:r>
              <w:rPr>
                <w:rFonts w:hint="default" w:ascii="Arial" w:hAnsi="Arial" w:cs="Arial"/>
                <w:b/>
                <w:bCs/>
                <w:color w:val="auto"/>
                <w:kern w:val="0"/>
                <w:sz w:val="24"/>
                <w:highlight w:val="none"/>
                <w:u w:val="single"/>
              </w:rPr>
              <w:t>¥</w:t>
            </w:r>
            <w:r>
              <w:rPr>
                <w:rFonts w:hint="eastAsia" w:ascii="宋体" w:hAnsi="宋体" w:cs="宋体"/>
                <w:b/>
                <w:bCs/>
                <w:color w:val="auto"/>
                <w:kern w:val="0"/>
                <w:sz w:val="24"/>
                <w:highlight w:val="none"/>
                <w:u w:val="single"/>
                <w:lang w:val="en-US" w:eastAsia="zh-CN"/>
              </w:rPr>
              <w:t>220</w:t>
            </w:r>
            <w:r>
              <w:rPr>
                <w:rFonts w:hint="eastAsia" w:ascii="宋体" w:hAnsi="宋体" w:cs="宋体"/>
                <w:b/>
                <w:bCs/>
                <w:color w:val="auto"/>
                <w:kern w:val="0"/>
                <w:sz w:val="24"/>
                <w:highlight w:val="none"/>
                <w:u w:val="single"/>
              </w:rPr>
              <w:t>00.00）</w:t>
            </w:r>
            <w:r>
              <w:rPr>
                <w:rFonts w:hint="eastAsia" w:ascii="宋体" w:hAnsi="宋体" w:cs="宋体"/>
                <w:color w:val="auto"/>
                <w:sz w:val="24"/>
                <w:highlight w:val="none"/>
              </w:rPr>
              <w:t>。</w:t>
            </w:r>
          </w:p>
          <w:p w14:paraId="061E08FA">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460" w:lineRule="exact"/>
              <w:ind w:right="0" w:rightChars="0" w:firstLine="482" w:firstLineChars="200"/>
              <w:textAlignment w:val="auto"/>
              <w:rPr>
                <w:rFonts w:ascii="宋体" w:hAnsi="宋体" w:cs="宋体"/>
                <w:color w:val="auto"/>
                <w:sz w:val="24"/>
                <w:highlight w:val="none"/>
              </w:rPr>
            </w:pPr>
            <w:r>
              <w:rPr>
                <w:rFonts w:hint="eastAsia" w:ascii="宋体" w:hAnsi="宋体" w:cs="宋体"/>
                <w:b/>
                <w:bCs/>
                <w:color w:val="auto"/>
                <w:sz w:val="24"/>
                <w:highlight w:val="none"/>
                <w:lang w:val="en-US" w:eastAsia="zh-CN"/>
              </w:rPr>
              <w:t>2.</w:t>
            </w:r>
            <w:r>
              <w:rPr>
                <w:rFonts w:hint="eastAsia" w:ascii="宋体" w:hAnsi="宋体" w:cs="宋体"/>
                <w:b/>
                <w:bCs/>
                <w:color w:val="auto"/>
                <w:sz w:val="24"/>
                <w:highlight w:val="none"/>
              </w:rPr>
              <w:t>磋商保证金的交纳方式：</w:t>
            </w:r>
            <w:r>
              <w:rPr>
                <w:rFonts w:hint="eastAsia" w:ascii="宋体" w:hAnsi="宋体" w:cs="Arial"/>
                <w:color w:val="auto"/>
                <w:sz w:val="24"/>
                <w:highlight w:val="none"/>
              </w:rPr>
              <w:t>银行转账、支票、汇票、本票、网上银行或者金融机构、担保机构出具的保函等非现金形式</w:t>
            </w:r>
            <w:r>
              <w:rPr>
                <w:rFonts w:hint="eastAsia" w:ascii="宋体" w:hAnsi="宋体" w:eastAsia="宋体" w:cs="宋体"/>
                <w:color w:val="auto"/>
                <w:sz w:val="24"/>
                <w:highlight w:val="none"/>
              </w:rPr>
              <w:t>，禁止采用现钞方式。</w:t>
            </w:r>
            <w:r>
              <w:rPr>
                <w:rFonts w:hint="eastAsia" w:ascii="宋体" w:hAnsi="宋体" w:cs="宋体"/>
                <w:color w:val="auto"/>
                <w:sz w:val="24"/>
                <w:highlight w:val="none"/>
              </w:rPr>
              <w:t>如选择以银行转账、电汇形式，交纳至以下账户：</w:t>
            </w:r>
          </w:p>
          <w:p w14:paraId="54F8C9C6">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kern w:val="0"/>
                <w:sz w:val="24"/>
                <w:highlight w:val="none"/>
              </w:rPr>
            </w:pPr>
            <w:r>
              <w:rPr>
                <w:rFonts w:hint="eastAsia" w:ascii="宋体" w:hAnsi="宋体" w:cs="宋体"/>
                <w:b/>
                <w:bCs/>
                <w:color w:val="auto"/>
                <w:kern w:val="0"/>
                <w:sz w:val="24"/>
                <w:highlight w:val="none"/>
              </w:rPr>
              <w:t>开户名称：广西瑞真工程造价咨询有限责任公司</w:t>
            </w:r>
          </w:p>
          <w:p w14:paraId="45201AE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kern w:val="0"/>
                <w:sz w:val="24"/>
                <w:highlight w:val="none"/>
              </w:rPr>
            </w:pPr>
            <w:r>
              <w:rPr>
                <w:rFonts w:hint="eastAsia" w:ascii="宋体" w:hAnsi="宋体" w:cs="宋体"/>
                <w:b/>
                <w:bCs/>
                <w:color w:val="auto"/>
                <w:kern w:val="0"/>
                <w:sz w:val="24"/>
                <w:highlight w:val="none"/>
              </w:rPr>
              <w:t>开户银行：广西北部湾银行南宁市五象湖小微支行</w:t>
            </w:r>
          </w:p>
          <w:p w14:paraId="2BB2C0D5">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kern w:val="0"/>
                <w:sz w:val="24"/>
                <w:highlight w:val="none"/>
              </w:rPr>
            </w:pPr>
            <w:r>
              <w:rPr>
                <w:rFonts w:hint="eastAsia" w:ascii="宋体" w:hAnsi="宋体" w:cs="宋体"/>
                <w:b/>
                <w:bCs/>
                <w:color w:val="auto"/>
                <w:kern w:val="0"/>
                <w:sz w:val="24"/>
                <w:highlight w:val="none"/>
              </w:rPr>
              <w:t>银行账号：8050 4632 3000 001</w:t>
            </w:r>
          </w:p>
          <w:p w14:paraId="15F4AC0D">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highlight w:val="none"/>
              </w:rPr>
            </w:pPr>
            <w:r>
              <w:rPr>
                <w:rFonts w:hint="eastAsia" w:hAnsi="宋体"/>
                <w:color w:val="auto"/>
                <w:sz w:val="24"/>
                <w:highlight w:val="none"/>
              </w:rPr>
              <w:t>①</w:t>
            </w:r>
            <w:r>
              <w:rPr>
                <w:rFonts w:hint="eastAsia" w:ascii="宋体" w:hAnsi="宋体" w:cs="宋体"/>
                <w:color w:val="auto"/>
                <w:sz w:val="24"/>
                <w:highlight w:val="none"/>
              </w:rPr>
              <w:t>磋商保证金采用银行转账、电汇交纳方式的，在响应文件提交截止时间前交至指定账户并且到账，供应商应将银行转账底单的复印件作为磋商保证金提交凭证，放置于</w:t>
            </w:r>
            <w:r>
              <w:rPr>
                <w:rFonts w:hint="eastAsia" w:ascii="宋体" w:hAnsi="宋体" w:eastAsia="宋体" w:cs="宋体"/>
                <w:b w:val="0"/>
                <w:color w:val="auto"/>
                <w:sz w:val="24"/>
                <w:highlight w:val="none"/>
              </w:rPr>
              <w:t>资格证明文件</w:t>
            </w:r>
            <w:r>
              <w:rPr>
                <w:rFonts w:hint="eastAsia" w:ascii="宋体" w:hAnsi="宋体" w:eastAsia="宋体" w:cs="宋体"/>
                <w:color w:val="auto"/>
                <w:sz w:val="24"/>
                <w:highlight w:val="none"/>
              </w:rPr>
              <w:t>中，</w:t>
            </w:r>
            <w:r>
              <w:rPr>
                <w:rFonts w:hint="eastAsia" w:ascii="宋体" w:hAnsi="宋体" w:eastAsia="宋体" w:cs="宋体"/>
                <w:b/>
                <w:bCs/>
                <w:color w:val="auto"/>
                <w:sz w:val="24"/>
                <w:highlight w:val="none"/>
              </w:rPr>
              <w:t>否则响应文件按无效响应处理。</w:t>
            </w:r>
          </w:p>
          <w:p w14:paraId="18096B78">
            <w:pPr>
              <w:keepNext w:val="0"/>
              <w:keepLines w:val="0"/>
              <w:pageBreakBefore w:val="0"/>
              <w:widowControl w:val="0"/>
              <w:pBdr>
                <w:top w:val="none" w:color="000000" w:sz="0" w:space="0"/>
                <w:left w:val="none" w:color="000000" w:sz="0" w:space="0"/>
                <w:bottom w:val="none" w:color="000000" w:sz="0" w:space="1"/>
                <w:right w:val="none" w:color="000000" w:sz="0" w:space="0"/>
                <w:between w:val="none" w:color="000000" w:sz="0" w:space="0"/>
              </w:pBdr>
              <w:kinsoku/>
              <w:wordWrap/>
              <w:overflowPunct/>
              <w:topLinePunct w:val="0"/>
              <w:autoSpaceDE/>
              <w:autoSpaceDN/>
              <w:bidi w:val="0"/>
              <w:adjustRightInd/>
              <w:snapToGrid/>
              <w:spacing w:line="460" w:lineRule="exact"/>
              <w:ind w:firstLine="480" w:firstLineChars="200"/>
              <w:textAlignment w:val="auto"/>
              <w:rPr>
                <w:rFonts w:hint="eastAsia" w:ascii="宋体" w:hAnsi="宋体" w:cs="宋体"/>
                <w:color w:val="auto"/>
                <w:sz w:val="24"/>
                <w:highlight w:val="none"/>
              </w:rPr>
            </w:pPr>
            <w:r>
              <w:rPr>
                <w:rFonts w:hint="eastAsia" w:hAnsi="宋体"/>
                <w:color w:val="auto"/>
                <w:sz w:val="24"/>
                <w:highlight w:val="none"/>
              </w:rPr>
              <w:t>②</w:t>
            </w:r>
            <w:r>
              <w:rPr>
                <w:rFonts w:hint="eastAsia" w:ascii="宋体" w:hAnsi="宋体" w:cs="宋体"/>
                <w:color w:val="auto"/>
                <w:sz w:val="24"/>
                <w:highlight w:val="none"/>
              </w:rPr>
              <w:t>磋商保证金采用银行转账、支票、汇票、本票或者金融机构、担保机构出具的保函的</w:t>
            </w:r>
            <w:r>
              <w:rPr>
                <w:rFonts w:hint="eastAsia" w:ascii="宋体" w:hAnsi="宋体" w:cs="宋体"/>
                <w:color w:val="auto"/>
                <w:sz w:val="24"/>
                <w:highlight w:val="none"/>
                <w:lang w:eastAsia="zh-CN"/>
              </w:rPr>
              <w:t>，</w:t>
            </w:r>
            <w:r>
              <w:rPr>
                <w:rFonts w:hint="eastAsia" w:ascii="宋体" w:hAnsi="宋体" w:cs="宋体"/>
                <w:color w:val="auto"/>
                <w:sz w:val="24"/>
                <w:highlight w:val="none"/>
              </w:rPr>
              <w:t>复印件作为磋商保证金提交凭证，放置于</w:t>
            </w:r>
            <w:r>
              <w:rPr>
                <w:rFonts w:hint="eastAsia" w:ascii="宋体" w:hAnsi="宋体" w:cs="宋体"/>
                <w:color w:val="auto"/>
                <w:sz w:val="24"/>
                <w:highlight w:val="none"/>
                <w:lang w:val="en-US" w:eastAsia="zh-CN"/>
              </w:rPr>
              <w:t>资格证明文件明</w:t>
            </w:r>
            <w:r>
              <w:rPr>
                <w:rFonts w:hint="eastAsia" w:ascii="宋体" w:hAnsi="宋体" w:cs="宋体"/>
                <w:color w:val="auto"/>
                <w:sz w:val="24"/>
                <w:highlight w:val="none"/>
              </w:rPr>
              <w:t>中，</w:t>
            </w:r>
            <w:r>
              <w:rPr>
                <w:rFonts w:hint="eastAsia" w:ascii="宋体" w:hAnsi="宋体" w:eastAsia="宋体" w:cs="宋体"/>
                <w:b/>
                <w:bCs/>
                <w:color w:val="auto"/>
                <w:sz w:val="24"/>
                <w:highlight w:val="none"/>
              </w:rPr>
              <w:t>否则响应文件按无效响应处理</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供应商</w:t>
            </w:r>
            <w:r>
              <w:rPr>
                <w:rFonts w:hint="eastAsia" w:ascii="宋体" w:hAnsi="宋体" w:cs="宋体"/>
                <w:color w:val="auto"/>
                <w:sz w:val="24"/>
                <w:highlight w:val="none"/>
              </w:rPr>
              <w:t>必须在磋商截止时间前采用现场或邮寄方式（现场提交地址：南宁市青秀区竹溪大道2号荣恒</w:t>
            </w:r>
            <w:r>
              <w:rPr>
                <w:rFonts w:hint="eastAsia" w:ascii="宋体" w:hAnsi="宋体" w:cs="宋体"/>
                <w:color w:val="auto"/>
                <w:sz w:val="24"/>
                <w:highlight w:val="none"/>
                <w:lang w:val="en-US" w:eastAsia="zh-CN"/>
              </w:rPr>
              <w:t>国际</w:t>
            </w:r>
            <w:r>
              <w:rPr>
                <w:rFonts w:hint="eastAsia" w:ascii="宋体" w:hAnsi="宋体" w:cs="宋体"/>
                <w:color w:val="auto"/>
                <w:sz w:val="24"/>
                <w:highlight w:val="none"/>
              </w:rPr>
              <w:t>名都A座10层</w:t>
            </w:r>
            <w:r>
              <w:rPr>
                <w:rFonts w:hint="eastAsia" w:ascii="宋体" w:hAnsi="宋体" w:cs="宋体"/>
                <w:color w:val="auto"/>
                <w:sz w:val="24"/>
                <w:highlight w:val="none"/>
                <w:lang w:eastAsia="zh-CN"/>
              </w:rPr>
              <w:t>1</w:t>
            </w:r>
            <w:r>
              <w:rPr>
                <w:rFonts w:hint="eastAsia" w:ascii="宋体" w:hAnsi="宋体" w:cs="宋体"/>
                <w:color w:val="auto"/>
                <w:sz w:val="24"/>
                <w:highlight w:val="none"/>
                <w:lang w:val="en-US" w:eastAsia="zh-CN"/>
              </w:rPr>
              <w:t>1</w:t>
            </w:r>
            <w:r>
              <w:rPr>
                <w:rFonts w:hint="eastAsia" w:ascii="宋体" w:hAnsi="宋体" w:cs="宋体"/>
                <w:color w:val="auto"/>
                <w:sz w:val="24"/>
                <w:highlight w:val="none"/>
              </w:rPr>
              <w:t>号，联系人：陆志豪，联系方式：0771-5800671。邮寄地址： 南宁市青秀区竹溪大道2号荣恒</w:t>
            </w:r>
            <w:r>
              <w:rPr>
                <w:rFonts w:hint="eastAsia" w:ascii="宋体" w:hAnsi="宋体" w:cs="宋体"/>
                <w:color w:val="auto"/>
                <w:sz w:val="24"/>
                <w:highlight w:val="none"/>
                <w:lang w:val="en-US" w:eastAsia="zh-CN"/>
              </w:rPr>
              <w:t>国际</w:t>
            </w:r>
            <w:r>
              <w:rPr>
                <w:rFonts w:hint="eastAsia" w:ascii="宋体" w:hAnsi="宋体" w:cs="宋体"/>
                <w:color w:val="auto"/>
                <w:sz w:val="24"/>
                <w:highlight w:val="none"/>
              </w:rPr>
              <w:t>名都A座10层</w:t>
            </w:r>
            <w:r>
              <w:rPr>
                <w:rFonts w:hint="eastAsia" w:ascii="宋体" w:hAnsi="宋体" w:cs="宋体"/>
                <w:color w:val="auto"/>
                <w:sz w:val="24"/>
                <w:highlight w:val="none"/>
                <w:lang w:eastAsia="zh-CN"/>
              </w:rPr>
              <w:t>1</w:t>
            </w:r>
            <w:r>
              <w:rPr>
                <w:rFonts w:hint="eastAsia" w:ascii="宋体" w:hAnsi="宋体" w:cs="宋体"/>
                <w:color w:val="auto"/>
                <w:sz w:val="24"/>
                <w:highlight w:val="none"/>
                <w:lang w:val="en-US" w:eastAsia="zh-CN"/>
              </w:rPr>
              <w:t>1</w:t>
            </w:r>
            <w:r>
              <w:rPr>
                <w:rFonts w:hint="eastAsia" w:ascii="宋体" w:hAnsi="宋体" w:cs="宋体"/>
                <w:color w:val="auto"/>
                <w:sz w:val="24"/>
                <w:highlight w:val="none"/>
              </w:rPr>
              <w:t>号，收件人：陆志豪，联系方式：0771-5800671）将单独密封的支票、汇票、本票或者金融机构、担保机构出具的保函原件提交给采购代理机构，由采购代理机构向</w:t>
            </w:r>
            <w:r>
              <w:rPr>
                <w:rFonts w:hint="eastAsia" w:ascii="宋体" w:hAnsi="宋体" w:cs="宋体"/>
                <w:color w:val="auto"/>
                <w:sz w:val="24"/>
                <w:highlight w:val="none"/>
                <w:lang w:val="en-US" w:eastAsia="zh-CN"/>
              </w:rPr>
              <w:t>供应商</w:t>
            </w:r>
            <w:r>
              <w:rPr>
                <w:rFonts w:hint="eastAsia" w:ascii="宋体" w:hAnsi="宋体" w:cs="宋体"/>
                <w:color w:val="auto"/>
                <w:sz w:val="24"/>
                <w:highlight w:val="none"/>
              </w:rPr>
              <w:t>出具回执（邮寄方式的除外），并妥善保管。</w:t>
            </w:r>
          </w:p>
          <w:p w14:paraId="2DC5D9DC">
            <w:pPr>
              <w:keepNext w:val="0"/>
              <w:keepLines w:val="0"/>
              <w:pageBreakBefore w:val="0"/>
              <w:widowControl w:val="0"/>
              <w:kinsoku/>
              <w:wordWrap/>
              <w:overflowPunct/>
              <w:topLinePunct w:val="0"/>
              <w:autoSpaceDE/>
              <w:autoSpaceDN/>
              <w:bidi w:val="0"/>
              <w:adjustRightInd/>
              <w:snapToGrid w:val="0"/>
              <w:spacing w:line="460" w:lineRule="exact"/>
              <w:ind w:firstLine="482" w:firstLineChars="200"/>
              <w:textAlignment w:val="auto"/>
              <w:rPr>
                <w:rFonts w:ascii="宋体" w:hAnsi="宋体" w:cs="宋体"/>
                <w:b/>
                <w:color w:val="auto"/>
                <w:sz w:val="24"/>
                <w:highlight w:val="none"/>
              </w:rPr>
            </w:pPr>
            <w:r>
              <w:rPr>
                <w:rFonts w:hint="eastAsia" w:ascii="宋体" w:hAnsi="宋体" w:cs="宋体"/>
                <w:b/>
                <w:color w:val="auto"/>
                <w:sz w:val="24"/>
                <w:highlight w:val="none"/>
              </w:rPr>
              <w:t xml:space="preserve">备注： </w:t>
            </w:r>
          </w:p>
          <w:p w14:paraId="281543C7">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ascii="宋体" w:hAnsi="宋体" w:cs="宋体"/>
                <w:b w:val="0"/>
                <w:bCs/>
                <w:color w:val="auto"/>
                <w:sz w:val="24"/>
                <w:highlight w:val="none"/>
              </w:rPr>
            </w:pPr>
            <w:r>
              <w:rPr>
                <w:rFonts w:hint="eastAsia" w:ascii="宋体" w:hAnsi="宋体" w:cs="宋体"/>
                <w:b w:val="0"/>
                <w:bCs/>
                <w:color w:val="auto"/>
                <w:sz w:val="24"/>
                <w:highlight w:val="none"/>
                <w:lang w:eastAsia="zh-CN"/>
              </w:rPr>
              <w:t>（</w:t>
            </w:r>
            <w:r>
              <w:rPr>
                <w:rFonts w:hint="eastAsia" w:ascii="宋体" w:hAnsi="宋体" w:cs="宋体"/>
                <w:b w:val="0"/>
                <w:bCs/>
                <w:color w:val="auto"/>
                <w:sz w:val="24"/>
                <w:highlight w:val="none"/>
              </w:rPr>
              <w:t>1</w:t>
            </w:r>
            <w:r>
              <w:rPr>
                <w:rFonts w:hint="eastAsia" w:ascii="宋体" w:hAnsi="宋体" w:cs="宋体"/>
                <w:b w:val="0"/>
                <w:bCs/>
                <w:color w:val="auto"/>
                <w:sz w:val="24"/>
                <w:highlight w:val="none"/>
                <w:lang w:eastAsia="zh-CN"/>
              </w:rPr>
              <w:t>）</w:t>
            </w:r>
            <w:r>
              <w:rPr>
                <w:rFonts w:hint="eastAsia" w:ascii="宋体" w:hAnsi="宋体" w:cs="宋体"/>
                <w:b w:val="0"/>
                <w:bCs/>
                <w:color w:val="auto"/>
                <w:sz w:val="24"/>
                <w:highlight w:val="none"/>
              </w:rPr>
              <w:t>磋商保证金在响应文件提交截止时间后提交的，或者不按规定交纳方式交纳的，或者未足额交纳的（包含保函额度不足的），视为无效磋商保证金。</w:t>
            </w:r>
          </w:p>
          <w:p w14:paraId="07711E5E">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ascii="宋体" w:hAnsi="宋体" w:cs="宋体"/>
                <w:b w:val="0"/>
                <w:bCs/>
                <w:color w:val="auto"/>
                <w:sz w:val="24"/>
                <w:highlight w:val="none"/>
              </w:rPr>
            </w:pPr>
            <w:r>
              <w:rPr>
                <w:rFonts w:hint="eastAsia" w:ascii="宋体" w:hAnsi="宋体" w:cs="宋体"/>
                <w:b w:val="0"/>
                <w:bCs/>
                <w:color w:val="auto"/>
                <w:sz w:val="24"/>
                <w:highlight w:val="none"/>
                <w:lang w:eastAsia="zh-CN"/>
              </w:rPr>
              <w:t>（</w:t>
            </w:r>
            <w:r>
              <w:rPr>
                <w:rFonts w:hint="eastAsia" w:ascii="宋体" w:hAnsi="宋体" w:cs="宋体"/>
                <w:b w:val="0"/>
                <w:bCs/>
                <w:color w:val="auto"/>
                <w:sz w:val="24"/>
                <w:highlight w:val="none"/>
              </w:rPr>
              <w:t>2</w:t>
            </w:r>
            <w:r>
              <w:rPr>
                <w:rFonts w:hint="eastAsia" w:ascii="宋体" w:hAnsi="宋体" w:cs="宋体"/>
                <w:b w:val="0"/>
                <w:bCs/>
                <w:color w:val="auto"/>
                <w:sz w:val="24"/>
                <w:highlight w:val="none"/>
                <w:lang w:eastAsia="zh-CN"/>
              </w:rPr>
              <w:t>）</w:t>
            </w:r>
            <w:r>
              <w:rPr>
                <w:rFonts w:hint="eastAsia" w:ascii="宋体" w:hAnsi="宋体" w:cs="宋体"/>
                <w:b w:val="0"/>
                <w:bCs/>
                <w:color w:val="auto"/>
                <w:sz w:val="24"/>
                <w:highlight w:val="none"/>
              </w:rPr>
              <w:t>供应商采用现钞方式或者从个人账户（自然人竞标除外）转出的磋商保证金，视为无效磋商保证金。</w:t>
            </w:r>
          </w:p>
          <w:p w14:paraId="49D7668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b w:val="0"/>
                <w:bCs/>
                <w:color w:val="auto"/>
                <w:sz w:val="24"/>
                <w:highlight w:val="none"/>
              </w:rPr>
            </w:pPr>
            <w:r>
              <w:rPr>
                <w:rFonts w:hint="eastAsia" w:ascii="宋体" w:hAnsi="宋体" w:cs="宋体"/>
                <w:b w:val="0"/>
                <w:bCs/>
                <w:color w:val="auto"/>
                <w:sz w:val="24"/>
                <w:highlight w:val="none"/>
                <w:lang w:eastAsia="zh-CN"/>
              </w:rPr>
              <w:t>（</w:t>
            </w:r>
            <w:r>
              <w:rPr>
                <w:rFonts w:hint="eastAsia" w:ascii="宋体" w:hAnsi="宋体" w:cs="宋体"/>
                <w:b w:val="0"/>
                <w:bCs/>
                <w:color w:val="auto"/>
                <w:sz w:val="24"/>
                <w:highlight w:val="none"/>
              </w:rPr>
              <w:t>3</w:t>
            </w:r>
            <w:r>
              <w:rPr>
                <w:rFonts w:hint="eastAsia" w:ascii="宋体" w:hAnsi="宋体" w:cs="宋体"/>
                <w:b w:val="0"/>
                <w:bCs/>
                <w:color w:val="auto"/>
                <w:sz w:val="24"/>
                <w:highlight w:val="none"/>
                <w:lang w:eastAsia="zh-CN"/>
              </w:rPr>
              <w:t>）</w:t>
            </w:r>
            <w:r>
              <w:rPr>
                <w:rFonts w:hint="eastAsia" w:ascii="宋体" w:hAnsi="宋体" w:eastAsia="宋体" w:cs="宋体"/>
                <w:b w:val="0"/>
                <w:bCs/>
                <w:color w:val="auto"/>
                <w:sz w:val="24"/>
                <w:highlight w:val="none"/>
              </w:rPr>
              <w:t>保函有效期低于竞标有效期的，视为无效磋商保证金。</w:t>
            </w:r>
          </w:p>
          <w:p w14:paraId="1498063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b w:val="0"/>
                <w:bCs/>
                <w:color w:val="auto"/>
                <w:sz w:val="24"/>
                <w:highlight w:val="none"/>
              </w:rPr>
            </w:pPr>
            <w:r>
              <w:rPr>
                <w:rFonts w:hint="eastAsia" w:ascii="宋体" w:hAnsi="宋体" w:cs="宋体"/>
                <w:b w:val="0"/>
                <w:bCs/>
                <w:color w:val="auto"/>
                <w:sz w:val="24"/>
                <w:highlight w:val="none"/>
                <w:lang w:eastAsia="zh-CN"/>
              </w:rPr>
              <w:t>（</w:t>
            </w:r>
            <w:r>
              <w:rPr>
                <w:rFonts w:hint="eastAsia" w:ascii="宋体" w:hAnsi="宋体" w:eastAsia="宋体" w:cs="宋体"/>
                <w:b w:val="0"/>
                <w:bCs/>
                <w:color w:val="auto"/>
                <w:sz w:val="24"/>
                <w:highlight w:val="none"/>
              </w:rPr>
              <w:t>4</w:t>
            </w:r>
            <w:r>
              <w:rPr>
                <w:rFonts w:hint="eastAsia" w:ascii="宋体" w:hAnsi="宋体" w:cs="宋体"/>
                <w:b w:val="0"/>
                <w:bCs/>
                <w:color w:val="auto"/>
                <w:sz w:val="24"/>
                <w:highlight w:val="none"/>
                <w:lang w:eastAsia="zh-CN"/>
              </w:rPr>
              <w:t>）</w:t>
            </w:r>
            <w:r>
              <w:rPr>
                <w:rFonts w:hint="eastAsia" w:ascii="宋体" w:hAnsi="宋体" w:eastAsia="宋体" w:cs="宋体"/>
                <w:b w:val="0"/>
                <w:bCs/>
                <w:color w:val="auto"/>
                <w:sz w:val="24"/>
                <w:highlight w:val="none"/>
              </w:rPr>
              <w:t>采用金融机构、担保机构出具保函的，必须为无条件保函，否则视为无效磋商保证金。</w:t>
            </w:r>
          </w:p>
          <w:p w14:paraId="5B78A07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b w:val="0"/>
                <w:bCs/>
                <w:color w:val="auto"/>
                <w:sz w:val="24"/>
                <w:highlight w:val="none"/>
              </w:rPr>
            </w:pPr>
            <w:r>
              <w:rPr>
                <w:rFonts w:hint="eastAsia" w:ascii="宋体" w:hAnsi="宋体" w:cs="宋体"/>
                <w:b w:val="0"/>
                <w:bCs/>
                <w:color w:val="auto"/>
                <w:sz w:val="24"/>
                <w:highlight w:val="none"/>
                <w:lang w:eastAsia="zh-CN"/>
              </w:rPr>
              <w:t>（</w:t>
            </w:r>
            <w:r>
              <w:rPr>
                <w:rFonts w:hint="eastAsia" w:ascii="宋体" w:hAnsi="宋体" w:cs="宋体"/>
                <w:b w:val="0"/>
                <w:bCs/>
                <w:color w:val="auto"/>
                <w:sz w:val="24"/>
                <w:highlight w:val="none"/>
              </w:rPr>
              <w:t>5</w:t>
            </w:r>
            <w:r>
              <w:rPr>
                <w:rFonts w:hint="eastAsia" w:ascii="宋体" w:hAnsi="宋体" w:cs="宋体"/>
                <w:b w:val="0"/>
                <w:bCs/>
                <w:color w:val="auto"/>
                <w:sz w:val="24"/>
                <w:highlight w:val="none"/>
                <w:lang w:eastAsia="zh-CN"/>
              </w:rPr>
              <w:t>）广西政府采购云平台</w:t>
            </w:r>
            <w:r>
              <w:rPr>
                <w:rFonts w:hint="eastAsia" w:ascii="宋体" w:hAnsi="宋体" w:cs="宋体"/>
                <w:b w:val="0"/>
                <w:bCs/>
                <w:color w:val="auto"/>
                <w:sz w:val="24"/>
                <w:highlight w:val="none"/>
              </w:rPr>
              <w:t>平台暂未支持电子保函功能，故本项目暂不接受电子保函形式的保证金。</w:t>
            </w:r>
          </w:p>
          <w:p w14:paraId="7D5514DE">
            <w:pPr>
              <w:pStyle w:val="22"/>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eastAsia="宋体" w:cs="宋体"/>
                <w:b/>
                <w:color w:val="auto"/>
                <w:sz w:val="24"/>
                <w:highlight w:val="none"/>
                <w:lang w:val="en-US" w:eastAsia="zh-CN"/>
              </w:rPr>
            </w:pPr>
            <w:r>
              <w:rPr>
                <w:rFonts w:hint="eastAsia" w:ascii="宋体" w:hAnsi="宋体" w:cs="宋体"/>
                <w:b/>
                <w:color w:val="auto"/>
                <w:sz w:val="24"/>
                <w:highlight w:val="none"/>
                <w:lang w:val="en-US" w:eastAsia="zh-CN"/>
              </w:rPr>
              <w:t>2</w:t>
            </w:r>
            <w:r>
              <w:rPr>
                <w:rFonts w:hint="eastAsia" w:ascii="宋体" w:hAnsi="宋体" w:eastAsia="宋体" w:cs="宋体"/>
                <w:b/>
                <w:color w:val="auto"/>
                <w:sz w:val="24"/>
                <w:highlight w:val="none"/>
                <w:lang w:val="en-US" w:eastAsia="zh-CN"/>
              </w:rPr>
              <w:t>.磋商保证金退还：</w:t>
            </w:r>
          </w:p>
          <w:p w14:paraId="5A745FD0">
            <w:pPr>
              <w:pStyle w:val="22"/>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(1)未成交人的磋商保证金在成交通知书发出后五个工作日内退还。</w:t>
            </w:r>
          </w:p>
          <w:p w14:paraId="5C445267">
            <w:pPr>
              <w:pStyle w:val="22"/>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(2)成交人的磋商保证金在合同签订后五个工作日内退还。</w:t>
            </w:r>
          </w:p>
          <w:p w14:paraId="1D3853B7">
            <w:pPr>
              <w:pStyle w:val="22"/>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(3)</w:t>
            </w:r>
            <w:r>
              <w:rPr>
                <w:rFonts w:hint="eastAsia" w:ascii="宋体" w:hAnsi="宋体" w:cs="宋体"/>
                <w:b w:val="0"/>
                <w:bCs/>
                <w:color w:val="auto"/>
                <w:sz w:val="24"/>
                <w:highlight w:val="none"/>
              </w:rPr>
              <w:t>供应商</w:t>
            </w:r>
            <w:r>
              <w:rPr>
                <w:rFonts w:hint="eastAsia" w:ascii="宋体" w:hAnsi="宋体" w:eastAsia="宋体" w:cs="宋体"/>
                <w:b w:val="0"/>
                <w:bCs/>
                <w:color w:val="auto"/>
                <w:sz w:val="24"/>
                <w:highlight w:val="none"/>
                <w:lang w:val="en-US" w:eastAsia="zh-CN"/>
              </w:rPr>
              <w:t>有下列情形之一的，磋商保证金将不予退还：</w:t>
            </w:r>
          </w:p>
          <w:p w14:paraId="13775366">
            <w:pPr>
              <w:pStyle w:val="22"/>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1）</w:t>
            </w:r>
            <w:r>
              <w:rPr>
                <w:rFonts w:hint="eastAsia" w:ascii="宋体" w:hAnsi="宋体" w:cs="宋体"/>
                <w:b w:val="0"/>
                <w:bCs/>
                <w:color w:val="auto"/>
                <w:sz w:val="24"/>
                <w:highlight w:val="none"/>
              </w:rPr>
              <w:t>供应商</w:t>
            </w:r>
            <w:r>
              <w:rPr>
                <w:rFonts w:hint="eastAsia" w:ascii="宋体" w:hAnsi="宋体" w:eastAsia="宋体" w:cs="宋体"/>
                <w:b w:val="0"/>
                <w:bCs/>
                <w:color w:val="auto"/>
                <w:sz w:val="24"/>
                <w:highlight w:val="none"/>
                <w:lang w:val="en-US" w:eastAsia="zh-CN"/>
              </w:rPr>
              <w:t>在</w:t>
            </w:r>
            <w:r>
              <w:rPr>
                <w:rFonts w:hint="eastAsia" w:ascii="宋体" w:hAnsi="宋体" w:cs="宋体"/>
                <w:b w:val="0"/>
                <w:bCs/>
                <w:color w:val="auto"/>
                <w:sz w:val="24"/>
                <w:highlight w:val="none"/>
                <w:lang w:val="en-US" w:eastAsia="zh-CN"/>
              </w:rPr>
              <w:t>竞</w:t>
            </w:r>
            <w:r>
              <w:rPr>
                <w:rFonts w:hint="eastAsia" w:ascii="宋体" w:hAnsi="宋体" w:eastAsia="宋体" w:cs="宋体"/>
                <w:b w:val="0"/>
                <w:bCs/>
                <w:color w:val="auto"/>
                <w:sz w:val="24"/>
                <w:highlight w:val="none"/>
                <w:lang w:val="en-US" w:eastAsia="zh-CN"/>
              </w:rPr>
              <w:t>标有效期内撤回</w:t>
            </w:r>
            <w:r>
              <w:rPr>
                <w:rFonts w:hint="eastAsia" w:ascii="宋体" w:hAnsi="宋体" w:cs="宋体"/>
                <w:b w:val="0"/>
                <w:bCs/>
                <w:color w:val="auto"/>
                <w:sz w:val="24"/>
                <w:highlight w:val="none"/>
                <w:lang w:val="en-US" w:eastAsia="zh-CN"/>
              </w:rPr>
              <w:t>响应</w:t>
            </w:r>
            <w:r>
              <w:rPr>
                <w:rFonts w:hint="eastAsia" w:ascii="宋体" w:hAnsi="宋体" w:eastAsia="宋体" w:cs="宋体"/>
                <w:b w:val="0"/>
                <w:bCs/>
                <w:color w:val="auto"/>
                <w:sz w:val="24"/>
                <w:highlight w:val="none"/>
                <w:lang w:val="en-US" w:eastAsia="zh-CN"/>
              </w:rPr>
              <w:t>文件的；</w:t>
            </w:r>
          </w:p>
          <w:p w14:paraId="5B35F681">
            <w:pPr>
              <w:pStyle w:val="22"/>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2）</w:t>
            </w:r>
            <w:r>
              <w:rPr>
                <w:rFonts w:hint="eastAsia" w:ascii="宋体" w:hAnsi="宋体" w:cs="宋体"/>
                <w:b w:val="0"/>
                <w:bCs/>
                <w:color w:val="auto"/>
                <w:sz w:val="24"/>
                <w:highlight w:val="none"/>
              </w:rPr>
              <w:t>供应商</w:t>
            </w:r>
            <w:r>
              <w:rPr>
                <w:rFonts w:hint="eastAsia" w:ascii="宋体" w:hAnsi="宋体" w:eastAsia="宋体" w:cs="宋体"/>
                <w:b w:val="0"/>
                <w:bCs/>
                <w:color w:val="auto"/>
                <w:sz w:val="24"/>
                <w:highlight w:val="none"/>
                <w:lang w:val="en-US" w:eastAsia="zh-CN"/>
              </w:rPr>
              <w:t>在</w:t>
            </w:r>
            <w:r>
              <w:rPr>
                <w:rFonts w:hint="eastAsia" w:ascii="宋体" w:hAnsi="宋体" w:cs="宋体"/>
                <w:b w:val="0"/>
                <w:bCs/>
                <w:color w:val="auto"/>
                <w:sz w:val="24"/>
                <w:highlight w:val="none"/>
                <w:lang w:val="en-US" w:eastAsia="zh-CN"/>
              </w:rPr>
              <w:t>竞</w:t>
            </w:r>
            <w:r>
              <w:rPr>
                <w:rFonts w:hint="eastAsia" w:ascii="宋体" w:hAnsi="宋体" w:eastAsia="宋体" w:cs="宋体"/>
                <w:b w:val="0"/>
                <w:bCs/>
                <w:color w:val="auto"/>
                <w:sz w:val="24"/>
                <w:highlight w:val="none"/>
                <w:lang w:val="en-US" w:eastAsia="zh-CN"/>
              </w:rPr>
              <w:t>标过程中弄虚作假，提供虚假材料的；</w:t>
            </w:r>
          </w:p>
          <w:p w14:paraId="614D1148">
            <w:pPr>
              <w:pStyle w:val="22"/>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3）成交人无正当理由不与采购人签订合同的；</w:t>
            </w:r>
          </w:p>
          <w:p w14:paraId="7408EF16">
            <w:pPr>
              <w:pStyle w:val="22"/>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4）将成交项目转让给他人或者在</w:t>
            </w:r>
            <w:r>
              <w:rPr>
                <w:rFonts w:hint="eastAsia" w:ascii="宋体" w:hAnsi="宋体" w:cs="宋体"/>
                <w:b w:val="0"/>
                <w:bCs/>
                <w:color w:val="auto"/>
                <w:sz w:val="24"/>
                <w:highlight w:val="none"/>
                <w:lang w:val="en-US" w:eastAsia="zh-CN"/>
              </w:rPr>
              <w:t>响应</w:t>
            </w:r>
            <w:r>
              <w:rPr>
                <w:rFonts w:hint="eastAsia" w:ascii="宋体" w:hAnsi="宋体" w:eastAsia="宋体" w:cs="宋体"/>
                <w:b w:val="0"/>
                <w:bCs/>
                <w:color w:val="auto"/>
                <w:sz w:val="24"/>
                <w:highlight w:val="none"/>
                <w:lang w:val="en-US" w:eastAsia="zh-CN"/>
              </w:rPr>
              <w:t>文件中未说明且未经采购单位同意，将成交项目分包给他人的；</w:t>
            </w:r>
          </w:p>
          <w:p w14:paraId="6F719772">
            <w:pPr>
              <w:pStyle w:val="22"/>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5）拒绝履行合同义务的；</w:t>
            </w:r>
          </w:p>
          <w:p w14:paraId="65F6890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b/>
                <w:color w:val="auto"/>
                <w:sz w:val="24"/>
                <w:highlight w:val="none"/>
              </w:rPr>
            </w:pPr>
            <w:r>
              <w:rPr>
                <w:rFonts w:hint="eastAsia" w:ascii="宋体" w:hAnsi="宋体" w:eastAsia="宋体" w:cs="宋体"/>
                <w:b w:val="0"/>
                <w:bCs/>
                <w:color w:val="auto"/>
                <w:sz w:val="24"/>
                <w:highlight w:val="none"/>
                <w:lang w:val="en-US" w:eastAsia="zh-CN"/>
              </w:rPr>
              <w:t>6）其他严重扰乱</w:t>
            </w:r>
            <w:r>
              <w:rPr>
                <w:rFonts w:hint="eastAsia" w:ascii="宋体" w:hAnsi="宋体" w:cs="宋体"/>
                <w:b w:val="0"/>
                <w:bCs/>
                <w:color w:val="auto"/>
                <w:sz w:val="24"/>
                <w:highlight w:val="none"/>
                <w:lang w:val="en-US" w:eastAsia="zh-CN"/>
              </w:rPr>
              <w:t>采购</w:t>
            </w:r>
            <w:r>
              <w:rPr>
                <w:rFonts w:hint="eastAsia" w:ascii="宋体" w:hAnsi="宋体" w:eastAsia="宋体" w:cs="宋体"/>
                <w:b w:val="0"/>
                <w:bCs/>
                <w:color w:val="auto"/>
                <w:sz w:val="24"/>
                <w:highlight w:val="none"/>
                <w:lang w:val="en-US" w:eastAsia="zh-CN"/>
              </w:rPr>
              <w:t>程序的。</w:t>
            </w:r>
          </w:p>
        </w:tc>
      </w:tr>
      <w:tr w14:paraId="57774C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85" w:type="dxa"/>
            <w:vMerge w:val="restart"/>
            <w:vAlign w:val="center"/>
          </w:tcPr>
          <w:p w14:paraId="2F445966">
            <w:pPr>
              <w:spacing w:line="420" w:lineRule="exact"/>
              <w:jc w:val="center"/>
              <w:rPr>
                <w:rFonts w:ascii="宋体" w:hAnsi="宋体" w:cs="宋体"/>
                <w:color w:val="auto"/>
                <w:sz w:val="24"/>
                <w:highlight w:val="none"/>
              </w:rPr>
            </w:pPr>
            <w:r>
              <w:rPr>
                <w:rFonts w:hint="eastAsia" w:ascii="宋体" w:hAnsi="宋体" w:cs="宋体"/>
                <w:color w:val="auto"/>
                <w:sz w:val="24"/>
                <w:highlight w:val="none"/>
              </w:rPr>
              <w:t>20.1</w:t>
            </w:r>
          </w:p>
        </w:tc>
        <w:tc>
          <w:tcPr>
            <w:tcW w:w="1625" w:type="dxa"/>
            <w:vAlign w:val="center"/>
          </w:tcPr>
          <w:p w14:paraId="113D0E1B">
            <w:pPr>
              <w:spacing w:line="420" w:lineRule="exact"/>
              <w:jc w:val="center"/>
              <w:rPr>
                <w:rFonts w:ascii="宋体" w:hAnsi="宋体" w:cs="宋体"/>
                <w:color w:val="auto"/>
                <w:sz w:val="24"/>
                <w:highlight w:val="none"/>
              </w:rPr>
            </w:pPr>
            <w:r>
              <w:rPr>
                <w:rFonts w:hint="eastAsia" w:ascii="宋体" w:hAnsi="宋体" w:cs="宋体"/>
                <w:color w:val="auto"/>
                <w:sz w:val="24"/>
                <w:highlight w:val="none"/>
              </w:rPr>
              <w:t>首次响应文件提交起止时间</w:t>
            </w:r>
          </w:p>
        </w:tc>
        <w:tc>
          <w:tcPr>
            <w:tcW w:w="7754" w:type="dxa"/>
            <w:vAlign w:val="center"/>
          </w:tcPr>
          <w:p w14:paraId="5B546EBB">
            <w:pPr>
              <w:snapToGrid w:val="0"/>
              <w:spacing w:line="420" w:lineRule="exact"/>
              <w:jc w:val="left"/>
              <w:rPr>
                <w:rFonts w:ascii="宋体" w:hAnsi="宋体" w:cs="宋体"/>
                <w:color w:val="auto"/>
                <w:sz w:val="24"/>
                <w:highlight w:val="none"/>
                <w:u w:val="single"/>
              </w:rPr>
            </w:pPr>
            <w:r>
              <w:rPr>
                <w:rFonts w:hint="eastAsia" w:ascii="宋体" w:hAnsi="宋体" w:cs="宋体"/>
                <w:color w:val="auto"/>
                <w:sz w:val="24"/>
                <w:highlight w:val="none"/>
              </w:rPr>
              <w:t>详见竞争性磋商公告。</w:t>
            </w:r>
          </w:p>
        </w:tc>
      </w:tr>
      <w:tr w14:paraId="2BF66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5" w:type="dxa"/>
            <w:vMerge w:val="continue"/>
            <w:vAlign w:val="center"/>
          </w:tcPr>
          <w:p w14:paraId="4238F555">
            <w:pPr>
              <w:spacing w:line="420" w:lineRule="exact"/>
              <w:jc w:val="center"/>
              <w:rPr>
                <w:rFonts w:ascii="宋体" w:hAnsi="宋体" w:cs="宋体"/>
                <w:color w:val="auto"/>
                <w:sz w:val="24"/>
                <w:highlight w:val="none"/>
              </w:rPr>
            </w:pPr>
          </w:p>
        </w:tc>
        <w:tc>
          <w:tcPr>
            <w:tcW w:w="1625" w:type="dxa"/>
            <w:vAlign w:val="center"/>
          </w:tcPr>
          <w:p w14:paraId="537906FF">
            <w:pPr>
              <w:spacing w:line="420" w:lineRule="exact"/>
              <w:jc w:val="center"/>
              <w:rPr>
                <w:rFonts w:ascii="宋体" w:hAnsi="宋体" w:cs="宋体"/>
                <w:color w:val="auto"/>
                <w:sz w:val="24"/>
                <w:highlight w:val="none"/>
              </w:rPr>
            </w:pPr>
            <w:r>
              <w:rPr>
                <w:rFonts w:hint="eastAsia" w:ascii="宋体" w:hAnsi="宋体" w:cs="宋体"/>
                <w:color w:val="auto"/>
                <w:sz w:val="24"/>
                <w:highlight w:val="none"/>
              </w:rPr>
              <w:t>首次响应文件提交地点</w:t>
            </w:r>
          </w:p>
        </w:tc>
        <w:tc>
          <w:tcPr>
            <w:tcW w:w="7754" w:type="dxa"/>
            <w:vAlign w:val="center"/>
          </w:tcPr>
          <w:p w14:paraId="7578C0A3">
            <w:pPr>
              <w:snapToGrid w:val="0"/>
              <w:spacing w:line="420" w:lineRule="exact"/>
              <w:jc w:val="left"/>
              <w:rPr>
                <w:rFonts w:ascii="宋体" w:hAnsi="宋体" w:cs="宋体"/>
                <w:color w:val="auto"/>
                <w:sz w:val="24"/>
                <w:highlight w:val="none"/>
                <w:u w:val="single"/>
              </w:rPr>
            </w:pPr>
            <w:r>
              <w:rPr>
                <w:rFonts w:hint="eastAsia" w:ascii="宋体" w:hAnsi="宋体" w:cs="宋体"/>
                <w:color w:val="auto"/>
                <w:sz w:val="24"/>
                <w:highlight w:val="none"/>
              </w:rPr>
              <w:t>详见竞争性磋商公告。</w:t>
            </w:r>
          </w:p>
        </w:tc>
      </w:tr>
      <w:tr w14:paraId="3DB8B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5" w:type="dxa"/>
            <w:vAlign w:val="center"/>
          </w:tcPr>
          <w:p w14:paraId="67A60EC1">
            <w:pPr>
              <w:spacing w:line="420" w:lineRule="exact"/>
              <w:jc w:val="center"/>
              <w:rPr>
                <w:rFonts w:ascii="宋体" w:hAnsi="宋体" w:cs="宋体"/>
                <w:color w:val="auto"/>
                <w:sz w:val="24"/>
                <w:highlight w:val="none"/>
              </w:rPr>
            </w:pPr>
            <w:r>
              <w:rPr>
                <w:rFonts w:hint="eastAsia" w:ascii="宋体" w:hAnsi="宋体" w:cs="宋体"/>
                <w:color w:val="auto"/>
                <w:sz w:val="24"/>
                <w:highlight w:val="none"/>
              </w:rPr>
              <w:t>20.6</w:t>
            </w:r>
          </w:p>
        </w:tc>
        <w:tc>
          <w:tcPr>
            <w:tcW w:w="1625" w:type="dxa"/>
            <w:vAlign w:val="center"/>
          </w:tcPr>
          <w:p w14:paraId="1C08DFF7">
            <w:pPr>
              <w:spacing w:line="420" w:lineRule="exact"/>
              <w:jc w:val="center"/>
              <w:rPr>
                <w:rFonts w:ascii="宋体" w:hAnsi="宋体" w:cs="宋体"/>
                <w:color w:val="auto"/>
                <w:sz w:val="24"/>
                <w:highlight w:val="none"/>
              </w:rPr>
            </w:pPr>
            <w:r>
              <w:rPr>
                <w:rFonts w:hint="eastAsia" w:ascii="宋体" w:hAnsi="宋体" w:cs="宋体"/>
                <w:color w:val="auto"/>
                <w:sz w:val="24"/>
                <w:highlight w:val="none"/>
              </w:rPr>
              <w:t>备份响应文件</w:t>
            </w:r>
          </w:p>
        </w:tc>
        <w:tc>
          <w:tcPr>
            <w:tcW w:w="7754" w:type="dxa"/>
            <w:vAlign w:val="center"/>
          </w:tcPr>
          <w:p w14:paraId="5D680526">
            <w:pPr>
              <w:snapToGrid w:val="0"/>
              <w:spacing w:line="420" w:lineRule="exact"/>
              <w:jc w:val="left"/>
              <w:rPr>
                <w:rFonts w:ascii="宋体" w:hAnsi="宋体" w:cs="宋体"/>
                <w:color w:val="auto"/>
                <w:sz w:val="24"/>
                <w:highlight w:val="none"/>
              </w:rPr>
            </w:pPr>
            <w:r>
              <w:rPr>
                <w:rFonts w:hint="eastAsia" w:ascii="宋体" w:hAnsi="宋体" w:cs="宋体"/>
                <w:color w:val="auto"/>
                <w:sz w:val="24"/>
                <w:highlight w:val="none"/>
              </w:rPr>
              <w:t>本项目不接受备份响应文件。</w:t>
            </w:r>
          </w:p>
        </w:tc>
      </w:tr>
      <w:tr w14:paraId="1FEF8E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3" w:hRule="atLeast"/>
          <w:jc w:val="center"/>
        </w:trPr>
        <w:tc>
          <w:tcPr>
            <w:tcW w:w="985" w:type="dxa"/>
            <w:vAlign w:val="center"/>
          </w:tcPr>
          <w:p w14:paraId="41759730">
            <w:pPr>
              <w:spacing w:line="420" w:lineRule="exact"/>
              <w:jc w:val="center"/>
              <w:rPr>
                <w:rFonts w:ascii="宋体" w:hAnsi="宋体" w:cs="宋体"/>
                <w:color w:val="auto"/>
                <w:sz w:val="24"/>
                <w:highlight w:val="none"/>
              </w:rPr>
            </w:pPr>
            <w:r>
              <w:rPr>
                <w:rFonts w:hint="eastAsia" w:ascii="宋体" w:hAnsi="宋体" w:cs="宋体"/>
                <w:color w:val="auto"/>
                <w:sz w:val="24"/>
                <w:highlight w:val="none"/>
              </w:rPr>
              <w:t>21</w:t>
            </w:r>
          </w:p>
        </w:tc>
        <w:tc>
          <w:tcPr>
            <w:tcW w:w="1625" w:type="dxa"/>
            <w:vAlign w:val="center"/>
          </w:tcPr>
          <w:p w14:paraId="1D9D79BD">
            <w:pPr>
              <w:spacing w:line="420" w:lineRule="exact"/>
              <w:jc w:val="center"/>
              <w:rPr>
                <w:rFonts w:ascii="宋体" w:hAnsi="宋体" w:cs="宋体"/>
                <w:color w:val="auto"/>
                <w:sz w:val="24"/>
                <w:highlight w:val="none"/>
              </w:rPr>
            </w:pPr>
            <w:r>
              <w:rPr>
                <w:rFonts w:hint="eastAsia" w:ascii="宋体" w:hAnsi="宋体" w:cs="宋体"/>
                <w:color w:val="auto"/>
                <w:sz w:val="24"/>
                <w:highlight w:val="none"/>
              </w:rPr>
              <w:t>首次响应文件的退回</w:t>
            </w:r>
          </w:p>
        </w:tc>
        <w:tc>
          <w:tcPr>
            <w:tcW w:w="7754" w:type="dxa"/>
            <w:vAlign w:val="center"/>
          </w:tcPr>
          <w:p w14:paraId="1A9E3A6E">
            <w:pPr>
              <w:snapToGrid w:val="0"/>
              <w:spacing w:line="420" w:lineRule="exact"/>
              <w:jc w:val="left"/>
              <w:rPr>
                <w:rFonts w:ascii="宋体" w:hAnsi="宋体" w:cs="宋体"/>
                <w:color w:val="auto"/>
                <w:sz w:val="24"/>
                <w:highlight w:val="none"/>
              </w:rPr>
            </w:pPr>
            <w:r>
              <w:rPr>
                <w:rFonts w:hint="eastAsia" w:ascii="宋体" w:hAnsi="宋体" w:cs="宋体"/>
                <w:color w:val="auto"/>
                <w:sz w:val="24"/>
                <w:highlight w:val="none"/>
              </w:rPr>
              <w:t>详见竞争性磋商公告。</w:t>
            </w:r>
          </w:p>
        </w:tc>
      </w:tr>
      <w:tr w14:paraId="0ABE3E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85" w:type="dxa"/>
            <w:vAlign w:val="center"/>
          </w:tcPr>
          <w:p w14:paraId="781C3E11">
            <w:pPr>
              <w:spacing w:line="420" w:lineRule="exact"/>
              <w:jc w:val="center"/>
              <w:rPr>
                <w:rFonts w:ascii="宋体" w:hAnsi="宋体" w:cs="宋体"/>
                <w:color w:val="auto"/>
                <w:sz w:val="24"/>
                <w:highlight w:val="none"/>
              </w:rPr>
            </w:pPr>
            <w:r>
              <w:rPr>
                <w:rFonts w:hint="eastAsia" w:ascii="宋体" w:hAnsi="宋体" w:cs="宋体"/>
                <w:color w:val="auto"/>
                <w:sz w:val="24"/>
                <w:highlight w:val="none"/>
              </w:rPr>
              <w:t>26.2</w:t>
            </w:r>
          </w:p>
        </w:tc>
        <w:tc>
          <w:tcPr>
            <w:tcW w:w="1625" w:type="dxa"/>
            <w:vAlign w:val="center"/>
          </w:tcPr>
          <w:p w14:paraId="2E67068E">
            <w:pPr>
              <w:snapToGrid w:val="0"/>
              <w:spacing w:line="420" w:lineRule="exact"/>
              <w:jc w:val="center"/>
              <w:rPr>
                <w:rFonts w:ascii="宋体" w:hAnsi="宋体" w:cs="宋体"/>
                <w:color w:val="auto"/>
                <w:sz w:val="24"/>
                <w:highlight w:val="none"/>
              </w:rPr>
            </w:pPr>
            <w:r>
              <w:rPr>
                <w:rFonts w:hint="eastAsia" w:ascii="宋体" w:hAnsi="宋体" w:cs="宋体"/>
                <w:color w:val="auto"/>
                <w:sz w:val="24"/>
                <w:highlight w:val="none"/>
              </w:rPr>
              <w:t>磋商的顺序</w:t>
            </w:r>
          </w:p>
          <w:p w14:paraId="638CE1FB">
            <w:pPr>
              <w:spacing w:line="420" w:lineRule="exact"/>
              <w:jc w:val="center"/>
              <w:rPr>
                <w:rFonts w:ascii="宋体" w:hAnsi="宋体" w:cs="宋体"/>
                <w:color w:val="auto"/>
                <w:sz w:val="24"/>
                <w:highlight w:val="none"/>
              </w:rPr>
            </w:pPr>
          </w:p>
        </w:tc>
        <w:tc>
          <w:tcPr>
            <w:tcW w:w="7754" w:type="dxa"/>
            <w:vAlign w:val="center"/>
          </w:tcPr>
          <w:p w14:paraId="77D7B5DA">
            <w:pPr>
              <w:spacing w:line="420" w:lineRule="exact"/>
              <w:jc w:val="left"/>
              <w:rPr>
                <w:rFonts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rPr>
              <w:t>按照提交首次响应文件的顺序，通知磋商时，若某供应商不在通知现场时，该供应商排序到最后磋商，按照签到的顺序由其下一位供应商先参与磋商。</w:t>
            </w:r>
          </w:p>
          <w:p w14:paraId="3796D4BB">
            <w:pPr>
              <w:snapToGrid w:val="0"/>
              <w:spacing w:line="420" w:lineRule="exact"/>
              <w:rPr>
                <w:rFonts w:ascii="宋体" w:hAnsi="宋体" w:cs="宋体"/>
                <w:color w:val="auto"/>
                <w:sz w:val="24"/>
                <w:highlight w:val="none"/>
              </w:rPr>
            </w:pPr>
            <w:r>
              <w:rPr>
                <w:rFonts w:hint="eastAsia" w:ascii="宋体" w:hAnsi="宋体" w:cs="宋体"/>
                <w:color w:val="auto"/>
                <w:sz w:val="24"/>
                <w:highlight w:val="none"/>
              </w:rPr>
              <w:t>☑随机排序。</w:t>
            </w:r>
          </w:p>
        </w:tc>
      </w:tr>
      <w:tr w14:paraId="7B04A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5" w:type="dxa"/>
            <w:vAlign w:val="center"/>
          </w:tcPr>
          <w:p w14:paraId="3589E76B">
            <w:pPr>
              <w:spacing w:line="420" w:lineRule="exact"/>
              <w:jc w:val="center"/>
              <w:rPr>
                <w:rFonts w:ascii="宋体" w:hAnsi="宋体" w:cs="宋体"/>
                <w:color w:val="auto"/>
                <w:sz w:val="24"/>
                <w:highlight w:val="none"/>
              </w:rPr>
            </w:pPr>
            <w:r>
              <w:rPr>
                <w:rFonts w:hint="eastAsia" w:ascii="宋体" w:hAnsi="宋体" w:cs="宋体"/>
                <w:color w:val="auto"/>
                <w:sz w:val="24"/>
                <w:highlight w:val="none"/>
              </w:rPr>
              <w:t>28</w:t>
            </w:r>
          </w:p>
        </w:tc>
        <w:tc>
          <w:tcPr>
            <w:tcW w:w="1625" w:type="dxa"/>
            <w:vAlign w:val="center"/>
          </w:tcPr>
          <w:p w14:paraId="5E8C38F4">
            <w:pPr>
              <w:spacing w:line="420" w:lineRule="exact"/>
              <w:jc w:val="center"/>
              <w:rPr>
                <w:rFonts w:ascii="宋体" w:hAnsi="宋体" w:cs="宋体"/>
                <w:color w:val="auto"/>
                <w:sz w:val="24"/>
                <w:highlight w:val="none"/>
              </w:rPr>
            </w:pPr>
            <w:r>
              <w:rPr>
                <w:rFonts w:hint="eastAsia" w:ascii="宋体" w:hAnsi="宋体" w:cs="宋体"/>
                <w:color w:val="auto"/>
                <w:sz w:val="24"/>
                <w:highlight w:val="none"/>
              </w:rPr>
              <w:t>履约保证金</w:t>
            </w:r>
          </w:p>
        </w:tc>
        <w:tc>
          <w:tcPr>
            <w:tcW w:w="7754" w:type="dxa"/>
            <w:vAlign w:val="center"/>
          </w:tcPr>
          <w:p w14:paraId="49BB16CB">
            <w:pPr>
              <w:shd w:val="clear"/>
              <w:spacing w:line="400" w:lineRule="exact"/>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履约保证金金额：</w:t>
            </w:r>
            <w:r>
              <w:rPr>
                <w:rFonts w:hint="eastAsia" w:ascii="宋体" w:hAnsi="宋体" w:cs="宋体"/>
                <w:b/>
                <w:bCs/>
                <w:color w:val="auto"/>
                <w:sz w:val="24"/>
                <w:szCs w:val="24"/>
                <w:highlight w:val="none"/>
                <w:lang w:val="en-US" w:eastAsia="zh-CN"/>
              </w:rPr>
              <w:t>本项目采购预算金额的2%。</w:t>
            </w:r>
          </w:p>
          <w:p w14:paraId="7371C5A8">
            <w:pPr>
              <w:shd w:val="clear"/>
              <w:spacing w:line="400" w:lineRule="exact"/>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履约保证金提交方式：支票、汇票、本票、银行转账或者金融机构、担保机构出具的保函等非现金形式。成交供应商在签订合同前足额提交履约保证金至采购人以下指定账户。</w:t>
            </w:r>
          </w:p>
          <w:p w14:paraId="0D9693B5">
            <w:pPr>
              <w:shd w:val="clear"/>
              <w:spacing w:line="400" w:lineRule="exact"/>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履约保证金指定账户：</w:t>
            </w:r>
          </w:p>
          <w:p w14:paraId="7A70BF55">
            <w:pPr>
              <w:shd w:val="clear"/>
              <w:spacing w:line="400" w:lineRule="exact"/>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 xml:space="preserve">开户名：广西医科大学附属武鸣医院 </w:t>
            </w:r>
          </w:p>
          <w:p w14:paraId="21E7C4F6">
            <w:pPr>
              <w:shd w:val="clear"/>
              <w:spacing w:line="400" w:lineRule="exact"/>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 xml:space="preserve">开户行：中国工商银行股份有限公司南宁市武鸣支行 </w:t>
            </w:r>
          </w:p>
          <w:p w14:paraId="5CFFBBAC">
            <w:pPr>
              <w:shd w:val="clear"/>
              <w:spacing w:line="400" w:lineRule="exact"/>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账  号：2102117009300236704</w:t>
            </w:r>
          </w:p>
          <w:p w14:paraId="58DDD788">
            <w:pPr>
              <w:keepNext w:val="0"/>
              <w:keepLines w:val="0"/>
              <w:pageBreakBefore w:val="0"/>
              <w:widowControl w:val="0"/>
              <w:kinsoku/>
              <w:wordWrap/>
              <w:autoSpaceDE/>
              <w:autoSpaceDN/>
              <w:bidi w:val="0"/>
              <w:adjustRightInd/>
              <w:snapToGrid w:val="0"/>
              <w:spacing w:line="430" w:lineRule="exact"/>
              <w:textAlignment w:val="auto"/>
              <w:rPr>
                <w:color w:val="auto"/>
                <w:highlight w:val="none"/>
              </w:rPr>
            </w:pPr>
            <w:r>
              <w:rPr>
                <w:rFonts w:hint="eastAsia" w:ascii="宋体" w:hAnsi="宋体" w:cs="宋体"/>
                <w:color w:val="auto"/>
                <w:sz w:val="24"/>
                <w:szCs w:val="24"/>
                <w:highlight w:val="none"/>
                <w:lang w:val="en-US" w:eastAsia="zh-CN"/>
              </w:rPr>
              <w:t>履约保证金退付方式、时间及条件：服务期结束后成交供应商无违约问题的，由成交供应商向采购人提供项目履约保证金退付申请，采购人在收到合格材料（包括履约保证金退付意见书、验收报告、退付申请函、合同、履约保证金缴纳凭证等）后进行核对，如有违约或赔偿的，涉及违约的违约金和损失赔偿从履约保证金中扣减后，采购人审核后30日内转账退还（无息）。</w:t>
            </w:r>
          </w:p>
        </w:tc>
      </w:tr>
      <w:tr w14:paraId="46491A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5" w:type="dxa"/>
            <w:vAlign w:val="center"/>
          </w:tcPr>
          <w:p w14:paraId="0A0EAF31">
            <w:pPr>
              <w:spacing w:line="420" w:lineRule="exact"/>
              <w:jc w:val="center"/>
              <w:rPr>
                <w:rFonts w:ascii="宋体" w:hAnsi="宋体" w:cs="宋体"/>
                <w:color w:val="auto"/>
                <w:sz w:val="24"/>
                <w:highlight w:val="none"/>
              </w:rPr>
            </w:pPr>
            <w:r>
              <w:rPr>
                <w:rFonts w:hint="eastAsia" w:ascii="宋体" w:hAnsi="宋体" w:cs="宋体"/>
                <w:color w:val="auto"/>
                <w:sz w:val="24"/>
                <w:highlight w:val="none"/>
              </w:rPr>
              <w:t>29.5</w:t>
            </w:r>
          </w:p>
        </w:tc>
        <w:tc>
          <w:tcPr>
            <w:tcW w:w="1625" w:type="dxa"/>
            <w:vAlign w:val="center"/>
          </w:tcPr>
          <w:p w14:paraId="48CB4661">
            <w:pPr>
              <w:spacing w:line="420" w:lineRule="exact"/>
              <w:jc w:val="center"/>
              <w:rPr>
                <w:rFonts w:ascii="宋体" w:hAnsi="宋体" w:cs="宋体"/>
                <w:color w:val="auto"/>
                <w:sz w:val="24"/>
                <w:highlight w:val="none"/>
              </w:rPr>
            </w:pPr>
            <w:r>
              <w:rPr>
                <w:rFonts w:hint="eastAsia" w:ascii="宋体" w:hAnsi="宋体" w:cs="宋体"/>
                <w:color w:val="auto"/>
                <w:sz w:val="24"/>
                <w:highlight w:val="none"/>
              </w:rPr>
              <w:t>签订合同携带的材料</w:t>
            </w:r>
          </w:p>
        </w:tc>
        <w:tc>
          <w:tcPr>
            <w:tcW w:w="7754" w:type="dxa"/>
            <w:vAlign w:val="center"/>
          </w:tcPr>
          <w:p w14:paraId="10D463A6">
            <w:pPr>
              <w:snapToGrid w:val="0"/>
              <w:spacing w:line="420" w:lineRule="exact"/>
              <w:rPr>
                <w:rFonts w:ascii="宋体" w:hAnsi="宋体" w:cs="宋体"/>
                <w:color w:val="auto"/>
                <w:sz w:val="24"/>
                <w:highlight w:val="none"/>
              </w:rPr>
            </w:pPr>
            <w:r>
              <w:rPr>
                <w:rFonts w:hint="eastAsia" w:ascii="宋体" w:hAnsi="宋体" w:cs="宋体"/>
                <w:color w:val="auto"/>
                <w:sz w:val="24"/>
                <w:highlight w:val="none"/>
              </w:rPr>
              <w:t>使用的有效CA证书加盖单位电子公章</w:t>
            </w:r>
          </w:p>
        </w:tc>
      </w:tr>
      <w:tr w14:paraId="1E699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5" w:type="dxa"/>
            <w:vMerge w:val="restart"/>
            <w:vAlign w:val="center"/>
          </w:tcPr>
          <w:p w14:paraId="0F90EB44">
            <w:pPr>
              <w:spacing w:line="420" w:lineRule="exact"/>
              <w:jc w:val="center"/>
              <w:rPr>
                <w:rFonts w:ascii="宋体" w:hAnsi="宋体" w:cs="宋体"/>
                <w:color w:val="auto"/>
                <w:sz w:val="24"/>
                <w:highlight w:val="none"/>
              </w:rPr>
            </w:pPr>
            <w:r>
              <w:rPr>
                <w:rFonts w:hint="eastAsia" w:ascii="宋体" w:hAnsi="宋体" w:cs="宋体"/>
                <w:color w:val="auto"/>
                <w:sz w:val="24"/>
                <w:highlight w:val="none"/>
              </w:rPr>
              <w:t>31.2</w:t>
            </w:r>
          </w:p>
        </w:tc>
        <w:tc>
          <w:tcPr>
            <w:tcW w:w="1625" w:type="dxa"/>
            <w:vAlign w:val="center"/>
          </w:tcPr>
          <w:p w14:paraId="67224A7C">
            <w:pPr>
              <w:spacing w:line="420" w:lineRule="exact"/>
              <w:jc w:val="center"/>
              <w:rPr>
                <w:rFonts w:ascii="宋体" w:hAnsi="宋体" w:cs="宋体"/>
                <w:color w:val="auto"/>
                <w:sz w:val="24"/>
                <w:highlight w:val="none"/>
              </w:rPr>
            </w:pPr>
            <w:r>
              <w:rPr>
                <w:rFonts w:hint="eastAsia" w:ascii="宋体" w:hAnsi="宋体" w:cs="宋体"/>
                <w:color w:val="auto"/>
                <w:sz w:val="24"/>
                <w:highlight w:val="none"/>
              </w:rPr>
              <w:t>接收质疑函方式</w:t>
            </w:r>
          </w:p>
        </w:tc>
        <w:tc>
          <w:tcPr>
            <w:tcW w:w="7754" w:type="dxa"/>
            <w:vAlign w:val="center"/>
          </w:tcPr>
          <w:p w14:paraId="53AA1288">
            <w:pPr>
              <w:snapToGrid w:val="0"/>
              <w:spacing w:line="420" w:lineRule="exact"/>
              <w:rPr>
                <w:rFonts w:ascii="宋体" w:hAnsi="宋体" w:cs="宋体"/>
                <w:color w:val="auto"/>
                <w:sz w:val="24"/>
                <w:highlight w:val="none"/>
              </w:rPr>
            </w:pPr>
            <w:r>
              <w:rPr>
                <w:rFonts w:hint="eastAsia" w:ascii="宋体" w:hAnsi="宋体" w:cs="宋体"/>
                <w:color w:val="auto"/>
                <w:sz w:val="24"/>
                <w:highlight w:val="none"/>
              </w:rPr>
              <w:t>以书面形式</w:t>
            </w:r>
          </w:p>
        </w:tc>
      </w:tr>
      <w:tr w14:paraId="3E27C2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5" w:type="dxa"/>
            <w:vMerge w:val="continue"/>
            <w:vAlign w:val="center"/>
          </w:tcPr>
          <w:p w14:paraId="5EA6961B">
            <w:pPr>
              <w:spacing w:line="420" w:lineRule="exact"/>
              <w:jc w:val="center"/>
              <w:rPr>
                <w:rFonts w:ascii="宋体" w:hAnsi="宋体" w:cs="宋体"/>
                <w:color w:val="auto"/>
                <w:sz w:val="24"/>
                <w:highlight w:val="none"/>
              </w:rPr>
            </w:pPr>
          </w:p>
        </w:tc>
        <w:tc>
          <w:tcPr>
            <w:tcW w:w="1625" w:type="dxa"/>
            <w:vAlign w:val="center"/>
          </w:tcPr>
          <w:p w14:paraId="59512F9C">
            <w:pPr>
              <w:spacing w:line="420" w:lineRule="exact"/>
              <w:jc w:val="center"/>
              <w:rPr>
                <w:rFonts w:ascii="宋体" w:hAnsi="宋体" w:cs="宋体"/>
                <w:color w:val="auto"/>
                <w:sz w:val="24"/>
                <w:highlight w:val="none"/>
              </w:rPr>
            </w:pPr>
            <w:r>
              <w:rPr>
                <w:rFonts w:hint="eastAsia" w:ascii="宋体" w:hAnsi="宋体" w:cs="宋体"/>
                <w:color w:val="auto"/>
                <w:sz w:val="24"/>
                <w:highlight w:val="none"/>
              </w:rPr>
              <w:t>质疑联系部门及联系方式</w:t>
            </w:r>
          </w:p>
        </w:tc>
        <w:tc>
          <w:tcPr>
            <w:tcW w:w="7754" w:type="dxa"/>
            <w:vAlign w:val="center"/>
          </w:tcPr>
          <w:p w14:paraId="22B47927">
            <w:pPr>
              <w:snapToGrid w:val="0"/>
              <w:spacing w:line="420" w:lineRule="exact"/>
              <w:rPr>
                <w:rFonts w:ascii="宋体" w:hAnsi="宋体" w:cs="宋体"/>
                <w:color w:val="auto"/>
                <w:sz w:val="24"/>
                <w:highlight w:val="none"/>
              </w:rPr>
            </w:pPr>
            <w:r>
              <w:rPr>
                <w:rFonts w:hint="eastAsia" w:ascii="宋体" w:hAnsi="宋体" w:cs="宋体"/>
                <w:color w:val="auto"/>
                <w:sz w:val="24"/>
                <w:highlight w:val="none"/>
                <w:u w:val="single"/>
              </w:rPr>
              <w:t>广西瑞真工程造价咨询有限责任公司</w:t>
            </w:r>
            <w:r>
              <w:rPr>
                <w:rFonts w:hint="eastAsia" w:ascii="宋体" w:hAnsi="宋体" w:cs="宋体"/>
                <w:color w:val="auto"/>
                <w:sz w:val="24"/>
                <w:highlight w:val="none"/>
                <w:u w:val="single"/>
                <w:lang w:val="en-US" w:eastAsia="zh-CN"/>
              </w:rPr>
              <w:t>代理二部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03BC93E5">
            <w:pPr>
              <w:snapToGrid w:val="0"/>
              <w:spacing w:line="420" w:lineRule="exact"/>
              <w:rPr>
                <w:rFonts w:ascii="宋体" w:hAnsi="宋体" w:cs="宋体"/>
                <w:color w:val="auto"/>
                <w:sz w:val="24"/>
                <w:highlight w:val="none"/>
              </w:rPr>
            </w:pPr>
            <w:r>
              <w:rPr>
                <w:rFonts w:hint="eastAsia" w:ascii="宋体" w:hAnsi="宋体" w:cs="宋体"/>
                <w:color w:val="auto"/>
                <w:sz w:val="24"/>
                <w:highlight w:val="none"/>
              </w:rPr>
              <w:t>联系电话：0771-5800672，</w:t>
            </w:r>
          </w:p>
          <w:p w14:paraId="6B805148">
            <w:pPr>
              <w:snapToGrid w:val="0"/>
              <w:spacing w:line="420" w:lineRule="exact"/>
              <w:rPr>
                <w:rFonts w:ascii="宋体" w:hAnsi="宋体" w:cs="宋体"/>
                <w:color w:val="auto"/>
                <w:sz w:val="24"/>
                <w:highlight w:val="none"/>
              </w:rPr>
            </w:pPr>
            <w:r>
              <w:rPr>
                <w:rFonts w:hint="eastAsia" w:ascii="宋体" w:hAnsi="宋体" w:cs="宋体"/>
                <w:color w:val="auto"/>
                <w:sz w:val="24"/>
                <w:highlight w:val="none"/>
              </w:rPr>
              <w:t>通讯地址：</w:t>
            </w:r>
            <w:r>
              <w:rPr>
                <w:rFonts w:hint="eastAsia" w:ascii="宋体" w:hAnsi="宋体" w:cs="宋体"/>
                <w:color w:val="auto"/>
                <w:sz w:val="24"/>
                <w:highlight w:val="none"/>
                <w:u w:val="single"/>
              </w:rPr>
              <w:t>南宁市青秀区竹溪大道2号荣恒</w:t>
            </w:r>
            <w:r>
              <w:rPr>
                <w:rFonts w:hint="eastAsia" w:ascii="宋体" w:hAnsi="宋体" w:cs="宋体"/>
                <w:color w:val="auto"/>
                <w:sz w:val="24"/>
                <w:highlight w:val="none"/>
                <w:u w:val="single"/>
                <w:lang w:val="en-US" w:eastAsia="zh-CN"/>
              </w:rPr>
              <w:t>国际</w:t>
            </w:r>
            <w:r>
              <w:rPr>
                <w:rFonts w:hint="eastAsia" w:ascii="宋体" w:hAnsi="宋体" w:cs="宋体"/>
                <w:color w:val="auto"/>
                <w:sz w:val="24"/>
                <w:highlight w:val="none"/>
                <w:u w:val="single"/>
              </w:rPr>
              <w:t>名都A座10层</w:t>
            </w:r>
            <w:r>
              <w:rPr>
                <w:rFonts w:hint="eastAsia" w:ascii="宋体" w:hAnsi="宋体" w:cs="宋体"/>
                <w:color w:val="auto"/>
                <w:sz w:val="24"/>
                <w:highlight w:val="none"/>
                <w:u w:val="single"/>
                <w:lang w:val="en-US" w:eastAsia="zh-CN"/>
              </w:rPr>
              <w:t>11</w:t>
            </w:r>
            <w:r>
              <w:rPr>
                <w:rFonts w:hint="eastAsia" w:ascii="宋体" w:hAnsi="宋体" w:cs="宋体"/>
                <w:color w:val="auto"/>
                <w:sz w:val="24"/>
                <w:highlight w:val="none"/>
                <w:u w:val="single"/>
              </w:rPr>
              <w:t xml:space="preserve">号。 </w:t>
            </w:r>
          </w:p>
        </w:tc>
      </w:tr>
      <w:tr w14:paraId="3C1F1A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5" w:type="dxa"/>
            <w:vMerge w:val="continue"/>
            <w:vAlign w:val="center"/>
          </w:tcPr>
          <w:p w14:paraId="2D32C393">
            <w:pPr>
              <w:spacing w:line="420" w:lineRule="exact"/>
              <w:jc w:val="center"/>
              <w:rPr>
                <w:rFonts w:ascii="宋体" w:hAnsi="宋体" w:cs="宋体"/>
                <w:color w:val="auto"/>
                <w:sz w:val="24"/>
                <w:highlight w:val="none"/>
              </w:rPr>
            </w:pPr>
          </w:p>
        </w:tc>
        <w:tc>
          <w:tcPr>
            <w:tcW w:w="1625" w:type="dxa"/>
            <w:vAlign w:val="center"/>
          </w:tcPr>
          <w:p w14:paraId="01BA6B20">
            <w:pPr>
              <w:spacing w:line="420" w:lineRule="exact"/>
              <w:jc w:val="center"/>
              <w:rPr>
                <w:rFonts w:ascii="宋体" w:hAnsi="宋体" w:cs="宋体"/>
                <w:color w:val="auto"/>
                <w:sz w:val="24"/>
                <w:highlight w:val="none"/>
              </w:rPr>
            </w:pPr>
            <w:r>
              <w:rPr>
                <w:rFonts w:hint="eastAsia" w:ascii="宋体" w:hAnsi="宋体" w:cs="宋体"/>
                <w:color w:val="auto"/>
                <w:sz w:val="24"/>
                <w:highlight w:val="none"/>
              </w:rPr>
              <w:t>现场提交质疑办理业务时间</w:t>
            </w:r>
          </w:p>
        </w:tc>
        <w:tc>
          <w:tcPr>
            <w:tcW w:w="7754" w:type="dxa"/>
            <w:vAlign w:val="center"/>
          </w:tcPr>
          <w:p w14:paraId="4F9CE37A">
            <w:pPr>
              <w:snapToGrid w:val="0"/>
              <w:spacing w:line="420" w:lineRule="exact"/>
              <w:rPr>
                <w:rFonts w:ascii="宋体" w:hAnsi="宋体" w:cs="宋体"/>
                <w:color w:val="auto"/>
                <w:sz w:val="24"/>
                <w:highlight w:val="none"/>
              </w:rPr>
            </w:pPr>
            <w:r>
              <w:rPr>
                <w:rFonts w:hint="eastAsia" w:ascii="宋体" w:hAnsi="宋体" w:cs="宋体"/>
                <w:color w:val="auto"/>
                <w:sz w:val="24"/>
                <w:highlight w:val="none"/>
              </w:rPr>
              <w:t>质疑期内每个工作日</w:t>
            </w:r>
            <w:r>
              <w:rPr>
                <w:rFonts w:hint="eastAsia" w:ascii="宋体" w:hAnsi="宋体" w:cs="宋体"/>
                <w:color w:val="auto"/>
                <w:sz w:val="24"/>
                <w:highlight w:val="none"/>
                <w:u w:val="single"/>
                <w:lang w:val="en-US" w:eastAsia="zh-CN"/>
              </w:rPr>
              <w:t>9</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时</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0</w:t>
            </w:r>
            <w:r>
              <w:rPr>
                <w:rFonts w:hint="eastAsia" w:ascii="宋体" w:hAnsi="宋体" w:cs="宋体"/>
                <w:color w:val="auto"/>
                <w:sz w:val="24"/>
                <w:highlight w:val="none"/>
                <w:u w:val="single"/>
              </w:rPr>
              <w:t xml:space="preserve">0 </w:t>
            </w:r>
            <w:r>
              <w:rPr>
                <w:rFonts w:hint="eastAsia" w:ascii="宋体" w:hAnsi="宋体" w:cs="宋体"/>
                <w:color w:val="auto"/>
                <w:sz w:val="24"/>
                <w:highlight w:val="none"/>
              </w:rPr>
              <w:t>分到</w:t>
            </w:r>
            <w:r>
              <w:rPr>
                <w:rFonts w:hint="eastAsia" w:ascii="宋体" w:hAnsi="宋体" w:cs="宋体"/>
                <w:color w:val="auto"/>
                <w:sz w:val="24"/>
                <w:highlight w:val="none"/>
                <w:u w:val="single"/>
              </w:rPr>
              <w:t xml:space="preserve"> 12 </w:t>
            </w:r>
            <w:r>
              <w:rPr>
                <w:rFonts w:hint="eastAsia" w:ascii="宋体" w:hAnsi="宋体" w:cs="宋体"/>
                <w:color w:val="auto"/>
                <w:sz w:val="24"/>
                <w:highlight w:val="none"/>
              </w:rPr>
              <w:t>时</w:t>
            </w:r>
            <w:r>
              <w:rPr>
                <w:rFonts w:hint="eastAsia" w:ascii="宋体" w:hAnsi="宋体" w:cs="宋体"/>
                <w:color w:val="auto"/>
                <w:sz w:val="24"/>
                <w:highlight w:val="none"/>
                <w:u w:val="single"/>
              </w:rPr>
              <w:t xml:space="preserve"> 00 </w:t>
            </w:r>
            <w:r>
              <w:rPr>
                <w:rFonts w:hint="eastAsia" w:ascii="宋体" w:hAnsi="宋体" w:cs="宋体"/>
                <w:color w:val="auto"/>
                <w:sz w:val="24"/>
                <w:highlight w:val="none"/>
              </w:rPr>
              <w:t>分，</w:t>
            </w:r>
            <w:r>
              <w:rPr>
                <w:rFonts w:hint="eastAsia" w:ascii="宋体" w:hAnsi="宋体" w:cs="宋体"/>
                <w:color w:val="auto"/>
                <w:sz w:val="24"/>
                <w:highlight w:val="none"/>
                <w:u w:val="single"/>
              </w:rPr>
              <w:t xml:space="preserve"> 15 </w:t>
            </w:r>
            <w:r>
              <w:rPr>
                <w:rFonts w:hint="eastAsia" w:ascii="宋体" w:hAnsi="宋体" w:cs="宋体"/>
                <w:color w:val="auto"/>
                <w:sz w:val="24"/>
                <w:highlight w:val="none"/>
              </w:rPr>
              <w:t>时</w:t>
            </w:r>
            <w:r>
              <w:rPr>
                <w:rFonts w:hint="eastAsia" w:ascii="宋体" w:hAnsi="宋体" w:cs="宋体"/>
                <w:color w:val="auto"/>
                <w:sz w:val="24"/>
                <w:highlight w:val="none"/>
                <w:u w:val="single"/>
              </w:rPr>
              <w:t>00</w:t>
            </w:r>
            <w:r>
              <w:rPr>
                <w:rFonts w:hint="eastAsia" w:ascii="宋体" w:hAnsi="宋体" w:cs="宋体"/>
                <w:color w:val="auto"/>
                <w:sz w:val="24"/>
                <w:highlight w:val="none"/>
              </w:rPr>
              <w:t>分到</w:t>
            </w:r>
            <w:r>
              <w:rPr>
                <w:rFonts w:hint="eastAsia" w:ascii="宋体" w:hAnsi="宋体" w:cs="宋体"/>
                <w:color w:val="auto"/>
                <w:sz w:val="24"/>
                <w:highlight w:val="none"/>
                <w:u w:val="single"/>
              </w:rPr>
              <w:t xml:space="preserve"> 17 </w:t>
            </w:r>
            <w:r>
              <w:rPr>
                <w:rFonts w:hint="eastAsia" w:ascii="宋体" w:hAnsi="宋体" w:cs="宋体"/>
                <w:color w:val="auto"/>
                <w:sz w:val="24"/>
                <w:highlight w:val="none"/>
              </w:rPr>
              <w:t>时</w:t>
            </w:r>
            <w:r>
              <w:rPr>
                <w:rFonts w:hint="eastAsia" w:ascii="宋体" w:hAnsi="宋体" w:cs="宋体"/>
                <w:color w:val="auto"/>
                <w:sz w:val="24"/>
                <w:highlight w:val="none"/>
                <w:u w:val="single"/>
              </w:rPr>
              <w:t xml:space="preserve"> 30</w:t>
            </w:r>
            <w:r>
              <w:rPr>
                <w:rFonts w:hint="eastAsia" w:ascii="宋体" w:hAnsi="宋体" w:cs="宋体"/>
                <w:color w:val="auto"/>
                <w:sz w:val="24"/>
                <w:highlight w:val="none"/>
              </w:rPr>
              <w:t>分</w:t>
            </w:r>
          </w:p>
        </w:tc>
      </w:tr>
      <w:tr w14:paraId="520930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5" w:type="dxa"/>
            <w:vAlign w:val="center"/>
          </w:tcPr>
          <w:p w14:paraId="0EAC7494">
            <w:pPr>
              <w:spacing w:line="420" w:lineRule="exact"/>
              <w:jc w:val="center"/>
              <w:rPr>
                <w:rFonts w:ascii="宋体" w:hAnsi="宋体" w:cs="宋体"/>
                <w:color w:val="auto"/>
                <w:sz w:val="24"/>
                <w:highlight w:val="none"/>
              </w:rPr>
            </w:pPr>
            <w:r>
              <w:rPr>
                <w:rFonts w:hint="eastAsia" w:ascii="宋体" w:hAnsi="宋体" w:cs="宋体"/>
                <w:color w:val="auto"/>
                <w:sz w:val="24"/>
                <w:highlight w:val="none"/>
              </w:rPr>
              <w:t>33</w:t>
            </w:r>
          </w:p>
        </w:tc>
        <w:tc>
          <w:tcPr>
            <w:tcW w:w="1625" w:type="dxa"/>
            <w:vAlign w:val="center"/>
          </w:tcPr>
          <w:p w14:paraId="7B981617">
            <w:pPr>
              <w:spacing w:line="420" w:lineRule="exact"/>
              <w:jc w:val="center"/>
              <w:rPr>
                <w:rFonts w:ascii="宋体" w:hAnsi="宋体" w:cs="宋体"/>
                <w:color w:val="auto"/>
                <w:sz w:val="24"/>
                <w:highlight w:val="none"/>
              </w:rPr>
            </w:pPr>
            <w:r>
              <w:rPr>
                <w:rFonts w:hint="eastAsia" w:ascii="宋体" w:hAnsi="宋体" w:cs="宋体"/>
                <w:color w:val="auto"/>
                <w:sz w:val="24"/>
                <w:highlight w:val="none"/>
              </w:rPr>
              <w:t>采购代理费</w:t>
            </w:r>
          </w:p>
        </w:tc>
        <w:tc>
          <w:tcPr>
            <w:tcW w:w="7754" w:type="dxa"/>
            <w:vAlign w:val="center"/>
          </w:tcPr>
          <w:p w14:paraId="559927FC">
            <w:pPr>
              <w:pStyle w:val="19"/>
              <w:keepNext w:val="0"/>
              <w:keepLines w:val="0"/>
              <w:pageBreakBefore w:val="0"/>
              <w:widowControl w:val="0"/>
              <w:kinsoku/>
              <w:wordWrap/>
              <w:overflowPunct/>
              <w:topLinePunct w:val="0"/>
              <w:autoSpaceDE/>
              <w:autoSpaceDN/>
              <w:bidi w:val="0"/>
              <w:adjustRightInd/>
              <w:snapToGrid w:val="0"/>
              <w:spacing w:line="440" w:lineRule="exact"/>
              <w:textAlignment w:val="auto"/>
              <w:rPr>
                <w:rFonts w:hAnsi="宋体" w:cs="宋体"/>
                <w:color w:val="auto"/>
                <w:sz w:val="24"/>
                <w:szCs w:val="24"/>
                <w:highlight w:val="none"/>
              </w:rPr>
            </w:pPr>
            <w:r>
              <w:rPr>
                <w:rFonts w:hint="eastAsia" w:hAnsi="宋体" w:cs="宋体"/>
                <w:color w:val="auto"/>
                <w:sz w:val="24"/>
                <w:szCs w:val="24"/>
                <w:highlight w:val="none"/>
              </w:rPr>
              <w:t>1. 是否收取采购代理费：</w:t>
            </w:r>
          </w:p>
          <w:p w14:paraId="0DCA855B">
            <w:pPr>
              <w:pStyle w:val="19"/>
              <w:keepNext w:val="0"/>
              <w:keepLines w:val="0"/>
              <w:pageBreakBefore w:val="0"/>
              <w:widowControl w:val="0"/>
              <w:kinsoku/>
              <w:wordWrap/>
              <w:overflowPunct/>
              <w:topLinePunct w:val="0"/>
              <w:autoSpaceDE/>
              <w:autoSpaceDN/>
              <w:bidi w:val="0"/>
              <w:adjustRightInd/>
              <w:snapToGrid w:val="0"/>
              <w:spacing w:line="440" w:lineRule="exact"/>
              <w:textAlignment w:val="auto"/>
              <w:rPr>
                <w:rFonts w:hAnsi="宋体" w:cs="宋体"/>
                <w:color w:val="auto"/>
                <w:sz w:val="24"/>
                <w:szCs w:val="24"/>
                <w:highlight w:val="none"/>
              </w:rPr>
            </w:pPr>
            <w:r>
              <w:rPr>
                <w:rFonts w:hint="eastAsia" w:hAnsi="宋体" w:cs="宋体"/>
                <w:color w:val="auto"/>
                <w:sz w:val="24"/>
                <w:szCs w:val="24"/>
                <w:highlight w:val="none"/>
              </w:rPr>
              <w:t>☑是    □ 否</w:t>
            </w:r>
          </w:p>
          <w:p w14:paraId="18148A97">
            <w:pPr>
              <w:pStyle w:val="19"/>
              <w:keepNext w:val="0"/>
              <w:keepLines w:val="0"/>
              <w:pageBreakBefore w:val="0"/>
              <w:widowControl w:val="0"/>
              <w:kinsoku/>
              <w:wordWrap/>
              <w:overflowPunct/>
              <w:topLinePunct w:val="0"/>
              <w:autoSpaceDE/>
              <w:autoSpaceDN/>
              <w:bidi w:val="0"/>
              <w:adjustRightInd/>
              <w:snapToGrid w:val="0"/>
              <w:spacing w:line="440" w:lineRule="exact"/>
              <w:textAlignment w:val="auto"/>
              <w:rPr>
                <w:rFonts w:hAnsi="宋体" w:cs="宋体"/>
                <w:color w:val="auto"/>
                <w:sz w:val="24"/>
                <w:szCs w:val="24"/>
                <w:highlight w:val="none"/>
              </w:rPr>
            </w:pPr>
            <w:r>
              <w:rPr>
                <w:rFonts w:hint="eastAsia" w:hAnsi="宋体" w:cs="宋体"/>
                <w:color w:val="auto"/>
                <w:sz w:val="24"/>
                <w:szCs w:val="24"/>
                <w:highlight w:val="none"/>
              </w:rPr>
              <w:t>2.采购代理费支付方式：</w:t>
            </w:r>
          </w:p>
          <w:p w14:paraId="60CE4886">
            <w:pPr>
              <w:pStyle w:val="19"/>
              <w:keepNext w:val="0"/>
              <w:keepLines w:val="0"/>
              <w:pageBreakBefore w:val="0"/>
              <w:widowControl w:val="0"/>
              <w:kinsoku/>
              <w:wordWrap/>
              <w:overflowPunct/>
              <w:topLinePunct w:val="0"/>
              <w:autoSpaceDE/>
              <w:autoSpaceDN/>
              <w:bidi w:val="0"/>
              <w:adjustRightInd/>
              <w:snapToGrid w:val="0"/>
              <w:spacing w:line="440" w:lineRule="exact"/>
              <w:textAlignment w:val="auto"/>
              <w:rPr>
                <w:rFonts w:hAnsi="宋体" w:cs="宋体"/>
                <w:color w:val="auto"/>
                <w:sz w:val="24"/>
                <w:szCs w:val="24"/>
                <w:highlight w:val="none"/>
              </w:rPr>
            </w:pPr>
            <w:r>
              <w:rPr>
                <w:rFonts w:hint="eastAsia" w:hAnsi="宋体" w:cs="宋体"/>
                <w:color w:val="auto"/>
                <w:sz w:val="24"/>
                <w:szCs w:val="24"/>
                <w:highlight w:val="none"/>
              </w:rPr>
              <w:t>☑本项目代理服务费由</w:t>
            </w:r>
            <w:r>
              <w:rPr>
                <w:rFonts w:hint="eastAsia" w:hAnsi="宋体" w:cs="宋体"/>
                <w:color w:val="auto"/>
                <w:sz w:val="24"/>
                <w:szCs w:val="24"/>
                <w:highlight w:val="none"/>
                <w:u w:val="single"/>
              </w:rPr>
              <w:t>成交供应商</w:t>
            </w:r>
            <w:r>
              <w:rPr>
                <w:rFonts w:hint="eastAsia" w:hAnsi="宋体" w:cs="宋体"/>
                <w:color w:val="auto"/>
                <w:sz w:val="24"/>
                <w:szCs w:val="24"/>
                <w:highlight w:val="none"/>
              </w:rPr>
              <w:t>一次性向采购代理机构支付。</w:t>
            </w:r>
          </w:p>
          <w:p w14:paraId="23573818">
            <w:pPr>
              <w:pStyle w:val="19"/>
              <w:keepNext w:val="0"/>
              <w:keepLines w:val="0"/>
              <w:pageBreakBefore w:val="0"/>
              <w:widowControl w:val="0"/>
              <w:kinsoku/>
              <w:wordWrap/>
              <w:overflowPunct/>
              <w:topLinePunct w:val="0"/>
              <w:autoSpaceDE/>
              <w:autoSpaceDN/>
              <w:bidi w:val="0"/>
              <w:adjustRightInd/>
              <w:snapToGrid w:val="0"/>
              <w:spacing w:line="440" w:lineRule="exact"/>
              <w:textAlignment w:val="auto"/>
              <w:rPr>
                <w:rFonts w:hAnsi="宋体" w:cs="宋体"/>
                <w:color w:val="auto"/>
                <w:sz w:val="24"/>
                <w:szCs w:val="24"/>
                <w:highlight w:val="none"/>
              </w:rPr>
            </w:pPr>
            <w:r>
              <w:rPr>
                <w:rFonts w:hint="eastAsia" w:hAnsi="宋体" w:cs="宋体"/>
                <w:color w:val="auto"/>
                <w:sz w:val="24"/>
                <w:szCs w:val="24"/>
                <w:highlight w:val="none"/>
              </w:rPr>
              <w:t>□采购人支付。</w:t>
            </w:r>
          </w:p>
          <w:p w14:paraId="3B928EA7">
            <w:pPr>
              <w:pStyle w:val="19"/>
              <w:keepNext w:val="0"/>
              <w:keepLines w:val="0"/>
              <w:pageBreakBefore w:val="0"/>
              <w:widowControl w:val="0"/>
              <w:kinsoku/>
              <w:wordWrap/>
              <w:overflowPunct/>
              <w:topLinePunct w:val="0"/>
              <w:autoSpaceDE/>
              <w:autoSpaceDN/>
              <w:bidi w:val="0"/>
              <w:adjustRightInd/>
              <w:snapToGrid w:val="0"/>
              <w:spacing w:line="440" w:lineRule="exact"/>
              <w:textAlignment w:val="auto"/>
              <w:rPr>
                <w:rFonts w:hAnsi="宋体" w:cs="宋体"/>
                <w:color w:val="auto"/>
                <w:sz w:val="24"/>
                <w:szCs w:val="24"/>
                <w:highlight w:val="none"/>
              </w:rPr>
            </w:pPr>
            <w:r>
              <w:rPr>
                <w:rFonts w:hint="eastAsia" w:hAnsi="宋体" w:cs="宋体"/>
                <w:color w:val="auto"/>
                <w:sz w:val="24"/>
                <w:szCs w:val="24"/>
                <w:highlight w:val="none"/>
              </w:rPr>
              <w:t>3.采购代理费收取标准：</w:t>
            </w:r>
          </w:p>
          <w:p w14:paraId="1AD3C9B4">
            <w:pPr>
              <w:pStyle w:val="19"/>
              <w:keepNext w:val="0"/>
              <w:keepLines w:val="0"/>
              <w:pageBreakBefore w:val="0"/>
              <w:widowControl w:val="0"/>
              <w:kinsoku/>
              <w:wordWrap/>
              <w:overflowPunct/>
              <w:topLinePunct w:val="0"/>
              <w:autoSpaceDE/>
              <w:autoSpaceDN/>
              <w:bidi w:val="0"/>
              <w:adjustRightInd/>
              <w:snapToGrid w:val="0"/>
              <w:spacing w:line="390" w:lineRule="exac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以分标（</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中标金额/</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采购预算/□暂定成交金额/□其他</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）为计费额，</w:t>
            </w:r>
            <w:r>
              <w:rPr>
                <w:rFonts w:hint="eastAsia" w:hAnsi="宋体" w:cs="宋体"/>
                <w:b/>
                <w:bCs/>
                <w:color w:val="auto"/>
                <w:sz w:val="24"/>
                <w:szCs w:val="24"/>
                <w:highlight w:val="none"/>
                <w:u w:val="single"/>
              </w:rPr>
              <w:t>参照国家发展改革委办公厅《关于招标代理服务收费有关问题的通知》（发改办价格〔2003〕857号）和国家发展改革委《关于降低部分建设项目收费标准规范收费行为等有关问题的通知》（发改价格〔2011〕534号）规定</w:t>
            </w:r>
            <w:r>
              <w:rPr>
                <w:rFonts w:hint="eastAsia" w:hAnsi="宋体" w:cs="宋体"/>
                <w:b/>
                <w:bCs/>
                <w:color w:val="auto"/>
                <w:sz w:val="24"/>
                <w:szCs w:val="24"/>
                <w:highlight w:val="none"/>
                <w:u w:val="single"/>
                <w:lang w:val="en-US" w:eastAsia="zh-CN"/>
              </w:rPr>
              <w:t>服务</w:t>
            </w:r>
            <w:r>
              <w:rPr>
                <w:rFonts w:hint="eastAsia" w:hAnsi="宋体" w:cs="宋体"/>
                <w:b/>
                <w:bCs/>
                <w:color w:val="auto"/>
                <w:sz w:val="24"/>
                <w:szCs w:val="24"/>
                <w:highlight w:val="none"/>
                <w:u w:val="single"/>
              </w:rPr>
              <w:t>类</w:t>
            </w:r>
            <w:r>
              <w:rPr>
                <w:rFonts w:hint="eastAsia" w:hAnsi="宋体" w:cs="宋体"/>
                <w:color w:val="auto"/>
                <w:sz w:val="24"/>
                <w:szCs w:val="24"/>
                <w:highlight w:val="none"/>
              </w:rPr>
              <w:t>，采购代理收费以（</w:t>
            </w:r>
            <w:r>
              <w:rPr>
                <w:rFonts w:hint="eastAsia" w:hAnsi="宋体" w:cs="宋体"/>
                <w:color w:val="auto"/>
                <w:sz w:val="24"/>
                <w:szCs w:val="24"/>
                <w:highlight w:val="none"/>
                <w:lang w:eastAsia="zh-CN"/>
              </w:rPr>
              <w:t>□</w:t>
            </w:r>
            <w:r>
              <w:rPr>
                <w:rFonts w:hint="eastAsia" w:hAnsi="宋体" w:cs="宋体"/>
                <w:color w:val="auto"/>
                <w:sz w:val="24"/>
                <w:szCs w:val="24"/>
                <w:highlight w:val="none"/>
              </w:rPr>
              <w:t>收费基准价格/</w:t>
            </w:r>
            <w:r>
              <w:rPr>
                <w:rFonts w:hint="eastAsia" w:hAnsi="宋体" w:cs="宋体"/>
                <w:b/>
                <w:bCs/>
                <w:color w:val="auto"/>
                <w:sz w:val="24"/>
                <w:szCs w:val="24"/>
                <w:highlight w:val="none"/>
                <w:lang w:eastAsia="zh-CN"/>
              </w:rPr>
              <w:t>☑</w:t>
            </w:r>
            <w:r>
              <w:rPr>
                <w:rFonts w:hint="eastAsia" w:hAnsi="宋体" w:cs="宋体"/>
                <w:b/>
                <w:bCs/>
                <w:color w:val="auto"/>
                <w:sz w:val="24"/>
                <w:szCs w:val="24"/>
                <w:highlight w:val="none"/>
              </w:rPr>
              <w:t>收费基准价格下浮</w:t>
            </w:r>
            <w:r>
              <w:rPr>
                <w:rFonts w:hint="eastAsia" w:hAnsi="宋体" w:cs="宋体"/>
                <w:b/>
                <w:bCs/>
                <w:color w:val="auto"/>
                <w:sz w:val="24"/>
                <w:szCs w:val="24"/>
                <w:highlight w:val="none"/>
                <w:u w:val="single"/>
              </w:rPr>
              <w:t xml:space="preserve"> </w:t>
            </w:r>
            <w:r>
              <w:rPr>
                <w:rFonts w:hint="eastAsia" w:hAnsi="宋体" w:cs="宋体"/>
                <w:b/>
                <w:bCs/>
                <w:color w:val="auto"/>
                <w:sz w:val="24"/>
                <w:szCs w:val="24"/>
                <w:highlight w:val="none"/>
                <w:u w:val="single"/>
                <w:lang w:val="en-US" w:eastAsia="zh-CN"/>
              </w:rPr>
              <w:t>10</w:t>
            </w:r>
            <w:r>
              <w:rPr>
                <w:rFonts w:hint="eastAsia" w:hAnsi="宋体" w:cs="宋体"/>
                <w:b/>
                <w:bCs/>
                <w:color w:val="auto"/>
                <w:sz w:val="24"/>
                <w:szCs w:val="24"/>
                <w:highlight w:val="none"/>
                <w:u w:val="single"/>
              </w:rPr>
              <w:t>%</w:t>
            </w:r>
            <w:r>
              <w:rPr>
                <w:rFonts w:hint="eastAsia" w:hAnsi="宋体" w:cs="宋体"/>
                <w:b/>
                <w:bCs/>
                <w:color w:val="auto"/>
                <w:sz w:val="24"/>
                <w:szCs w:val="24"/>
                <w:highlight w:val="none"/>
              </w:rPr>
              <w:t>/</w:t>
            </w:r>
            <w:r>
              <w:rPr>
                <w:rFonts w:hint="eastAsia" w:hAnsi="宋体" w:cs="宋体"/>
                <w:color w:val="auto"/>
                <w:sz w:val="24"/>
                <w:szCs w:val="24"/>
                <w:highlight w:val="none"/>
              </w:rPr>
              <w:t>□收费基准价格上浮</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）收取</w:t>
            </w:r>
          </w:p>
          <w:p w14:paraId="00F815CD">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□固定采购代理收费</w:t>
            </w:r>
            <w:r>
              <w:rPr>
                <w:rFonts w:hint="eastAsia" w:ascii="宋体" w:hAnsi="宋体" w:eastAsia="宋体" w:cs="宋体"/>
                <w:color w:val="auto"/>
                <w:kern w:val="0"/>
                <w:sz w:val="24"/>
                <w:szCs w:val="24"/>
                <w:highlight w:val="none"/>
                <w:u w:val="single"/>
              </w:rPr>
              <w:t xml:space="preserve">     。</w:t>
            </w:r>
          </w:p>
          <w:p w14:paraId="64098DDD">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宋体" w:hAnsi="宋体" w:cs="宋体"/>
                <w:color w:val="auto"/>
                <w:kern w:val="0"/>
                <w:sz w:val="24"/>
                <w:highlight w:val="none"/>
              </w:rPr>
            </w:pPr>
            <w:r>
              <w:rPr>
                <w:rFonts w:hint="eastAsia" w:ascii="宋体" w:hAnsi="宋体" w:cs="宋体"/>
                <w:color w:val="auto"/>
                <w:kern w:val="0"/>
                <w:sz w:val="24"/>
                <w:highlight w:val="none"/>
              </w:rPr>
              <w:t>4. 采购代理费收取银行账户</w:t>
            </w:r>
          </w:p>
          <w:p w14:paraId="33A964E3">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宋体" w:hAnsi="宋体" w:cs="宋体"/>
                <w:b/>
                <w:color w:val="auto"/>
                <w:sz w:val="24"/>
                <w:highlight w:val="none"/>
              </w:rPr>
            </w:pPr>
            <w:r>
              <w:rPr>
                <w:rFonts w:hint="eastAsia" w:ascii="宋体" w:hAnsi="宋体" w:cs="宋体"/>
                <w:b/>
                <w:color w:val="auto"/>
                <w:sz w:val="24"/>
                <w:highlight w:val="none"/>
              </w:rPr>
              <w:t>账户名称：广西瑞真工程造价咨询有限责任公司，</w:t>
            </w:r>
          </w:p>
          <w:p w14:paraId="11F9A6DD">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宋体" w:hAnsi="宋体" w:cs="宋体"/>
                <w:b/>
                <w:color w:val="auto"/>
                <w:sz w:val="24"/>
                <w:highlight w:val="none"/>
              </w:rPr>
            </w:pPr>
            <w:r>
              <w:rPr>
                <w:rFonts w:hint="eastAsia" w:ascii="宋体" w:hAnsi="宋体" w:cs="宋体"/>
                <w:b/>
                <w:color w:val="auto"/>
                <w:sz w:val="24"/>
                <w:highlight w:val="none"/>
              </w:rPr>
              <w:t>开户银行：中国建设银行南宁市新城支行</w:t>
            </w:r>
          </w:p>
          <w:p w14:paraId="2EA2501A">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宋体" w:hAnsi="宋体" w:cs="宋体"/>
                <w:b/>
                <w:color w:val="auto"/>
                <w:sz w:val="24"/>
                <w:highlight w:val="none"/>
              </w:rPr>
            </w:pPr>
            <w:r>
              <w:rPr>
                <w:rFonts w:hint="eastAsia" w:ascii="宋体" w:hAnsi="宋体" w:cs="宋体"/>
                <w:b/>
                <w:color w:val="auto"/>
                <w:sz w:val="24"/>
                <w:highlight w:val="none"/>
              </w:rPr>
              <w:t>银行账号：45001604255050508162</w:t>
            </w:r>
          </w:p>
          <w:p w14:paraId="59562D84">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宋体" w:hAnsi="宋体" w:cs="宋体"/>
                <w:color w:val="auto"/>
                <w:kern w:val="0"/>
                <w:sz w:val="24"/>
                <w:highlight w:val="none"/>
              </w:rPr>
            </w:pPr>
            <w:r>
              <w:rPr>
                <w:rFonts w:hint="eastAsia" w:ascii="宋体" w:hAnsi="宋体" w:cs="宋体"/>
                <w:b/>
                <w:color w:val="auto"/>
                <w:sz w:val="24"/>
                <w:highlight w:val="none"/>
              </w:rPr>
              <w:t>注：与</w:t>
            </w:r>
            <w:r>
              <w:rPr>
                <w:rFonts w:hint="eastAsia" w:ascii="宋体" w:hAnsi="宋体" w:cs="宋体"/>
                <w:b/>
                <w:color w:val="auto"/>
                <w:sz w:val="24"/>
                <w:highlight w:val="none"/>
                <w:lang w:val="en-US" w:eastAsia="zh-CN"/>
              </w:rPr>
              <w:t>竞</w:t>
            </w:r>
            <w:r>
              <w:rPr>
                <w:rFonts w:hint="eastAsia" w:ascii="宋体" w:hAnsi="宋体" w:cs="宋体"/>
                <w:b/>
                <w:color w:val="auto"/>
                <w:sz w:val="24"/>
                <w:highlight w:val="none"/>
              </w:rPr>
              <w:t>标保证金非同一账号</w:t>
            </w:r>
          </w:p>
        </w:tc>
      </w:tr>
      <w:tr w14:paraId="5C007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5" w:type="dxa"/>
            <w:vAlign w:val="center"/>
          </w:tcPr>
          <w:p w14:paraId="1B54C5CF">
            <w:pPr>
              <w:spacing w:line="420" w:lineRule="exact"/>
              <w:jc w:val="center"/>
              <w:rPr>
                <w:rFonts w:ascii="宋体" w:hAnsi="宋体" w:cs="宋体"/>
                <w:color w:val="auto"/>
                <w:sz w:val="24"/>
                <w:highlight w:val="none"/>
              </w:rPr>
            </w:pPr>
            <w:r>
              <w:rPr>
                <w:rFonts w:hint="eastAsia" w:ascii="宋体" w:hAnsi="宋体" w:cs="宋体"/>
                <w:color w:val="auto"/>
                <w:sz w:val="24"/>
                <w:highlight w:val="none"/>
              </w:rPr>
              <w:t>34.1</w:t>
            </w:r>
          </w:p>
        </w:tc>
        <w:tc>
          <w:tcPr>
            <w:tcW w:w="1625" w:type="dxa"/>
            <w:vAlign w:val="center"/>
          </w:tcPr>
          <w:p w14:paraId="2B397BD8">
            <w:pPr>
              <w:spacing w:line="420" w:lineRule="exact"/>
              <w:jc w:val="center"/>
              <w:rPr>
                <w:rFonts w:ascii="宋体" w:hAnsi="宋体" w:cs="宋体"/>
                <w:color w:val="auto"/>
                <w:sz w:val="24"/>
                <w:highlight w:val="none"/>
              </w:rPr>
            </w:pPr>
            <w:r>
              <w:rPr>
                <w:rFonts w:hint="eastAsia" w:ascii="宋体" w:hAnsi="宋体" w:cs="宋体"/>
                <w:color w:val="auto"/>
                <w:sz w:val="24"/>
                <w:highlight w:val="none"/>
              </w:rPr>
              <w:t>解释</w:t>
            </w:r>
          </w:p>
        </w:tc>
        <w:tc>
          <w:tcPr>
            <w:tcW w:w="7754" w:type="dxa"/>
            <w:vAlign w:val="center"/>
          </w:tcPr>
          <w:p w14:paraId="4FB0C585">
            <w:pPr>
              <w:pStyle w:val="19"/>
              <w:keepNext w:val="0"/>
              <w:keepLines w:val="0"/>
              <w:pageBreakBefore w:val="0"/>
              <w:widowControl w:val="0"/>
              <w:kinsoku/>
              <w:wordWrap/>
              <w:overflowPunct/>
              <w:topLinePunct w:val="0"/>
              <w:autoSpaceDE/>
              <w:autoSpaceDN/>
              <w:bidi w:val="0"/>
              <w:adjustRightInd/>
              <w:snapToGrid w:val="0"/>
              <w:spacing w:line="440" w:lineRule="exact"/>
              <w:textAlignment w:val="auto"/>
              <w:rPr>
                <w:rFonts w:hAnsi="宋体" w:cs="宋体"/>
                <w:b/>
                <w:color w:val="auto"/>
                <w:sz w:val="24"/>
                <w:szCs w:val="24"/>
                <w:highlight w:val="none"/>
              </w:rPr>
            </w:pPr>
            <w:r>
              <w:rPr>
                <w:rFonts w:hint="eastAsia" w:hAnsi="宋体" w:cs="宋体"/>
                <w:b/>
                <w:color w:val="auto"/>
                <w:sz w:val="24"/>
                <w:szCs w:val="24"/>
                <w:highlight w:val="none"/>
              </w:rPr>
              <w:t>解释权：</w:t>
            </w:r>
            <w:r>
              <w:rPr>
                <w:rFonts w:hint="eastAsia" w:hAnsi="宋体" w:cs="宋体"/>
                <w:color w:val="auto"/>
                <w:sz w:val="24"/>
                <w:szCs w:val="24"/>
                <w:highlight w:val="none"/>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hAnsi="宋体" w:cs="宋体"/>
                <w:b/>
                <w:color w:val="auto"/>
                <w:sz w:val="24"/>
                <w:szCs w:val="24"/>
                <w:highlight w:val="none"/>
              </w:rPr>
              <w:t>由采购人或者采购代理机构负责解释。</w:t>
            </w:r>
          </w:p>
          <w:p w14:paraId="6F05DFD7">
            <w:pPr>
              <w:pStyle w:val="19"/>
              <w:keepNext w:val="0"/>
              <w:keepLines w:val="0"/>
              <w:pageBreakBefore w:val="0"/>
              <w:widowControl w:val="0"/>
              <w:kinsoku/>
              <w:wordWrap/>
              <w:overflowPunct/>
              <w:topLinePunct w:val="0"/>
              <w:autoSpaceDE/>
              <w:autoSpaceDN/>
              <w:bidi w:val="0"/>
              <w:adjustRightInd/>
              <w:snapToGrid w:val="0"/>
              <w:spacing w:line="440" w:lineRule="exact"/>
              <w:textAlignment w:val="auto"/>
              <w:rPr>
                <w:rFonts w:hAnsi="宋体" w:cs="宋体"/>
                <w:b/>
                <w:color w:val="auto"/>
                <w:sz w:val="24"/>
                <w:szCs w:val="24"/>
                <w:highlight w:val="none"/>
              </w:rPr>
            </w:pPr>
            <w:r>
              <w:rPr>
                <w:rFonts w:hint="eastAsia" w:hAnsi="宋体" w:cs="宋体"/>
                <w:b/>
                <w:color w:val="auto"/>
                <w:sz w:val="24"/>
                <w:szCs w:val="24"/>
                <w:highlight w:val="none"/>
              </w:rPr>
              <w:t>法律责任：</w:t>
            </w:r>
          </w:p>
          <w:p w14:paraId="6D508591">
            <w:pPr>
              <w:pStyle w:val="19"/>
              <w:keepNext w:val="0"/>
              <w:keepLines w:val="0"/>
              <w:pageBreakBefore w:val="0"/>
              <w:widowControl w:val="0"/>
              <w:kinsoku/>
              <w:wordWrap/>
              <w:overflowPunct/>
              <w:topLinePunct w:val="0"/>
              <w:autoSpaceDE/>
              <w:autoSpaceDN/>
              <w:bidi w:val="0"/>
              <w:adjustRightInd/>
              <w:snapToGrid w:val="0"/>
              <w:spacing w:line="440" w:lineRule="exact"/>
              <w:textAlignment w:val="auto"/>
              <w:rPr>
                <w:rFonts w:hAnsi="宋体" w:cs="宋体"/>
                <w:color w:val="auto"/>
                <w:sz w:val="24"/>
                <w:szCs w:val="24"/>
                <w:highlight w:val="none"/>
              </w:rPr>
            </w:pPr>
            <w:r>
              <w:rPr>
                <w:rFonts w:hint="eastAsia" w:hAnsi="宋体" w:cs="宋体"/>
                <w:b/>
                <w:color w:val="auto"/>
                <w:sz w:val="24"/>
                <w:szCs w:val="24"/>
                <w:highlight w:val="none"/>
              </w:rPr>
              <w:t>1.</w:t>
            </w:r>
            <w:r>
              <w:rPr>
                <w:rFonts w:hint="eastAsia" w:hAnsi="宋体" w:cs="宋体"/>
                <w:color w:val="auto"/>
                <w:sz w:val="24"/>
                <w:szCs w:val="24"/>
                <w:highlight w:val="none"/>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74AA15F3">
            <w:pPr>
              <w:keepNext w:val="0"/>
              <w:keepLines w:val="0"/>
              <w:pageBreakBefore w:val="0"/>
              <w:widowControl w:val="0"/>
              <w:kinsoku/>
              <w:wordWrap/>
              <w:overflowPunct/>
              <w:topLinePunct w:val="0"/>
              <w:autoSpaceDE/>
              <w:autoSpaceDN/>
              <w:bidi w:val="0"/>
              <w:adjustRightInd/>
              <w:spacing w:line="440" w:lineRule="exact"/>
              <w:textAlignment w:val="auto"/>
              <w:rPr>
                <w:rFonts w:ascii="宋体" w:hAnsi="宋体" w:cs="宋体"/>
                <w:color w:val="auto"/>
                <w:sz w:val="24"/>
                <w:highlight w:val="none"/>
              </w:rPr>
            </w:pPr>
            <w:r>
              <w:rPr>
                <w:rFonts w:hint="eastAsia" w:ascii="宋体" w:hAnsi="宋体" w:cs="宋体"/>
                <w:b/>
                <w:color w:val="auto"/>
                <w:sz w:val="24"/>
                <w:highlight w:val="none"/>
              </w:rPr>
              <w:t>2. 本项目采购代理机构应严格按照“</w:t>
            </w:r>
            <w:r>
              <w:rPr>
                <w:rFonts w:hint="eastAsia" w:ascii="宋体" w:hAnsi="宋体" w:cs="宋体"/>
                <w:b/>
                <w:color w:val="auto"/>
                <w:sz w:val="24"/>
                <w:highlight w:val="none"/>
                <w:lang w:eastAsia="zh-CN"/>
              </w:rPr>
              <w:t>广西政府采购云平台</w:t>
            </w:r>
            <w:r>
              <w:rPr>
                <w:rFonts w:hint="eastAsia" w:ascii="宋体" w:hAnsi="宋体" w:cs="宋体"/>
                <w:b/>
                <w:color w:val="auto"/>
                <w:sz w:val="24"/>
                <w:highlight w:val="none"/>
              </w:rPr>
              <w:t>”项目采购全流程电子化电子开评标规程执行项目采购活动，代理机构在“</w:t>
            </w:r>
            <w:r>
              <w:rPr>
                <w:rFonts w:hint="eastAsia" w:ascii="宋体" w:hAnsi="宋体" w:cs="宋体"/>
                <w:b/>
                <w:color w:val="auto"/>
                <w:sz w:val="24"/>
                <w:highlight w:val="none"/>
                <w:lang w:eastAsia="zh-CN"/>
              </w:rPr>
              <w:t>广西政府采购云平台</w:t>
            </w:r>
            <w:r>
              <w:rPr>
                <w:rFonts w:hint="eastAsia" w:ascii="宋体" w:hAnsi="宋体" w:cs="宋体"/>
                <w:b/>
                <w:color w:val="auto"/>
                <w:sz w:val="24"/>
                <w:highlight w:val="none"/>
              </w:rPr>
              <w:t>”的“项目管理”—“采购文件管理”内开评标规则设置作为本采购文件的组成部分，截标之后不可更改，因代理机构开评标规则设置错误导致采购活动无法开展下去的情况，由代理机构负责解释并承担其后果。</w:t>
            </w:r>
          </w:p>
        </w:tc>
      </w:tr>
      <w:tr w14:paraId="3C785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5" w:type="dxa"/>
            <w:vAlign w:val="center"/>
          </w:tcPr>
          <w:p w14:paraId="688C5C66">
            <w:pPr>
              <w:spacing w:line="420" w:lineRule="exact"/>
              <w:jc w:val="center"/>
              <w:rPr>
                <w:rFonts w:ascii="宋体" w:hAnsi="宋体" w:cs="宋体"/>
                <w:color w:val="auto"/>
                <w:sz w:val="24"/>
                <w:highlight w:val="none"/>
              </w:rPr>
            </w:pPr>
            <w:r>
              <w:rPr>
                <w:rFonts w:hint="eastAsia" w:ascii="宋体" w:hAnsi="宋体" w:cs="宋体"/>
                <w:color w:val="auto"/>
                <w:sz w:val="24"/>
                <w:highlight w:val="none"/>
              </w:rPr>
              <w:t>34.2</w:t>
            </w:r>
          </w:p>
        </w:tc>
        <w:tc>
          <w:tcPr>
            <w:tcW w:w="1625" w:type="dxa"/>
            <w:vAlign w:val="center"/>
          </w:tcPr>
          <w:p w14:paraId="4FCCF885">
            <w:pPr>
              <w:spacing w:line="420" w:lineRule="exact"/>
              <w:jc w:val="center"/>
              <w:rPr>
                <w:rFonts w:ascii="宋体" w:hAnsi="宋体" w:cs="宋体"/>
                <w:color w:val="auto"/>
                <w:sz w:val="24"/>
                <w:highlight w:val="none"/>
              </w:rPr>
            </w:pPr>
            <w:r>
              <w:rPr>
                <w:rFonts w:hint="eastAsia" w:ascii="宋体" w:hAnsi="宋体" w:cs="宋体"/>
                <w:color w:val="auto"/>
                <w:sz w:val="24"/>
                <w:highlight w:val="none"/>
              </w:rPr>
              <w:t>其他</w:t>
            </w:r>
          </w:p>
        </w:tc>
        <w:tc>
          <w:tcPr>
            <w:tcW w:w="7754" w:type="dxa"/>
            <w:vAlign w:val="center"/>
          </w:tcPr>
          <w:p w14:paraId="1CBE04E8">
            <w:pPr>
              <w:snapToGrid w:val="0"/>
              <w:spacing w:line="420" w:lineRule="exact"/>
              <w:rPr>
                <w:rFonts w:ascii="宋体" w:hAnsi="宋体" w:cs="宋体"/>
                <w:color w:val="auto"/>
                <w:kern w:val="0"/>
                <w:sz w:val="24"/>
                <w:highlight w:val="none"/>
              </w:rPr>
            </w:pPr>
            <w:r>
              <w:rPr>
                <w:rFonts w:hint="eastAsia" w:ascii="宋体" w:hAnsi="宋体" w:cs="宋体"/>
                <w:color w:val="auto"/>
                <w:kern w:val="0"/>
                <w:sz w:val="24"/>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5AFD9AFB">
            <w:pPr>
              <w:snapToGrid w:val="0"/>
              <w:spacing w:line="420" w:lineRule="exact"/>
              <w:rPr>
                <w:rFonts w:ascii="宋体" w:hAnsi="宋体" w:cs="宋体"/>
                <w:color w:val="auto"/>
                <w:kern w:val="0"/>
                <w:sz w:val="24"/>
                <w:highlight w:val="none"/>
              </w:rPr>
            </w:pPr>
            <w:r>
              <w:rPr>
                <w:rFonts w:hint="eastAsia" w:ascii="宋体" w:hAnsi="宋体" w:cs="宋体"/>
                <w:color w:val="auto"/>
                <w:kern w:val="0"/>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62D4305C">
            <w:pPr>
              <w:snapToGrid w:val="0"/>
              <w:spacing w:line="420" w:lineRule="exact"/>
              <w:rPr>
                <w:rFonts w:ascii="宋体" w:hAnsi="宋体" w:cs="宋体"/>
                <w:color w:val="auto"/>
                <w:kern w:val="0"/>
                <w:sz w:val="24"/>
                <w:highlight w:val="none"/>
              </w:rPr>
            </w:pPr>
            <w:r>
              <w:rPr>
                <w:rFonts w:hint="eastAsia" w:ascii="宋体" w:hAnsi="宋体" w:cs="宋体"/>
                <w:color w:val="auto"/>
                <w:kern w:val="0"/>
                <w:sz w:val="24"/>
                <w:highlight w:val="none"/>
              </w:rPr>
              <w:t>3.本磋商文件中描述供应商的“签字”是指供应商的法定代表人或者委托代理人亲自在文件规定签署处亲笔写上个人的名字的行为，私章、签字章、印鉴、影印等其他形式均不能代替亲笔签字。</w:t>
            </w:r>
          </w:p>
          <w:p w14:paraId="14445510">
            <w:pPr>
              <w:snapToGrid w:val="0"/>
              <w:spacing w:line="420" w:lineRule="exact"/>
              <w:rPr>
                <w:rFonts w:ascii="宋体" w:hAnsi="宋体" w:cs="宋体"/>
                <w:color w:val="auto"/>
                <w:kern w:val="0"/>
                <w:sz w:val="24"/>
                <w:highlight w:val="none"/>
              </w:rPr>
            </w:pPr>
            <w:r>
              <w:rPr>
                <w:rFonts w:hint="eastAsia" w:ascii="宋体" w:hAnsi="宋体" w:cs="宋体"/>
                <w:color w:val="auto"/>
                <w:kern w:val="0"/>
                <w:sz w:val="24"/>
                <w:highlight w:val="none"/>
              </w:rPr>
              <w:t>4.自然人竞标的，磋商文件规定盖公章处由自然人摁手指指印。</w:t>
            </w:r>
          </w:p>
          <w:p w14:paraId="21E069E4">
            <w:pPr>
              <w:snapToGrid w:val="0"/>
              <w:spacing w:line="420" w:lineRule="exact"/>
              <w:rPr>
                <w:rFonts w:ascii="宋体" w:hAnsi="宋体" w:cs="宋体"/>
                <w:color w:val="auto"/>
                <w:kern w:val="0"/>
                <w:sz w:val="24"/>
                <w:highlight w:val="none"/>
              </w:rPr>
            </w:pPr>
            <w:r>
              <w:rPr>
                <w:rFonts w:hint="eastAsia" w:ascii="宋体" w:hAnsi="宋体" w:cs="宋体"/>
                <w:color w:val="auto"/>
                <w:kern w:val="0"/>
                <w:sz w:val="24"/>
                <w:highlight w:val="none"/>
              </w:rPr>
              <w:t>5.本磋商文件所称的“以上”“以下”“以内”“届满”，包括本数；所称的“不满”“超过”“以外”，不包括本数。</w:t>
            </w:r>
          </w:p>
        </w:tc>
      </w:tr>
    </w:tbl>
    <w:p w14:paraId="61FA41E0">
      <w:pPr>
        <w:keepNext/>
        <w:keepLines/>
        <w:spacing w:before="260" w:after="260" w:line="480" w:lineRule="exact"/>
        <w:jc w:val="center"/>
        <w:outlineLvl w:val="1"/>
        <w:rPr>
          <w:rFonts w:ascii="宋体" w:hAnsi="宋体" w:cs="宋体"/>
          <w:bCs/>
          <w:color w:val="auto"/>
          <w:sz w:val="32"/>
          <w:szCs w:val="32"/>
          <w:highlight w:val="none"/>
        </w:rPr>
      </w:pPr>
      <w:r>
        <w:rPr>
          <w:rFonts w:hint="eastAsia" w:ascii="宋体" w:hAnsi="宋体" w:cs="宋体"/>
          <w:bCs/>
          <w:color w:val="auto"/>
          <w:sz w:val="24"/>
          <w:highlight w:val="none"/>
        </w:rPr>
        <w:br w:type="page"/>
      </w:r>
      <w:bookmarkStart w:id="33" w:name="_Toc10607"/>
      <w:bookmarkStart w:id="34" w:name="_Toc97909554"/>
      <w:bookmarkStart w:id="35" w:name="_Toc26256"/>
      <w:r>
        <w:rPr>
          <w:rFonts w:hint="eastAsia" w:ascii="宋体" w:hAnsi="宋体" w:cs="宋体"/>
          <w:b/>
          <w:color w:val="auto"/>
          <w:sz w:val="32"/>
          <w:szCs w:val="32"/>
          <w:highlight w:val="none"/>
        </w:rPr>
        <w:t>第二节 供应商须知正文</w:t>
      </w:r>
      <w:bookmarkEnd w:id="33"/>
      <w:bookmarkEnd w:id="34"/>
      <w:bookmarkEnd w:id="35"/>
    </w:p>
    <w:p w14:paraId="3C4AFC4A">
      <w:pPr>
        <w:keepNext/>
        <w:keepLines/>
        <w:spacing w:line="480" w:lineRule="exact"/>
        <w:ind w:firstLine="562" w:firstLineChars="200"/>
        <w:outlineLvl w:val="2"/>
        <w:rPr>
          <w:rFonts w:ascii="宋体" w:hAnsi="宋体" w:cs="宋体"/>
          <w:b/>
          <w:color w:val="auto"/>
          <w:sz w:val="28"/>
          <w:szCs w:val="28"/>
          <w:highlight w:val="none"/>
        </w:rPr>
      </w:pPr>
      <w:bookmarkStart w:id="36" w:name="_Toc20350"/>
      <w:bookmarkStart w:id="37" w:name="_Toc4227"/>
      <w:bookmarkStart w:id="38" w:name="_Toc97909555"/>
      <w:r>
        <w:rPr>
          <w:rFonts w:hint="eastAsia" w:ascii="宋体" w:hAnsi="宋体" w:cs="宋体"/>
          <w:b/>
          <w:color w:val="auto"/>
          <w:sz w:val="28"/>
          <w:szCs w:val="28"/>
          <w:highlight w:val="none"/>
        </w:rPr>
        <w:t>一、总则</w:t>
      </w:r>
      <w:bookmarkEnd w:id="36"/>
      <w:bookmarkEnd w:id="37"/>
      <w:bookmarkEnd w:id="38"/>
    </w:p>
    <w:p w14:paraId="19C07CD1">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1.适用范围</w:t>
      </w:r>
    </w:p>
    <w:p w14:paraId="3441A3EA">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6A5E12E4">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w:t>
      </w:r>
      <w:r>
        <w:rPr>
          <w:rFonts w:hint="eastAsia" w:ascii="宋体" w:hAnsi="宋体" w:cs="宋体"/>
          <w:color w:val="auto"/>
          <w:spacing w:val="-6"/>
          <w:sz w:val="24"/>
          <w:highlight w:val="none"/>
        </w:rPr>
        <w:t>本竞争性磋商文件（以下简称磋商文件）适用于本项目的所有采购程序和环节（法律、法规另有规定的，从其规定）。</w:t>
      </w:r>
    </w:p>
    <w:p w14:paraId="5B6E670D">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2.定义</w:t>
      </w:r>
    </w:p>
    <w:p w14:paraId="2225FD26">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2.1“采购人”是指依法进行政府采购的国家机关、事业单位、团体组织。</w:t>
      </w:r>
    </w:p>
    <w:p w14:paraId="44449EBB">
      <w:pPr>
        <w:spacing w:line="48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2.2“采购代理机构”是指政府采购集中采购机构和集中采购机构以外的采购代理机构。</w:t>
      </w:r>
    </w:p>
    <w:p w14:paraId="72E21A5A">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2.3“供应商”是指向采购人提供货物、工程或者服务的法人、其他组织或者自然人。</w:t>
      </w:r>
    </w:p>
    <w:p w14:paraId="2C6A4889">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2.4“服务”是指除货物和工程以外的其他政府采购对象。</w:t>
      </w:r>
    </w:p>
    <w:p w14:paraId="6AF7F642">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2.5“竞标”是指供应商按照本项目竞争性磋商公告或者邀请函规定的方式获取磋商文件、提交响应文件并希望获得标的的行为。</w:t>
      </w:r>
    </w:p>
    <w:p w14:paraId="304E90B0">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2.6“响应文件”</w:t>
      </w:r>
      <w:r>
        <w:rPr>
          <w:rFonts w:hint="eastAsia" w:ascii="宋体" w:hAnsi="宋体" w:cs="宋体"/>
          <w:color w:val="auto"/>
          <w:spacing w:val="-6"/>
          <w:sz w:val="24"/>
          <w:highlight w:val="none"/>
        </w:rPr>
        <w:t>是指：供应商根据本磋商文件要求，编制包含资格证明、报价商务技术等所有内容的文件。</w:t>
      </w:r>
    </w:p>
    <w:p w14:paraId="4DCAF519">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2.7“实质性要求”是指磋商文件中已经指明不满足则响应文件按无效响应处理的条款，或者不能负偏离的条款，或者采购需求中带“▲”的条款。</w:t>
      </w:r>
    </w:p>
    <w:p w14:paraId="3C40127C">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2.8“正偏离”，是指响应文件对磋商文件“采购需求”中有关条款作出的响应优于条款要求并有利于采购人的情形。</w:t>
      </w:r>
    </w:p>
    <w:p w14:paraId="7E3C0BBC">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2.9“负偏离”，是指响应文件对磋商文件“采购需求”中有关条款作出的响应不满足条款要求，导致采购人要求不能得到满足的情形。</w:t>
      </w:r>
    </w:p>
    <w:p w14:paraId="57AF7A83">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2.10“允许负偏离的条款”是指采购需求中的不属于“实质性要求”的条款。</w:t>
      </w:r>
    </w:p>
    <w:p w14:paraId="068EC29E">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2.11“书面形式”是指合同书、信件和数据电文（包括电报、电传、传真、电子数据交换和电子邮件）等可以有形地表现所载内容的形式。</w:t>
      </w:r>
    </w:p>
    <w:p w14:paraId="336FF20F">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2.12“首次报价”是指供应商提交的首次响应文件中的报价。</w:t>
      </w:r>
    </w:p>
    <w:p w14:paraId="047F3AC8">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2.13“评审报价”是指供应商提交的最后报价并经修正（如有）和政策功能价格扣除（如有）后的价格。</w:t>
      </w:r>
    </w:p>
    <w:p w14:paraId="253982D5">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3.供应商的资格条件</w:t>
      </w:r>
    </w:p>
    <w:p w14:paraId="0D33E4D6">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供应商的资格条件详见“供应商须知前附表”。</w:t>
      </w:r>
    </w:p>
    <w:p w14:paraId="57BF50B9">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4.磋商费用</w:t>
      </w:r>
    </w:p>
    <w:p w14:paraId="53DB2E4D">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供应商应承担参与本次采购活动有关的所有费用，包括但不限于、勘查现场、编制和提交响应文件、参加磋商与应答、签订合同等，不论竞标结果如何，均应自行承担。</w:t>
      </w:r>
    </w:p>
    <w:p w14:paraId="47FE9BBF">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5.联合体竞标</w:t>
      </w:r>
    </w:p>
    <w:p w14:paraId="26B7829C">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5.1本项目是否接受联合体竞标，详见“供应商须知前附表”。</w:t>
      </w:r>
    </w:p>
    <w:p w14:paraId="49998AD3">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5.2如接受联合体竞标，联合体竞标要求详见“供应商须知前附表”。</w:t>
      </w:r>
    </w:p>
    <w:p w14:paraId="400A425B">
      <w:pPr>
        <w:spacing w:line="480" w:lineRule="exact"/>
        <w:ind w:firstLine="480" w:firstLineChars="200"/>
        <w:rPr>
          <w:rFonts w:ascii="宋体" w:hAnsi="宋体" w:cs="宋体"/>
          <w:color w:val="auto"/>
          <w:sz w:val="24"/>
          <w:highlight w:val="none"/>
          <w:shd w:val="clear" w:color="auto" w:fill="FFFFFF"/>
        </w:rPr>
      </w:pPr>
      <w:r>
        <w:rPr>
          <w:rFonts w:hint="eastAsia" w:ascii="宋体" w:hAnsi="宋体" w:cs="宋体"/>
          <w:color w:val="auto"/>
          <w:sz w:val="24"/>
          <w:highlight w:val="none"/>
        </w:rPr>
        <w:t>5.3根据《政府采购促进中小企业发展管理办法》（财库[2020]46号）第九条及《广西壮族自治区财政厅关于持续优化政府采购营商环境推动高质量发展的通知》桂财采〔2024〕55 号规定，接受大中型企业与小微企业组成联合体的采购项目，对于联合协议约定小微企业的合同份额占到合同总金额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234A05A1">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 xml:space="preserve">6.转包与分包             </w:t>
      </w:r>
    </w:p>
    <w:p w14:paraId="0AD90F7D">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6.1本项目是否允许分包详见“供应商须知前附表”。</w:t>
      </w:r>
    </w:p>
    <w:p w14:paraId="24482F6F">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6.2</w:t>
      </w:r>
      <w:r>
        <w:rPr>
          <w:rFonts w:hint="eastAsia" w:ascii="宋体" w:hAnsi="宋体" w:cs="宋体"/>
          <w:bCs/>
          <w:color w:val="auto"/>
          <w:sz w:val="24"/>
          <w:highlight w:val="none"/>
        </w:rPr>
        <w:t>根据《政府采购促进中小企业发展管理办法》（财库[2020]46号）第九条</w:t>
      </w:r>
      <w:r>
        <w:rPr>
          <w:rFonts w:hint="eastAsia" w:ascii="宋体" w:hAnsi="宋体" w:cs="宋体"/>
          <w:bCs/>
          <w:color w:val="auto"/>
          <w:sz w:val="24"/>
          <w:highlight w:val="none"/>
          <w:lang w:val="en-US" w:eastAsia="zh-CN"/>
        </w:rPr>
        <w:t>及</w:t>
      </w:r>
      <w:r>
        <w:rPr>
          <w:rFonts w:hint="eastAsia" w:ascii="宋体" w:hAnsi="宋体" w:cs="宋体"/>
          <w:bCs/>
          <w:color w:val="auto"/>
          <w:sz w:val="24"/>
          <w:highlight w:val="none"/>
        </w:rPr>
        <w:t>《广西壮族自治区财政厅关于持续优化政府采购营商环境推动高质量发展的通知》桂财采〔2024〕55 号规定，允许大中型企业向一家或者多家小微企业分包的采购项目，对于分包意向协议约定小微企业的合同份额占到合同总金额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687CA560">
      <w:pPr>
        <w:spacing w:line="480" w:lineRule="exact"/>
        <w:ind w:firstLine="482" w:firstLineChars="200"/>
        <w:rPr>
          <w:rFonts w:ascii="宋体" w:hAnsi="宋体" w:cs="宋体"/>
          <w:b/>
          <w:bCs/>
          <w:color w:val="auto"/>
          <w:sz w:val="24"/>
          <w:highlight w:val="none"/>
        </w:rPr>
      </w:pPr>
      <w:bookmarkStart w:id="39" w:name="_Toc254970673"/>
      <w:bookmarkStart w:id="40" w:name="_Toc254970532"/>
      <w:r>
        <w:rPr>
          <w:rFonts w:hint="eastAsia" w:ascii="宋体" w:hAnsi="宋体" w:cs="宋体"/>
          <w:b/>
          <w:bCs/>
          <w:color w:val="auto"/>
          <w:sz w:val="24"/>
          <w:highlight w:val="none"/>
        </w:rPr>
        <w:t>7.特别说明</w:t>
      </w:r>
      <w:bookmarkEnd w:id="39"/>
      <w:bookmarkEnd w:id="40"/>
    </w:p>
    <w:p w14:paraId="7AEAC555">
      <w:pPr>
        <w:spacing w:line="480" w:lineRule="exact"/>
        <w:ind w:firstLine="480" w:firstLineChars="200"/>
        <w:rPr>
          <w:rFonts w:ascii="宋体" w:hAnsi="宋体" w:cs="宋体"/>
          <w:color w:val="auto"/>
          <w:sz w:val="24"/>
          <w:highlight w:val="none"/>
        </w:rPr>
      </w:pPr>
      <w:bookmarkStart w:id="41" w:name="_8.1提供相同品牌产品且通过资格审查、符合性审查的不同投标人参加同一合"/>
      <w:bookmarkEnd w:id="41"/>
      <w:r>
        <w:rPr>
          <w:rFonts w:hint="eastAsia" w:ascii="宋体" w:hAnsi="宋体" w:cs="宋体"/>
          <w:color w:val="auto"/>
          <w:sz w:val="24"/>
          <w:highlight w:val="none"/>
        </w:rPr>
        <w:t>7.1</w:t>
      </w:r>
      <w:bookmarkStart w:id="42" w:name="_Hlk65832145"/>
      <w:r>
        <w:rPr>
          <w:rFonts w:hint="eastAsia" w:ascii="宋体" w:hAnsi="宋体" w:cs="宋体"/>
          <w:color w:val="auto"/>
          <w:sz w:val="24"/>
          <w:highlight w:val="none"/>
        </w:rPr>
        <w:t>如果本磋商文件要求提供供应商或制造商的资格、信誉、荣誉、业绩与企业认证等材料的，资格、信誉、荣誉、业绩与企业认证等必须为供应商或者制造商所拥有或自身获得 。</w:t>
      </w:r>
    </w:p>
    <w:bookmarkEnd w:id="42"/>
    <w:p w14:paraId="428A91B2">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7.2供应商应仔细阅读磋商文件的所有内容，按照磋商文件的要求提交响应文件，并对所提供的全部资料的真实性承担法律责任。</w:t>
      </w:r>
    </w:p>
    <w:p w14:paraId="0261587B">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405BE15F">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7.4在政府采购活动中，采购人员及相关人员与供应商有下列利害关系之一的，应当回避：</w:t>
      </w:r>
    </w:p>
    <w:p w14:paraId="395E064E">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（1）参加采购活动前3年内与供应商存在劳动关系；</w:t>
      </w:r>
    </w:p>
    <w:p w14:paraId="5BFE894C">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（2）参加采购活动前3年内担任供应商的董事、监事；</w:t>
      </w:r>
    </w:p>
    <w:p w14:paraId="20B3FD68">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（3）参加采购活动前3年内是供应商的控股股东或者实际控制人；</w:t>
      </w:r>
    </w:p>
    <w:p w14:paraId="61D509D8">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（4）与供应商的法定代表人或者负责人有夫妻、直系血亲、三代以内旁系血亲或者近姻亲关系；</w:t>
      </w:r>
    </w:p>
    <w:p w14:paraId="0CB09BB0">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（5）与供应商有其他可能影响政府采购活动公平、公正进行的关系。</w:t>
      </w:r>
    </w:p>
    <w:p w14:paraId="2F3C20E6">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2C5A63E">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7.5有下列情形之一的视为供应商相互串通竞标，响应文件将被视为无效：</w:t>
      </w:r>
    </w:p>
    <w:p w14:paraId="36CB5454">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（1）不同供应商的响应文件由同一单位或者个人编制； </w:t>
      </w:r>
    </w:p>
    <w:p w14:paraId="1B4F572A">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6FCB16DE">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（3）不同的供应商的响应文件载明的项目管理员为同一个人；</w:t>
      </w:r>
    </w:p>
    <w:p w14:paraId="6A0B3518">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（4）不同供应商的响应文件异常一致或者报价呈规律性差异；</w:t>
      </w:r>
    </w:p>
    <w:p w14:paraId="0BC21D93">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（5）不同供应商的响应文件相互混装；</w:t>
      </w:r>
    </w:p>
    <w:p w14:paraId="7F44E7F5">
      <w:pPr>
        <w:tabs>
          <w:tab w:val="left" w:pos="6931"/>
        </w:tabs>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（6）不同供应商的磋商保证金从同一单位或者个人账户转出。</w:t>
      </w:r>
      <w:r>
        <w:rPr>
          <w:rFonts w:hint="eastAsia" w:ascii="宋体" w:hAnsi="宋体" w:cs="宋体"/>
          <w:color w:val="auto"/>
          <w:sz w:val="24"/>
          <w:highlight w:val="none"/>
        </w:rPr>
        <w:tab/>
      </w:r>
    </w:p>
    <w:p w14:paraId="3232FBD6">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7.6供应商有下列情形之一的，属于恶意串通行为，将报同级监督管理部门：</w:t>
      </w:r>
    </w:p>
    <w:p w14:paraId="3442FA07">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5F51A534">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0085F231">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（3）供应商之间协商报价、技术方案等响应文件或者响应文件的实质性内容；</w:t>
      </w:r>
    </w:p>
    <w:p w14:paraId="666D1A6D">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155BC95C">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（5）供应商之间事先约定一致抬高或者压低报价，或者在政府采购活动中事先约定轮流以高价位或者低价位成交，或者事先约定由某一特定供应商成交，然后再参加竞标；</w:t>
      </w:r>
    </w:p>
    <w:p w14:paraId="6ACAD6B5">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44B3AC19">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（7）供应商与采购人或者采购代理机构之间、供应商相互之间，为谋求特定供应商成交或者排斥其他供应商的其他串通行为。</w:t>
      </w:r>
    </w:p>
    <w:p w14:paraId="32297A9C">
      <w:pPr>
        <w:keepNext/>
        <w:keepLines/>
        <w:spacing w:line="480" w:lineRule="exact"/>
        <w:ind w:firstLine="562" w:firstLineChars="200"/>
        <w:outlineLvl w:val="2"/>
        <w:rPr>
          <w:rFonts w:ascii="宋体" w:hAnsi="宋体" w:cs="宋体"/>
          <w:b/>
          <w:color w:val="auto"/>
          <w:sz w:val="28"/>
          <w:szCs w:val="28"/>
          <w:highlight w:val="none"/>
        </w:rPr>
      </w:pPr>
      <w:bookmarkStart w:id="43" w:name="_Toc13536"/>
      <w:bookmarkStart w:id="44" w:name="_Toc254970534"/>
      <w:bookmarkStart w:id="45" w:name="_Toc97909556"/>
      <w:bookmarkStart w:id="46" w:name="_Toc21761"/>
      <w:bookmarkStart w:id="47" w:name="_Toc254970675"/>
      <w:r>
        <w:rPr>
          <w:rFonts w:hint="eastAsia" w:ascii="宋体" w:hAnsi="宋体" w:cs="宋体"/>
          <w:b/>
          <w:color w:val="auto"/>
          <w:sz w:val="28"/>
          <w:szCs w:val="28"/>
          <w:highlight w:val="none"/>
        </w:rPr>
        <w:t>二、磋商文件</w:t>
      </w:r>
      <w:bookmarkEnd w:id="43"/>
      <w:bookmarkEnd w:id="44"/>
      <w:bookmarkEnd w:id="45"/>
      <w:bookmarkEnd w:id="46"/>
      <w:bookmarkEnd w:id="47"/>
    </w:p>
    <w:p w14:paraId="70D8380F">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8.磋商文件的构成</w:t>
      </w:r>
    </w:p>
    <w:p w14:paraId="1EBD0568">
      <w:pPr>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第一章 竞争性磋商公告；</w:t>
      </w:r>
    </w:p>
    <w:p w14:paraId="24FA6087">
      <w:pPr>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第二章 采购需求；</w:t>
      </w:r>
    </w:p>
    <w:p w14:paraId="76C5AFB4">
      <w:pPr>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第三章 供应商须知； </w:t>
      </w:r>
    </w:p>
    <w:p w14:paraId="45B39544">
      <w:pPr>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第四章 评审程序、评审方法和评审标准；</w:t>
      </w:r>
    </w:p>
    <w:p w14:paraId="0E0234D4">
      <w:pPr>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第五章 响应文件格式；</w:t>
      </w:r>
    </w:p>
    <w:p w14:paraId="054D901E">
      <w:pPr>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第六章 合同文本；</w:t>
      </w:r>
    </w:p>
    <w:p w14:paraId="3D6B7A4D">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9.供应商的询问</w:t>
      </w:r>
    </w:p>
    <w:p w14:paraId="439F999D">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供应商应认真阅读磋商文件的采购需求，如供应商对磋商文件有疑问的，如要求采购人作出澄清或者修改的，供应商尽应在提交首次响应文件截止之日前，以书面形式向采购人、采购代理机构提出。</w:t>
      </w:r>
    </w:p>
    <w:p w14:paraId="2ABDC8E4">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10.磋商文件的澄清和修改</w:t>
      </w:r>
    </w:p>
    <w:p w14:paraId="1E0C668E">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2DA3A73A">
      <w:pPr>
        <w:spacing w:line="480" w:lineRule="exact"/>
        <w:ind w:firstLine="482" w:firstLineChars="200"/>
        <w:rPr>
          <w:rFonts w:ascii="宋体" w:hAnsi="宋体" w:cs="宋体"/>
          <w:b/>
          <w:color w:val="auto"/>
          <w:sz w:val="24"/>
          <w:highlight w:val="none"/>
        </w:rPr>
      </w:pPr>
      <w:r>
        <w:rPr>
          <w:rFonts w:hint="eastAsia" w:ascii="宋体" w:hAnsi="宋体" w:cs="宋体"/>
          <w:b/>
          <w:color w:val="auto"/>
          <w:sz w:val="24"/>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5E6FB450">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目前为网上公告和系统短信等形式）通知所有获取磋商文件的供应商，不足3个工作日的，应当顺延提交首次响应文件截止之日。</w:t>
      </w:r>
    </w:p>
    <w:p w14:paraId="76DC45A0">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10.4</w:t>
      </w:r>
      <w:r>
        <w:rPr>
          <w:rFonts w:hint="eastAsia" w:ascii="宋体" w:hAnsi="宋体" w:cs="宋体"/>
          <w:color w:val="auto"/>
          <w:sz w:val="24"/>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5B67737E">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10.5 采购人和采购代理机构可以视采购具体情况，变更提交首次响应文件截止时间和竞谈时间，将变更时间将在“采购文件公告”中“七、其他补充事宜3.网上查询地址”规定的政府采购信息发布媒体上发布更正公告。</w:t>
      </w:r>
    </w:p>
    <w:p w14:paraId="71032635">
      <w:pPr>
        <w:spacing w:line="48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w:t>
      </w:r>
      <w:r>
        <w:rPr>
          <w:rFonts w:hint="eastAsia" w:ascii="宋体" w:hAnsi="宋体" w:cs="宋体"/>
          <w:b/>
          <w:color w:val="auto"/>
          <w:kern w:val="0"/>
          <w:sz w:val="24"/>
          <w:highlight w:val="none"/>
        </w:rPr>
        <w:t>响应文件未按磋商文件的澄清、修改的内容编制，又不符合实质性要求的，其响应文件作无效处理。</w:t>
      </w:r>
    </w:p>
    <w:p w14:paraId="2D3B3F1C">
      <w:pPr>
        <w:keepNext/>
        <w:keepLines/>
        <w:spacing w:line="480" w:lineRule="exact"/>
        <w:ind w:firstLine="562" w:firstLineChars="200"/>
        <w:outlineLvl w:val="2"/>
        <w:rPr>
          <w:rFonts w:ascii="宋体" w:hAnsi="宋体" w:cs="宋体"/>
          <w:b/>
          <w:color w:val="auto"/>
          <w:sz w:val="28"/>
          <w:szCs w:val="28"/>
          <w:highlight w:val="none"/>
        </w:rPr>
      </w:pPr>
      <w:bookmarkStart w:id="48" w:name="_Toc3274"/>
      <w:bookmarkStart w:id="49" w:name="_Toc22244"/>
      <w:bookmarkStart w:id="50" w:name="_Toc97909557"/>
      <w:r>
        <w:rPr>
          <w:rFonts w:hint="eastAsia" w:ascii="宋体" w:hAnsi="宋体" w:cs="宋体"/>
          <w:b/>
          <w:color w:val="auto"/>
          <w:sz w:val="28"/>
          <w:szCs w:val="28"/>
          <w:highlight w:val="none"/>
        </w:rPr>
        <w:t>三、响应文件的编制</w:t>
      </w:r>
      <w:bookmarkEnd w:id="48"/>
      <w:bookmarkEnd w:id="49"/>
      <w:bookmarkEnd w:id="50"/>
    </w:p>
    <w:p w14:paraId="781FD3DE">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11.响应文件的编制原则</w:t>
      </w:r>
    </w:p>
    <w:p w14:paraId="511EEFAF">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供应商必须按照磋商文件的要求编制响应文件，并对其提交的响应文件的真实性、合法性承担法律责任。响应文件必须对磋商文件作出实质性响应。</w:t>
      </w:r>
    </w:p>
    <w:p w14:paraId="70CB5D3F">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12.响应文件的组成</w:t>
      </w:r>
    </w:p>
    <w:p w14:paraId="328CF963">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12.1响应文件由资格证明文件、报价文件、商务和技术文件三部分组成。</w:t>
      </w:r>
    </w:p>
    <w:p w14:paraId="5D532045">
      <w:pPr>
        <w:spacing w:line="480" w:lineRule="exact"/>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12.1.1资格证明文件：详见须知前附表</w:t>
      </w:r>
    </w:p>
    <w:p w14:paraId="74D2CE02">
      <w:pPr>
        <w:spacing w:line="480" w:lineRule="exact"/>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12.1.2商务技术文件：详见须知前附表</w:t>
      </w:r>
    </w:p>
    <w:p w14:paraId="0ACD0D51">
      <w:pPr>
        <w:spacing w:line="480" w:lineRule="exact"/>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12.1.3报价文件：详见须知前附表</w:t>
      </w:r>
    </w:p>
    <w:p w14:paraId="6927FFFA">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12.2响应文件电子版：详见须知前附表</w:t>
      </w:r>
    </w:p>
    <w:p w14:paraId="38B99D61">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13.计量单位</w:t>
      </w:r>
    </w:p>
    <w:p w14:paraId="7A056FD8">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磋商文件已有明确规定的，使用磋商文件规定的计量单位；磋商文件没有规定的，应采用中华人民共和国法定计量单位，货币种类为人民币，否则视同未响应。</w:t>
      </w:r>
    </w:p>
    <w:p w14:paraId="233C3C9F">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14.竞标的风险</w:t>
      </w:r>
    </w:p>
    <w:p w14:paraId="6D738D94">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供应商没有按照磋商文件要求提供全部资料，或者供应商没有对磋商文件在各方面作出实质性响应可能导致其响应无效，是供应商应当考虑的风险。</w:t>
      </w:r>
    </w:p>
    <w:p w14:paraId="2C6C628F">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15.响应报价要求和构成</w:t>
      </w:r>
    </w:p>
    <w:p w14:paraId="0F35822F">
      <w:pPr>
        <w:tabs>
          <w:tab w:val="left" w:pos="2492"/>
        </w:tabs>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15.1响应报价应按“第五章 响应文件格式”中“响应报价表”格式填写。</w:t>
      </w:r>
    </w:p>
    <w:p w14:paraId="290949F8">
      <w:pPr>
        <w:tabs>
          <w:tab w:val="left" w:pos="2492"/>
        </w:tabs>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15.2响应报价的价格构成见“供应商须知前附表”。</w:t>
      </w:r>
    </w:p>
    <w:p w14:paraId="5C6068A8">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15.3响应报价要求</w:t>
      </w:r>
    </w:p>
    <w:p w14:paraId="21152E17">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15.3.1供应商的响应报价应符合以下要求，否则响应文件按无效响应处理：</w:t>
      </w:r>
    </w:p>
    <w:p w14:paraId="0E0D5442">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（1）供应商必须就“采购需求”中所竞标的每个分标的全部内容分别作完整唯一总价报价，不得存在漏项报价；</w:t>
      </w:r>
    </w:p>
    <w:p w14:paraId="4950A76C">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（2）供应商必须就所竞标的分标的单项内容作唯一报价。</w:t>
      </w:r>
    </w:p>
    <w:p w14:paraId="0CAFE6D0">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15.3.2响应报价（包含首次报价、最后报价）超过所竞标分标规定的采购预算金额或者最高限价的，其响应文件将作无效处理。</w:t>
      </w:r>
    </w:p>
    <w:p w14:paraId="1F347C25">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15.3.3</w:t>
      </w:r>
      <w:bookmarkStart w:id="51" w:name="_Hlk42592874"/>
      <w:r>
        <w:rPr>
          <w:rFonts w:hint="eastAsia" w:ascii="宋体" w:hAnsi="宋体" w:cs="宋体"/>
          <w:color w:val="auto"/>
          <w:sz w:val="24"/>
          <w:highlight w:val="none"/>
        </w:rPr>
        <w:t>响应报价（包含首次报价、最后报价）超过分项采购预算金额或者最高限价的，其响应文件将作无效处理。</w:t>
      </w:r>
    </w:p>
    <w:bookmarkEnd w:id="51"/>
    <w:p w14:paraId="2EC74FCD">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16.竞标有效期</w:t>
      </w:r>
    </w:p>
    <w:p w14:paraId="0B240E22">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16.1竞标有效期是指为保证采购人有足够的时间在提交响应文件后完成评审、确定成交供应商、合同签订等工作而要求供应商提交的响应文件在一定时间内保持有效的期限。</w:t>
      </w:r>
    </w:p>
    <w:p w14:paraId="16987DCD">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16.2 竞标有效期应由供应商按“供应商须知前附表”规定的期限作出响应。</w:t>
      </w:r>
    </w:p>
    <w:p w14:paraId="158D4128">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16.3供应商的响应文件在竞标有效期内均保持有效。</w:t>
      </w:r>
    </w:p>
    <w:p w14:paraId="34B1EE58">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17.磋商保证金</w:t>
      </w:r>
    </w:p>
    <w:p w14:paraId="6A2048B1">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17.1详见“供应商须知前附表”。</w:t>
      </w:r>
    </w:p>
    <w:p w14:paraId="5715FC67">
      <w:pPr>
        <w:spacing w:line="480" w:lineRule="exact"/>
        <w:ind w:left="420" w:leftChars="200"/>
        <w:rPr>
          <w:rFonts w:ascii="宋体" w:hAnsi="宋体" w:cs="宋体"/>
          <w:color w:val="auto"/>
          <w:sz w:val="24"/>
          <w:highlight w:val="none"/>
        </w:rPr>
      </w:pPr>
      <w:r>
        <w:rPr>
          <w:rFonts w:hint="eastAsia" w:ascii="宋体" w:hAnsi="宋体" w:cs="宋体"/>
          <w:color w:val="auto"/>
          <w:sz w:val="24"/>
          <w:highlight w:val="none"/>
        </w:rPr>
        <w:t>17.2磋商保证金的退还</w:t>
      </w:r>
    </w:p>
    <w:p w14:paraId="400169D2">
      <w:pPr>
        <w:spacing w:line="480" w:lineRule="exact"/>
        <w:ind w:firstLine="480" w:firstLineChars="200"/>
        <w:rPr>
          <w:rFonts w:ascii="宋体" w:hAnsi="宋体" w:cs="宋体"/>
          <w:color w:val="auto"/>
          <w:sz w:val="24"/>
          <w:highlight w:val="none"/>
        </w:rPr>
      </w:pPr>
      <w:bookmarkStart w:id="52" w:name="_Hlk66782243"/>
      <w:r>
        <w:rPr>
          <w:rFonts w:hint="eastAsia" w:ascii="宋体" w:hAnsi="宋体" w:cs="宋体"/>
          <w:color w:val="auto"/>
          <w:sz w:val="24"/>
          <w:highlight w:val="none"/>
        </w:rPr>
        <w:t>未</w:t>
      </w:r>
      <w:r>
        <w:rPr>
          <w:rFonts w:hint="eastAsia" w:ascii="宋体" w:hAnsi="宋体" w:cs="宋体"/>
          <w:color w:val="auto"/>
          <w:spacing w:val="-6"/>
          <w:sz w:val="24"/>
          <w:highlight w:val="none"/>
        </w:rPr>
        <w:t>成交供应商的竞标保证金自成交通知书发出之日起5个工作日内退还；</w:t>
      </w:r>
      <w:r>
        <w:rPr>
          <w:rFonts w:hint="eastAsia" w:ascii="宋体" w:hAnsi="宋体" w:cs="宋体"/>
          <w:color w:val="auto"/>
          <w:sz w:val="24"/>
          <w:highlight w:val="none"/>
        </w:rPr>
        <w:t>成交供应商的磋商保证金自签订合同之日起5个工作日内退还。</w:t>
      </w:r>
      <w:bookmarkEnd w:id="52"/>
      <w:r>
        <w:rPr>
          <w:rFonts w:hint="eastAsia" w:ascii="宋体" w:hAnsi="宋体" w:cs="宋体"/>
          <w:color w:val="auto"/>
          <w:sz w:val="24"/>
          <w:highlight w:val="none"/>
        </w:rPr>
        <w:t xml:space="preserve"> </w:t>
      </w:r>
    </w:p>
    <w:p w14:paraId="7F4D0EA6">
      <w:pPr>
        <w:spacing w:line="480" w:lineRule="exact"/>
        <w:ind w:left="420" w:leftChars="200"/>
        <w:rPr>
          <w:rFonts w:ascii="宋体" w:hAnsi="宋体" w:cs="宋体"/>
          <w:color w:val="auto"/>
          <w:sz w:val="24"/>
          <w:highlight w:val="none"/>
        </w:rPr>
      </w:pPr>
      <w:r>
        <w:rPr>
          <w:rFonts w:hint="eastAsia" w:ascii="宋体" w:hAnsi="宋体" w:cs="宋体"/>
          <w:color w:val="auto"/>
          <w:sz w:val="24"/>
          <w:highlight w:val="none"/>
        </w:rPr>
        <w:t>17.3磋商保证金不计息。</w:t>
      </w:r>
    </w:p>
    <w:p w14:paraId="03410144">
      <w:pPr>
        <w:spacing w:line="480" w:lineRule="exact"/>
        <w:ind w:left="420" w:leftChars="200"/>
        <w:rPr>
          <w:rFonts w:ascii="宋体" w:hAnsi="宋体" w:cs="宋体"/>
          <w:color w:val="auto"/>
          <w:sz w:val="24"/>
          <w:highlight w:val="none"/>
        </w:rPr>
      </w:pPr>
      <w:r>
        <w:rPr>
          <w:rFonts w:hint="eastAsia" w:ascii="宋体" w:hAnsi="宋体" w:cs="宋体"/>
          <w:color w:val="auto"/>
          <w:sz w:val="24"/>
          <w:highlight w:val="none"/>
        </w:rPr>
        <w:t xml:space="preserve">17.4供应商有下列情形之一的，磋商保证金将不予退还： </w:t>
      </w:r>
    </w:p>
    <w:p w14:paraId="5B8AD9A8">
      <w:pPr>
        <w:spacing w:line="480" w:lineRule="exact"/>
        <w:ind w:left="420" w:leftChars="200"/>
        <w:rPr>
          <w:rFonts w:ascii="宋体" w:hAnsi="宋体" w:cs="宋体"/>
          <w:color w:val="auto"/>
          <w:sz w:val="24"/>
          <w:highlight w:val="none"/>
        </w:rPr>
      </w:pPr>
      <w:r>
        <w:rPr>
          <w:rFonts w:hint="eastAsia" w:ascii="宋体" w:hAnsi="宋体" w:cs="宋体"/>
          <w:color w:val="auto"/>
          <w:sz w:val="24"/>
          <w:highlight w:val="none"/>
        </w:rPr>
        <w:t>（1）供应商在提交响应文件截止时间后撤回响应文件的；</w:t>
      </w:r>
    </w:p>
    <w:p w14:paraId="00E7384C">
      <w:pPr>
        <w:spacing w:line="480" w:lineRule="exact"/>
        <w:ind w:left="420" w:leftChars="200"/>
        <w:rPr>
          <w:rFonts w:ascii="宋体" w:hAnsi="宋体" w:cs="宋体"/>
          <w:color w:val="auto"/>
          <w:sz w:val="24"/>
          <w:highlight w:val="none"/>
        </w:rPr>
      </w:pPr>
      <w:r>
        <w:rPr>
          <w:rFonts w:hint="eastAsia" w:ascii="宋体" w:hAnsi="宋体" w:cs="宋体"/>
          <w:color w:val="auto"/>
          <w:sz w:val="24"/>
          <w:highlight w:val="none"/>
        </w:rPr>
        <w:t>（2）未按规定提交履约保证金的；</w:t>
      </w:r>
    </w:p>
    <w:p w14:paraId="1606196E">
      <w:pPr>
        <w:spacing w:line="480" w:lineRule="exact"/>
        <w:ind w:left="420" w:leftChars="200"/>
        <w:rPr>
          <w:rFonts w:ascii="宋体" w:hAnsi="宋体" w:cs="宋体"/>
          <w:color w:val="auto"/>
          <w:sz w:val="24"/>
          <w:highlight w:val="none"/>
        </w:rPr>
      </w:pPr>
      <w:r>
        <w:rPr>
          <w:rFonts w:hint="eastAsia" w:ascii="宋体" w:hAnsi="宋体" w:cs="宋体"/>
          <w:color w:val="auto"/>
          <w:sz w:val="24"/>
          <w:highlight w:val="none"/>
        </w:rPr>
        <w:t>（3）供应商在响应文件中提供虚假材料的；</w:t>
      </w:r>
    </w:p>
    <w:p w14:paraId="04EECDFC">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（4）除因不可抗力或者磋商文件认可的情形以外，成交供应商不与采购人签订合同的；</w:t>
      </w:r>
    </w:p>
    <w:p w14:paraId="3B4746BA">
      <w:pPr>
        <w:spacing w:line="480" w:lineRule="exact"/>
        <w:ind w:left="420" w:leftChars="200"/>
        <w:rPr>
          <w:rFonts w:ascii="宋体" w:hAnsi="宋体" w:cs="宋体"/>
          <w:color w:val="auto"/>
          <w:sz w:val="24"/>
          <w:highlight w:val="none"/>
        </w:rPr>
      </w:pPr>
      <w:r>
        <w:rPr>
          <w:rFonts w:hint="eastAsia" w:ascii="宋体" w:hAnsi="宋体" w:cs="宋体"/>
          <w:color w:val="auto"/>
          <w:sz w:val="24"/>
          <w:highlight w:val="none"/>
        </w:rPr>
        <w:t>（5）供应商与采购人、其他供应商或者采购代理机构恶意串通的；</w:t>
      </w:r>
    </w:p>
    <w:p w14:paraId="280F86F0">
      <w:pPr>
        <w:spacing w:line="480" w:lineRule="exact"/>
        <w:ind w:left="420" w:leftChars="200"/>
        <w:rPr>
          <w:rFonts w:ascii="宋体" w:hAnsi="宋体" w:cs="宋体"/>
          <w:color w:val="auto"/>
          <w:sz w:val="24"/>
          <w:highlight w:val="none"/>
        </w:rPr>
      </w:pPr>
      <w:r>
        <w:rPr>
          <w:rFonts w:hint="eastAsia" w:ascii="宋体" w:hAnsi="宋体" w:cs="宋体"/>
          <w:color w:val="auto"/>
          <w:sz w:val="24"/>
          <w:highlight w:val="none"/>
        </w:rPr>
        <w:t>（6）法律法规规定的其他情形。</w:t>
      </w:r>
    </w:p>
    <w:p w14:paraId="65AC6DC2">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18.响应文件编制的要求</w:t>
      </w:r>
    </w:p>
    <w:p w14:paraId="4AA8A4DC">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由此引发的后果由供应商承担。</w:t>
      </w:r>
    </w:p>
    <w:p w14:paraId="3952542C">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18.2响应文件应按资格证明、报价分别编制，商务技术文件合并编制，本磋商只接受电子版响应文件，要求见本章“12.2响应文件电子版要求”。</w:t>
      </w:r>
    </w:p>
    <w:p w14:paraId="48C504D3">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w:t>
      </w:r>
      <w:bookmarkStart w:id="53" w:name="_Hlk65832699"/>
      <w:r>
        <w:rPr>
          <w:rFonts w:hint="eastAsia" w:ascii="宋体" w:hAnsi="宋体" w:cs="宋体"/>
          <w:color w:val="auto"/>
          <w:sz w:val="24"/>
          <w:highlight w:val="none"/>
        </w:rPr>
        <w:t>3响应文件须由供应商在</w:t>
      </w:r>
      <w:r>
        <w:rPr>
          <w:rFonts w:hint="eastAsia" w:ascii="宋体" w:hAnsi="宋体" w:cs="宋体"/>
          <w:color w:val="auto"/>
          <w:kern w:val="0"/>
          <w:sz w:val="24"/>
          <w:highlight w:val="none"/>
          <w:lang w:val="zh-CN"/>
        </w:rPr>
        <w:t>“</w:t>
      </w:r>
      <w:r>
        <w:rPr>
          <w:rFonts w:hint="eastAsia" w:ascii="宋体" w:hAnsi="宋体" w:cs="宋体"/>
          <w:color w:val="auto"/>
          <w:sz w:val="24"/>
          <w:highlight w:val="none"/>
        </w:rPr>
        <w:t>第五章 响应文件格式</w:t>
      </w:r>
      <w:r>
        <w:rPr>
          <w:rFonts w:hint="eastAsia" w:ascii="宋体" w:hAnsi="宋体" w:cs="宋体"/>
          <w:color w:val="auto"/>
          <w:kern w:val="0"/>
          <w:sz w:val="24"/>
          <w:highlight w:val="none"/>
          <w:lang w:val="zh-CN"/>
        </w:rPr>
        <w:t>”</w:t>
      </w:r>
      <w:r>
        <w:rPr>
          <w:rFonts w:hint="eastAsia" w:ascii="宋体" w:hAnsi="宋体" w:cs="宋体"/>
          <w:color w:val="auto"/>
          <w:sz w:val="24"/>
          <w:highlight w:val="none"/>
        </w:rPr>
        <w:t>规定位置进行签署、盖章</w:t>
      </w:r>
      <w:bookmarkEnd w:id="53"/>
      <w:r>
        <w:rPr>
          <w:rFonts w:hint="eastAsia" w:ascii="宋体" w:hAnsi="宋体" w:cs="宋体"/>
          <w:color w:val="auto"/>
          <w:sz w:val="24"/>
          <w:highlight w:val="none"/>
        </w:rPr>
        <w:t>，否则其响应文件按无效响应处理。骑缝盖公章不视为在规定位置盖章。</w:t>
      </w:r>
    </w:p>
    <w:p w14:paraId="31878B3D">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18.4响应文件中标注的供应商名称应与营业执照（事业单位法人证书、执业许可证、自然人身份证）及电子公章一致，否则其响应文件按无效响应处理。</w:t>
      </w:r>
    </w:p>
    <w:p w14:paraId="035108E5">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18.5响应文件应避免涂改、行间插字或者删除，否则其响应文件按无效响应处理。</w:t>
      </w:r>
    </w:p>
    <w:p w14:paraId="2ED08031">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19.响应文件的密封和标记</w:t>
      </w:r>
    </w:p>
    <w:p w14:paraId="096217F3">
      <w:pPr>
        <w:spacing w:line="480" w:lineRule="exact"/>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19.1供应商进行电子交易应安装客户端软件—“广西政府采购云平台电子交易客户端”，并按照磋商文件和电子交易平台的要求编制并加密响应文件。供应商未按规定加密的响应文件，电子交易平台将拒收并提示。</w:t>
      </w:r>
    </w:p>
    <w:p w14:paraId="125C5F26">
      <w:pPr>
        <w:spacing w:line="480" w:lineRule="exact"/>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19.2使用“广西政府采购云平台电子交易客户端”需要提前申领CA数字证书，申领流程见该项目采购公告附件。</w:t>
      </w:r>
    </w:p>
    <w:p w14:paraId="7A002A3A">
      <w:pPr>
        <w:spacing w:line="48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19.3为确保网上操作合法、有效和安全，供应商应当在响应文件提交截止时间前完成在“广西政府采购云平台”的身份认证，确保在电子交易过程中能够对相关数据电文进行加密和使用电子签名。</w:t>
      </w:r>
    </w:p>
    <w:p w14:paraId="3EF20B75">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20.响应文件的提交</w:t>
      </w:r>
    </w:p>
    <w:p w14:paraId="7E8454AD">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20.1供应商必须在“供应商须知前附表”规定的时间和地点提交响应文件。</w:t>
      </w:r>
    </w:p>
    <w:p w14:paraId="26DFCA91">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20.2 在响应文件提交截止时间以后，不能补充、修改响应文件。</w:t>
      </w:r>
    </w:p>
    <w:p w14:paraId="28E10209">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20.3 在提交“最后报价”后，供应商不能退出谈判。</w:t>
      </w:r>
    </w:p>
    <w:p w14:paraId="514469F7">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38D8B697">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20.5 采购机构不可视情况延长提交响应文件的截止时间。</w:t>
      </w:r>
    </w:p>
    <w:p w14:paraId="499D0D1C">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20.6备份响应文件。</w:t>
      </w:r>
      <w:r>
        <w:rPr>
          <w:rFonts w:hint="eastAsia" w:ascii="宋体" w:hAnsi="宋体" w:cs="宋体"/>
          <w:bCs/>
          <w:color w:val="auto"/>
          <w:sz w:val="24"/>
          <w:highlight w:val="none"/>
        </w:rPr>
        <w:t>详见在“供应商须知前附表”。</w:t>
      </w:r>
    </w:p>
    <w:p w14:paraId="34216341">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21.首次响应文件的补充、修改与撤回</w:t>
      </w:r>
    </w:p>
    <w:p w14:paraId="623026B1">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详见“供应商须知前附表”。</w:t>
      </w:r>
    </w:p>
    <w:p w14:paraId="7B0C2B9D">
      <w:pPr>
        <w:spacing w:line="480" w:lineRule="exact"/>
        <w:ind w:firstLine="482" w:firstLineChars="200"/>
        <w:rPr>
          <w:rFonts w:ascii="宋体" w:hAnsi="宋体" w:cs="宋体"/>
          <w:b/>
          <w:bCs/>
          <w:color w:val="auto"/>
          <w:sz w:val="24"/>
          <w:highlight w:val="none"/>
        </w:rPr>
      </w:pPr>
      <w:bookmarkStart w:id="54" w:name="_Hlk45702405"/>
      <w:r>
        <w:rPr>
          <w:rFonts w:hint="eastAsia" w:ascii="宋体" w:hAnsi="宋体" w:cs="宋体"/>
          <w:b/>
          <w:bCs/>
          <w:color w:val="auto"/>
          <w:sz w:val="24"/>
          <w:highlight w:val="none"/>
        </w:rPr>
        <w:t>22. 首次响应文件的退回</w:t>
      </w:r>
    </w:p>
    <w:p w14:paraId="4D79C610">
      <w:pPr>
        <w:spacing w:line="4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在首次响应文件提交截止时间止提交响应文件的供应商不足3家时电子响应文件由代理机构在“</w:t>
      </w:r>
      <w:r>
        <w:rPr>
          <w:rFonts w:hint="eastAsia" w:ascii="宋体" w:hAnsi="宋体" w:cs="宋体"/>
          <w:color w:val="auto"/>
          <w:sz w:val="24"/>
          <w:highlight w:val="none"/>
          <w:lang w:eastAsia="zh-CN"/>
        </w:rPr>
        <w:t>广西政府采购云平台</w:t>
      </w:r>
      <w:r>
        <w:rPr>
          <w:rFonts w:hint="eastAsia" w:ascii="宋体" w:hAnsi="宋体" w:cs="宋体"/>
          <w:color w:val="auto"/>
          <w:sz w:val="24"/>
          <w:highlight w:val="none"/>
        </w:rPr>
        <w:t>”操作退回，除此之外采购人和采购代理机构对已提交的电子响应文件概不退回。</w:t>
      </w:r>
    </w:p>
    <w:p w14:paraId="54F83683">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23. 截止时间后的撤回</w:t>
      </w:r>
    </w:p>
    <w:p w14:paraId="024D9E48">
      <w:pPr>
        <w:spacing w:line="480" w:lineRule="exact"/>
        <w:ind w:firstLine="480" w:firstLineChars="200"/>
        <w:rPr>
          <w:color w:val="auto"/>
          <w:highlight w:val="none"/>
        </w:rPr>
      </w:pPr>
      <w:r>
        <w:rPr>
          <w:rFonts w:hint="eastAsia" w:ascii="宋体" w:hAnsi="宋体" w:cs="宋体"/>
          <w:color w:val="auto"/>
          <w:sz w:val="24"/>
          <w:highlight w:val="none"/>
        </w:rPr>
        <w:t>供应商在首次响应文件提交截止时间后可向采购人、采购代理机构书面申请撤回电子响应文件。</w:t>
      </w:r>
    </w:p>
    <w:bookmarkEnd w:id="54"/>
    <w:p w14:paraId="38AE4EB0">
      <w:pPr>
        <w:keepNext/>
        <w:keepLines/>
        <w:spacing w:line="480" w:lineRule="exact"/>
        <w:ind w:firstLine="562" w:firstLineChars="200"/>
        <w:outlineLvl w:val="2"/>
        <w:rPr>
          <w:rFonts w:ascii="宋体" w:hAnsi="宋体" w:cs="宋体"/>
          <w:b/>
          <w:color w:val="auto"/>
          <w:sz w:val="28"/>
          <w:szCs w:val="28"/>
          <w:highlight w:val="none"/>
        </w:rPr>
      </w:pPr>
      <w:bookmarkStart w:id="55" w:name="_Toc15959"/>
      <w:bookmarkStart w:id="56" w:name="_Toc97909558"/>
      <w:bookmarkStart w:id="57" w:name="_Toc8780"/>
      <w:r>
        <w:rPr>
          <w:rFonts w:hint="eastAsia" w:ascii="宋体" w:hAnsi="宋体" w:cs="宋体"/>
          <w:b/>
          <w:color w:val="auto"/>
          <w:sz w:val="28"/>
          <w:szCs w:val="28"/>
          <w:highlight w:val="none"/>
        </w:rPr>
        <w:t>四、评审及磋商</w:t>
      </w:r>
      <w:bookmarkEnd w:id="55"/>
      <w:bookmarkEnd w:id="56"/>
      <w:bookmarkEnd w:id="57"/>
    </w:p>
    <w:p w14:paraId="4C78807E">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24.磋商小组成立</w:t>
      </w:r>
    </w:p>
    <w:p w14:paraId="72FD7FF2">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4AF9B0F5">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28C58CAE">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25.首次响应文件的开启</w:t>
      </w:r>
    </w:p>
    <w:p w14:paraId="3C45F270">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25.1首次响应文件由磋商小组或者采购代理机构在“供应商须知前附表”规定的时间开启。</w:t>
      </w:r>
    </w:p>
    <w:p w14:paraId="7B078884">
      <w:pPr>
        <w:spacing w:line="480" w:lineRule="exact"/>
        <w:ind w:firstLine="480" w:firstLineChars="200"/>
        <w:rPr>
          <w:rFonts w:ascii="宋体" w:hAnsi="宋体" w:cs="宋体"/>
          <w:bCs/>
          <w:color w:val="auto"/>
          <w:kern w:val="0"/>
          <w:sz w:val="24"/>
          <w:highlight w:val="none"/>
        </w:rPr>
      </w:pPr>
      <w:r>
        <w:rPr>
          <w:rFonts w:hint="eastAsia" w:ascii="宋体" w:hAnsi="宋体" w:cs="宋体"/>
          <w:color w:val="auto"/>
          <w:kern w:val="0"/>
          <w:sz w:val="24"/>
          <w:highlight w:val="none"/>
        </w:rPr>
        <w:t xml:space="preserve">25.2 </w:t>
      </w:r>
      <w:r>
        <w:rPr>
          <w:rFonts w:hint="eastAsia" w:ascii="宋体" w:hAnsi="宋体" w:cs="宋体"/>
          <w:bCs/>
          <w:color w:val="auto"/>
          <w:kern w:val="0"/>
          <w:sz w:val="24"/>
          <w:highlight w:val="none"/>
        </w:rPr>
        <w:t>响应文件解密</w:t>
      </w:r>
    </w:p>
    <w:p w14:paraId="2F4E9BAB">
      <w:pPr>
        <w:snapToGrid w:val="0"/>
        <w:spacing w:line="480" w:lineRule="exact"/>
        <w:ind w:firstLine="480" w:firstLineChars="200"/>
        <w:rPr>
          <w:rFonts w:ascii="宋体" w:hAnsi="宋体" w:cs="宋体"/>
          <w:color w:val="auto"/>
          <w:kern w:val="0"/>
          <w:sz w:val="24"/>
          <w:highlight w:val="none"/>
        </w:rPr>
      </w:pPr>
      <w:r>
        <w:rPr>
          <w:rFonts w:hint="eastAsia" w:ascii="宋体" w:hAnsi="宋体" w:cs="宋体"/>
          <w:bCs/>
          <w:color w:val="auto"/>
          <w:kern w:val="0"/>
          <w:sz w:val="24"/>
          <w:highlight w:val="none"/>
        </w:rPr>
        <w:t>采购代理机构将在“供应商须知前附表”规定的时</w:t>
      </w:r>
      <w:r>
        <w:rPr>
          <w:rFonts w:hint="eastAsia" w:ascii="宋体" w:hAnsi="宋体" w:cs="宋体"/>
          <w:color w:val="auto"/>
          <w:kern w:val="0"/>
          <w:sz w:val="24"/>
          <w:highlight w:val="none"/>
        </w:rPr>
        <w:t>间通过电子交易平台组织响应文件开启，采购机构依托电子交易平台发起开始解密指令，供应商的法定代表人或其委托代理人</w:t>
      </w:r>
      <w:r>
        <w:rPr>
          <w:rFonts w:hint="eastAsia" w:ascii="宋体" w:hAnsi="宋体" w:cs="宋体"/>
          <w:b/>
          <w:color w:val="auto"/>
          <w:kern w:val="0"/>
          <w:sz w:val="24"/>
          <w:highlight w:val="none"/>
        </w:rPr>
        <w:t>须携带加密时所用的CA锁按平台提示和采购文件的规定登录到“</w:t>
      </w:r>
      <w:r>
        <w:rPr>
          <w:rFonts w:hint="eastAsia" w:ascii="宋体" w:hAnsi="宋体" w:cs="宋体"/>
          <w:b/>
          <w:color w:val="auto"/>
          <w:kern w:val="0"/>
          <w:sz w:val="24"/>
          <w:highlight w:val="none"/>
          <w:lang w:eastAsia="zh-CN"/>
        </w:rPr>
        <w:t>广西政府采购云平台</w:t>
      </w:r>
      <w:r>
        <w:rPr>
          <w:rFonts w:hint="eastAsia" w:ascii="宋体" w:hAnsi="宋体" w:cs="宋体"/>
          <w:b/>
          <w:color w:val="auto"/>
          <w:kern w:val="0"/>
          <w:sz w:val="24"/>
          <w:highlight w:val="none"/>
        </w:rPr>
        <w:t>”电子开标大厅签到并在发起解密指令之时起30分钟内完成对电子响应文件在线解密</w:t>
      </w:r>
      <w:r>
        <w:rPr>
          <w:rFonts w:hint="eastAsia" w:ascii="宋体" w:hAnsi="宋体" w:cs="宋体"/>
          <w:color w:val="auto"/>
          <w:kern w:val="0"/>
          <w:sz w:val="24"/>
          <w:highlight w:val="none"/>
        </w:rPr>
        <w:t>。发起解密指令之时起5分钟内供应商还未进行解密的，代理机构要通知供应商，供应商没预留联系方式或预留联系方式无效，导致代理机构无法联系到供应商进行解密的，</w:t>
      </w:r>
      <w:r>
        <w:rPr>
          <w:rFonts w:hint="eastAsia" w:ascii="宋体" w:hAnsi="宋体" w:cs="宋体"/>
          <w:b/>
          <w:color w:val="auto"/>
          <w:kern w:val="0"/>
          <w:sz w:val="24"/>
          <w:highlight w:val="none"/>
        </w:rPr>
        <w:t>视为响应文件无效。</w:t>
      </w:r>
      <w:r>
        <w:rPr>
          <w:rFonts w:hint="eastAsia" w:ascii="宋体" w:hAnsi="宋体" w:cs="宋体"/>
          <w:color w:val="auto"/>
          <w:kern w:val="0"/>
          <w:sz w:val="24"/>
          <w:highlight w:val="none"/>
        </w:rPr>
        <w:t>（解密</w:t>
      </w:r>
      <w:r>
        <w:rPr>
          <w:rFonts w:hint="eastAsia" w:ascii="宋体" w:hAnsi="宋体" w:cs="宋体"/>
          <w:bCs/>
          <w:color w:val="auto"/>
          <w:kern w:val="0"/>
          <w:sz w:val="24"/>
          <w:highlight w:val="none"/>
        </w:rPr>
        <w:t>异常情况处理：详见本章</w:t>
      </w:r>
      <w:r>
        <w:rPr>
          <w:rFonts w:hint="eastAsia" w:ascii="宋体" w:hAnsi="宋体" w:cs="宋体"/>
          <w:color w:val="auto"/>
          <w:kern w:val="0"/>
          <w:sz w:val="24"/>
          <w:highlight w:val="none"/>
        </w:rPr>
        <w:t>26.3 电子交易活动的中止。）</w:t>
      </w:r>
    </w:p>
    <w:p w14:paraId="2C9E9699">
      <w:pPr>
        <w:spacing w:line="48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如</w:t>
      </w:r>
      <w:r>
        <w:rPr>
          <w:rFonts w:hint="eastAsia" w:ascii="宋体" w:hAnsi="宋体" w:cs="宋体"/>
          <w:bCs/>
          <w:color w:val="auto"/>
          <w:kern w:val="0"/>
          <w:sz w:val="24"/>
          <w:highlight w:val="none"/>
        </w:rPr>
        <w:t>供应商成功解密响应文件，但未在“</w:t>
      </w:r>
      <w:r>
        <w:rPr>
          <w:rFonts w:hint="eastAsia" w:ascii="宋体" w:hAnsi="宋体" w:cs="宋体"/>
          <w:bCs/>
          <w:color w:val="auto"/>
          <w:kern w:val="0"/>
          <w:sz w:val="24"/>
          <w:highlight w:val="none"/>
          <w:lang w:eastAsia="zh-CN"/>
        </w:rPr>
        <w:t>广西政府采购云平台</w:t>
      </w:r>
      <w:r>
        <w:rPr>
          <w:rFonts w:hint="eastAsia" w:ascii="宋体" w:hAnsi="宋体" w:cs="宋体"/>
          <w:bCs/>
          <w:color w:val="auto"/>
          <w:kern w:val="0"/>
          <w:sz w:val="24"/>
          <w:highlight w:val="none"/>
        </w:rPr>
        <w:t>”电子开标大厅参加谈判的，视同认可谈判过程和结果，</w:t>
      </w:r>
      <w:r>
        <w:rPr>
          <w:rFonts w:hint="eastAsia" w:ascii="宋体" w:hAnsi="宋体" w:cs="宋体"/>
          <w:color w:val="auto"/>
          <w:kern w:val="0"/>
          <w:sz w:val="24"/>
          <w:highlight w:val="none"/>
        </w:rPr>
        <w:t>由此产生的后果由供应商自行负责。 参与谈判的供应商不足3家的，不得谈判。</w:t>
      </w:r>
    </w:p>
    <w:p w14:paraId="0C57944F">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26.评审程序、评审方法和评审标准</w:t>
      </w:r>
    </w:p>
    <w:p w14:paraId="21BC7B94">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26.1磋商小组按照“第四章 评审程序、评审方法和评审标准”规定的方法、评审因素、标准和程序对响应文件进行评审。</w:t>
      </w:r>
    </w:p>
    <w:p w14:paraId="47312A9B">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26.2 采购需求负偏离要求及磋商顺序详见 “ 供应商须知前附表”。</w:t>
      </w:r>
    </w:p>
    <w:p w14:paraId="474675DD">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26.3电子交易活动的中止。采购过程中出现以下情形，导致电子交易平台无法正常运行，或者无法保证电子交易的公平、公正和安全时，采购机构可中止电子交易活动：</w:t>
      </w:r>
    </w:p>
    <w:p w14:paraId="77F07033">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（1）电子交易平台发生故障而无法登录访问的； </w:t>
      </w:r>
    </w:p>
    <w:p w14:paraId="60450A74">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（2）电子交易平台应用或数据库出现错误，不能进行正常操作的；</w:t>
      </w:r>
    </w:p>
    <w:p w14:paraId="26D9CE3E">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（3）电子交易平台发现严重安全漏洞，有潜在泄密危险的；</w:t>
      </w:r>
    </w:p>
    <w:p w14:paraId="06E75728">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（4）病毒发作导致不能进行正常操作的； </w:t>
      </w:r>
    </w:p>
    <w:p w14:paraId="1AA3C6E3">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（4）其他无法保证电子交易的公平、公正和安全的情况。</w:t>
      </w:r>
    </w:p>
    <w:p w14:paraId="269E26AF">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36613551">
      <w:pPr>
        <w:keepNext/>
        <w:keepLines/>
        <w:spacing w:line="480" w:lineRule="exact"/>
        <w:ind w:firstLine="562" w:firstLineChars="200"/>
        <w:outlineLvl w:val="2"/>
        <w:rPr>
          <w:rFonts w:ascii="宋体" w:hAnsi="宋体" w:cs="宋体"/>
          <w:b/>
          <w:color w:val="auto"/>
          <w:sz w:val="28"/>
          <w:szCs w:val="28"/>
          <w:highlight w:val="none"/>
        </w:rPr>
      </w:pPr>
      <w:bookmarkStart w:id="58" w:name="_Toc9446"/>
      <w:bookmarkStart w:id="59" w:name="_Toc97909559"/>
      <w:bookmarkStart w:id="60" w:name="_Toc29673"/>
      <w:r>
        <w:rPr>
          <w:rFonts w:hint="eastAsia" w:ascii="宋体" w:hAnsi="宋体" w:cs="宋体"/>
          <w:b/>
          <w:color w:val="auto"/>
          <w:sz w:val="28"/>
          <w:szCs w:val="28"/>
          <w:highlight w:val="none"/>
        </w:rPr>
        <w:t>五、成交及合同</w:t>
      </w:r>
      <w:bookmarkEnd w:id="58"/>
      <w:bookmarkEnd w:id="59"/>
      <w:bookmarkEnd w:id="60"/>
    </w:p>
    <w:p w14:paraId="2444110B">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27.确定成交供应商及结果公告</w:t>
      </w:r>
    </w:p>
    <w:p w14:paraId="7F88440A">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27.1确定成交供应商。</w:t>
      </w:r>
      <w:r>
        <w:rPr>
          <w:rFonts w:hint="eastAsia" w:ascii="宋体" w:hAnsi="宋体" w:cs="宋体"/>
          <w:color w:val="auto"/>
          <w:kern w:val="0"/>
          <w:sz w:val="24"/>
          <w:highlight w:val="none"/>
          <w:u w:val="single"/>
        </w:rPr>
        <w:t>采购代理机构应当在评审结束后2个工作日内将评审报告送采购人确认。采购人应当在收到评审报告后</w:t>
      </w:r>
      <w:r>
        <w:rPr>
          <w:rFonts w:hint="eastAsia" w:ascii="宋体" w:hAnsi="宋体" w:cs="宋体"/>
          <w:color w:val="auto"/>
          <w:kern w:val="0"/>
          <w:sz w:val="24"/>
          <w:highlight w:val="none"/>
          <w:u w:val="single"/>
          <w:lang w:val="en-US" w:eastAsia="zh-CN"/>
        </w:rPr>
        <w:t>5</w:t>
      </w:r>
      <w:r>
        <w:rPr>
          <w:rFonts w:hint="eastAsia" w:ascii="宋体" w:hAnsi="宋体" w:cs="宋体"/>
          <w:color w:val="auto"/>
          <w:kern w:val="0"/>
          <w:sz w:val="24"/>
          <w:highlight w:val="none"/>
          <w:u w:val="single"/>
        </w:rPr>
        <w:t>个工作日内，从评审报告提出的成交候选供应商中，按照排序由高到低的原则确定成交供应商，也可以书面授权磋商小组直接确定成交供应商。</w:t>
      </w:r>
    </w:p>
    <w:p w14:paraId="3843FC88">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27.2成交通知及成交结果公告。</w:t>
      </w:r>
      <w:r>
        <w:rPr>
          <w:rFonts w:hint="eastAsia" w:ascii="宋体" w:hAnsi="宋体" w:cs="宋体"/>
          <w:color w:val="auto"/>
          <w:kern w:val="0"/>
          <w:sz w:val="24"/>
          <w:highlight w:val="none"/>
        </w:rPr>
        <w:t>成交</w:t>
      </w:r>
      <w:r>
        <w:rPr>
          <w:rFonts w:hint="eastAsia" w:ascii="宋体" w:hAnsi="宋体" w:cs="宋体"/>
          <w:color w:val="auto"/>
          <w:sz w:val="24"/>
          <w:highlight w:val="none"/>
        </w:rPr>
        <w:t>供应商确定后2个工作日内，在省级以上财政部门指定的媒体上公</w:t>
      </w:r>
      <w:r>
        <w:rPr>
          <w:rFonts w:hint="eastAsia" w:ascii="宋体" w:hAnsi="宋体" w:cs="宋体"/>
          <w:color w:val="auto"/>
          <w:kern w:val="0"/>
          <w:sz w:val="24"/>
          <w:highlight w:val="none"/>
        </w:rPr>
        <w:t>告成交结果（成交通知及成交结果公告应使用南宁市模板进行公告，公告内容除包含《政府采购公告和公示信息格式规范（2020年版）》要求内容外，还应包含采购人专门面向中小企业预留份额情况及成交供应商评审价格、优惠率等内容），</w:t>
      </w:r>
      <w:r>
        <w:rPr>
          <w:rFonts w:hint="eastAsia" w:ascii="宋体" w:hAnsi="宋体" w:cs="宋体"/>
          <w:color w:val="auto"/>
          <w:sz w:val="24"/>
          <w:highlight w:val="none"/>
        </w:rPr>
        <w:t>同时向成交供应商发出成交通知书，成交通知书规定签订合同的时间不得超过25日。</w:t>
      </w:r>
    </w:p>
    <w:p w14:paraId="1CF8228C">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27.3采购人或者采购代理机构发出成交通知书前，应当对成交供应商信用进行查询核实，对列入失信被执行人、</w:t>
      </w:r>
      <w:r>
        <w:rPr>
          <w:rFonts w:hint="eastAsia" w:ascii="宋体" w:hAnsi="宋体" w:cs="宋体"/>
          <w:color w:val="auto"/>
          <w:sz w:val="24"/>
          <w:highlight w:val="none"/>
          <w:lang w:eastAsia="zh-CN"/>
        </w:rPr>
        <w:t>重大税收违法失信主体</w:t>
      </w:r>
      <w:r>
        <w:rPr>
          <w:rFonts w:hint="eastAsia" w:ascii="宋体" w:hAnsi="宋体" w:cs="宋体"/>
          <w:color w:val="auto"/>
          <w:sz w:val="24"/>
          <w:highlight w:val="none"/>
        </w:rPr>
        <w:t>、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0B70EE51">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18D095C1">
      <w:pPr>
        <w:spacing w:line="480" w:lineRule="exact"/>
        <w:ind w:firstLine="480" w:firstLineChars="200"/>
        <w:rPr>
          <w:rFonts w:ascii="宋体" w:hAnsi="宋体" w:cs="宋体"/>
          <w:color w:val="auto"/>
          <w:sz w:val="24"/>
          <w:highlight w:val="none"/>
        </w:rPr>
      </w:pPr>
      <w:r>
        <w:rPr>
          <w:rFonts w:hint="eastAsia" w:ascii="宋体" w:hAnsi="宋体" w:cs="宋体"/>
          <w:bCs/>
          <w:color w:val="auto"/>
          <w:sz w:val="24"/>
          <w:highlight w:val="none"/>
        </w:rPr>
        <w:t>27.5</w:t>
      </w:r>
      <w:r>
        <w:rPr>
          <w:rFonts w:hint="eastAsia" w:ascii="宋体" w:hAnsi="宋体" w:cs="宋体"/>
          <w:color w:val="auto"/>
          <w:sz w:val="24"/>
          <w:highlight w:val="none"/>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7619F808">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28.履约保证金</w:t>
      </w:r>
    </w:p>
    <w:p w14:paraId="08518356">
      <w:pPr>
        <w:spacing w:line="480" w:lineRule="exact"/>
        <w:ind w:firstLine="480" w:firstLineChars="200"/>
        <w:rPr>
          <w:rFonts w:ascii="宋体" w:hAnsi="宋体" w:cs="宋体"/>
          <w:b/>
          <w:bCs/>
          <w:color w:val="auto"/>
          <w:sz w:val="24"/>
          <w:highlight w:val="none"/>
        </w:rPr>
      </w:pPr>
      <w:r>
        <w:rPr>
          <w:rFonts w:hint="eastAsia" w:ascii="宋体" w:hAnsi="宋体" w:cs="宋体"/>
          <w:color w:val="auto"/>
          <w:sz w:val="24"/>
          <w:highlight w:val="none"/>
        </w:rPr>
        <w:t>详见 “供应商须知前附表”</w:t>
      </w:r>
    </w:p>
    <w:p w14:paraId="1596BD26">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29.签订合同</w:t>
      </w:r>
    </w:p>
    <w:p w14:paraId="5DF3326C">
      <w:pPr>
        <w:adjustRightInd w:val="0"/>
        <w:snapToGrid w:val="0"/>
        <w:spacing w:line="480" w:lineRule="exact"/>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rPr>
        <w:t>29.1采购人与成交供应商应当在成交通知书规定的时间内，按照磋商文件确定的合同文本以及采购标的、服务技术、采购金额、采购数量、技术和服务要求等事项签订政府采购合同。</w:t>
      </w:r>
      <w:r>
        <w:rPr>
          <w:rFonts w:hint="eastAsia" w:ascii="宋体" w:hAnsi="宋体" w:cs="宋体"/>
          <w:color w:val="auto"/>
          <w:kern w:val="0"/>
          <w:sz w:val="24"/>
          <w:highlight w:val="none"/>
          <w:lang w:val="zh-CN"/>
        </w:rPr>
        <w:t>如成交供应商为联合体的，由联合体成员各方法定代表人或其授权代表与采购人代表签订合同。</w:t>
      </w:r>
    </w:p>
    <w:p w14:paraId="04696361">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1ECA31DF">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27D5C374">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29.4如签订合同并生效后，供应商无故拒绝或延期，除按照合同条款处理外，列入不良行为记录，并给予通报。</w:t>
      </w:r>
    </w:p>
    <w:p w14:paraId="4D6082D2">
      <w:pPr>
        <w:adjustRightInd w:val="0"/>
        <w:spacing w:line="48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29.5采购合同由采购人与成交供应商根据磋商文件、响应文件等内容通过政府采购电子交易平台在线签订，自动备案，在线签订须携带的材料见“供应商须知前附表”。</w:t>
      </w:r>
    </w:p>
    <w:p w14:paraId="0A4404D3">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30.政府采购合同公告</w:t>
      </w:r>
    </w:p>
    <w:p w14:paraId="2C2E3280">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采购人或者受托采购代理机构应当自政府采购合同签订之日起2个工作日内，将政府采购合同</w:t>
      </w:r>
      <w:r>
        <w:rPr>
          <w:rFonts w:hint="eastAsia" w:ascii="宋体" w:hAnsi="宋体" w:cs="宋体"/>
          <w:bCs/>
          <w:color w:val="auto"/>
          <w:sz w:val="24"/>
          <w:highlight w:val="none"/>
        </w:rPr>
        <w:t>在以下媒体上发布</w:t>
      </w:r>
      <w:r>
        <w:rPr>
          <w:rFonts w:hint="eastAsia" w:ascii="宋体" w:hAnsi="宋体" w:cs="宋体"/>
          <w:color w:val="auto"/>
          <w:kern w:val="0"/>
          <w:sz w:val="24"/>
          <w:highlight w:val="none"/>
        </w:rPr>
        <w:t xml:space="preserve"> “广西政府采购网”（http://zfcg.gxzf.gov.cn）</w:t>
      </w:r>
      <w:r>
        <w:rPr>
          <w:rFonts w:hint="eastAsia" w:ascii="宋体" w:hAnsi="宋体" w:cs="宋体"/>
          <w:color w:val="auto"/>
          <w:sz w:val="24"/>
          <w:highlight w:val="none"/>
        </w:rPr>
        <w:t>上公告，但政府采购合同中涉及国家秘密、商业秘密的内容除外。</w:t>
      </w:r>
    </w:p>
    <w:p w14:paraId="682D5342">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31. 询问、质疑和投诉</w:t>
      </w:r>
    </w:p>
    <w:p w14:paraId="55D9FD81">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31.1供应商对政府采购活动事项有疑问的，可以向采购人、采购代理机构提出询问，采购人或者采购代理机构应当在3个工作日内对供应商依法提出的询问作出答复。</w:t>
      </w:r>
    </w:p>
    <w:p w14:paraId="7B2DB30F">
      <w:pPr>
        <w:spacing w:line="480" w:lineRule="exact"/>
        <w:ind w:firstLine="480" w:firstLineChars="200"/>
        <w:rPr>
          <w:rFonts w:ascii="宋体" w:hAnsi="宋体" w:cs="宋体"/>
          <w:b/>
          <w:color w:val="auto"/>
          <w:sz w:val="24"/>
          <w:highlight w:val="none"/>
        </w:rPr>
      </w:pPr>
      <w:r>
        <w:rPr>
          <w:rFonts w:hint="eastAsia" w:ascii="宋体" w:hAnsi="宋体" w:cs="宋体"/>
          <w:color w:val="auto"/>
          <w:sz w:val="24"/>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auto"/>
          <w:sz w:val="24"/>
          <w:highlight w:val="none"/>
          <w:shd w:val="clear" w:color="auto" w:fill="FFFFFF"/>
        </w:rPr>
        <w:t>接收质疑函的方式、联系部门、联系电话和通讯地址等信息详见</w:t>
      </w:r>
      <w:r>
        <w:rPr>
          <w:rFonts w:hint="eastAsia" w:ascii="宋体" w:hAnsi="宋体" w:cs="宋体"/>
          <w:color w:val="auto"/>
          <w:sz w:val="24"/>
          <w:highlight w:val="none"/>
        </w:rPr>
        <w:t>“供应商须知前附表”。</w:t>
      </w:r>
      <w:r>
        <w:rPr>
          <w:rFonts w:hint="eastAsia" w:ascii="宋体" w:hAnsi="宋体" w:cs="宋体"/>
          <w:b/>
          <w:color w:val="auto"/>
          <w:sz w:val="24"/>
          <w:highlight w:val="none"/>
        </w:rPr>
        <w:t xml:space="preserve">具体质疑起算时间及处理方式如下： </w:t>
      </w:r>
    </w:p>
    <w:p w14:paraId="67A08844">
      <w:pPr>
        <w:spacing w:line="48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（1）潜在供应商依法获取采购文件后，认为采购文件使自己的权益受到损害的，应当在竞争性磋商采购文件公告期限届满之日起7个工作日内提出质疑。</w:t>
      </w:r>
      <w:r>
        <w:rPr>
          <w:rFonts w:hint="eastAsia" w:ascii="宋体" w:hAnsi="宋体" w:cs="宋体"/>
          <w:color w:val="auto"/>
          <w:sz w:val="24"/>
          <w:highlight w:val="none"/>
        </w:rPr>
        <w:t>委托代理协议无特殊约定的，</w:t>
      </w:r>
      <w:r>
        <w:rPr>
          <w:rFonts w:hint="eastAsia" w:ascii="宋体" w:hAnsi="宋体" w:cs="宋体"/>
          <w:bCs/>
          <w:color w:val="auto"/>
          <w:sz w:val="24"/>
          <w:highlight w:val="none"/>
        </w:rPr>
        <w:t>对竞争性磋商文件中采购需求（含资格要求、采购预算和评分办法）的质疑由采购人受理并负责答复；对竞争性磋商文件中的采购执行程序的质疑由采购代理机构受理并负责答复。</w:t>
      </w:r>
    </w:p>
    <w:p w14:paraId="585507EE">
      <w:pPr>
        <w:spacing w:line="48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615D6D44">
      <w:pPr>
        <w:spacing w:line="48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（3）供应商认为成交结果使自己的权益受到损害的，应当在成交结果公告期限届满之日起7个工作日内提出质疑，由采购人受理并负责答复。</w:t>
      </w:r>
    </w:p>
    <w:p w14:paraId="3C0D72CD">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217B0491">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auto"/>
          <w:sz w:val="24"/>
          <w:highlight w:val="none"/>
        </w:rPr>
        <w:t>（质疑函格式后附）</w:t>
      </w:r>
      <w:r>
        <w:rPr>
          <w:rFonts w:hint="eastAsia" w:ascii="宋体" w:hAnsi="宋体" w:cs="宋体"/>
          <w:color w:val="auto"/>
          <w:sz w:val="24"/>
          <w:highlight w:val="none"/>
        </w:rPr>
        <w:t>：</w:t>
      </w:r>
    </w:p>
    <w:p w14:paraId="56732926">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（1）供应商的姓名或者名称、地址、邮编、联系人及联系电话；</w:t>
      </w:r>
    </w:p>
    <w:p w14:paraId="518DBEBB">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（2）质疑项目的名称、编号；</w:t>
      </w:r>
    </w:p>
    <w:p w14:paraId="237AA862">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（3）具体、明确的质疑事项和与质疑事项相关的请求；</w:t>
      </w:r>
    </w:p>
    <w:p w14:paraId="75FFD464">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（4）事实依据；</w:t>
      </w:r>
    </w:p>
    <w:p w14:paraId="54C3D454">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（5）必要的法律依据；</w:t>
      </w:r>
    </w:p>
    <w:p w14:paraId="6563C6E7">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（6）提出质疑的日期。</w:t>
      </w:r>
    </w:p>
    <w:p w14:paraId="6EC103A4">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供应商为自然人的，应当由本人签字；供应商为法人或者其他组织的，应当由法定代表人、主要负责人，或者其委托代理人签字或者盖章，并加盖公章。</w:t>
      </w:r>
    </w:p>
    <w:p w14:paraId="7B34C894">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31.5采购人、采购代理机构认为供应商质疑不成立，或者成立但未对成交结果构成影响的，继续开展采购活动；认为供应商质疑成立且影响或者可能影响成交结果的，按照下列情况处理：</w:t>
      </w:r>
    </w:p>
    <w:p w14:paraId="40DCCFCD">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（一）对采购文件提出的质疑，依法通过澄清或者修改可以继续开展采购活动的，澄清或者修改采购文件后继续开展采购活动；否则应当修改采购文件后重新开展采购活动。</w:t>
      </w:r>
    </w:p>
    <w:p w14:paraId="33AC6850">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（二）对采购过程或者成交结果提出的质疑，合格供应商符合法定数量时，可以从合格的成交候选人中另行确定成交供应商的，应当依法另行确定成交供应商；否则应当重新开展采购活动。</w:t>
      </w:r>
    </w:p>
    <w:p w14:paraId="009C4833">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质疑答复导致成交结果改变的，采购人或者采购代理机构应当将有关情况书面报告本级财政部门。</w:t>
      </w:r>
    </w:p>
    <w:p w14:paraId="6FD66164">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61" w:name="_Toc80205930"/>
    </w:p>
    <w:p w14:paraId="4FEC834E">
      <w:pPr>
        <w:keepNext/>
        <w:keepLines/>
        <w:spacing w:line="480" w:lineRule="exact"/>
        <w:ind w:firstLine="562" w:firstLineChars="200"/>
        <w:outlineLvl w:val="2"/>
        <w:rPr>
          <w:rFonts w:ascii="宋体" w:hAnsi="宋体" w:cs="宋体"/>
          <w:b/>
          <w:color w:val="auto"/>
          <w:sz w:val="28"/>
          <w:szCs w:val="28"/>
          <w:highlight w:val="none"/>
        </w:rPr>
      </w:pPr>
      <w:bookmarkStart w:id="62" w:name="_Toc11719"/>
      <w:bookmarkStart w:id="63" w:name="_Toc97909560"/>
      <w:bookmarkStart w:id="64" w:name="_Toc19208"/>
      <w:r>
        <w:rPr>
          <w:rFonts w:hint="eastAsia" w:ascii="宋体" w:hAnsi="宋体" w:cs="宋体"/>
          <w:b/>
          <w:color w:val="auto"/>
          <w:sz w:val="28"/>
          <w:szCs w:val="28"/>
          <w:highlight w:val="none"/>
        </w:rPr>
        <w:t>六、验收</w:t>
      </w:r>
      <w:bookmarkEnd w:id="61"/>
      <w:bookmarkEnd w:id="62"/>
      <w:bookmarkEnd w:id="63"/>
      <w:bookmarkEnd w:id="64"/>
    </w:p>
    <w:p w14:paraId="7CBB85EA">
      <w:pPr>
        <w:tabs>
          <w:tab w:val="left" w:pos="0"/>
        </w:tabs>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32.验收</w:t>
      </w:r>
    </w:p>
    <w:p w14:paraId="74BC2C9F">
      <w:pPr>
        <w:tabs>
          <w:tab w:val="left" w:pos="0"/>
        </w:tabs>
        <w:spacing w:line="48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30FAD1AE">
      <w:pPr>
        <w:tabs>
          <w:tab w:val="left" w:pos="0"/>
        </w:tabs>
        <w:spacing w:line="48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32.2采购人可以邀请参加本项目的其他供应商或者第三方机构参与验收。参与验收的供应商或者第三方机构的意见作为验收书的参考资料一并存档。</w:t>
      </w:r>
    </w:p>
    <w:p w14:paraId="72A393FF">
      <w:pPr>
        <w:tabs>
          <w:tab w:val="left" w:pos="0"/>
        </w:tabs>
        <w:spacing w:line="48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2AD42089">
      <w:pPr>
        <w:tabs>
          <w:tab w:val="left" w:pos="0"/>
        </w:tabs>
        <w:spacing w:line="480" w:lineRule="exact"/>
        <w:ind w:firstLine="480" w:firstLineChars="200"/>
        <w:rPr>
          <w:rFonts w:ascii="宋体" w:hAnsi="宋体" w:cs="宋体"/>
          <w:color w:val="auto"/>
          <w:sz w:val="24"/>
          <w:highlight w:val="none"/>
        </w:rPr>
      </w:pPr>
      <w:r>
        <w:rPr>
          <w:rFonts w:hint="eastAsia" w:ascii="宋体" w:hAnsi="宋体" w:cs="宋体"/>
          <w:color w:val="auto"/>
          <w:kern w:val="0"/>
          <w:sz w:val="24"/>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2A2979BB">
      <w:pPr>
        <w:keepNext/>
        <w:keepLines/>
        <w:spacing w:line="480" w:lineRule="exact"/>
        <w:ind w:firstLine="241" w:firstLineChars="100"/>
        <w:outlineLvl w:val="2"/>
        <w:rPr>
          <w:rFonts w:ascii="宋体" w:hAnsi="宋体" w:cs="宋体"/>
          <w:b/>
          <w:bCs/>
          <w:color w:val="auto"/>
          <w:sz w:val="24"/>
          <w:highlight w:val="none"/>
        </w:rPr>
      </w:pPr>
      <w:bookmarkStart w:id="65" w:name="_Toc97909561"/>
      <w:bookmarkStart w:id="66" w:name="_Toc27512"/>
      <w:bookmarkStart w:id="67" w:name="_Toc4840"/>
      <w:r>
        <w:rPr>
          <w:rFonts w:hint="eastAsia" w:ascii="宋体" w:hAnsi="宋体" w:cs="宋体"/>
          <w:b/>
          <w:bCs/>
          <w:color w:val="auto"/>
          <w:sz w:val="24"/>
          <w:highlight w:val="none"/>
        </w:rPr>
        <w:t>七、其他事项</w:t>
      </w:r>
      <w:bookmarkEnd w:id="65"/>
      <w:bookmarkEnd w:id="66"/>
      <w:bookmarkEnd w:id="67"/>
    </w:p>
    <w:p w14:paraId="476B967A">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33.代理服务费</w:t>
      </w:r>
    </w:p>
    <w:p w14:paraId="3E55CD58">
      <w:pPr>
        <w:tabs>
          <w:tab w:val="left" w:pos="2835"/>
        </w:tabs>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代理服务收费标准及缴费账户详见“供应商须知前附表”，供应商为联合体的，可以由联合体中的一方或者多方共同交纳代理服务费。</w:t>
      </w:r>
    </w:p>
    <w:p w14:paraId="74FE3A67">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34.需要补充的其他内容</w:t>
      </w:r>
    </w:p>
    <w:p w14:paraId="3E0147F0">
      <w:pPr>
        <w:spacing w:line="440" w:lineRule="exact"/>
        <w:ind w:firstLine="480" w:firstLineChars="200"/>
        <w:textAlignment w:val="center"/>
        <w:rPr>
          <w:rFonts w:ascii="宋体" w:hAnsi="宋体" w:cs="宋体"/>
          <w:color w:val="auto"/>
          <w:sz w:val="24"/>
          <w:highlight w:val="none"/>
        </w:rPr>
      </w:pPr>
      <w:r>
        <w:rPr>
          <w:rFonts w:hint="eastAsia" w:ascii="宋体" w:hAnsi="宋体" w:cs="宋体"/>
          <w:color w:val="auto"/>
          <w:sz w:val="24"/>
          <w:highlight w:val="none"/>
        </w:rPr>
        <w:t>34.1本磋商文件解释规则详见“供应商须知前附表”。</w:t>
      </w:r>
    </w:p>
    <w:p w14:paraId="0A187AC7">
      <w:pPr>
        <w:spacing w:line="440" w:lineRule="exact"/>
        <w:ind w:firstLine="480" w:firstLineChars="200"/>
        <w:textAlignment w:val="center"/>
        <w:rPr>
          <w:rFonts w:ascii="宋体" w:hAnsi="宋体" w:cs="宋体"/>
          <w:color w:val="auto"/>
          <w:sz w:val="24"/>
          <w:highlight w:val="none"/>
        </w:rPr>
      </w:pPr>
      <w:r>
        <w:rPr>
          <w:rFonts w:hint="eastAsia" w:ascii="宋体" w:hAnsi="宋体" w:cs="宋体"/>
          <w:color w:val="auto"/>
          <w:sz w:val="24"/>
          <w:highlight w:val="none"/>
        </w:rPr>
        <w:t>34.2 其他事项详见“供应商须知前附表”。</w:t>
      </w:r>
    </w:p>
    <w:p w14:paraId="7A06F3D7">
      <w:pPr>
        <w:spacing w:line="440" w:lineRule="exact"/>
        <w:ind w:firstLine="480" w:firstLineChars="200"/>
        <w:textAlignment w:val="center"/>
        <w:rPr>
          <w:rFonts w:ascii="宋体" w:hAnsi="宋体" w:cs="宋体"/>
          <w:color w:val="auto"/>
          <w:sz w:val="24"/>
          <w:highlight w:val="none"/>
        </w:rPr>
      </w:pPr>
      <w:r>
        <w:rPr>
          <w:rFonts w:hint="eastAsia" w:ascii="宋体" w:hAnsi="宋体" w:cs="宋体"/>
          <w:color w:val="auto"/>
          <w:sz w:val="24"/>
          <w:highlight w:val="none"/>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ascii="宋体" w:hAnsi="宋体" w:cs="宋体"/>
          <w:color w:val="auto"/>
          <w:kern w:val="0"/>
          <w:sz w:val="24"/>
          <w:highlight w:val="none"/>
        </w:rPr>
        <w:t>服务由中小企业承接，即提供服务的人员为中小企业依照《中华人民共和国劳动合同法》订立劳动合同的从业人员，不对其中涉及的货物的制造商和工程承建商作出要求的</w:t>
      </w:r>
      <w:r>
        <w:rPr>
          <w:rFonts w:hint="eastAsia" w:ascii="宋体" w:hAnsi="宋体" w:cs="宋体"/>
          <w:color w:val="auto"/>
          <w:sz w:val="24"/>
          <w:highlight w:val="none"/>
        </w:rPr>
        <w:t>，享受本文件规定的中小企业扶持政策。</w:t>
      </w:r>
    </w:p>
    <w:p w14:paraId="00C54E08">
      <w:pPr>
        <w:spacing w:line="440" w:lineRule="exact"/>
        <w:ind w:firstLine="480" w:firstLineChars="200"/>
        <w:textAlignment w:val="center"/>
        <w:rPr>
          <w:rFonts w:ascii="宋体" w:hAnsi="宋体" w:cs="宋体"/>
          <w:color w:val="auto"/>
          <w:sz w:val="24"/>
          <w:highlight w:val="none"/>
        </w:rPr>
      </w:pPr>
      <w:r>
        <w:rPr>
          <w:rFonts w:hint="eastAsia" w:ascii="宋体" w:hAnsi="宋体" w:cs="宋体"/>
          <w:color w:val="auto"/>
          <w:sz w:val="24"/>
          <w:highlight w:val="none"/>
        </w:rPr>
        <w:t>以联合体形式参加政府采购活动，联合体各方均为中小企业的，联合体视同中小企业。其中，联合体各方均为小微企业的，联合体视同小微企业。</w:t>
      </w:r>
    </w:p>
    <w:p w14:paraId="26E35F32">
      <w:pPr>
        <w:spacing w:line="440" w:lineRule="exact"/>
        <w:ind w:firstLine="480" w:firstLineChars="200"/>
        <w:textAlignment w:val="center"/>
        <w:rPr>
          <w:rFonts w:ascii="宋体" w:hAnsi="宋体" w:cs="宋体"/>
          <w:color w:val="auto"/>
          <w:sz w:val="24"/>
          <w:highlight w:val="none"/>
        </w:rPr>
      </w:pPr>
      <w:r>
        <w:rPr>
          <w:rFonts w:hint="eastAsia" w:ascii="宋体" w:hAnsi="宋体" w:cs="宋体"/>
          <w:color w:val="auto"/>
          <w:sz w:val="24"/>
          <w:highlight w:val="none"/>
        </w:rPr>
        <w:t>依据本文件规定享受扶持政策获得政府采购合同的，小微企业不得将合同分包给大中型企业，中型企业不得将合同分包给大型企业。</w:t>
      </w:r>
    </w:p>
    <w:p w14:paraId="48EB7F1E">
      <w:pPr>
        <w:spacing w:line="360" w:lineRule="auto"/>
        <w:ind w:firstLine="482" w:firstLineChars="200"/>
        <w:textAlignment w:val="center"/>
        <w:rPr>
          <w:rFonts w:ascii="宋体" w:hAnsi="宋体"/>
          <w:color w:val="auto"/>
          <w:kern w:val="0"/>
          <w:sz w:val="20"/>
          <w:szCs w:val="21"/>
          <w:highlight w:val="none"/>
        </w:rPr>
      </w:pPr>
      <w:r>
        <w:rPr>
          <w:rFonts w:ascii="宋体" w:hAnsi="宋体"/>
          <w:b/>
          <w:color w:val="auto"/>
          <w:kern w:val="0"/>
          <w:sz w:val="24"/>
          <w:highlight w:val="none"/>
        </w:rPr>
        <w:br w:type="page"/>
      </w:r>
    </w:p>
    <w:p w14:paraId="3DC365E2">
      <w:pPr>
        <w:keepNext/>
        <w:keepLines/>
        <w:spacing w:before="340" w:after="330" w:line="480" w:lineRule="exact"/>
        <w:jc w:val="center"/>
        <w:outlineLvl w:val="0"/>
        <w:rPr>
          <w:rFonts w:ascii="宋体" w:hAnsi="宋体" w:cs="宋体"/>
          <w:b/>
          <w:bCs/>
          <w:color w:val="auto"/>
          <w:kern w:val="44"/>
          <w:sz w:val="44"/>
          <w:szCs w:val="44"/>
          <w:highlight w:val="none"/>
        </w:rPr>
      </w:pPr>
      <w:bookmarkStart w:id="68" w:name="_Toc15284"/>
      <w:bookmarkStart w:id="69" w:name="_Toc97909562"/>
      <w:bookmarkStart w:id="70" w:name="_Toc1000"/>
      <w:r>
        <w:rPr>
          <w:rFonts w:hint="eastAsia" w:ascii="宋体" w:hAnsi="宋体" w:cs="宋体"/>
          <w:b/>
          <w:bCs/>
          <w:color w:val="auto"/>
          <w:kern w:val="44"/>
          <w:sz w:val="44"/>
          <w:szCs w:val="44"/>
          <w:highlight w:val="none"/>
        </w:rPr>
        <w:t>第四章 评审程序、评审方法和评审标准</w:t>
      </w:r>
      <w:bookmarkEnd w:id="68"/>
      <w:bookmarkEnd w:id="69"/>
      <w:bookmarkEnd w:id="70"/>
    </w:p>
    <w:p w14:paraId="653BED5D">
      <w:pPr>
        <w:keepNext/>
        <w:keepLines/>
        <w:spacing w:before="260" w:after="260" w:line="480" w:lineRule="exact"/>
        <w:jc w:val="center"/>
        <w:outlineLvl w:val="1"/>
        <w:rPr>
          <w:rFonts w:ascii="宋体" w:hAnsi="宋体" w:cs="宋体"/>
          <w:b/>
          <w:color w:val="auto"/>
          <w:sz w:val="32"/>
          <w:szCs w:val="32"/>
          <w:highlight w:val="none"/>
        </w:rPr>
      </w:pPr>
      <w:bookmarkStart w:id="71" w:name="_Toc97909563"/>
      <w:bookmarkStart w:id="72" w:name="_Toc12463"/>
      <w:bookmarkStart w:id="73" w:name="_Toc3467"/>
      <w:r>
        <w:rPr>
          <w:rFonts w:hint="eastAsia" w:ascii="宋体" w:hAnsi="宋体" w:cs="宋体"/>
          <w:b/>
          <w:color w:val="auto"/>
          <w:sz w:val="32"/>
          <w:szCs w:val="32"/>
          <w:highlight w:val="none"/>
        </w:rPr>
        <w:t>第一节 评审程序和评审方法</w:t>
      </w:r>
      <w:bookmarkEnd w:id="71"/>
      <w:bookmarkEnd w:id="72"/>
      <w:bookmarkEnd w:id="73"/>
    </w:p>
    <w:p w14:paraId="09A6531B">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1.确认磋商文件</w:t>
      </w:r>
    </w:p>
    <w:p w14:paraId="5C0C79C8">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由磋商小组确认磋商文件。</w:t>
      </w:r>
    </w:p>
    <w:p w14:paraId="4001C9EA">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2.资格审查</w:t>
      </w:r>
    </w:p>
    <w:p w14:paraId="166E6CDE">
      <w:pPr>
        <w:snapToGrid w:val="0"/>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2.1响应文件开启后，磋商小组依法对供应商的资格证明文件进行审查。</w:t>
      </w:r>
    </w:p>
    <w:p w14:paraId="745F81BC">
      <w:pPr>
        <w:snapToGrid w:val="0"/>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注：采购人代表或者采购代理机构在资格审查结束前，对供应商进行信用查询。</w:t>
      </w:r>
    </w:p>
    <w:p w14:paraId="3C9DDA37">
      <w:pPr>
        <w:snapToGrid w:val="0"/>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（1）查询渠道：“</w:t>
      </w:r>
      <w:r>
        <w:rPr>
          <w:rFonts w:hint="eastAsia" w:ascii="宋体" w:hAnsi="宋体" w:cs="宋体"/>
          <w:color w:val="auto"/>
          <w:sz w:val="24"/>
          <w:highlight w:val="none"/>
          <w:lang w:eastAsia="zh-CN"/>
        </w:rPr>
        <w:t>广西政府采购云平台</w:t>
      </w:r>
      <w:r>
        <w:rPr>
          <w:rFonts w:hint="eastAsia" w:ascii="宋体" w:hAnsi="宋体" w:cs="宋体"/>
          <w:color w:val="auto"/>
          <w:sz w:val="24"/>
          <w:highlight w:val="none"/>
        </w:rPr>
        <w:t>”“信用中国”网站(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hint="eastAsia" w:ascii="宋体" w:hAnsi="宋体" w:cs="宋体"/>
          <w:color w:val="auto"/>
          <w:sz w:val="24"/>
          <w:highlight w:val="none"/>
          <w:u w:val="single"/>
        </w:rPr>
        <w:t>www.creditchina.gov.cn</w:t>
      </w:r>
      <w:r>
        <w:rPr>
          <w:rFonts w:hint="eastAsia" w:ascii="宋体" w:hAnsi="宋体" w:cs="宋体"/>
          <w:color w:val="auto"/>
          <w:sz w:val="24"/>
          <w:highlight w:val="none"/>
          <w:u w:val="single"/>
        </w:rPr>
        <w:fldChar w:fldCharType="end"/>
      </w:r>
      <w:r>
        <w:rPr>
          <w:rFonts w:hint="eastAsia" w:ascii="宋体" w:hAnsi="宋体" w:cs="宋体"/>
          <w:color w:val="auto"/>
          <w:sz w:val="24"/>
          <w:highlight w:val="none"/>
        </w:rPr>
        <w:t>)、中国政府采购网(www.ccgp.gov.cn)链接入口。</w:t>
      </w:r>
    </w:p>
    <w:p w14:paraId="6069B90B">
      <w:pPr>
        <w:snapToGrid w:val="0"/>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（2）信用查询截止时点：资格审查结束前。</w:t>
      </w:r>
    </w:p>
    <w:p w14:paraId="3DD865C7">
      <w:pPr>
        <w:snapToGrid w:val="0"/>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查询记录和证据留存方式：在查询网站中直接打印查询记录，截图另存为电子文档作为评审资料保存。</w:t>
      </w:r>
    </w:p>
    <w:p w14:paraId="669A5F82">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（3）信用信息使用规则：对在“信用中国”网站(www.creditchina.gov.cn) 、中国政府采购网(www.ccgp.gov.cn）被列入失信被执行人、</w:t>
      </w:r>
      <w:r>
        <w:rPr>
          <w:rFonts w:hint="eastAsia" w:ascii="宋体" w:hAnsi="宋体" w:cs="宋体"/>
          <w:color w:val="auto"/>
          <w:sz w:val="24"/>
          <w:highlight w:val="none"/>
          <w:lang w:eastAsia="zh-CN"/>
        </w:rPr>
        <w:t>重大税收违法失信主体</w:t>
      </w:r>
      <w:r>
        <w:rPr>
          <w:rFonts w:hint="eastAsia" w:ascii="宋体" w:hAnsi="宋体" w:cs="宋体"/>
          <w:color w:val="auto"/>
          <w:sz w:val="24"/>
          <w:highlight w:val="none"/>
        </w:rPr>
        <w:t>、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87F75DC">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2.2资格审查标准为本磋商文件中载明对供应商资格要求的条件。资格审查采用合格制，凡符合磋商文件规定的供应商资格要求的响应文件均通过资格审查。</w:t>
      </w:r>
    </w:p>
    <w:p w14:paraId="7DC10ED1">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2.3供应商有下列情形之一的，资格审查不通过，其响应文件按无效响应处理：</w:t>
      </w:r>
    </w:p>
    <w:p w14:paraId="2065498D">
      <w:pPr>
        <w:snapToGrid w:val="0"/>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（1）不具备磋商文件中规定的资格要求的；</w:t>
      </w:r>
    </w:p>
    <w:p w14:paraId="47B52138">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（2）响应文件未提供任一项“供应商须知前附表”资格证明文件规定的“必须提供”的文件资料的；</w:t>
      </w:r>
    </w:p>
    <w:p w14:paraId="35E65EF4">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（3）响应文件提供的资格证明文件出现任一项不符合“供应商须知前附表”资格证明文件规定的“必须提供”的文件资料要求或者无效的。</w:t>
      </w:r>
    </w:p>
    <w:p w14:paraId="2451B086">
      <w:pPr>
        <w:spacing w:line="480" w:lineRule="exact"/>
        <w:ind w:firstLine="480" w:firstLineChars="200"/>
        <w:rPr>
          <w:rFonts w:ascii="宋体" w:hAnsi="宋体" w:cs="宋体"/>
          <w:color w:val="auto"/>
          <w:sz w:val="24"/>
          <w:highlight w:val="none"/>
        </w:rPr>
      </w:pPr>
      <w:bookmarkStart w:id="74" w:name="_Hlk68601553"/>
      <w:r>
        <w:rPr>
          <w:rFonts w:hint="eastAsia" w:ascii="宋体" w:hAnsi="宋体" w:cs="宋体"/>
          <w:color w:val="auto"/>
          <w:sz w:val="24"/>
          <w:highlight w:val="none"/>
        </w:rPr>
        <w:t>（4）同一合同项下的不同供应商，单位负责人为同一人或者存在直接控股、管理关系的；为本项目提供过整体设计、规范编制或者项目管理、监理、检测等服务的。</w:t>
      </w:r>
      <w:bookmarkEnd w:id="74"/>
    </w:p>
    <w:p w14:paraId="212480FD">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2.4通过资格审查的合格供应商不足3家的，不得进入符合性审查环节，采购人或者采购代理机构应当重新开展采购活动。</w:t>
      </w:r>
    </w:p>
    <w:p w14:paraId="042FF37F">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3.符合性审查</w:t>
      </w:r>
    </w:p>
    <w:p w14:paraId="3EAFDC7A">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3.1由磋商小组对通过资格审查的合格供应商的响应文件的响应报价、商务、技术等实质性要求进行符合性审查，以确定其是否满足磋商文件的实质性要求。</w:t>
      </w:r>
    </w:p>
    <w:p w14:paraId="487742E5">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304A2C7">
      <w:pPr>
        <w:spacing w:line="480" w:lineRule="exact"/>
        <w:ind w:firstLine="480" w:firstLineChars="200"/>
        <w:rPr>
          <w:rFonts w:ascii="宋体" w:hAnsi="宋体" w:cs="宋体"/>
          <w:color w:val="auto"/>
          <w:spacing w:val="-6"/>
          <w:sz w:val="24"/>
          <w:highlight w:val="none"/>
        </w:rPr>
      </w:pPr>
      <w:r>
        <w:rPr>
          <w:rFonts w:hint="eastAsia" w:ascii="宋体" w:hAnsi="宋体" w:cs="宋体"/>
          <w:color w:val="auto"/>
          <w:sz w:val="24"/>
          <w:highlight w:val="none"/>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color w:val="auto"/>
          <w:spacing w:val="-6"/>
          <w:sz w:val="24"/>
          <w:highlight w:val="none"/>
        </w:rPr>
        <w:t>。供应商为自然人的，必须由本人签字并附身份证明。</w:t>
      </w:r>
    </w:p>
    <w:p w14:paraId="35FE0DBA">
      <w:pPr>
        <w:spacing w:line="480" w:lineRule="exact"/>
        <w:ind w:firstLine="456" w:firstLineChars="200"/>
        <w:rPr>
          <w:rFonts w:ascii="宋体" w:hAnsi="宋体" w:cs="宋体"/>
          <w:color w:val="auto"/>
          <w:sz w:val="24"/>
          <w:highlight w:val="none"/>
        </w:rPr>
      </w:pPr>
      <w:r>
        <w:rPr>
          <w:rFonts w:hint="eastAsia" w:ascii="宋体" w:hAnsi="宋体" w:cs="宋体"/>
          <w:color w:val="auto"/>
          <w:spacing w:val="-6"/>
          <w:sz w:val="24"/>
          <w:highlight w:val="none"/>
        </w:rPr>
        <w:t>3.4</w:t>
      </w:r>
      <w:r>
        <w:rPr>
          <w:rFonts w:hint="eastAsia" w:ascii="宋体" w:hAnsi="宋体" w:cs="宋体"/>
          <w:color w:val="auto"/>
          <w:sz w:val="24"/>
          <w:highlight w:val="none"/>
        </w:rPr>
        <w:t xml:space="preserve">首次响应文件报价出现前后不一致的，按照下列规定修正： </w:t>
      </w:r>
    </w:p>
    <w:p w14:paraId="4D2D81DC">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（1）响应文件中报价表内容与响应文件中相应内容不一致的，以报价表为准；</w:t>
      </w:r>
    </w:p>
    <w:p w14:paraId="79D14C47">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（2）大写金额和小写金额不一致的，以大写金额为准；</w:t>
      </w:r>
    </w:p>
    <w:p w14:paraId="10461A30">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（3）单价金额小数点或者百分比有明显错位的，以报价表的总价为准，并修改单价；</w:t>
      </w:r>
    </w:p>
    <w:p w14:paraId="3D769A54">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（4）总价金额与按单价汇总金额不一致的，以单价金额计算结果为准。</w:t>
      </w:r>
    </w:p>
    <w:p w14:paraId="6BEC49BE">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同时出现两种以上不一致的，按照以上（1）-（4）规定的顺序逐条进行修正。修正后的报价经供应商确认后产生约束力，供应商不确认的，其响应文件按无效响应处理。</w:t>
      </w:r>
    </w:p>
    <w:p w14:paraId="3E7E56FE">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3.5商务技术、报价评审</w:t>
      </w:r>
    </w:p>
    <w:p w14:paraId="3388D47A">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在评审时，如发现下列情形之一的，将被视为响应文件无效处理：</w:t>
      </w:r>
    </w:p>
    <w:p w14:paraId="65F9AEB6">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（1）商务技术评审</w:t>
      </w:r>
    </w:p>
    <w:p w14:paraId="04F7F8D6">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1）响应文件未按磋商文件要求签署、盖章；</w:t>
      </w:r>
    </w:p>
    <w:p w14:paraId="4FFC7377">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2）委托代理人未能出具有效身份证明或者出具的身份证明与授权委托书中的信息不符； </w:t>
      </w:r>
    </w:p>
    <w:p w14:paraId="3399CC12">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2B5338E1">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4）商务条款中标“▲”的条款发生负偏离的或者允许负偏离的条款数超过“供应商须知前附表”规定项数的或者标明实质性的要求发生负偏离；</w:t>
      </w:r>
    </w:p>
    <w:p w14:paraId="78934600">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5）未对竞标有效期作出响应或者响应文件承诺的竞标有效期不满足磋商文件要求；</w:t>
      </w:r>
    </w:p>
    <w:p w14:paraId="4097AF22">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6）响应文件的实质性内容未使用中文表述、使用计量单位不符合磋商文件要求；</w:t>
      </w:r>
    </w:p>
    <w:p w14:paraId="32505985">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7）响应文件中的文件资料因填写不齐全或者内容虚假或者出现其他情形而导致被磋商小组认定无效；</w:t>
      </w:r>
    </w:p>
    <w:p w14:paraId="3D074C59">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8）响应文件含有采购人不能接受的附加条件；</w:t>
      </w:r>
    </w:p>
    <w:p w14:paraId="7E2AD894">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9）属于“供应商须知正文”第7.5条情形；</w:t>
      </w:r>
    </w:p>
    <w:p w14:paraId="60D02811">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10）技术需求允许负偏离的条款数超过“供应商须知前附表”规定项数；</w:t>
      </w:r>
    </w:p>
    <w:p w14:paraId="70D831C9">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11）虚假竞标，或者出现其他情形而导致被磋商小组认定无效；</w:t>
      </w:r>
    </w:p>
    <w:p w14:paraId="6A8D94BF">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12）竞标技术方案不明确，磋商文件未允许但响应文件中存在一个或者一个以上备选（替代）竞标方案；</w:t>
      </w:r>
    </w:p>
    <w:p w14:paraId="788C641E">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13）响应文件标注的项目名称或者项目编号与竞争性磋商文件标注的项目名称或者项目编号不一致的；</w:t>
      </w:r>
    </w:p>
    <w:p w14:paraId="71B85412">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14）未响应磋商文件实质性要求；</w:t>
      </w:r>
    </w:p>
    <w:p w14:paraId="7287F794">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15）法律、法规和磋商文件规定的其他无效情形。</w:t>
      </w:r>
    </w:p>
    <w:p w14:paraId="4049D95A">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（2）报价评审</w:t>
      </w:r>
    </w:p>
    <w:p w14:paraId="2FA989E4">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1）响应文件未提供“供应商须知前附表” 报价文件中规定的“响应报价表”；</w:t>
      </w:r>
    </w:p>
    <w:p w14:paraId="47DD0E29">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2）未采用人民币报价或者未按照磋商文件标明的币种报价；</w:t>
      </w:r>
    </w:p>
    <w:p w14:paraId="4C42BBA7">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5E380B08">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14F44F39">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50C0F866">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6）响应文件响应的标的数量及单位与竞争性磋商采购文件要求实质性不一致的。</w:t>
      </w:r>
    </w:p>
    <w:p w14:paraId="24D6ADB3">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1BA6B074">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32957905">
      <w:pPr>
        <w:spacing w:line="5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4.磋商程序</w:t>
      </w:r>
    </w:p>
    <w:p w14:paraId="460091CC">
      <w:pPr>
        <w:spacing w:line="50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4.1磋商小组按照“供应商须知前附表”确定的</w:t>
      </w:r>
      <w:r>
        <w:rPr>
          <w:rFonts w:hint="eastAsia" w:ascii="宋体" w:hAnsi="宋体" w:cs="宋体"/>
          <w:color w:val="auto"/>
          <w:sz w:val="24"/>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691235D8">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29768D90">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4.3对磋商文件作出的实质性变动是磋商文件的有效组成部分，由磋商小组及时以电子澄清函形式同时通知所有参加磋商的供应商。</w:t>
      </w:r>
    </w:p>
    <w:p w14:paraId="1F467D55">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4439E165">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4.5磋商中，</w:t>
      </w:r>
      <w:r>
        <w:rPr>
          <w:rFonts w:hint="eastAsia" w:ascii="宋体" w:hAnsi="宋体" w:cs="宋体"/>
          <w:color w:val="auto"/>
          <w:spacing w:val="-6"/>
          <w:sz w:val="24"/>
          <w:highlight w:val="none"/>
        </w:rPr>
        <w:t>磋商的任何一方不得透露与磋商有关的其他供应商的技术资料、价格和其他信息。</w:t>
      </w:r>
    </w:p>
    <w:p w14:paraId="1A5F6D6B">
      <w:pPr>
        <w:widowControl/>
        <w:tabs>
          <w:tab w:val="left" w:pos="540"/>
        </w:tabs>
        <w:spacing w:line="500" w:lineRule="exact"/>
        <w:ind w:firstLine="480" w:firstLineChars="200"/>
        <w:jc w:val="left"/>
        <w:rPr>
          <w:rFonts w:ascii="宋体" w:hAnsi="宋体" w:cs="宋体"/>
          <w:b/>
          <w:color w:val="auto"/>
          <w:sz w:val="24"/>
          <w:highlight w:val="none"/>
        </w:rPr>
      </w:pPr>
      <w:r>
        <w:rPr>
          <w:rFonts w:hint="eastAsia" w:ascii="宋体" w:hAnsi="宋体" w:cs="宋体"/>
          <w:color w:val="auto"/>
          <w:sz w:val="24"/>
          <w:highlight w:val="none"/>
        </w:rPr>
        <w:t>4.6磋商小组应对磋商过程和重要磋商内容进行记录，作为评标报告一部分，磋商小组在记录上签字确认。</w:t>
      </w:r>
      <w:r>
        <w:rPr>
          <w:rFonts w:hint="eastAsia" w:ascii="宋体" w:hAnsi="宋体" w:cs="宋体"/>
          <w:b/>
          <w:color w:val="auto"/>
          <w:sz w:val="24"/>
          <w:highlight w:val="none"/>
        </w:rPr>
        <w:t>主要内容包括：</w:t>
      </w:r>
    </w:p>
    <w:p w14:paraId="682974F1">
      <w:pPr>
        <w:adjustRightInd w:val="0"/>
        <w:spacing w:line="500" w:lineRule="exact"/>
        <w:ind w:firstLine="456" w:firstLineChars="200"/>
        <w:rPr>
          <w:rFonts w:ascii="宋体" w:hAnsi="宋体" w:cs="宋体"/>
          <w:color w:val="auto"/>
          <w:spacing w:val="-6"/>
          <w:sz w:val="24"/>
          <w:highlight w:val="none"/>
        </w:rPr>
      </w:pPr>
      <w:r>
        <w:rPr>
          <w:rFonts w:hint="eastAsia" w:ascii="宋体" w:hAnsi="宋体" w:cs="宋体"/>
          <w:color w:val="auto"/>
          <w:spacing w:val="-6"/>
          <w:sz w:val="24"/>
          <w:highlight w:val="none"/>
        </w:rPr>
        <w:t>（1）按照相关规定进行公示的，公示情况说明；</w:t>
      </w:r>
    </w:p>
    <w:p w14:paraId="19638A86">
      <w:pPr>
        <w:adjustRightInd w:val="0"/>
        <w:spacing w:line="500" w:lineRule="exact"/>
        <w:ind w:firstLine="456" w:firstLineChars="200"/>
        <w:rPr>
          <w:rFonts w:ascii="宋体" w:hAnsi="宋体" w:cs="宋体"/>
          <w:color w:val="auto"/>
          <w:spacing w:val="-6"/>
          <w:sz w:val="24"/>
          <w:highlight w:val="none"/>
        </w:rPr>
      </w:pPr>
      <w:r>
        <w:rPr>
          <w:rFonts w:hint="eastAsia" w:ascii="宋体" w:hAnsi="宋体" w:cs="宋体"/>
          <w:color w:val="auto"/>
          <w:spacing w:val="-6"/>
          <w:sz w:val="24"/>
          <w:highlight w:val="none"/>
        </w:rPr>
        <w:t>（2）磋商日期和地点，磋商人员名单；</w:t>
      </w:r>
    </w:p>
    <w:p w14:paraId="10C7B771">
      <w:pPr>
        <w:adjustRightInd w:val="0"/>
        <w:spacing w:line="500" w:lineRule="exact"/>
        <w:ind w:firstLine="456" w:firstLineChars="200"/>
        <w:rPr>
          <w:rFonts w:ascii="宋体" w:hAnsi="宋体" w:cs="宋体"/>
          <w:color w:val="auto"/>
          <w:spacing w:val="-6"/>
          <w:sz w:val="24"/>
          <w:highlight w:val="none"/>
        </w:rPr>
      </w:pPr>
      <w:r>
        <w:rPr>
          <w:rFonts w:hint="eastAsia" w:ascii="宋体" w:hAnsi="宋体" w:cs="宋体"/>
          <w:color w:val="auto"/>
          <w:spacing w:val="-6"/>
          <w:sz w:val="24"/>
          <w:highlight w:val="none"/>
        </w:rPr>
        <w:t>（3）合同主要条款及价格商定情况。</w:t>
      </w:r>
    </w:p>
    <w:p w14:paraId="7D2640A7">
      <w:pPr>
        <w:widowControl/>
        <w:tabs>
          <w:tab w:val="left" w:pos="540"/>
        </w:tabs>
        <w:spacing w:line="50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4.7磋商过程中重新提交的响应文件，供应商可以在开启前补充、修改。</w:t>
      </w:r>
    </w:p>
    <w:p w14:paraId="2D679920">
      <w:pPr>
        <w:tabs>
          <w:tab w:val="left" w:pos="2835"/>
        </w:tabs>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4.8对磋商过程提交的响应文件进行有效性、完整性和响应程度审查，通过审查的合格供应商不足3家的，采购人或者采购代理机构应当重新开展采购活动。</w:t>
      </w:r>
    </w:p>
    <w:p w14:paraId="25EE811B">
      <w:pPr>
        <w:spacing w:line="500" w:lineRule="exact"/>
        <w:ind w:firstLine="200"/>
        <w:rPr>
          <w:rFonts w:ascii="宋体" w:hAnsi="宋体" w:cs="宋体"/>
          <w:color w:val="auto"/>
          <w:sz w:val="24"/>
          <w:highlight w:val="none"/>
        </w:rPr>
      </w:pPr>
      <w:r>
        <w:rPr>
          <w:rFonts w:hint="eastAsia" w:ascii="宋体" w:hAnsi="宋体" w:cs="宋体"/>
          <w:b/>
          <w:bCs/>
          <w:color w:val="auto"/>
          <w:sz w:val="24"/>
          <w:highlight w:val="none"/>
        </w:rPr>
        <w:t>5. 最后报价</w:t>
      </w:r>
    </w:p>
    <w:p w14:paraId="4458B167">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39FB37F7">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243ABD35">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5E28A3F9">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5.4已经提交响应文件的供应商，在提交最后报价之前，可以根据磋商情况退出磋商，退出磋商的供应商的响应文件按无效响应处理。</w:t>
      </w:r>
    </w:p>
    <w:p w14:paraId="02ACE9B3">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5.5供应商未在规定时间内提交最后报价的，视同退出磋商。</w:t>
      </w:r>
    </w:p>
    <w:p w14:paraId="41C8A91C">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5.6磋商小组收齐某一分标最后报价后统一开启，磋商小组对最后报价进行有效性、完整性和响应程度的审查。</w:t>
      </w:r>
    </w:p>
    <w:p w14:paraId="34E72248">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5.7最终响应文件的报价出现前后不一致的，按照本章第3.4条的规定修正。 </w:t>
      </w:r>
    </w:p>
    <w:p w14:paraId="2880E4CC">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5.8修正后的最终报价出现下列情形的，按无效响应处理：</w:t>
      </w:r>
    </w:p>
    <w:p w14:paraId="386D9D02">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（1）供应商不确认的（全流程电子化评标采取在线确认）；</w:t>
      </w:r>
    </w:p>
    <w:p w14:paraId="48556785">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（2）经供应商确认修正后的响应报价（包含首次报价、最后报价）超过所竞标分标规定的采购预算金额或者最高限价的（如本项目公布了最高限价）；</w:t>
      </w:r>
    </w:p>
    <w:p w14:paraId="064D44E9">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（3）经供应商确认修正后的响应报价（包含首次报价、最后报价）超过分项采购预算金额或者最高限价的（如本项目公布了最高限价）。</w:t>
      </w:r>
    </w:p>
    <w:p w14:paraId="6DB025EF">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5.9经供应商确认修正后的最后报价作为评审及签订合同的依据。</w:t>
      </w:r>
    </w:p>
    <w:p w14:paraId="2354AEE9">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5.10供应商出现最后报价按无效响应处理或者响应文件按无效处理时，磋商小组应当告知有关供应商。</w:t>
      </w:r>
    </w:p>
    <w:p w14:paraId="6AABAAC0">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5.11最后报价结束后，磋商小组不得再与供应商进行任何形式的商谈。</w:t>
      </w:r>
    </w:p>
    <w:p w14:paraId="248B33DF">
      <w:pPr>
        <w:spacing w:line="480" w:lineRule="exact"/>
        <w:ind w:firstLine="200"/>
        <w:rPr>
          <w:rFonts w:ascii="宋体" w:hAnsi="宋体" w:cs="宋体"/>
          <w:b/>
          <w:bCs/>
          <w:color w:val="auto"/>
          <w:sz w:val="24"/>
          <w:highlight w:val="none"/>
        </w:rPr>
      </w:pPr>
      <w:r>
        <w:rPr>
          <w:rFonts w:hint="eastAsia" w:ascii="宋体" w:hAnsi="宋体" w:cs="宋体"/>
          <w:b/>
          <w:bCs/>
          <w:color w:val="auto"/>
          <w:sz w:val="24"/>
          <w:highlight w:val="none"/>
        </w:rPr>
        <w:t>6.比较与评价</w:t>
      </w:r>
    </w:p>
    <w:p w14:paraId="26808B81">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6.1评审方法：综合评分法。</w:t>
      </w:r>
    </w:p>
    <w:p w14:paraId="3DFB3431">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6.2经磋商确定最终采购需求和提交最后报价的供应商后，由磋商小组采用综合评分法对提交最后报价的供应商的响应文件和最后报价进行综合评分。</w:t>
      </w:r>
    </w:p>
    <w:p w14:paraId="16B6BF46">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6.3评审时，磋商小组各成员应当独立对每个有效响应的文件进行评价、打分，然后汇总每个供应商每项评分因素的得分。</w:t>
      </w:r>
    </w:p>
    <w:p w14:paraId="755A9A07">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（1）磋商小组按照磋商文件中规定的评审标准计算各供应商的报价得分。项目评审过程中，不得去掉最后报价中的最高报价和最低报价。</w:t>
      </w:r>
    </w:p>
    <w:p w14:paraId="152A9990">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（2）各供应商的得分为磋商小组所有成员的有效评分的算术平均数。</w:t>
      </w:r>
    </w:p>
    <w:p w14:paraId="5D8C690D">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6.4评审价为供应商的最后报价进行政策性扣除后的价格，评审价只是作为评审时使用。最终成交供应商的成交金额等于最后报价（如有修正，以确认修正后的最后报价为准）。</w:t>
      </w:r>
    </w:p>
    <w:p w14:paraId="2D534CCE">
      <w:pPr>
        <w:spacing w:line="480" w:lineRule="exact"/>
        <w:ind w:firstLine="480" w:firstLineChars="200"/>
        <w:rPr>
          <w:rFonts w:ascii="宋体" w:hAnsi="宋体" w:cs="宋体"/>
          <w:color w:val="auto"/>
          <w:kern w:val="0"/>
          <w:sz w:val="24"/>
          <w:highlight w:val="none"/>
        </w:rPr>
      </w:pPr>
      <w:r>
        <w:rPr>
          <w:rFonts w:hint="eastAsia" w:ascii="宋体" w:hAnsi="宋体" w:cs="宋体"/>
          <w:color w:val="auto"/>
          <w:sz w:val="24"/>
          <w:highlight w:val="none"/>
        </w:rPr>
        <w:t>6.5由磋商小组根据综合评分情况，按照评审得分由高到低顺序推荐3名以上成交候选供应商，并编写评</w:t>
      </w:r>
      <w:r>
        <w:rPr>
          <w:rFonts w:hint="eastAsia" w:ascii="宋体" w:hAnsi="宋体" w:cs="宋体"/>
          <w:color w:val="auto"/>
          <w:kern w:val="0"/>
          <w:sz w:val="24"/>
          <w:highlight w:val="none"/>
        </w:rPr>
        <w:t>审报告。符合本章第4.3条情形的，可以推荐2家成交候选供应商。评审得分相同的，按照最后报价由低到高的顺序推荐。评审得分且最后报价相同的，按照技术指标优劣顺序推荐。</w:t>
      </w:r>
    </w:p>
    <w:p w14:paraId="058082DF">
      <w:pPr>
        <w:spacing w:line="480" w:lineRule="exact"/>
        <w:ind w:firstLine="480" w:firstLineChars="200"/>
        <w:rPr>
          <w:rFonts w:ascii="宋体" w:hAnsi="宋体" w:cs="宋体"/>
          <w:color w:val="auto"/>
          <w:sz w:val="24"/>
          <w:highlight w:val="none"/>
        </w:rPr>
      </w:pPr>
      <w:r>
        <w:rPr>
          <w:rFonts w:hint="eastAsia" w:ascii="宋体" w:hAnsi="宋体" w:cs="宋体"/>
          <w:color w:val="auto"/>
          <w:kern w:val="0"/>
          <w:sz w:val="24"/>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317D8182">
      <w:pPr>
        <w:spacing w:line="480" w:lineRule="exact"/>
        <w:ind w:firstLine="200"/>
        <w:rPr>
          <w:rFonts w:ascii="宋体" w:hAnsi="宋体" w:cs="宋体"/>
          <w:b/>
          <w:bCs/>
          <w:color w:val="auto"/>
          <w:sz w:val="24"/>
          <w:highlight w:val="none"/>
        </w:rPr>
      </w:pPr>
      <w:r>
        <w:rPr>
          <w:rFonts w:hint="eastAsia" w:ascii="宋体" w:hAnsi="宋体" w:cs="宋体"/>
          <w:b/>
          <w:bCs/>
          <w:color w:val="auto"/>
          <w:sz w:val="24"/>
          <w:highlight w:val="none"/>
        </w:rPr>
        <w:t>7.评审标准</w:t>
      </w:r>
    </w:p>
    <w:p w14:paraId="39465A2C">
      <w:pPr>
        <w:spacing w:line="480" w:lineRule="exact"/>
        <w:ind w:firstLine="482" w:firstLineChars="200"/>
        <w:rPr>
          <w:rFonts w:ascii="宋体" w:hAnsi="宋体" w:cs="宋体"/>
          <w:bCs/>
          <w:color w:val="auto"/>
          <w:sz w:val="24"/>
          <w:highlight w:val="none"/>
        </w:rPr>
      </w:pPr>
      <w:r>
        <w:rPr>
          <w:rFonts w:hint="eastAsia" w:ascii="宋体" w:hAnsi="宋体" w:cs="宋体"/>
          <w:b/>
          <w:color w:val="auto"/>
          <w:sz w:val="24"/>
          <w:highlight w:val="none"/>
        </w:rPr>
        <w:t>7.</w:t>
      </w:r>
      <w:r>
        <w:rPr>
          <w:rFonts w:hint="eastAsia" w:ascii="宋体" w:hAnsi="宋体" w:cs="宋体"/>
          <w:bCs/>
          <w:color w:val="auto"/>
          <w:sz w:val="24"/>
          <w:highlight w:val="none"/>
        </w:rPr>
        <w:t>1评审依据：磋商小组将以磋商响应文件为评审依据，对供应商的报价、技术、商务等方面内容按百分制打分。（计分方法按四舍五入取至百分位）</w:t>
      </w:r>
    </w:p>
    <w:tbl>
      <w:tblPr>
        <w:tblStyle w:val="33"/>
        <w:tblW w:w="94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1247"/>
        <w:gridCol w:w="6548"/>
        <w:gridCol w:w="795"/>
      </w:tblGrid>
      <w:tr w14:paraId="67D54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vAlign w:val="center"/>
          </w:tcPr>
          <w:p w14:paraId="4BAACC5F">
            <w:pPr>
              <w:spacing w:line="480" w:lineRule="exact"/>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1247" w:type="dxa"/>
            <w:vAlign w:val="center"/>
          </w:tcPr>
          <w:p w14:paraId="4475AEF1">
            <w:pPr>
              <w:spacing w:line="480" w:lineRule="exact"/>
              <w:jc w:val="center"/>
              <w:rPr>
                <w:rFonts w:ascii="宋体" w:hAnsi="宋体" w:cs="宋体"/>
                <w:b/>
                <w:color w:val="auto"/>
                <w:sz w:val="24"/>
                <w:highlight w:val="none"/>
              </w:rPr>
            </w:pPr>
            <w:r>
              <w:rPr>
                <w:rFonts w:hint="eastAsia" w:ascii="宋体" w:hAnsi="宋体" w:cs="宋体"/>
                <w:b/>
                <w:color w:val="auto"/>
                <w:sz w:val="24"/>
                <w:highlight w:val="none"/>
              </w:rPr>
              <w:t>评分类型</w:t>
            </w:r>
          </w:p>
        </w:tc>
        <w:tc>
          <w:tcPr>
            <w:tcW w:w="6548" w:type="dxa"/>
            <w:vAlign w:val="center"/>
          </w:tcPr>
          <w:p w14:paraId="45ED64BA">
            <w:pPr>
              <w:spacing w:line="480" w:lineRule="exact"/>
              <w:jc w:val="center"/>
              <w:rPr>
                <w:rFonts w:ascii="宋体" w:hAnsi="宋体" w:cs="宋体"/>
                <w:b/>
                <w:color w:val="auto"/>
                <w:sz w:val="24"/>
                <w:highlight w:val="none"/>
              </w:rPr>
            </w:pPr>
            <w:r>
              <w:rPr>
                <w:rFonts w:hint="eastAsia" w:ascii="宋体" w:hAnsi="宋体" w:cs="宋体"/>
                <w:b/>
                <w:color w:val="auto"/>
                <w:sz w:val="24"/>
                <w:highlight w:val="none"/>
              </w:rPr>
              <w:t>评分标准</w:t>
            </w:r>
          </w:p>
        </w:tc>
        <w:tc>
          <w:tcPr>
            <w:tcW w:w="795" w:type="dxa"/>
            <w:vAlign w:val="center"/>
          </w:tcPr>
          <w:p w14:paraId="1048CF30">
            <w:pPr>
              <w:spacing w:line="480" w:lineRule="exact"/>
              <w:jc w:val="center"/>
              <w:rPr>
                <w:rFonts w:ascii="宋体" w:hAnsi="宋体" w:cs="宋体"/>
                <w:b/>
                <w:color w:val="auto"/>
                <w:sz w:val="24"/>
                <w:highlight w:val="none"/>
              </w:rPr>
            </w:pPr>
            <w:r>
              <w:rPr>
                <w:rFonts w:hint="eastAsia" w:ascii="宋体" w:hAnsi="宋体" w:cs="宋体"/>
                <w:b/>
                <w:color w:val="auto"/>
                <w:sz w:val="24"/>
                <w:highlight w:val="none"/>
              </w:rPr>
              <w:t>分值</w:t>
            </w:r>
          </w:p>
        </w:tc>
      </w:tr>
      <w:tr w14:paraId="5C903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vAlign w:val="center"/>
          </w:tcPr>
          <w:p w14:paraId="3719E8F9">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w:t>
            </w:r>
          </w:p>
        </w:tc>
        <w:tc>
          <w:tcPr>
            <w:tcW w:w="1247" w:type="dxa"/>
            <w:vAlign w:val="center"/>
          </w:tcPr>
          <w:p w14:paraId="3998FADE">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Cs/>
                <w:color w:val="auto"/>
                <w:sz w:val="24"/>
                <w:highlight w:val="none"/>
                <w:lang w:val="en-US" w:eastAsia="zh-CN"/>
              </w:rPr>
            </w:pPr>
            <w:r>
              <w:rPr>
                <w:rFonts w:hint="eastAsia" w:ascii="宋体" w:hAnsi="宋体" w:eastAsia="宋体" w:cs="宋体"/>
                <w:b/>
                <w:bCs w:val="0"/>
                <w:color w:val="auto"/>
                <w:sz w:val="24"/>
                <w:highlight w:val="none"/>
              </w:rPr>
              <w:t>报价</w:t>
            </w:r>
            <w:r>
              <w:rPr>
                <w:rFonts w:hint="eastAsia" w:ascii="宋体" w:hAnsi="宋体" w:cs="宋体"/>
                <w:b/>
                <w:bCs w:val="0"/>
                <w:color w:val="auto"/>
                <w:sz w:val="24"/>
                <w:highlight w:val="none"/>
                <w:lang w:val="en-US" w:eastAsia="zh-CN"/>
              </w:rPr>
              <w:t>分</w:t>
            </w:r>
          </w:p>
        </w:tc>
        <w:tc>
          <w:tcPr>
            <w:tcW w:w="6548" w:type="dxa"/>
          </w:tcPr>
          <w:p w14:paraId="2C00D0EF">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(1)评标报价为</w:t>
            </w:r>
            <w:r>
              <w:rPr>
                <w:rFonts w:hint="eastAsia" w:ascii="宋体" w:hAnsi="宋体" w:eastAsia="宋体" w:cs="宋体"/>
                <w:color w:val="auto"/>
                <w:sz w:val="24"/>
                <w:szCs w:val="24"/>
                <w:highlight w:val="none"/>
                <w:lang w:val="en-US" w:eastAsia="zh-CN"/>
              </w:rPr>
              <w:t>竞</w:t>
            </w:r>
            <w:r>
              <w:rPr>
                <w:rFonts w:hint="eastAsia" w:ascii="宋体" w:hAnsi="宋体" w:eastAsia="宋体" w:cs="宋体"/>
                <w:color w:val="auto"/>
                <w:sz w:val="24"/>
                <w:szCs w:val="24"/>
                <w:highlight w:val="none"/>
              </w:rPr>
              <w:t>标人的</w:t>
            </w:r>
            <w:r>
              <w:rPr>
                <w:rFonts w:hint="eastAsia" w:ascii="宋体" w:hAnsi="宋体" w:eastAsia="宋体" w:cs="宋体"/>
                <w:color w:val="auto"/>
                <w:sz w:val="24"/>
                <w:szCs w:val="24"/>
                <w:highlight w:val="none"/>
                <w:lang w:val="en-US" w:eastAsia="zh-CN"/>
              </w:rPr>
              <w:t>竞</w:t>
            </w:r>
            <w:r>
              <w:rPr>
                <w:rFonts w:hint="eastAsia" w:ascii="宋体" w:hAnsi="宋体" w:eastAsia="宋体" w:cs="宋体"/>
                <w:color w:val="auto"/>
                <w:sz w:val="24"/>
                <w:szCs w:val="24"/>
                <w:highlight w:val="none"/>
              </w:rPr>
              <w:t>标人报价进行政策性扣除后的价格，评标报价只作为评标时使用。最终</w:t>
            </w:r>
            <w:r>
              <w:rPr>
                <w:rFonts w:hint="eastAsia" w:ascii="宋体" w:hAnsi="宋体" w:eastAsia="宋体" w:cs="宋体"/>
                <w:color w:val="auto"/>
                <w:sz w:val="24"/>
                <w:szCs w:val="24"/>
                <w:highlight w:val="none"/>
                <w:lang w:val="en-US" w:eastAsia="zh-CN"/>
              </w:rPr>
              <w:t>竞</w:t>
            </w:r>
            <w:r>
              <w:rPr>
                <w:rFonts w:hint="eastAsia" w:ascii="宋体" w:hAnsi="宋体" w:eastAsia="宋体" w:cs="宋体"/>
                <w:color w:val="auto"/>
                <w:sz w:val="24"/>
                <w:szCs w:val="24"/>
                <w:highlight w:val="none"/>
              </w:rPr>
              <w:t>标人的</w:t>
            </w:r>
            <w:r>
              <w:rPr>
                <w:rFonts w:hint="eastAsia" w:ascii="宋体" w:hAnsi="宋体" w:eastAsia="宋体" w:cs="宋体"/>
                <w:color w:val="auto"/>
                <w:sz w:val="24"/>
                <w:szCs w:val="24"/>
                <w:highlight w:val="none"/>
                <w:lang w:val="en-US" w:eastAsia="zh-CN"/>
              </w:rPr>
              <w:t>成交</w:t>
            </w:r>
            <w:r>
              <w:rPr>
                <w:rFonts w:hint="eastAsia" w:ascii="宋体" w:hAnsi="宋体" w:eastAsia="宋体" w:cs="宋体"/>
                <w:color w:val="auto"/>
                <w:sz w:val="24"/>
                <w:szCs w:val="24"/>
                <w:highlight w:val="none"/>
              </w:rPr>
              <w:t>金额等于</w:t>
            </w:r>
            <w:r>
              <w:rPr>
                <w:rFonts w:hint="eastAsia" w:ascii="宋体" w:hAnsi="宋体" w:eastAsia="宋体" w:cs="宋体"/>
                <w:color w:val="auto"/>
                <w:sz w:val="24"/>
                <w:szCs w:val="24"/>
                <w:highlight w:val="none"/>
                <w:lang w:val="en-US" w:eastAsia="zh-CN"/>
              </w:rPr>
              <w:t>竞标</w:t>
            </w:r>
            <w:r>
              <w:rPr>
                <w:rFonts w:hint="eastAsia" w:ascii="宋体" w:hAnsi="宋体" w:eastAsia="宋体" w:cs="宋体"/>
                <w:color w:val="auto"/>
                <w:sz w:val="24"/>
                <w:szCs w:val="24"/>
                <w:highlight w:val="none"/>
              </w:rPr>
              <w:t>报价。</w:t>
            </w:r>
          </w:p>
          <w:p w14:paraId="00AB30DF">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(2)按照《政府采购促进中小企业发展管理办法》(财库</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2020</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46号)</w:t>
            </w:r>
            <w:r>
              <w:rPr>
                <w:rFonts w:hint="eastAsia" w:ascii="宋体" w:hAnsi="宋体" w:eastAsia="宋体" w:cs="宋体"/>
                <w:color w:val="auto"/>
                <w:sz w:val="24"/>
                <w:szCs w:val="24"/>
                <w:highlight w:val="none"/>
                <w:lang w:val="en-US" w:eastAsia="zh-CN"/>
              </w:rPr>
              <w:t>及</w:t>
            </w:r>
            <w:r>
              <w:rPr>
                <w:rFonts w:hint="eastAsia" w:ascii="宋体" w:hAnsi="宋体" w:eastAsia="宋体" w:cs="宋体"/>
                <w:color w:val="auto"/>
                <w:sz w:val="24"/>
                <w:highlight w:val="none"/>
              </w:rPr>
              <w:t>广西壮族自治区财政厅关于持续优化政府采购营商环境推动高质量发展的通知</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桂财采〔2024〕55 号</w:t>
            </w:r>
            <w:r>
              <w:rPr>
                <w:rFonts w:hint="eastAsia" w:ascii="宋体" w:hAnsi="宋体" w:eastAsia="宋体" w:cs="宋体"/>
                <w:color w:val="auto"/>
                <w:sz w:val="24"/>
                <w:szCs w:val="24"/>
                <w:highlight w:val="none"/>
              </w:rPr>
              <w:t>规定，</w:t>
            </w:r>
            <w:r>
              <w:rPr>
                <w:rFonts w:hint="eastAsia" w:ascii="宋体" w:hAnsi="宋体" w:eastAsia="宋体" w:cs="宋体"/>
                <w:color w:val="auto"/>
                <w:sz w:val="24"/>
                <w:szCs w:val="24"/>
                <w:highlight w:val="none"/>
                <w:lang w:val="en-US" w:eastAsia="zh-CN"/>
              </w:rPr>
              <w:t>竞标</w:t>
            </w:r>
            <w:r>
              <w:rPr>
                <w:rFonts w:hint="eastAsia" w:ascii="宋体" w:hAnsi="宋体" w:eastAsia="宋体" w:cs="宋体"/>
                <w:color w:val="auto"/>
                <w:sz w:val="24"/>
                <w:szCs w:val="24"/>
                <w:highlight w:val="none"/>
              </w:rPr>
              <w:t>人在其</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文件中提供《中小企业声明函》且其服务为小型和微型企业承接的，对其最后报价给予</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0%内扣除。</w:t>
            </w:r>
          </w:p>
          <w:p w14:paraId="20EFEAFE">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(3)按照《财政部、司法部关</w:t>
            </w:r>
            <w:r>
              <w:rPr>
                <w:rFonts w:hint="eastAsia" w:ascii="宋体" w:hAnsi="宋体" w:eastAsia="宋体" w:cs="宋体"/>
                <w:color w:val="auto"/>
                <w:sz w:val="24"/>
                <w:szCs w:val="24"/>
                <w:highlight w:val="none"/>
                <w:lang w:eastAsia="zh-CN"/>
              </w:rPr>
              <w:t>于</w:t>
            </w:r>
            <w:r>
              <w:rPr>
                <w:rFonts w:hint="eastAsia" w:ascii="宋体" w:hAnsi="宋体" w:eastAsia="宋体" w:cs="宋体"/>
                <w:color w:val="auto"/>
                <w:sz w:val="24"/>
                <w:szCs w:val="24"/>
                <w:highlight w:val="none"/>
              </w:rPr>
              <w:t>政府采购</w:t>
            </w:r>
            <w:r>
              <w:rPr>
                <w:rFonts w:hint="eastAsia" w:ascii="宋体" w:hAnsi="宋体" w:eastAsia="宋体" w:cs="宋体"/>
                <w:color w:val="auto"/>
                <w:sz w:val="24"/>
                <w:szCs w:val="24"/>
                <w:highlight w:val="none"/>
                <w:lang w:eastAsia="zh-CN"/>
              </w:rPr>
              <w:t>支</w:t>
            </w:r>
            <w:r>
              <w:rPr>
                <w:rFonts w:hint="eastAsia" w:ascii="宋体" w:hAnsi="宋体" w:eastAsia="宋体" w:cs="宋体"/>
                <w:color w:val="auto"/>
                <w:sz w:val="24"/>
                <w:szCs w:val="24"/>
                <w:highlight w:val="none"/>
              </w:rPr>
              <w:t>持监狱企业发展有关问题的通知》(财库</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2014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68号)规定，监狱企业视同小型、微型企业，享受预留份额、评审中价格扣除等促进中小企业发展的政府采购政策。监狱企业参加政府采购活动时，应当提供</w:t>
            </w:r>
            <w:r>
              <w:rPr>
                <w:rFonts w:hint="eastAsia" w:ascii="宋体" w:hAnsi="宋体" w:eastAsia="宋体" w:cs="宋体"/>
                <w:color w:val="auto"/>
                <w:sz w:val="24"/>
                <w:szCs w:val="24"/>
                <w:highlight w:val="none"/>
                <w:lang w:eastAsia="zh-CN"/>
              </w:rPr>
              <w:t>由</w:t>
            </w:r>
            <w:r>
              <w:rPr>
                <w:rFonts w:hint="eastAsia" w:ascii="宋体" w:hAnsi="宋体" w:eastAsia="宋体" w:cs="宋体"/>
                <w:color w:val="auto"/>
                <w:sz w:val="24"/>
                <w:szCs w:val="24"/>
                <w:highlight w:val="none"/>
              </w:rPr>
              <w:t>省级以上监狱管理局、戒毒管理</w:t>
            </w:r>
            <w:r>
              <w:rPr>
                <w:rFonts w:hint="eastAsia" w:ascii="宋体" w:hAnsi="宋体" w:eastAsia="宋体" w:cs="宋体"/>
                <w:color w:val="auto"/>
                <w:sz w:val="24"/>
                <w:szCs w:val="24"/>
                <w:highlight w:val="none"/>
                <w:lang w:eastAsia="zh-CN"/>
              </w:rPr>
              <w:t>局</w:t>
            </w:r>
            <w:r>
              <w:rPr>
                <w:rFonts w:hint="eastAsia" w:ascii="宋体" w:hAnsi="宋体" w:eastAsia="宋体" w:cs="宋体"/>
                <w:color w:val="auto"/>
                <w:sz w:val="24"/>
                <w:szCs w:val="24"/>
                <w:highlight w:val="none"/>
              </w:rPr>
              <w:t>(含新疆生产建设兵团)出具属于监狱企业的证明文件。监狱企业属于小型、微型企业的，不重复享受政策。</w:t>
            </w:r>
          </w:p>
          <w:p w14:paraId="096C1456">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(4)按照《关于促进残疾人就业政府采购政策的通知》(财库</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2017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141号)规定，残疾人福利性</w:t>
            </w:r>
            <w:r>
              <w:rPr>
                <w:rFonts w:hint="eastAsia" w:ascii="宋体" w:hAnsi="宋体" w:eastAsia="宋体" w:cs="宋体"/>
                <w:color w:val="auto"/>
                <w:sz w:val="24"/>
                <w:szCs w:val="24"/>
                <w:highlight w:val="none"/>
                <w:lang w:val="en-US" w:eastAsia="zh-CN"/>
              </w:rPr>
              <w:t>单</w:t>
            </w:r>
            <w:r>
              <w:rPr>
                <w:rFonts w:hint="eastAsia" w:ascii="宋体" w:hAnsi="宋体" w:eastAsia="宋体" w:cs="宋体"/>
                <w:color w:val="auto"/>
                <w:sz w:val="24"/>
                <w:szCs w:val="24"/>
                <w:highlight w:val="none"/>
              </w:rPr>
              <w:t>位视同小型、微型企业，享受预留份额、评审中价格扣除等促进中小企业发展的政府采购政策。残疾人福利性</w:t>
            </w:r>
            <w:r>
              <w:rPr>
                <w:rFonts w:hint="eastAsia" w:ascii="宋体" w:hAnsi="宋体" w:eastAsia="宋体" w:cs="宋体"/>
                <w:color w:val="auto"/>
                <w:sz w:val="24"/>
                <w:szCs w:val="24"/>
                <w:highlight w:val="none"/>
                <w:lang w:val="en-US" w:eastAsia="zh-CN"/>
              </w:rPr>
              <w:t>单</w:t>
            </w:r>
            <w:r>
              <w:rPr>
                <w:rFonts w:hint="eastAsia" w:ascii="宋体" w:hAnsi="宋体" w:eastAsia="宋体" w:cs="宋体"/>
                <w:color w:val="auto"/>
                <w:sz w:val="24"/>
                <w:szCs w:val="24"/>
                <w:highlight w:val="none"/>
              </w:rPr>
              <w:t>位参加政府采购活动时，应当提供该通知规定的《残疾人福利性</w:t>
            </w:r>
            <w:r>
              <w:rPr>
                <w:rFonts w:hint="eastAsia" w:ascii="宋体" w:hAnsi="宋体" w:eastAsia="宋体" w:cs="宋体"/>
                <w:color w:val="auto"/>
                <w:sz w:val="24"/>
                <w:szCs w:val="24"/>
                <w:highlight w:val="none"/>
                <w:lang w:val="en-US" w:eastAsia="zh-CN"/>
              </w:rPr>
              <w:t>单</w:t>
            </w:r>
            <w:r>
              <w:rPr>
                <w:rFonts w:hint="eastAsia" w:ascii="宋体" w:hAnsi="宋体" w:eastAsia="宋体" w:cs="宋体"/>
                <w:color w:val="auto"/>
                <w:sz w:val="24"/>
                <w:szCs w:val="24"/>
                <w:highlight w:val="none"/>
              </w:rPr>
              <w:t>位声明函》，并对声明的真实性负责。残疾人福利性</w:t>
            </w:r>
            <w:r>
              <w:rPr>
                <w:rFonts w:hint="eastAsia" w:ascii="宋体" w:hAnsi="宋体" w:eastAsia="宋体" w:cs="宋体"/>
                <w:color w:val="auto"/>
                <w:sz w:val="24"/>
                <w:szCs w:val="24"/>
                <w:highlight w:val="none"/>
                <w:lang w:eastAsia="zh-CN"/>
              </w:rPr>
              <w:t>单</w:t>
            </w:r>
            <w:r>
              <w:rPr>
                <w:rFonts w:hint="eastAsia" w:ascii="宋体" w:hAnsi="宋体" w:eastAsia="宋体" w:cs="宋体"/>
                <w:color w:val="auto"/>
                <w:sz w:val="24"/>
                <w:szCs w:val="24"/>
                <w:highlight w:val="none"/>
              </w:rPr>
              <w:t>位属于小型、微型企业的，不重复享受政策。</w:t>
            </w:r>
          </w:p>
          <w:p w14:paraId="4E59B908">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(5)政策性扣除计算方法。</w:t>
            </w:r>
          </w:p>
          <w:p w14:paraId="3029BFD1">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在服务采购项目中，服务由小微企业承接</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对符合上述要求的</w:t>
            </w:r>
            <w:r>
              <w:rPr>
                <w:rFonts w:hint="eastAsia" w:ascii="宋体" w:hAnsi="宋体" w:eastAsia="宋体" w:cs="宋体"/>
                <w:color w:val="auto"/>
                <w:sz w:val="24"/>
                <w:szCs w:val="24"/>
                <w:highlight w:val="none"/>
                <w:lang w:val="en-US" w:eastAsia="zh-CN"/>
              </w:rPr>
              <w:t>竞标</w:t>
            </w:r>
            <w:r>
              <w:rPr>
                <w:rFonts w:hint="eastAsia" w:ascii="宋体" w:hAnsi="宋体" w:eastAsia="宋体" w:cs="宋体"/>
                <w:color w:val="auto"/>
                <w:sz w:val="24"/>
                <w:szCs w:val="24"/>
                <w:highlight w:val="none"/>
              </w:rPr>
              <w:t>人的</w:t>
            </w:r>
            <w:r>
              <w:rPr>
                <w:rFonts w:hint="eastAsia" w:ascii="宋体" w:hAnsi="宋体" w:eastAsia="宋体" w:cs="宋体"/>
                <w:color w:val="auto"/>
                <w:sz w:val="24"/>
                <w:szCs w:val="24"/>
                <w:highlight w:val="none"/>
                <w:lang w:val="en-US" w:eastAsia="zh-CN"/>
              </w:rPr>
              <w:t>竞标</w:t>
            </w:r>
            <w:r>
              <w:rPr>
                <w:rFonts w:hint="eastAsia" w:ascii="宋体" w:hAnsi="宋体" w:eastAsia="宋体" w:cs="宋体"/>
                <w:color w:val="auto"/>
                <w:sz w:val="24"/>
                <w:szCs w:val="24"/>
                <w:highlight w:val="none"/>
              </w:rPr>
              <w:t>报价给予</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0%的扣除，扣除后的价格为评标报价，即评标报价=</w:t>
            </w:r>
            <w:r>
              <w:rPr>
                <w:rFonts w:hint="eastAsia" w:ascii="宋体" w:hAnsi="宋体" w:eastAsia="宋体" w:cs="宋体"/>
                <w:color w:val="auto"/>
                <w:sz w:val="24"/>
                <w:szCs w:val="24"/>
                <w:highlight w:val="none"/>
                <w:lang w:val="en-US" w:eastAsia="zh-CN"/>
              </w:rPr>
              <w:t>竞标</w:t>
            </w:r>
            <w:r>
              <w:rPr>
                <w:rFonts w:hint="eastAsia" w:ascii="宋体" w:hAnsi="宋体" w:eastAsia="宋体" w:cs="宋体"/>
                <w:color w:val="auto"/>
                <w:sz w:val="24"/>
                <w:szCs w:val="24"/>
                <w:highlight w:val="none"/>
              </w:rPr>
              <w:t>报价×(1-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eastAsia="zh-CN"/>
              </w:rPr>
              <w:t>接</w:t>
            </w:r>
            <w:r>
              <w:rPr>
                <w:rFonts w:hint="eastAsia" w:ascii="宋体" w:hAnsi="宋体" w:eastAsia="宋体" w:cs="宋体"/>
                <w:color w:val="auto"/>
                <w:sz w:val="24"/>
                <w:szCs w:val="24"/>
                <w:highlight w:val="none"/>
              </w:rPr>
              <w:t>受大中型企业与小微企业组成联合体或者允许大中型企业向一家或者多家小微企业分包的采购项</w:t>
            </w:r>
            <w:r>
              <w:rPr>
                <w:rFonts w:hint="eastAsia" w:ascii="宋体" w:hAnsi="宋体" w:eastAsia="宋体" w:cs="宋体"/>
                <w:color w:val="auto"/>
                <w:sz w:val="24"/>
                <w:szCs w:val="24"/>
                <w:highlight w:val="none"/>
                <w:lang w:val="en-US" w:eastAsia="zh-CN"/>
              </w:rPr>
              <w:t>目</w:t>
            </w:r>
            <w:r>
              <w:rPr>
                <w:rFonts w:hint="eastAsia" w:ascii="宋体" w:hAnsi="宋体" w:eastAsia="宋体" w:cs="宋体"/>
                <w:color w:val="auto"/>
                <w:sz w:val="24"/>
                <w:szCs w:val="24"/>
                <w:highlight w:val="none"/>
              </w:rPr>
              <w:t>，联合协议或者分包意向协议约定小微企业的合同份额占到合同总金额30%以上的，采购人、采购代理机构应当对联合体或者大中型企业的报价给予4%的扣除，用扣除后的价格参加评审，扣除后的价格为评标报价，即评标报价=</w:t>
            </w:r>
            <w:r>
              <w:rPr>
                <w:rFonts w:hint="eastAsia" w:ascii="宋体" w:hAnsi="宋体" w:eastAsia="宋体" w:cs="宋体"/>
                <w:color w:val="auto"/>
                <w:sz w:val="24"/>
                <w:szCs w:val="24"/>
                <w:highlight w:val="none"/>
                <w:lang w:val="en-US" w:eastAsia="zh-CN"/>
              </w:rPr>
              <w:t>竞标</w:t>
            </w:r>
            <w:r>
              <w:rPr>
                <w:rFonts w:hint="eastAsia" w:ascii="宋体" w:hAnsi="宋体" w:eastAsia="宋体" w:cs="宋体"/>
                <w:color w:val="auto"/>
                <w:sz w:val="24"/>
                <w:szCs w:val="24"/>
                <w:highlight w:val="none"/>
              </w:rPr>
              <w:t>报价×(1-4%)。除上述情况外，评标报价=</w:t>
            </w:r>
            <w:r>
              <w:rPr>
                <w:rFonts w:hint="eastAsia" w:ascii="宋体" w:hAnsi="宋体" w:eastAsia="宋体" w:cs="宋体"/>
                <w:color w:val="auto"/>
                <w:sz w:val="24"/>
                <w:szCs w:val="24"/>
                <w:highlight w:val="none"/>
                <w:lang w:val="en-US" w:eastAsia="zh-CN"/>
              </w:rPr>
              <w:t>竞标</w:t>
            </w:r>
            <w:r>
              <w:rPr>
                <w:rFonts w:hint="eastAsia" w:ascii="宋体" w:hAnsi="宋体" w:eastAsia="宋体" w:cs="宋体"/>
                <w:color w:val="auto"/>
                <w:sz w:val="24"/>
                <w:szCs w:val="24"/>
                <w:highlight w:val="none"/>
              </w:rPr>
              <w:t>报价。</w:t>
            </w:r>
          </w:p>
          <w:p w14:paraId="190D0526">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文件要求且评标报价最低的评标报价为评标基准价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其价格分为满分。</w:t>
            </w:r>
          </w:p>
          <w:p w14:paraId="67F7D7A4">
            <w:pPr>
              <w:keepNext w:val="0"/>
              <w:keepLines w:val="0"/>
              <w:pageBreakBefore w:val="0"/>
              <w:widowControl w:val="0"/>
              <w:tabs>
                <w:tab w:val="left" w:pos="1680"/>
              </w:tabs>
              <w:kinsoku/>
              <w:wordWrap/>
              <w:overflowPunct/>
              <w:topLinePunct w:val="0"/>
              <w:autoSpaceDE/>
              <w:autoSpaceDN/>
              <w:bidi w:val="0"/>
              <w:adjustRightInd/>
              <w:snapToGrid/>
              <w:spacing w:line="42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(7)价格分计算公式:价格分=(评标基准价/评标报价)×</w:t>
            </w:r>
            <w:r>
              <w:rPr>
                <w:rFonts w:hint="eastAsia" w:ascii="宋体" w:hAnsi="宋体" w:eastAsia="宋体" w:cs="宋体"/>
                <w:b/>
                <w:bCs/>
                <w:color w:val="auto"/>
                <w:sz w:val="24"/>
                <w:szCs w:val="24"/>
                <w:highlight w:val="none"/>
                <w:lang w:val="en-US" w:eastAsia="zh-CN"/>
              </w:rPr>
              <w:t>30</w:t>
            </w:r>
            <w:r>
              <w:rPr>
                <w:rFonts w:hint="eastAsia" w:ascii="宋体" w:hAnsi="宋体" w:eastAsia="宋体" w:cs="宋体"/>
                <w:b/>
                <w:bCs/>
                <w:color w:val="auto"/>
                <w:sz w:val="24"/>
                <w:szCs w:val="24"/>
                <w:highlight w:val="none"/>
              </w:rPr>
              <w:t>分</w:t>
            </w:r>
          </w:p>
          <w:p w14:paraId="4B6E8566">
            <w:pPr>
              <w:keepNext w:val="0"/>
              <w:keepLines w:val="0"/>
              <w:pageBreakBefore w:val="0"/>
              <w:widowControl w:val="0"/>
              <w:kinsoku/>
              <w:wordWrap/>
              <w:overflowPunct/>
              <w:topLinePunct w:val="0"/>
              <w:autoSpaceDE/>
              <w:autoSpaceDN/>
              <w:bidi w:val="0"/>
              <w:adjustRightInd/>
              <w:snapToGrid/>
              <w:spacing w:line="420" w:lineRule="exact"/>
              <w:ind w:firstLine="0" w:firstLineChars="0"/>
              <w:jc w:val="left"/>
              <w:textAlignment w:val="auto"/>
              <w:rPr>
                <w:rFonts w:hint="eastAsia" w:ascii="宋体" w:hAnsi="宋体" w:eastAsia="宋体" w:cs="宋体"/>
                <w:b/>
                <w:bCs/>
                <w:color w:val="auto"/>
                <w:sz w:val="24"/>
                <w:highlight w:val="none"/>
              </w:rPr>
            </w:pPr>
            <w:r>
              <w:rPr>
                <w:rFonts w:hint="eastAsia" w:ascii="宋体" w:hAnsi="宋体" w:eastAsia="宋体" w:cs="宋体"/>
                <w:b/>
                <w:bCs/>
                <w:color w:val="auto"/>
                <w:kern w:val="2"/>
                <w:sz w:val="24"/>
                <w:szCs w:val="24"/>
                <w:highlight w:val="none"/>
                <w:lang w:val="en-US" w:eastAsia="zh-CN" w:bidi="ar"/>
              </w:rPr>
              <w:t>（8）在评审中出现下列情形之一的，</w:t>
            </w:r>
            <w:r>
              <w:rPr>
                <w:rFonts w:hint="eastAsia" w:ascii="宋体" w:hAnsi="宋体" w:eastAsia="宋体" w:cs="宋体"/>
                <w:b/>
                <w:bCs/>
                <w:i w:val="0"/>
                <w:iCs w:val="0"/>
                <w:color w:val="auto"/>
                <w:spacing w:val="0"/>
                <w:sz w:val="24"/>
                <w:szCs w:val="24"/>
                <w:highlight w:val="none"/>
                <w:lang w:val="en-US" w:eastAsia="zh-CN"/>
              </w:rPr>
              <w:t>磋商小组</w:t>
            </w:r>
            <w:r>
              <w:rPr>
                <w:rFonts w:hint="eastAsia" w:ascii="宋体" w:hAnsi="宋体" w:eastAsia="宋体" w:cs="宋体"/>
                <w:b/>
                <w:bCs/>
                <w:i w:val="0"/>
                <w:iCs w:val="0"/>
                <w:color w:val="auto"/>
                <w:spacing w:val="0"/>
                <w:sz w:val="24"/>
                <w:szCs w:val="24"/>
                <w:highlight w:val="none"/>
              </w:rPr>
              <w:t>应当启动异常低价响应审查程序：</w:t>
            </w:r>
          </w:p>
          <w:p w14:paraId="4418AD62">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i w:val="0"/>
                <w:iCs w:val="0"/>
                <w:color w:val="auto"/>
                <w:spacing w:val="0"/>
                <w:sz w:val="24"/>
                <w:szCs w:val="24"/>
                <w:highlight w:val="none"/>
              </w:rPr>
              <w:t>1</w:t>
            </w:r>
            <w:r>
              <w:rPr>
                <w:rFonts w:hint="eastAsia" w:ascii="宋体" w:hAnsi="宋体" w:eastAsia="宋体" w:cs="宋体"/>
                <w:b w:val="0"/>
                <w:bCs w:val="0"/>
                <w:i w:val="0"/>
                <w:iCs w:val="0"/>
                <w:color w:val="auto"/>
                <w:spacing w:val="0"/>
                <w:sz w:val="24"/>
                <w:szCs w:val="24"/>
                <w:highlight w:val="none"/>
                <w:lang w:val="en-US" w:eastAsia="zh-CN"/>
              </w:rPr>
              <w:t>）</w:t>
            </w:r>
            <w:r>
              <w:rPr>
                <w:rFonts w:hint="eastAsia" w:ascii="宋体" w:hAnsi="宋体" w:eastAsia="宋体" w:cs="宋体"/>
                <w:b w:val="0"/>
                <w:bCs w:val="0"/>
                <w:i w:val="0"/>
                <w:iCs w:val="0"/>
                <w:color w:val="auto"/>
                <w:spacing w:val="0"/>
                <w:sz w:val="24"/>
                <w:szCs w:val="24"/>
                <w:highlight w:val="none"/>
              </w:rPr>
              <w:t>响应报价低于全部通过符合性审查供应商响应报价平均值50%的，即响应报价&lt;全部通过符合性审查供应商响应报价平均值×50%；</w:t>
            </w:r>
          </w:p>
          <w:p w14:paraId="1D101684">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i w:val="0"/>
                <w:iCs w:val="0"/>
                <w:color w:val="auto"/>
                <w:spacing w:val="0"/>
                <w:sz w:val="24"/>
                <w:szCs w:val="24"/>
                <w:highlight w:val="none"/>
              </w:rPr>
            </w:pPr>
            <w:r>
              <w:rPr>
                <w:rFonts w:hint="eastAsia" w:ascii="宋体" w:hAnsi="宋体" w:eastAsia="宋体" w:cs="宋体"/>
                <w:b w:val="0"/>
                <w:bCs w:val="0"/>
                <w:i w:val="0"/>
                <w:iCs w:val="0"/>
                <w:color w:val="auto"/>
                <w:spacing w:val="0"/>
                <w:sz w:val="24"/>
                <w:szCs w:val="24"/>
                <w:highlight w:val="none"/>
              </w:rPr>
              <w:t>2</w:t>
            </w:r>
            <w:r>
              <w:rPr>
                <w:rFonts w:hint="eastAsia" w:ascii="宋体" w:hAnsi="宋体" w:eastAsia="宋体" w:cs="宋体"/>
                <w:b w:val="0"/>
                <w:bCs w:val="0"/>
                <w:i w:val="0"/>
                <w:iCs w:val="0"/>
                <w:color w:val="auto"/>
                <w:spacing w:val="0"/>
                <w:sz w:val="24"/>
                <w:szCs w:val="24"/>
                <w:highlight w:val="none"/>
                <w:lang w:eastAsia="zh-CN"/>
              </w:rPr>
              <w:t>）</w:t>
            </w:r>
            <w:r>
              <w:rPr>
                <w:rFonts w:hint="eastAsia" w:ascii="宋体" w:hAnsi="宋体" w:eastAsia="宋体" w:cs="宋体"/>
                <w:b w:val="0"/>
                <w:bCs w:val="0"/>
                <w:i w:val="0"/>
                <w:iCs w:val="0"/>
                <w:color w:val="auto"/>
                <w:spacing w:val="0"/>
                <w:sz w:val="24"/>
                <w:szCs w:val="24"/>
                <w:highlight w:val="none"/>
              </w:rPr>
              <w:t>响应报价低于通过符合性审查的次低报价供应商响应报价50%的，即响应报价&lt;通过符合性审查的次低报价供应商响应报价×50%；</w:t>
            </w:r>
          </w:p>
          <w:p w14:paraId="5E2ABF36">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i w:val="0"/>
                <w:iCs w:val="0"/>
                <w:color w:val="auto"/>
                <w:spacing w:val="0"/>
                <w:sz w:val="24"/>
                <w:szCs w:val="24"/>
                <w:highlight w:val="none"/>
              </w:rPr>
            </w:pPr>
            <w:r>
              <w:rPr>
                <w:rFonts w:hint="eastAsia" w:ascii="宋体" w:hAnsi="宋体" w:eastAsia="宋体" w:cs="宋体"/>
                <w:b w:val="0"/>
                <w:bCs w:val="0"/>
                <w:i w:val="0"/>
                <w:iCs w:val="0"/>
                <w:color w:val="auto"/>
                <w:spacing w:val="0"/>
                <w:sz w:val="24"/>
                <w:szCs w:val="24"/>
                <w:highlight w:val="none"/>
              </w:rPr>
              <w:t>3</w:t>
            </w:r>
            <w:r>
              <w:rPr>
                <w:rFonts w:hint="eastAsia" w:ascii="宋体" w:hAnsi="宋体" w:eastAsia="宋体" w:cs="宋体"/>
                <w:b w:val="0"/>
                <w:bCs w:val="0"/>
                <w:i w:val="0"/>
                <w:iCs w:val="0"/>
                <w:color w:val="auto"/>
                <w:spacing w:val="0"/>
                <w:sz w:val="24"/>
                <w:szCs w:val="24"/>
                <w:highlight w:val="none"/>
                <w:lang w:eastAsia="zh-CN"/>
              </w:rPr>
              <w:t>）</w:t>
            </w:r>
            <w:r>
              <w:rPr>
                <w:rFonts w:hint="eastAsia" w:ascii="宋体" w:hAnsi="宋体" w:eastAsia="宋体" w:cs="宋体"/>
                <w:b w:val="0"/>
                <w:bCs w:val="0"/>
                <w:i w:val="0"/>
                <w:iCs w:val="0"/>
                <w:color w:val="auto"/>
                <w:spacing w:val="0"/>
                <w:sz w:val="24"/>
                <w:szCs w:val="24"/>
                <w:highlight w:val="none"/>
              </w:rPr>
              <w:t>响应报价低于采购项目最高限价45%的，即响应报价&lt;采购项目最高限价×45%；</w:t>
            </w:r>
          </w:p>
          <w:p w14:paraId="512408F7">
            <w:pPr>
              <w:keepNext w:val="0"/>
              <w:keepLines w:val="0"/>
              <w:pageBreakBefore w:val="0"/>
              <w:widowControl w:val="0"/>
              <w:tabs>
                <w:tab w:val="left" w:pos="1680"/>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i w:val="0"/>
                <w:iCs w:val="0"/>
                <w:color w:val="auto"/>
                <w:spacing w:val="0"/>
                <w:sz w:val="24"/>
                <w:szCs w:val="24"/>
                <w:highlight w:val="none"/>
                <w:lang w:eastAsia="zh-CN"/>
              </w:rPr>
            </w:pPr>
            <w:r>
              <w:rPr>
                <w:rFonts w:hint="eastAsia" w:ascii="宋体" w:hAnsi="宋体" w:eastAsia="宋体" w:cs="宋体"/>
                <w:b w:val="0"/>
                <w:bCs w:val="0"/>
                <w:i w:val="0"/>
                <w:iCs w:val="0"/>
                <w:color w:val="auto"/>
                <w:spacing w:val="0"/>
                <w:sz w:val="24"/>
                <w:szCs w:val="24"/>
                <w:highlight w:val="none"/>
              </w:rPr>
              <w:t>4</w:t>
            </w:r>
            <w:r>
              <w:rPr>
                <w:rFonts w:hint="eastAsia" w:ascii="宋体" w:hAnsi="宋体" w:eastAsia="宋体" w:cs="宋体"/>
                <w:b w:val="0"/>
                <w:bCs w:val="0"/>
                <w:i w:val="0"/>
                <w:iCs w:val="0"/>
                <w:color w:val="auto"/>
                <w:spacing w:val="0"/>
                <w:sz w:val="24"/>
                <w:szCs w:val="24"/>
                <w:highlight w:val="none"/>
                <w:lang w:eastAsia="zh-CN"/>
              </w:rPr>
              <w:t>）</w:t>
            </w:r>
            <w:r>
              <w:rPr>
                <w:rFonts w:hint="eastAsia" w:ascii="宋体" w:hAnsi="宋体" w:eastAsia="宋体" w:cs="宋体"/>
                <w:b w:val="0"/>
                <w:bCs w:val="0"/>
                <w:i w:val="0"/>
                <w:iCs w:val="0"/>
                <w:color w:val="auto"/>
                <w:spacing w:val="0"/>
                <w:sz w:val="24"/>
                <w:szCs w:val="24"/>
                <w:highlight w:val="none"/>
                <w:lang w:val="en-US" w:eastAsia="zh-CN"/>
              </w:rPr>
              <w:t>磋商小组</w:t>
            </w:r>
            <w:r>
              <w:rPr>
                <w:rFonts w:hint="eastAsia" w:ascii="宋体" w:hAnsi="宋体" w:eastAsia="宋体" w:cs="宋体"/>
                <w:b w:val="0"/>
                <w:bCs w:val="0"/>
                <w:i w:val="0"/>
                <w:iCs w:val="0"/>
                <w:color w:val="auto"/>
                <w:spacing w:val="0"/>
                <w:sz w:val="24"/>
                <w:szCs w:val="24"/>
                <w:highlight w:val="none"/>
              </w:rPr>
              <w:t>认为响应报价过低，有可能影响产品质量或者不能诚信履约的其他情形</w:t>
            </w:r>
            <w:r>
              <w:rPr>
                <w:rFonts w:hint="eastAsia" w:ascii="宋体" w:hAnsi="宋体" w:eastAsia="宋体" w:cs="宋体"/>
                <w:b w:val="0"/>
                <w:bCs w:val="0"/>
                <w:i w:val="0"/>
                <w:iCs w:val="0"/>
                <w:color w:val="auto"/>
                <w:spacing w:val="0"/>
                <w:sz w:val="24"/>
                <w:szCs w:val="24"/>
                <w:highlight w:val="none"/>
                <w:lang w:eastAsia="zh-CN"/>
              </w:rPr>
              <w:t>。</w:t>
            </w:r>
          </w:p>
          <w:p w14:paraId="41355AA6">
            <w:pPr>
              <w:keepNext w:val="0"/>
              <w:keepLines w:val="0"/>
              <w:pageBreakBefore w:val="0"/>
              <w:widowControl w:val="0"/>
              <w:tabs>
                <w:tab w:val="left" w:pos="1680"/>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i w:val="0"/>
                <w:iCs w:val="0"/>
                <w:color w:val="auto"/>
                <w:spacing w:val="0"/>
                <w:sz w:val="24"/>
                <w:szCs w:val="24"/>
                <w:highlight w:val="none"/>
              </w:rPr>
            </w:pPr>
            <w:r>
              <w:rPr>
                <w:rFonts w:hint="eastAsia" w:ascii="宋体" w:hAnsi="宋体" w:eastAsia="宋体" w:cs="宋体"/>
                <w:b w:val="0"/>
                <w:bCs w:val="0"/>
                <w:i w:val="0"/>
                <w:iCs w:val="0"/>
                <w:color w:val="auto"/>
                <w:spacing w:val="0"/>
                <w:sz w:val="24"/>
                <w:szCs w:val="24"/>
                <w:highlight w:val="none"/>
                <w:lang w:val="en-US" w:eastAsia="zh-CN"/>
              </w:rPr>
              <w:t>磋商小组</w:t>
            </w:r>
            <w:r>
              <w:rPr>
                <w:rFonts w:hint="eastAsia" w:ascii="宋体" w:hAnsi="宋体" w:eastAsia="宋体" w:cs="宋体"/>
                <w:b w:val="0"/>
                <w:bCs w:val="0"/>
                <w:i w:val="0"/>
                <w:iCs w:val="0"/>
                <w:color w:val="auto"/>
                <w:spacing w:val="0"/>
                <w:sz w:val="24"/>
                <w:szCs w:val="24"/>
                <w:highlight w:val="none"/>
              </w:rPr>
              <w:t>启动异常低价审查后，要求相关供应商在评审现场合理的时间内对</w:t>
            </w:r>
            <w:r>
              <w:rPr>
                <w:rFonts w:hint="eastAsia" w:ascii="宋体" w:hAnsi="宋体" w:eastAsia="宋体" w:cs="宋体"/>
                <w:b w:val="0"/>
                <w:bCs w:val="0"/>
                <w:i w:val="0"/>
                <w:iCs w:val="0"/>
                <w:color w:val="auto"/>
                <w:spacing w:val="0"/>
                <w:sz w:val="24"/>
                <w:szCs w:val="24"/>
                <w:highlight w:val="none"/>
                <w:lang w:val="en-US" w:eastAsia="zh-CN"/>
              </w:rPr>
              <w:t>竞标</w:t>
            </w:r>
            <w:r>
              <w:rPr>
                <w:rFonts w:hint="eastAsia" w:ascii="宋体" w:hAnsi="宋体" w:eastAsia="宋体" w:cs="宋体"/>
                <w:b w:val="0"/>
                <w:bCs w:val="0"/>
                <w:i w:val="0"/>
                <w:iCs w:val="0"/>
                <w:color w:val="auto"/>
                <w:spacing w:val="0"/>
                <w:sz w:val="24"/>
                <w:szCs w:val="24"/>
                <w:highlight w:val="none"/>
              </w:rPr>
              <w:t>价格作出解释，提供项目具体成本测算等与报价合理性相关的书面说明及必要的证明材料，包括但不限于</w:t>
            </w:r>
            <w:r>
              <w:rPr>
                <w:rFonts w:hint="eastAsia" w:ascii="宋体" w:hAnsi="宋体" w:eastAsia="宋体" w:cs="宋体"/>
                <w:b w:val="0"/>
                <w:bCs w:val="0"/>
                <w:i w:val="0"/>
                <w:iCs w:val="0"/>
                <w:color w:val="auto"/>
                <w:spacing w:val="0"/>
                <w:sz w:val="24"/>
                <w:szCs w:val="24"/>
                <w:highlight w:val="none"/>
                <w:lang w:val="en-US" w:eastAsia="zh-CN"/>
              </w:rPr>
              <w:t>主要</w:t>
            </w:r>
            <w:r>
              <w:rPr>
                <w:rFonts w:hint="eastAsia" w:ascii="宋体" w:hAnsi="宋体" w:eastAsia="宋体" w:cs="宋体"/>
                <w:b w:val="0"/>
                <w:bCs w:val="0"/>
                <w:i w:val="0"/>
                <w:iCs w:val="0"/>
                <w:color w:val="auto"/>
                <w:spacing w:val="0"/>
                <w:sz w:val="24"/>
                <w:szCs w:val="24"/>
                <w:highlight w:val="none"/>
              </w:rPr>
              <w:t>材料</w:t>
            </w:r>
            <w:r>
              <w:rPr>
                <w:rFonts w:hint="eastAsia" w:ascii="宋体" w:hAnsi="宋体" w:eastAsia="宋体" w:cs="宋体"/>
                <w:b w:val="0"/>
                <w:bCs w:val="0"/>
                <w:i w:val="0"/>
                <w:iCs w:val="0"/>
                <w:color w:val="auto"/>
                <w:spacing w:val="0"/>
                <w:sz w:val="24"/>
                <w:szCs w:val="24"/>
                <w:highlight w:val="none"/>
                <w:lang w:val="en-US" w:eastAsia="zh-CN"/>
              </w:rPr>
              <w:t>采购</w:t>
            </w:r>
            <w:r>
              <w:rPr>
                <w:rFonts w:hint="eastAsia" w:ascii="宋体" w:hAnsi="宋体" w:eastAsia="宋体" w:cs="宋体"/>
                <w:b w:val="0"/>
                <w:bCs w:val="0"/>
                <w:i w:val="0"/>
                <w:iCs w:val="0"/>
                <w:color w:val="auto"/>
                <w:spacing w:val="0"/>
                <w:sz w:val="24"/>
                <w:szCs w:val="24"/>
                <w:highlight w:val="none"/>
              </w:rPr>
              <w:t>成本、</w:t>
            </w:r>
            <w:r>
              <w:rPr>
                <w:rFonts w:hint="eastAsia" w:ascii="宋体" w:hAnsi="宋体" w:eastAsia="宋体" w:cs="宋体"/>
                <w:b w:val="0"/>
                <w:bCs w:val="0"/>
                <w:i w:val="0"/>
                <w:iCs w:val="0"/>
                <w:color w:val="auto"/>
                <w:spacing w:val="0"/>
                <w:sz w:val="24"/>
                <w:szCs w:val="24"/>
                <w:highlight w:val="none"/>
                <w:lang w:val="en-US" w:eastAsia="zh-CN"/>
              </w:rPr>
              <w:t>分项成本分析、管理费构成</w:t>
            </w:r>
            <w:r>
              <w:rPr>
                <w:rFonts w:hint="eastAsia" w:ascii="宋体" w:hAnsi="宋体" w:eastAsia="宋体" w:cs="宋体"/>
                <w:b w:val="0"/>
                <w:bCs w:val="0"/>
                <w:i w:val="0"/>
                <w:iCs w:val="0"/>
                <w:color w:val="auto"/>
                <w:spacing w:val="0"/>
                <w:sz w:val="24"/>
                <w:szCs w:val="24"/>
                <w:highlight w:val="none"/>
              </w:rPr>
              <w:t>等，给予相关供应商的合理时间一般不少于30分钟。</w:t>
            </w:r>
          </w:p>
          <w:p w14:paraId="14201660">
            <w:pPr>
              <w:keepNext w:val="0"/>
              <w:keepLines w:val="0"/>
              <w:pageBreakBefore w:val="0"/>
              <w:widowControl w:val="0"/>
              <w:tabs>
                <w:tab w:val="left" w:pos="1680"/>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i w:val="0"/>
                <w:iCs w:val="0"/>
                <w:color w:val="auto"/>
                <w:spacing w:val="0"/>
                <w:sz w:val="24"/>
                <w:szCs w:val="24"/>
                <w:highlight w:val="none"/>
              </w:rPr>
            </w:pPr>
            <w:r>
              <w:rPr>
                <w:rFonts w:hint="eastAsia" w:ascii="宋体" w:hAnsi="宋体" w:eastAsia="宋体" w:cs="宋体"/>
                <w:b w:val="0"/>
                <w:bCs w:val="0"/>
                <w:i w:val="0"/>
                <w:iCs w:val="0"/>
                <w:color w:val="auto"/>
                <w:spacing w:val="0"/>
                <w:sz w:val="24"/>
                <w:szCs w:val="24"/>
                <w:highlight w:val="none"/>
              </w:rPr>
              <w:t>供应商提供书面说明后，</w:t>
            </w:r>
            <w:r>
              <w:rPr>
                <w:rFonts w:hint="eastAsia" w:ascii="宋体" w:hAnsi="宋体" w:eastAsia="宋体" w:cs="宋体"/>
                <w:b w:val="0"/>
                <w:bCs w:val="0"/>
                <w:i w:val="0"/>
                <w:iCs w:val="0"/>
                <w:color w:val="auto"/>
                <w:spacing w:val="0"/>
                <w:sz w:val="24"/>
                <w:szCs w:val="24"/>
                <w:highlight w:val="none"/>
                <w:lang w:val="en-US" w:eastAsia="zh-CN"/>
              </w:rPr>
              <w:t>磋商小组</w:t>
            </w:r>
            <w:r>
              <w:rPr>
                <w:rFonts w:hint="eastAsia" w:ascii="宋体" w:hAnsi="宋体" w:eastAsia="宋体" w:cs="宋体"/>
                <w:b w:val="0"/>
                <w:bCs w:val="0"/>
                <w:i w:val="0"/>
                <w:iCs w:val="0"/>
                <w:color w:val="auto"/>
                <w:spacing w:val="0"/>
                <w:sz w:val="24"/>
                <w:szCs w:val="24"/>
                <w:highlight w:val="none"/>
              </w:rPr>
              <w:t>依据专业经验，参考同类项目中标（成交）价格、类似产品市场价格水平、行业人工费用标准、国家有关部门指导行业协会发布的行业平均成本等情况，对报价合理性进行判断。供应商不能提供书面说明、或者变相拒绝提供证明材料，或者提供的书面说明、证明材料不能证明其报价合理性的，评标委员会应当将其作为无效</w:t>
            </w:r>
            <w:r>
              <w:rPr>
                <w:rFonts w:hint="eastAsia" w:ascii="宋体" w:hAnsi="宋体" w:eastAsia="宋体" w:cs="宋体"/>
                <w:b w:val="0"/>
                <w:bCs w:val="0"/>
                <w:i w:val="0"/>
                <w:iCs w:val="0"/>
                <w:color w:val="auto"/>
                <w:spacing w:val="0"/>
                <w:sz w:val="24"/>
                <w:szCs w:val="24"/>
                <w:highlight w:val="none"/>
                <w:lang w:val="en-US" w:eastAsia="zh-CN"/>
              </w:rPr>
              <w:t>竞</w:t>
            </w:r>
            <w:r>
              <w:rPr>
                <w:rFonts w:hint="eastAsia" w:ascii="宋体" w:hAnsi="宋体" w:eastAsia="宋体" w:cs="宋体"/>
                <w:b w:val="0"/>
                <w:bCs w:val="0"/>
                <w:i w:val="0"/>
                <w:iCs w:val="0"/>
                <w:color w:val="auto"/>
                <w:spacing w:val="0"/>
                <w:sz w:val="24"/>
                <w:szCs w:val="24"/>
                <w:highlight w:val="none"/>
              </w:rPr>
              <w:t>标处理。</w:t>
            </w:r>
          </w:p>
          <w:p w14:paraId="4C8607B2">
            <w:pPr>
              <w:keepNext w:val="0"/>
              <w:keepLines w:val="0"/>
              <w:pageBreakBefore w:val="0"/>
              <w:widowControl w:val="0"/>
              <w:tabs>
                <w:tab w:val="left" w:pos="1680"/>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i w:val="0"/>
                <w:iCs w:val="0"/>
                <w:color w:val="auto"/>
                <w:spacing w:val="0"/>
                <w:sz w:val="24"/>
                <w:szCs w:val="24"/>
                <w:highlight w:val="none"/>
              </w:rPr>
            </w:pPr>
            <w:r>
              <w:rPr>
                <w:rFonts w:hint="eastAsia" w:ascii="宋体" w:hAnsi="宋体" w:eastAsia="宋体" w:cs="宋体"/>
                <w:b w:val="0"/>
                <w:bCs w:val="0"/>
                <w:i w:val="0"/>
                <w:iCs w:val="0"/>
                <w:color w:val="auto"/>
                <w:spacing w:val="0"/>
                <w:sz w:val="24"/>
                <w:szCs w:val="24"/>
                <w:highlight w:val="none"/>
              </w:rPr>
              <w:t>采购人、采购代理机构应当为</w:t>
            </w:r>
            <w:r>
              <w:rPr>
                <w:rFonts w:hint="eastAsia" w:ascii="宋体" w:hAnsi="宋体" w:eastAsia="宋体" w:cs="宋体"/>
                <w:b w:val="0"/>
                <w:bCs w:val="0"/>
                <w:i w:val="0"/>
                <w:iCs w:val="0"/>
                <w:color w:val="auto"/>
                <w:spacing w:val="0"/>
                <w:sz w:val="24"/>
                <w:szCs w:val="24"/>
                <w:highlight w:val="none"/>
                <w:lang w:val="en-US" w:eastAsia="zh-CN"/>
              </w:rPr>
              <w:t>磋商小组</w:t>
            </w:r>
            <w:r>
              <w:rPr>
                <w:rFonts w:hint="eastAsia" w:ascii="宋体" w:hAnsi="宋体" w:eastAsia="宋体" w:cs="宋体"/>
                <w:b w:val="0"/>
                <w:bCs w:val="0"/>
                <w:i w:val="0"/>
                <w:iCs w:val="0"/>
                <w:color w:val="auto"/>
                <w:spacing w:val="0"/>
                <w:sz w:val="24"/>
                <w:szCs w:val="24"/>
                <w:highlight w:val="none"/>
              </w:rPr>
              <w:t>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03DE8654">
            <w:pPr>
              <w:keepNext w:val="0"/>
              <w:keepLines w:val="0"/>
              <w:pageBreakBefore w:val="0"/>
              <w:widowControl w:val="0"/>
              <w:tabs>
                <w:tab w:val="left" w:pos="1680"/>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val="0"/>
                <w:bCs w:val="0"/>
                <w:i w:val="0"/>
                <w:iCs w:val="0"/>
                <w:color w:val="auto"/>
                <w:spacing w:val="0"/>
                <w:sz w:val="24"/>
                <w:szCs w:val="24"/>
                <w:highlight w:val="none"/>
              </w:rPr>
              <w:t>异常低价审查的启动原因、审查意见和审查结果应当在评审报告中记录，并随供应商提供的相关书面说明及证明材料，以及</w:t>
            </w:r>
            <w:r>
              <w:rPr>
                <w:rFonts w:hint="eastAsia" w:ascii="宋体" w:hAnsi="宋体" w:eastAsia="宋体" w:cs="宋体"/>
                <w:b w:val="0"/>
                <w:bCs w:val="0"/>
                <w:i w:val="0"/>
                <w:iCs w:val="0"/>
                <w:color w:val="auto"/>
                <w:spacing w:val="0"/>
                <w:sz w:val="24"/>
                <w:szCs w:val="24"/>
                <w:highlight w:val="none"/>
                <w:lang w:val="en-US" w:eastAsia="zh-CN"/>
              </w:rPr>
              <w:t>磋商小组</w:t>
            </w:r>
            <w:r>
              <w:rPr>
                <w:rFonts w:hint="eastAsia" w:ascii="宋体" w:hAnsi="宋体" w:eastAsia="宋体" w:cs="宋体"/>
                <w:b w:val="0"/>
                <w:bCs w:val="0"/>
                <w:i w:val="0"/>
                <w:iCs w:val="0"/>
                <w:color w:val="auto"/>
                <w:spacing w:val="0"/>
                <w:sz w:val="24"/>
                <w:szCs w:val="24"/>
                <w:highlight w:val="none"/>
              </w:rPr>
              <w:t>有关互联网浏览、查询历史一并归档。</w:t>
            </w:r>
          </w:p>
        </w:tc>
        <w:tc>
          <w:tcPr>
            <w:tcW w:w="795" w:type="dxa"/>
            <w:vAlign w:val="center"/>
          </w:tcPr>
          <w:p w14:paraId="0817C665">
            <w:pPr>
              <w:spacing w:line="480" w:lineRule="exact"/>
              <w:jc w:val="center"/>
              <w:rPr>
                <w:rFonts w:ascii="宋体" w:hAnsi="宋体" w:cs="宋体"/>
                <w:bCs/>
                <w:color w:val="auto"/>
                <w:sz w:val="24"/>
                <w:highlight w:val="none"/>
              </w:rPr>
            </w:pPr>
            <w:r>
              <w:rPr>
                <w:rFonts w:hint="eastAsia" w:ascii="宋体" w:hAnsi="宋体" w:cs="宋体"/>
                <w:b/>
                <w:color w:val="auto"/>
                <w:sz w:val="24"/>
                <w:highlight w:val="none"/>
                <w:lang w:val="en-US" w:eastAsia="zh-CN"/>
              </w:rPr>
              <w:t>3</w:t>
            </w:r>
            <w:r>
              <w:rPr>
                <w:rFonts w:hint="eastAsia" w:ascii="宋体" w:hAnsi="宋体" w:cs="宋体"/>
                <w:b/>
                <w:color w:val="auto"/>
                <w:sz w:val="24"/>
                <w:highlight w:val="none"/>
              </w:rPr>
              <w:t>0分</w:t>
            </w:r>
          </w:p>
        </w:tc>
      </w:tr>
      <w:tr w14:paraId="36881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819" w:type="dxa"/>
            <w:vAlign w:val="center"/>
          </w:tcPr>
          <w:p w14:paraId="36CDAEC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2</w:t>
            </w:r>
          </w:p>
        </w:tc>
        <w:tc>
          <w:tcPr>
            <w:tcW w:w="1247" w:type="dxa"/>
            <w:vAlign w:val="center"/>
          </w:tcPr>
          <w:p w14:paraId="38B0336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技术分</w:t>
            </w:r>
          </w:p>
        </w:tc>
        <w:tc>
          <w:tcPr>
            <w:tcW w:w="6548" w:type="dxa"/>
            <w:vAlign w:val="center"/>
          </w:tcPr>
          <w:p w14:paraId="77A7661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评审因素</w:t>
            </w:r>
          </w:p>
        </w:tc>
        <w:tc>
          <w:tcPr>
            <w:tcW w:w="795" w:type="dxa"/>
            <w:vAlign w:val="center"/>
          </w:tcPr>
          <w:p w14:paraId="2CEA38E9">
            <w:pPr>
              <w:widowControl/>
              <w:spacing w:line="480" w:lineRule="exact"/>
              <w:jc w:val="center"/>
              <w:rPr>
                <w:rFonts w:ascii="宋体" w:hAnsi="宋体" w:cs="宋体"/>
                <w:b/>
                <w:color w:val="auto"/>
                <w:sz w:val="24"/>
                <w:highlight w:val="none"/>
              </w:rPr>
            </w:pPr>
            <w:r>
              <w:rPr>
                <w:rFonts w:hint="eastAsia" w:ascii="宋体" w:hAnsi="宋体" w:cs="宋体"/>
                <w:b/>
                <w:color w:val="auto"/>
                <w:kern w:val="0"/>
                <w:sz w:val="24"/>
                <w:highlight w:val="none"/>
                <w:lang w:val="en-US" w:eastAsia="zh-CN"/>
              </w:rPr>
              <w:t>54</w:t>
            </w:r>
            <w:r>
              <w:rPr>
                <w:rFonts w:hint="eastAsia" w:ascii="宋体" w:hAnsi="宋体" w:cs="宋体"/>
                <w:b/>
                <w:color w:val="auto"/>
                <w:kern w:val="0"/>
                <w:sz w:val="24"/>
                <w:highlight w:val="none"/>
              </w:rPr>
              <w:t>分</w:t>
            </w:r>
          </w:p>
        </w:tc>
      </w:tr>
      <w:tr w14:paraId="72E80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819" w:type="dxa"/>
            <w:vAlign w:val="center"/>
          </w:tcPr>
          <w:p w14:paraId="6FE76F91">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2.1</w:t>
            </w:r>
          </w:p>
        </w:tc>
        <w:tc>
          <w:tcPr>
            <w:tcW w:w="1247" w:type="dxa"/>
            <w:vAlign w:val="center"/>
          </w:tcPr>
          <w:p w14:paraId="4DF4DCB4">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eastAsia="zh-CN"/>
              </w:rPr>
              <w:t>服务</w:t>
            </w:r>
          </w:p>
          <w:p w14:paraId="1B76D1ED">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方案分</w:t>
            </w:r>
          </w:p>
        </w:tc>
        <w:tc>
          <w:tcPr>
            <w:tcW w:w="6548" w:type="dxa"/>
          </w:tcPr>
          <w:p w14:paraId="3A02E2B8">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一档（</w:t>
            </w:r>
            <w:r>
              <w:rPr>
                <w:rFonts w:hint="eastAsia" w:ascii="宋体" w:hAnsi="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分）</w:t>
            </w:r>
            <w:r>
              <w:rPr>
                <w:rFonts w:hint="eastAsia" w:ascii="宋体" w:hAnsi="宋体" w:eastAsia="宋体" w:cs="宋体"/>
                <w:color w:val="auto"/>
                <w:sz w:val="24"/>
                <w:szCs w:val="24"/>
                <w:highlight w:val="none"/>
              </w:rPr>
              <w:t>：提供</w:t>
            </w:r>
            <w:r>
              <w:rPr>
                <w:rFonts w:hint="eastAsia" w:ascii="宋体" w:hAnsi="宋体" w:cs="宋体"/>
                <w:color w:val="auto"/>
                <w:sz w:val="24"/>
                <w:szCs w:val="24"/>
                <w:highlight w:val="none"/>
                <w:lang w:val="en-US" w:eastAsia="zh-CN"/>
              </w:rPr>
              <w:t>有</w:t>
            </w:r>
            <w:r>
              <w:rPr>
                <w:rFonts w:hint="eastAsia" w:ascii="宋体" w:hAnsi="宋体" w:eastAsia="宋体" w:cs="宋体"/>
                <w:color w:val="auto"/>
                <w:sz w:val="24"/>
                <w:szCs w:val="24"/>
                <w:highlight w:val="none"/>
              </w:rPr>
              <w:t>服务方案，方案包含人员配备、组织实施方案两大基础内容，明确项目团队组建及整体实施思路，具备基础服务落地条件，无细化专项作业及安全管控内容。</w:t>
            </w:r>
          </w:p>
          <w:p w14:paraId="4BF49CE1">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二档（</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分）</w:t>
            </w:r>
            <w:r>
              <w:rPr>
                <w:rFonts w:hint="eastAsia" w:ascii="宋体" w:hAnsi="宋体" w:eastAsia="宋体" w:cs="宋体"/>
                <w:color w:val="auto"/>
                <w:sz w:val="24"/>
                <w:szCs w:val="24"/>
                <w:highlight w:val="none"/>
              </w:rPr>
              <w:t>：满足一档的基础上，</w:t>
            </w:r>
            <w:r>
              <w:rPr>
                <w:rFonts w:hint="eastAsia" w:ascii="宋体" w:hAnsi="宋体" w:eastAsia="宋体" w:cs="宋体"/>
                <w:color w:val="auto"/>
                <w:sz w:val="24"/>
                <w:szCs w:val="24"/>
                <w:highlight w:val="none"/>
                <w:lang w:val="en-US" w:eastAsia="zh-CN"/>
              </w:rPr>
              <w:t>有</w:t>
            </w:r>
            <w:r>
              <w:rPr>
                <w:rFonts w:hint="eastAsia" w:ascii="宋体" w:hAnsi="宋体" w:eastAsia="宋体" w:cs="宋体"/>
                <w:color w:val="auto"/>
                <w:sz w:val="24"/>
                <w:szCs w:val="24"/>
                <w:highlight w:val="none"/>
              </w:rPr>
              <w:t>针对性的医疗废物收集、运输、处置专项方案，明确作业流程与规范，可实现全流程安全管控。人员配置符合采购人基础服务需求，可保障医疗废物转运处置工作正常开展。</w:t>
            </w:r>
          </w:p>
          <w:p w14:paraId="02334EF7">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三档（</w:t>
            </w:r>
            <w:r>
              <w:rPr>
                <w:rFonts w:hint="eastAsia" w:ascii="宋体" w:hAnsi="宋体" w:eastAsia="宋体" w:cs="宋体"/>
                <w:b/>
                <w:bCs/>
                <w:color w:val="auto"/>
                <w:sz w:val="24"/>
                <w:szCs w:val="24"/>
                <w:highlight w:val="none"/>
                <w:lang w:val="en-US" w:eastAsia="zh-CN"/>
              </w:rPr>
              <w:t>9</w:t>
            </w:r>
            <w:r>
              <w:rPr>
                <w:rFonts w:hint="eastAsia" w:ascii="宋体" w:hAnsi="宋体" w:eastAsia="宋体" w:cs="宋体"/>
                <w:b/>
                <w:bCs/>
                <w:color w:val="auto"/>
                <w:sz w:val="24"/>
                <w:szCs w:val="24"/>
                <w:highlight w:val="none"/>
              </w:rPr>
              <w:t>分）</w:t>
            </w:r>
            <w:r>
              <w:rPr>
                <w:rFonts w:hint="eastAsia" w:ascii="宋体" w:hAnsi="宋体" w:eastAsia="宋体" w:cs="宋体"/>
                <w:color w:val="auto"/>
                <w:sz w:val="24"/>
                <w:szCs w:val="24"/>
                <w:highlight w:val="none"/>
              </w:rPr>
              <w:t>：满足二档的基础上，收运处置方案贴合实际服务场景，可有效把控各环节安全风险，落实全流程安全管理。项目实行专人专岗配置，组织架构合理、岗位职责清晰，能够稳定保障医疗废物日常转运、处置工作规范有序运转。</w:t>
            </w:r>
          </w:p>
          <w:p w14:paraId="6F1305AA">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档（</w:t>
            </w:r>
            <w:r>
              <w:rPr>
                <w:rFonts w:hint="eastAsia" w:ascii="宋体" w:hAnsi="宋体" w:eastAsia="宋体" w:cs="宋体"/>
                <w:b/>
                <w:bCs/>
                <w:color w:val="auto"/>
                <w:sz w:val="24"/>
                <w:szCs w:val="24"/>
                <w:highlight w:val="none"/>
                <w:lang w:val="en-US" w:eastAsia="zh-CN"/>
              </w:rPr>
              <w:t>12</w:t>
            </w:r>
            <w:r>
              <w:rPr>
                <w:rFonts w:hint="eastAsia" w:ascii="宋体" w:hAnsi="宋体" w:eastAsia="宋体" w:cs="宋体"/>
                <w:b/>
                <w:bCs/>
                <w:color w:val="auto"/>
                <w:sz w:val="24"/>
                <w:szCs w:val="24"/>
                <w:highlight w:val="none"/>
              </w:rPr>
              <w:t>分）</w:t>
            </w:r>
            <w:r>
              <w:rPr>
                <w:rFonts w:hint="eastAsia" w:ascii="宋体" w:hAnsi="宋体" w:eastAsia="宋体" w:cs="宋体"/>
                <w:color w:val="auto"/>
                <w:sz w:val="24"/>
                <w:szCs w:val="24"/>
                <w:highlight w:val="none"/>
              </w:rPr>
              <w:t>：满足</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档的基础上，配备完善的人员安全保障方案，涵盖作业人员安全防护、作业规范等相关内容，转运处置人员安排条理清晰、分工明确。具备安全监测服务方案，建立常态化安全排查机制，可规范完成医疗废物处置前后常规申报工作。</w:t>
            </w:r>
          </w:p>
          <w:p w14:paraId="5994C177">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color w:val="auto"/>
                <w:sz w:val="24"/>
                <w:szCs w:val="24"/>
                <w:highlight w:val="none"/>
              </w:rPr>
            </w:pP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档（</w:t>
            </w:r>
            <w:r>
              <w:rPr>
                <w:rFonts w:hint="eastAsia" w:ascii="宋体" w:hAnsi="宋体" w:eastAsia="宋体" w:cs="宋体"/>
                <w:b/>
                <w:bCs/>
                <w:color w:val="auto"/>
                <w:sz w:val="24"/>
                <w:szCs w:val="24"/>
                <w:highlight w:val="none"/>
                <w:lang w:val="en-US" w:eastAsia="zh-CN"/>
              </w:rPr>
              <w:t>1</w:t>
            </w:r>
            <w:r>
              <w:rPr>
                <w:rFonts w:hint="eastAsia" w:ascii="宋体" w:hAnsi="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分）</w:t>
            </w:r>
            <w:r>
              <w:rPr>
                <w:rFonts w:hint="eastAsia" w:ascii="宋体" w:hAnsi="宋体" w:eastAsia="宋体" w:cs="宋体"/>
                <w:color w:val="auto"/>
                <w:sz w:val="24"/>
                <w:szCs w:val="24"/>
                <w:highlight w:val="none"/>
              </w:rPr>
              <w:t>：满足</w:t>
            </w:r>
            <w:r>
              <w:rPr>
                <w:rFonts w:hint="eastAsia"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rPr>
              <w:t>档的基础上，拥有标准化的人员安全保障体系，全程人员调度合理、流程衔接顺畅。安全监测方案规范完善，实现作业全流程动态安全管控。严格落实全流程合规申报工作，可及时、完整、规范准备各类验收材料，实现项目闭环可追溯管理。</w:t>
            </w:r>
          </w:p>
          <w:p w14:paraId="3A53DB18">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注：未提供方案、方案与本项目无关的或不满足一档要求的，得0分</w:t>
            </w:r>
          </w:p>
        </w:tc>
        <w:tc>
          <w:tcPr>
            <w:tcW w:w="795" w:type="dxa"/>
            <w:vAlign w:val="center"/>
          </w:tcPr>
          <w:p w14:paraId="355A9702">
            <w:pPr>
              <w:spacing w:line="480" w:lineRule="exact"/>
              <w:jc w:val="center"/>
              <w:rPr>
                <w:rFonts w:ascii="宋体" w:hAnsi="宋体" w:cs="宋体"/>
                <w:bCs/>
                <w:color w:val="auto"/>
                <w:sz w:val="24"/>
                <w:highlight w:val="none"/>
              </w:rPr>
            </w:pPr>
            <w:r>
              <w:rPr>
                <w:rFonts w:hint="eastAsia" w:ascii="宋体" w:hAnsi="宋体" w:cs="宋体"/>
                <w:b/>
                <w:color w:val="auto"/>
                <w:sz w:val="24"/>
                <w:highlight w:val="none"/>
                <w:lang w:val="en-US" w:eastAsia="zh-CN"/>
              </w:rPr>
              <w:t>15</w:t>
            </w:r>
            <w:r>
              <w:rPr>
                <w:rFonts w:hint="eastAsia" w:ascii="宋体" w:hAnsi="宋体" w:cs="宋体"/>
                <w:b/>
                <w:color w:val="auto"/>
                <w:sz w:val="24"/>
                <w:highlight w:val="none"/>
              </w:rPr>
              <w:t>分</w:t>
            </w:r>
          </w:p>
        </w:tc>
      </w:tr>
      <w:tr w14:paraId="6DE15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9" w:type="dxa"/>
            <w:vAlign w:val="center"/>
          </w:tcPr>
          <w:p w14:paraId="6D204E1C">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Cs/>
                <w:color w:val="auto"/>
                <w:sz w:val="24"/>
                <w:szCs w:val="24"/>
                <w:highlight w:val="none"/>
              </w:rPr>
            </w:pPr>
            <w:r>
              <w:rPr>
                <w:rFonts w:hint="eastAsia" w:ascii="宋体" w:hAnsi="宋体" w:eastAsia="宋体" w:cs="宋体"/>
                <w:b/>
                <w:color w:val="auto"/>
                <w:sz w:val="24"/>
                <w:szCs w:val="24"/>
                <w:highlight w:val="none"/>
              </w:rPr>
              <w:t>2.2</w:t>
            </w:r>
          </w:p>
        </w:tc>
        <w:tc>
          <w:tcPr>
            <w:tcW w:w="1247" w:type="dxa"/>
            <w:vAlign w:val="center"/>
          </w:tcPr>
          <w:p w14:paraId="10654862">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highlight w:val="none"/>
                <w:lang w:eastAsia="zh-CN"/>
              </w:rPr>
            </w:pPr>
          </w:p>
          <w:p w14:paraId="0D817A32">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val="en-US" w:eastAsia="zh-CN"/>
              </w:rPr>
              <w:t>管理措施方案分</w:t>
            </w:r>
          </w:p>
        </w:tc>
        <w:tc>
          <w:tcPr>
            <w:tcW w:w="6548" w:type="dxa"/>
          </w:tcPr>
          <w:p w14:paraId="176DD587">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一档（</w:t>
            </w:r>
            <w:r>
              <w:rPr>
                <w:rFonts w:hint="eastAsia" w:ascii="宋体" w:hAnsi="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分）</w:t>
            </w:r>
            <w:r>
              <w:rPr>
                <w:rFonts w:hint="eastAsia" w:ascii="宋体" w:hAnsi="宋体" w:eastAsia="宋体" w:cs="宋体"/>
                <w:color w:val="auto"/>
                <w:sz w:val="24"/>
                <w:szCs w:val="24"/>
                <w:highlight w:val="none"/>
              </w:rPr>
              <w:t>：提供有</w:t>
            </w:r>
            <w:r>
              <w:rPr>
                <w:rFonts w:ascii="宋体" w:hAnsi="宋体" w:eastAsia="宋体" w:cs="宋体"/>
                <w:color w:val="auto"/>
                <w:kern w:val="0"/>
                <w:sz w:val="24"/>
                <w:szCs w:val="24"/>
                <w:highlight w:val="none"/>
                <w:lang w:val="en-US" w:eastAsia="zh-CN" w:bidi="ar"/>
              </w:rPr>
              <w:t>管理措施方案，方案框架完整，包含监测管理措施、环保措施、时间安排措施基础模块</w:t>
            </w:r>
            <w:r>
              <w:rPr>
                <w:rFonts w:hint="eastAsia" w:ascii="宋体" w:hAnsi="宋体" w:eastAsia="宋体" w:cs="宋体"/>
                <w:color w:val="auto"/>
                <w:kern w:val="0"/>
                <w:sz w:val="24"/>
                <w:szCs w:val="24"/>
                <w:highlight w:val="none"/>
                <w:lang w:val="en-US" w:eastAsia="zh-CN" w:bidi="ar"/>
              </w:rPr>
              <w:t>，</w:t>
            </w:r>
            <w:r>
              <w:rPr>
                <w:rFonts w:ascii="宋体" w:hAnsi="宋体" w:eastAsia="宋体" w:cs="宋体"/>
                <w:color w:val="auto"/>
                <w:kern w:val="0"/>
                <w:sz w:val="24"/>
                <w:szCs w:val="24"/>
                <w:highlight w:val="none"/>
                <w:lang w:val="en-US" w:eastAsia="zh-CN" w:bidi="ar"/>
              </w:rPr>
              <w:t>内容表述简单笼统，无细化落地内容。</w:t>
            </w:r>
          </w:p>
          <w:p w14:paraId="6BA56A74">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二档（</w:t>
            </w:r>
            <w:r>
              <w:rPr>
                <w:rFonts w:hint="eastAsia" w:ascii="宋体" w:hAnsi="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分）</w:t>
            </w:r>
            <w:r>
              <w:rPr>
                <w:rFonts w:hint="eastAsia" w:ascii="宋体" w:hAnsi="宋体" w:eastAsia="宋体" w:cs="宋体"/>
                <w:color w:val="auto"/>
                <w:sz w:val="24"/>
                <w:szCs w:val="24"/>
                <w:highlight w:val="none"/>
              </w:rPr>
              <w:t>：满足一档的基础上，</w:t>
            </w:r>
            <w:r>
              <w:rPr>
                <w:rFonts w:ascii="宋体" w:hAnsi="宋体" w:eastAsia="宋体" w:cs="宋体"/>
                <w:color w:val="auto"/>
                <w:kern w:val="0"/>
                <w:sz w:val="24"/>
                <w:szCs w:val="24"/>
                <w:highlight w:val="none"/>
                <w:lang w:val="en-US" w:eastAsia="zh-CN" w:bidi="ar"/>
              </w:rPr>
              <w:t>管理措施内容完整、表述清晰，可覆盖日常管理的基础工作，能够保障项目基本运行，未结合质量目标、作业标准及监督机制制定专项管控措施。</w:t>
            </w:r>
          </w:p>
          <w:p w14:paraId="43F1D47F">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color w:val="auto"/>
                <w:kern w:val="0"/>
                <w:sz w:val="24"/>
                <w:szCs w:val="24"/>
                <w:highlight w:val="none"/>
                <w:lang w:val="en-US" w:eastAsia="zh-CN" w:bidi="ar"/>
              </w:rPr>
            </w:pPr>
            <w:r>
              <w:rPr>
                <w:rFonts w:hint="eastAsia" w:ascii="宋体" w:hAnsi="宋体" w:eastAsia="宋体" w:cs="宋体"/>
                <w:b/>
                <w:bCs/>
                <w:color w:val="auto"/>
                <w:sz w:val="24"/>
                <w:szCs w:val="24"/>
                <w:highlight w:val="none"/>
              </w:rPr>
              <w:t>三档（</w:t>
            </w:r>
            <w:r>
              <w:rPr>
                <w:rFonts w:hint="eastAsia" w:ascii="宋体" w:hAnsi="宋体" w:cs="宋体"/>
                <w:b/>
                <w:bCs/>
                <w:color w:val="auto"/>
                <w:sz w:val="24"/>
                <w:szCs w:val="24"/>
                <w:highlight w:val="none"/>
                <w:lang w:val="en-US" w:eastAsia="zh-CN"/>
              </w:rPr>
              <w:t>9</w:t>
            </w:r>
            <w:r>
              <w:rPr>
                <w:rFonts w:hint="eastAsia" w:ascii="宋体" w:hAnsi="宋体" w:eastAsia="宋体" w:cs="宋体"/>
                <w:b/>
                <w:bCs/>
                <w:color w:val="auto"/>
                <w:sz w:val="24"/>
                <w:szCs w:val="24"/>
                <w:highlight w:val="none"/>
              </w:rPr>
              <w:t>分）</w:t>
            </w:r>
            <w:r>
              <w:rPr>
                <w:rFonts w:hint="eastAsia" w:ascii="宋体" w:hAnsi="宋体" w:eastAsia="宋体" w:cs="宋体"/>
                <w:color w:val="auto"/>
                <w:sz w:val="24"/>
                <w:szCs w:val="24"/>
                <w:highlight w:val="none"/>
              </w:rPr>
              <w:t>：满足二档的基础上，</w:t>
            </w:r>
            <w:r>
              <w:rPr>
                <w:rFonts w:ascii="宋体" w:hAnsi="宋体" w:eastAsia="宋体" w:cs="宋体"/>
                <w:color w:val="auto"/>
                <w:kern w:val="0"/>
                <w:sz w:val="24"/>
                <w:szCs w:val="24"/>
                <w:highlight w:val="none"/>
                <w:lang w:val="en-US" w:eastAsia="zh-CN" w:bidi="ar"/>
              </w:rPr>
              <w:t>方案结合项目实际情况，围绕质量目标、作业标准、监督机制，配套制定贴合项目需求的质量、安全管理措施，管控机制完善、作业标准明确，可保障医疗废物管理工作合规、有序开展。</w:t>
            </w:r>
          </w:p>
          <w:p w14:paraId="24BDEA61">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color w:val="auto"/>
                <w:kern w:val="0"/>
                <w:sz w:val="24"/>
                <w:szCs w:val="24"/>
                <w:highlight w:val="none"/>
                <w:lang w:val="en-US" w:eastAsia="zh-CN" w:bidi="ar"/>
              </w:rPr>
            </w:pPr>
            <w:r>
              <w:rPr>
                <w:rFonts w:hint="eastAsia" w:ascii="宋体" w:hAnsi="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档（</w:t>
            </w:r>
            <w:r>
              <w:rPr>
                <w:rFonts w:hint="eastAsia" w:ascii="宋体" w:hAnsi="宋体" w:cs="宋体"/>
                <w:b/>
                <w:bCs/>
                <w:color w:val="auto"/>
                <w:sz w:val="24"/>
                <w:szCs w:val="24"/>
                <w:highlight w:val="none"/>
                <w:lang w:val="en-US" w:eastAsia="zh-CN"/>
              </w:rPr>
              <w:t>12</w:t>
            </w:r>
            <w:r>
              <w:rPr>
                <w:rFonts w:hint="eastAsia" w:ascii="宋体" w:hAnsi="宋体" w:eastAsia="宋体" w:cs="宋体"/>
                <w:b/>
                <w:bCs/>
                <w:color w:val="auto"/>
                <w:sz w:val="24"/>
                <w:szCs w:val="24"/>
                <w:highlight w:val="none"/>
              </w:rPr>
              <w:t>分）</w:t>
            </w:r>
            <w:r>
              <w:rPr>
                <w:rFonts w:hint="eastAsia" w:ascii="宋体" w:hAnsi="宋体" w:eastAsia="宋体" w:cs="宋体"/>
                <w:color w:val="auto"/>
                <w:sz w:val="24"/>
                <w:szCs w:val="24"/>
                <w:highlight w:val="none"/>
              </w:rPr>
              <w:t>：满足</w:t>
            </w:r>
            <w:r>
              <w:rPr>
                <w:rFonts w:hint="eastAsia" w:ascii="宋体" w:hAnsi="宋体" w:cs="宋体"/>
                <w:color w:val="auto"/>
                <w:sz w:val="24"/>
                <w:szCs w:val="24"/>
                <w:highlight w:val="none"/>
                <w:lang w:val="en-US" w:eastAsia="zh-CN"/>
              </w:rPr>
              <w:t>三</w:t>
            </w:r>
            <w:r>
              <w:rPr>
                <w:rFonts w:hint="eastAsia" w:ascii="宋体" w:hAnsi="宋体" w:eastAsia="宋体" w:cs="宋体"/>
                <w:color w:val="auto"/>
                <w:sz w:val="24"/>
                <w:szCs w:val="24"/>
                <w:highlight w:val="none"/>
              </w:rPr>
              <w:t>档的基础上，</w:t>
            </w:r>
            <w:r>
              <w:rPr>
                <w:rFonts w:ascii="宋体" w:hAnsi="宋体" w:eastAsia="宋体" w:cs="宋体"/>
                <w:color w:val="auto"/>
                <w:kern w:val="0"/>
                <w:sz w:val="24"/>
                <w:szCs w:val="24"/>
                <w:highlight w:val="none"/>
                <w:lang w:val="en-US" w:eastAsia="zh-CN" w:bidi="ar"/>
              </w:rPr>
              <w:t>各项质量、安全、环保、时序、监测管理措施针对性强、落地性高，紧密贴合医院医疗废物管理全流程实际场景，能够有效规避管理漏洞、化解常见风险，实现规范化、常态化管理。</w:t>
            </w:r>
          </w:p>
          <w:p w14:paraId="26C68DFA">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档（</w:t>
            </w:r>
            <w:r>
              <w:rPr>
                <w:rFonts w:hint="eastAsia" w:ascii="宋体" w:hAnsi="宋体" w:cs="宋体"/>
                <w:b/>
                <w:bCs/>
                <w:color w:val="auto"/>
                <w:sz w:val="24"/>
                <w:szCs w:val="24"/>
                <w:highlight w:val="none"/>
                <w:lang w:val="en-US" w:eastAsia="zh-CN"/>
              </w:rPr>
              <w:t>15</w:t>
            </w:r>
            <w:r>
              <w:rPr>
                <w:rFonts w:hint="eastAsia" w:ascii="宋体" w:hAnsi="宋体" w:eastAsia="宋体" w:cs="宋体"/>
                <w:b/>
                <w:bCs/>
                <w:color w:val="auto"/>
                <w:sz w:val="24"/>
                <w:szCs w:val="24"/>
                <w:highlight w:val="none"/>
              </w:rPr>
              <w:t>分）</w:t>
            </w:r>
            <w:r>
              <w:rPr>
                <w:rFonts w:hint="eastAsia" w:ascii="宋体" w:hAnsi="宋体" w:eastAsia="宋体" w:cs="宋体"/>
                <w:color w:val="auto"/>
                <w:sz w:val="24"/>
                <w:szCs w:val="24"/>
                <w:highlight w:val="none"/>
              </w:rPr>
              <w:t>：满足</w:t>
            </w:r>
            <w:r>
              <w:rPr>
                <w:rFonts w:hint="eastAsia" w:ascii="宋体" w:hAnsi="宋体" w:cs="宋体"/>
                <w:color w:val="auto"/>
                <w:sz w:val="24"/>
                <w:szCs w:val="24"/>
                <w:highlight w:val="none"/>
                <w:lang w:val="en-US" w:eastAsia="zh-CN"/>
              </w:rPr>
              <w:t>四</w:t>
            </w:r>
            <w:r>
              <w:rPr>
                <w:rFonts w:hint="eastAsia" w:ascii="宋体" w:hAnsi="宋体" w:eastAsia="宋体" w:cs="宋体"/>
                <w:color w:val="auto"/>
                <w:sz w:val="24"/>
                <w:szCs w:val="24"/>
                <w:highlight w:val="none"/>
              </w:rPr>
              <w:t>档的基础上，</w:t>
            </w:r>
            <w:r>
              <w:rPr>
                <w:rFonts w:ascii="宋体" w:hAnsi="宋体" w:eastAsia="宋体" w:cs="宋体"/>
                <w:color w:val="auto"/>
                <w:kern w:val="0"/>
                <w:sz w:val="24"/>
                <w:szCs w:val="24"/>
                <w:highlight w:val="none"/>
                <w:lang w:val="en-US" w:eastAsia="zh-CN" w:bidi="ar"/>
              </w:rPr>
              <w:t>整套管理措施科学完善、落地性强，结合医院医疗废弃物管理</w:t>
            </w:r>
            <w:r>
              <w:rPr>
                <w:rFonts w:hint="eastAsia" w:ascii="宋体" w:hAnsi="宋体" w:eastAsia="宋体" w:cs="宋体"/>
                <w:color w:val="auto"/>
                <w:kern w:val="0"/>
                <w:sz w:val="24"/>
                <w:szCs w:val="24"/>
                <w:highlight w:val="none"/>
                <w:lang w:val="en-US" w:eastAsia="zh-CN" w:bidi="ar"/>
              </w:rPr>
              <w:t>状况</w:t>
            </w:r>
            <w:r>
              <w:rPr>
                <w:rFonts w:ascii="宋体" w:hAnsi="宋体" w:eastAsia="宋体" w:cs="宋体"/>
                <w:color w:val="auto"/>
                <w:kern w:val="0"/>
                <w:sz w:val="24"/>
                <w:szCs w:val="24"/>
                <w:highlight w:val="none"/>
                <w:lang w:val="en-US" w:eastAsia="zh-CN" w:bidi="ar"/>
              </w:rPr>
              <w:t>，提出合理、可行的专项优化提升建议，能够有效优化现有管理体系，提升医院医疗废物精细化、标准化管理水平。</w:t>
            </w:r>
          </w:p>
          <w:p w14:paraId="66D3B6B2">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rPr>
              <w:t>注：未提供方案、方案与本项目无关的或不满足入档要求的，得0分</w:t>
            </w:r>
          </w:p>
        </w:tc>
        <w:tc>
          <w:tcPr>
            <w:tcW w:w="795" w:type="dxa"/>
            <w:vAlign w:val="center"/>
          </w:tcPr>
          <w:p w14:paraId="0DE2B5CB">
            <w:pPr>
              <w:spacing w:line="480" w:lineRule="exact"/>
              <w:jc w:val="center"/>
              <w:rPr>
                <w:rFonts w:ascii="宋体" w:hAnsi="宋体" w:cs="宋体"/>
                <w:bCs/>
                <w:color w:val="auto"/>
                <w:sz w:val="24"/>
                <w:highlight w:val="none"/>
              </w:rPr>
            </w:pPr>
            <w:r>
              <w:rPr>
                <w:rFonts w:hint="eastAsia" w:ascii="宋体" w:hAnsi="宋体" w:cs="宋体"/>
                <w:b/>
                <w:color w:val="auto"/>
                <w:sz w:val="24"/>
                <w:highlight w:val="none"/>
                <w:lang w:val="en-US" w:eastAsia="zh-CN"/>
              </w:rPr>
              <w:t>15</w:t>
            </w:r>
            <w:r>
              <w:rPr>
                <w:rFonts w:hint="eastAsia" w:ascii="宋体" w:hAnsi="宋体" w:cs="宋体"/>
                <w:b/>
                <w:color w:val="auto"/>
                <w:sz w:val="24"/>
                <w:highlight w:val="none"/>
              </w:rPr>
              <w:t>分</w:t>
            </w:r>
          </w:p>
        </w:tc>
      </w:tr>
      <w:tr w14:paraId="773BD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9" w:type="dxa"/>
            <w:vAlign w:val="center"/>
          </w:tcPr>
          <w:p w14:paraId="311A9775">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2.3</w:t>
            </w:r>
          </w:p>
        </w:tc>
        <w:tc>
          <w:tcPr>
            <w:tcW w:w="1247" w:type="dxa"/>
            <w:vAlign w:val="center"/>
          </w:tcPr>
          <w:p w14:paraId="1D3793D0">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应急</w:t>
            </w:r>
          </w:p>
          <w:p w14:paraId="02EC8B1C">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方案分</w:t>
            </w:r>
          </w:p>
        </w:tc>
        <w:tc>
          <w:tcPr>
            <w:tcW w:w="6548" w:type="dxa"/>
          </w:tcPr>
          <w:p w14:paraId="366A6361">
            <w:pPr>
              <w:keepNext w:val="0"/>
              <w:keepLines w:val="0"/>
              <w:pageBreakBefore w:val="0"/>
              <w:widowControl/>
              <w:suppressLineNumbers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一档（</w:t>
            </w:r>
            <w:r>
              <w:rPr>
                <w:rFonts w:hint="eastAsia" w:ascii="宋体" w:hAnsi="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分）</w:t>
            </w:r>
            <w:r>
              <w:rPr>
                <w:rFonts w:hint="eastAsia" w:ascii="宋体" w:hAnsi="宋体" w:eastAsia="宋体" w:cs="宋体"/>
                <w:color w:val="auto"/>
                <w:sz w:val="24"/>
                <w:szCs w:val="24"/>
                <w:highlight w:val="none"/>
              </w:rPr>
              <w:t>：提供有应急方案，</w:t>
            </w:r>
            <w:r>
              <w:rPr>
                <w:rFonts w:hint="eastAsia" w:ascii="宋体" w:hAnsi="宋体" w:eastAsia="宋体" w:cs="宋体"/>
                <w:color w:val="auto"/>
                <w:sz w:val="24"/>
                <w:szCs w:val="24"/>
                <w:highlight w:val="none"/>
                <w:lang w:val="en-US" w:eastAsia="zh-CN"/>
              </w:rPr>
              <w:t>具备基本框架，包含对项目相关预见性紧急情形的应对内容，内容表述笼统，无细化处置流程与落地措施。</w:t>
            </w:r>
          </w:p>
          <w:p w14:paraId="2A735C1A">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二档（</w:t>
            </w:r>
            <w:r>
              <w:rPr>
                <w:rFonts w:hint="eastAsia" w:ascii="宋体" w:hAnsi="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分）</w:t>
            </w:r>
            <w:r>
              <w:rPr>
                <w:rFonts w:hint="eastAsia" w:ascii="宋体" w:hAnsi="宋体" w:eastAsia="宋体" w:cs="宋体"/>
                <w:color w:val="auto"/>
                <w:sz w:val="24"/>
                <w:szCs w:val="24"/>
                <w:highlight w:val="none"/>
              </w:rPr>
              <w:t>：满足一档的基础上，</w:t>
            </w:r>
            <w:r>
              <w:rPr>
                <w:rFonts w:ascii="宋体" w:hAnsi="宋体" w:eastAsia="宋体" w:cs="宋体"/>
                <w:color w:val="auto"/>
                <w:kern w:val="0"/>
                <w:sz w:val="24"/>
                <w:szCs w:val="24"/>
                <w:highlight w:val="none"/>
                <w:lang w:val="en-US" w:eastAsia="zh-CN" w:bidi="ar"/>
              </w:rPr>
              <w:t>能够保障转运处置现场安全整洁，针对突发危险、紧急情况具备处置思路，可做到及时控险，并落实基础善后处理工作，应急处置流程相对完整。</w:t>
            </w:r>
          </w:p>
          <w:p w14:paraId="7EEB2B26">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color w:val="auto"/>
                <w:kern w:val="0"/>
                <w:sz w:val="24"/>
                <w:szCs w:val="24"/>
                <w:highlight w:val="none"/>
                <w:lang w:val="en-US" w:eastAsia="zh-CN" w:bidi="ar"/>
              </w:rPr>
            </w:pPr>
            <w:r>
              <w:rPr>
                <w:rFonts w:hint="eastAsia" w:ascii="宋体" w:hAnsi="宋体" w:eastAsia="宋体" w:cs="宋体"/>
                <w:b/>
                <w:bCs/>
                <w:color w:val="auto"/>
                <w:sz w:val="24"/>
                <w:szCs w:val="24"/>
                <w:highlight w:val="none"/>
              </w:rPr>
              <w:t>三档（</w:t>
            </w:r>
            <w:r>
              <w:rPr>
                <w:rFonts w:hint="eastAsia" w:ascii="宋体" w:hAnsi="宋体" w:cs="宋体"/>
                <w:b/>
                <w:bCs/>
                <w:color w:val="auto"/>
                <w:sz w:val="24"/>
                <w:szCs w:val="24"/>
                <w:highlight w:val="none"/>
                <w:lang w:val="en-US" w:eastAsia="zh-CN"/>
              </w:rPr>
              <w:t>9</w:t>
            </w:r>
            <w:r>
              <w:rPr>
                <w:rFonts w:hint="eastAsia" w:ascii="宋体" w:hAnsi="宋体" w:eastAsia="宋体" w:cs="宋体"/>
                <w:b/>
                <w:bCs/>
                <w:color w:val="auto"/>
                <w:sz w:val="24"/>
                <w:szCs w:val="24"/>
                <w:highlight w:val="none"/>
              </w:rPr>
              <w:t>分）</w:t>
            </w:r>
            <w:r>
              <w:rPr>
                <w:rFonts w:hint="eastAsia" w:ascii="宋体" w:hAnsi="宋体" w:eastAsia="宋体" w:cs="宋体"/>
                <w:color w:val="auto"/>
                <w:sz w:val="24"/>
                <w:szCs w:val="24"/>
                <w:highlight w:val="none"/>
              </w:rPr>
              <w:t>：满足二档的基础上，</w:t>
            </w:r>
            <w:r>
              <w:rPr>
                <w:rFonts w:ascii="宋体" w:hAnsi="宋体" w:eastAsia="宋体" w:cs="宋体"/>
                <w:color w:val="auto"/>
                <w:kern w:val="0"/>
                <w:sz w:val="24"/>
                <w:szCs w:val="24"/>
                <w:highlight w:val="none"/>
                <w:lang w:val="en-US" w:eastAsia="zh-CN" w:bidi="ar"/>
              </w:rPr>
              <w:t>针对常规突发场景制定对应处置措施，能够规范应对一般紧急事故，现场控险、善后流程清晰，可有效保障转运处置现场秩序稳定，具备常态化应急处置能力。</w:t>
            </w:r>
          </w:p>
          <w:p w14:paraId="54537CDC">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color w:val="auto"/>
                <w:kern w:val="0"/>
                <w:sz w:val="24"/>
                <w:szCs w:val="24"/>
                <w:highlight w:val="none"/>
                <w:lang w:val="en-US" w:eastAsia="zh-CN" w:bidi="ar"/>
              </w:rPr>
            </w:pPr>
            <w:r>
              <w:rPr>
                <w:rFonts w:hint="eastAsia" w:ascii="宋体" w:hAnsi="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档（</w:t>
            </w:r>
            <w:r>
              <w:rPr>
                <w:rFonts w:hint="eastAsia" w:ascii="宋体" w:hAnsi="宋体" w:cs="宋体"/>
                <w:b/>
                <w:bCs/>
                <w:color w:val="auto"/>
                <w:sz w:val="24"/>
                <w:szCs w:val="24"/>
                <w:highlight w:val="none"/>
                <w:lang w:val="en-US" w:eastAsia="zh-CN"/>
              </w:rPr>
              <w:t>12</w:t>
            </w:r>
            <w:r>
              <w:rPr>
                <w:rFonts w:hint="eastAsia" w:ascii="宋体" w:hAnsi="宋体" w:eastAsia="宋体" w:cs="宋体"/>
                <w:b/>
                <w:bCs/>
                <w:color w:val="auto"/>
                <w:sz w:val="24"/>
                <w:szCs w:val="24"/>
                <w:highlight w:val="none"/>
              </w:rPr>
              <w:t>分）</w:t>
            </w:r>
            <w:r>
              <w:rPr>
                <w:rFonts w:hint="eastAsia" w:ascii="宋体" w:hAnsi="宋体" w:eastAsia="宋体" w:cs="宋体"/>
                <w:color w:val="auto"/>
                <w:sz w:val="24"/>
                <w:szCs w:val="24"/>
                <w:highlight w:val="none"/>
              </w:rPr>
              <w:t>：满足</w:t>
            </w:r>
            <w:r>
              <w:rPr>
                <w:rFonts w:hint="eastAsia" w:ascii="宋体" w:hAnsi="宋体" w:cs="宋体"/>
                <w:color w:val="auto"/>
                <w:sz w:val="24"/>
                <w:szCs w:val="24"/>
                <w:highlight w:val="none"/>
                <w:lang w:val="en-US" w:eastAsia="zh-CN"/>
              </w:rPr>
              <w:t>三</w:t>
            </w:r>
            <w:r>
              <w:rPr>
                <w:rFonts w:hint="eastAsia" w:ascii="宋体" w:hAnsi="宋体" w:eastAsia="宋体" w:cs="宋体"/>
                <w:color w:val="auto"/>
                <w:sz w:val="24"/>
                <w:szCs w:val="24"/>
                <w:highlight w:val="none"/>
              </w:rPr>
              <w:t>档的基础上，</w:t>
            </w:r>
            <w:r>
              <w:rPr>
                <w:rFonts w:ascii="宋体" w:hAnsi="宋体" w:eastAsia="宋体" w:cs="宋体"/>
                <w:color w:val="auto"/>
                <w:kern w:val="0"/>
                <w:sz w:val="24"/>
                <w:szCs w:val="24"/>
                <w:highlight w:val="none"/>
                <w:lang w:val="en-US" w:eastAsia="zh-CN" w:bidi="ar"/>
              </w:rPr>
              <w:t>针对人员安全应急处置机制，工作人员不慎沾染废液的突发情况，具备快速、规范、有效的处置流程，可及时做好人员防护与救护工作，切实保障作业人员人身安全；针对废液洒落地面场景，具备成熟、快速的现场清理处置措施。</w:t>
            </w:r>
          </w:p>
          <w:p w14:paraId="25157556">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档（</w:t>
            </w:r>
            <w:r>
              <w:rPr>
                <w:rFonts w:hint="eastAsia" w:ascii="宋体" w:hAnsi="宋体" w:cs="宋体"/>
                <w:b/>
                <w:bCs/>
                <w:color w:val="auto"/>
                <w:sz w:val="24"/>
                <w:szCs w:val="24"/>
                <w:highlight w:val="none"/>
                <w:lang w:val="en-US" w:eastAsia="zh-CN"/>
              </w:rPr>
              <w:t>15</w:t>
            </w:r>
            <w:r>
              <w:rPr>
                <w:rFonts w:hint="eastAsia" w:ascii="宋体" w:hAnsi="宋体" w:eastAsia="宋体" w:cs="宋体"/>
                <w:b/>
                <w:bCs/>
                <w:color w:val="auto"/>
                <w:sz w:val="24"/>
                <w:szCs w:val="24"/>
                <w:highlight w:val="none"/>
              </w:rPr>
              <w:t>分）</w:t>
            </w:r>
            <w:r>
              <w:rPr>
                <w:rFonts w:hint="eastAsia" w:ascii="宋体" w:hAnsi="宋体" w:eastAsia="宋体" w:cs="宋体"/>
                <w:color w:val="auto"/>
                <w:sz w:val="24"/>
                <w:szCs w:val="24"/>
                <w:highlight w:val="none"/>
              </w:rPr>
              <w:t>：满足</w:t>
            </w:r>
            <w:r>
              <w:rPr>
                <w:rFonts w:hint="eastAsia" w:ascii="宋体" w:hAnsi="宋体" w:cs="宋体"/>
                <w:color w:val="auto"/>
                <w:sz w:val="24"/>
                <w:szCs w:val="24"/>
                <w:highlight w:val="none"/>
                <w:lang w:val="en-US" w:eastAsia="zh-CN"/>
              </w:rPr>
              <w:t>四</w:t>
            </w:r>
            <w:r>
              <w:rPr>
                <w:rFonts w:hint="eastAsia" w:ascii="宋体" w:hAnsi="宋体" w:eastAsia="宋体" w:cs="宋体"/>
                <w:color w:val="auto"/>
                <w:sz w:val="24"/>
                <w:szCs w:val="24"/>
                <w:highlight w:val="none"/>
              </w:rPr>
              <w:t>档的基础上，</w:t>
            </w:r>
            <w:r>
              <w:rPr>
                <w:rFonts w:ascii="宋体" w:hAnsi="宋体" w:eastAsia="宋体" w:cs="宋体"/>
                <w:color w:val="auto"/>
                <w:kern w:val="0"/>
                <w:sz w:val="24"/>
                <w:szCs w:val="24"/>
                <w:highlight w:val="none"/>
                <w:lang w:val="en-US" w:eastAsia="zh-CN" w:bidi="ar"/>
              </w:rPr>
              <w:t>方案全面完善、贴合项目实际，针对火灾、爆炸等重大紧急突发情形，具备完整的人员撤离、现场封锁、危险源管控处置流程，可第一时间组织人员疏散、控制事故源头，有效遏制事故蔓延扩大，全面防范次生安全事故发生，应急处置闭环完整、落地性强。</w:t>
            </w:r>
          </w:p>
          <w:p w14:paraId="231FE7AF">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rPr>
              <w:t>注：未提供方案、方案与本项目无关的或不满足一档要求的，得0分</w:t>
            </w:r>
          </w:p>
        </w:tc>
        <w:tc>
          <w:tcPr>
            <w:tcW w:w="795" w:type="dxa"/>
            <w:vAlign w:val="center"/>
          </w:tcPr>
          <w:p w14:paraId="0A3B924F">
            <w:pPr>
              <w:spacing w:line="480" w:lineRule="exact"/>
              <w:jc w:val="both"/>
              <w:rPr>
                <w:rFonts w:hint="default" w:ascii="宋体" w:hAnsi="宋体" w:eastAsia="宋体" w:cs="宋体"/>
                <w:b/>
                <w:color w:val="auto"/>
                <w:sz w:val="24"/>
                <w:highlight w:val="none"/>
                <w:lang w:val="en-US" w:eastAsia="zh-CN"/>
              </w:rPr>
            </w:pPr>
            <w:r>
              <w:rPr>
                <w:rFonts w:hint="eastAsia" w:ascii="宋体" w:hAnsi="宋体" w:cs="宋体"/>
                <w:b/>
                <w:color w:val="auto"/>
                <w:sz w:val="24"/>
                <w:highlight w:val="none"/>
                <w:lang w:val="en-US" w:eastAsia="zh-CN"/>
              </w:rPr>
              <w:t>15分</w:t>
            </w:r>
          </w:p>
        </w:tc>
      </w:tr>
      <w:tr w14:paraId="75379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9" w:type="dxa"/>
            <w:vAlign w:val="center"/>
          </w:tcPr>
          <w:p w14:paraId="59255FF7">
            <w:pPr>
              <w:keepNext w:val="0"/>
              <w:keepLines w:val="0"/>
              <w:pageBreakBefore w:val="0"/>
              <w:kinsoku/>
              <w:wordWrap/>
              <w:overflowPunct/>
              <w:topLinePunct w:val="0"/>
              <w:autoSpaceDE/>
              <w:autoSpaceDN/>
              <w:bidi w:val="0"/>
              <w:adjustRightInd/>
              <w:snapToGrid/>
              <w:spacing w:line="440" w:lineRule="exact"/>
              <w:jc w:val="center"/>
              <w:textAlignment w:val="auto"/>
              <w:rPr>
                <w:rFonts w:hint="default" w:ascii="宋体" w:hAnsi="宋体" w:eastAsia="宋体" w:cs="宋体"/>
                <w:b/>
                <w:color w:val="auto"/>
                <w:sz w:val="24"/>
                <w:szCs w:val="24"/>
                <w:highlight w:val="none"/>
                <w:lang w:val="en-US" w:eastAsia="zh-CN"/>
              </w:rPr>
            </w:pPr>
            <w:bookmarkStart w:id="75" w:name="_Toc80205935"/>
            <w:r>
              <w:rPr>
                <w:rFonts w:hint="eastAsia" w:ascii="宋体" w:hAnsi="宋体" w:cs="宋体"/>
                <w:b/>
                <w:color w:val="auto"/>
                <w:sz w:val="24"/>
                <w:szCs w:val="24"/>
                <w:highlight w:val="none"/>
                <w:lang w:val="en-US" w:eastAsia="zh-CN"/>
              </w:rPr>
              <w:t>2.4</w:t>
            </w:r>
          </w:p>
        </w:tc>
        <w:tc>
          <w:tcPr>
            <w:tcW w:w="1247" w:type="dxa"/>
            <w:vAlign w:val="center"/>
          </w:tcPr>
          <w:p w14:paraId="33EE5461">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服务</w:t>
            </w:r>
          </w:p>
          <w:p w14:paraId="7BC853F0">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承诺分</w:t>
            </w:r>
          </w:p>
        </w:tc>
        <w:tc>
          <w:tcPr>
            <w:tcW w:w="6548" w:type="dxa"/>
          </w:tcPr>
          <w:p w14:paraId="2941595D">
            <w:pPr>
              <w:pStyle w:val="19"/>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b/>
                <w:bCs/>
                <w:color w:val="auto"/>
                <w:kern w:val="2"/>
                <w:sz w:val="24"/>
                <w:szCs w:val="24"/>
                <w:highlight w:val="none"/>
                <w:lang w:val="zh-CN" w:eastAsia="zh-CN" w:bidi="ar-SA"/>
              </w:rPr>
              <w:t>一档（</w:t>
            </w:r>
            <w:r>
              <w:rPr>
                <w:rFonts w:hint="eastAsia" w:ascii="宋体" w:hAnsi="宋体" w:eastAsia="宋体" w:cs="宋体"/>
                <w:b/>
                <w:bCs/>
                <w:color w:val="auto"/>
                <w:kern w:val="2"/>
                <w:sz w:val="24"/>
                <w:szCs w:val="24"/>
                <w:highlight w:val="none"/>
                <w:lang w:val="en-US" w:eastAsia="zh-CN" w:bidi="ar-SA"/>
              </w:rPr>
              <w:t>3</w:t>
            </w:r>
            <w:r>
              <w:rPr>
                <w:rFonts w:hint="eastAsia" w:ascii="宋体" w:hAnsi="宋体" w:eastAsia="宋体" w:cs="宋体"/>
                <w:b/>
                <w:bCs/>
                <w:color w:val="auto"/>
                <w:kern w:val="2"/>
                <w:sz w:val="24"/>
                <w:szCs w:val="24"/>
                <w:highlight w:val="none"/>
                <w:lang w:val="zh-CN" w:eastAsia="zh-CN" w:bidi="ar-SA"/>
              </w:rPr>
              <w:t>分）</w:t>
            </w:r>
            <w:r>
              <w:rPr>
                <w:rFonts w:hint="eastAsia" w:ascii="宋体" w:hAnsi="宋体" w:eastAsia="宋体" w:cs="宋体"/>
                <w:color w:val="auto"/>
                <w:kern w:val="2"/>
                <w:sz w:val="24"/>
                <w:szCs w:val="24"/>
                <w:highlight w:val="none"/>
                <w:lang w:val="zh-CN" w:eastAsia="zh-CN" w:bidi="ar-SA"/>
              </w:rPr>
              <w:t>：针对本项目提供的服务承诺，包括按时</w:t>
            </w:r>
            <w:r>
              <w:rPr>
                <w:rFonts w:hint="eastAsia" w:ascii="宋体" w:hAnsi="宋体" w:eastAsia="宋体" w:cs="宋体"/>
                <w:color w:val="auto"/>
                <w:kern w:val="2"/>
                <w:sz w:val="24"/>
                <w:szCs w:val="24"/>
                <w:highlight w:val="none"/>
                <w:lang w:val="en-US" w:eastAsia="zh-CN" w:bidi="ar-SA"/>
              </w:rPr>
              <w:t>处置</w:t>
            </w:r>
            <w:r>
              <w:rPr>
                <w:rFonts w:hint="eastAsia" w:ascii="宋体" w:hAnsi="宋体" w:eastAsia="宋体" w:cs="宋体"/>
                <w:color w:val="auto"/>
                <w:kern w:val="2"/>
                <w:sz w:val="24"/>
                <w:szCs w:val="24"/>
                <w:highlight w:val="none"/>
                <w:lang w:val="zh-CN" w:eastAsia="zh-CN" w:bidi="ar-SA"/>
              </w:rPr>
              <w:t>的承诺、对责任事故处理的承诺等内容基本齐全。</w:t>
            </w:r>
          </w:p>
          <w:p w14:paraId="1A775C1D">
            <w:pPr>
              <w:pStyle w:val="19"/>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b/>
                <w:bCs/>
                <w:color w:val="auto"/>
                <w:kern w:val="2"/>
                <w:sz w:val="24"/>
                <w:szCs w:val="24"/>
                <w:highlight w:val="none"/>
                <w:lang w:val="zh-CN" w:eastAsia="zh-CN" w:bidi="ar-SA"/>
              </w:rPr>
              <w:t>二档（</w:t>
            </w:r>
            <w:r>
              <w:rPr>
                <w:rFonts w:hint="eastAsia" w:ascii="宋体" w:hAnsi="宋体" w:eastAsia="宋体" w:cs="宋体"/>
                <w:b/>
                <w:bCs/>
                <w:color w:val="auto"/>
                <w:kern w:val="2"/>
                <w:sz w:val="24"/>
                <w:szCs w:val="24"/>
                <w:highlight w:val="none"/>
                <w:lang w:val="en-US" w:eastAsia="zh-CN" w:bidi="ar-SA"/>
              </w:rPr>
              <w:t>6</w:t>
            </w:r>
            <w:r>
              <w:rPr>
                <w:rFonts w:hint="eastAsia" w:ascii="宋体" w:hAnsi="宋体" w:eastAsia="宋体" w:cs="宋体"/>
                <w:b/>
                <w:bCs/>
                <w:color w:val="auto"/>
                <w:kern w:val="2"/>
                <w:sz w:val="24"/>
                <w:szCs w:val="24"/>
                <w:highlight w:val="none"/>
                <w:lang w:val="zh-CN" w:eastAsia="zh-CN" w:bidi="ar-SA"/>
              </w:rPr>
              <w:t>分）</w:t>
            </w:r>
            <w:r>
              <w:rPr>
                <w:rFonts w:hint="eastAsia" w:ascii="宋体" w:hAnsi="宋体" w:eastAsia="宋体" w:cs="宋体"/>
                <w:color w:val="auto"/>
                <w:kern w:val="2"/>
                <w:sz w:val="24"/>
                <w:szCs w:val="24"/>
                <w:highlight w:val="none"/>
                <w:lang w:val="zh-CN" w:eastAsia="zh-CN" w:bidi="ar-SA"/>
              </w:rPr>
              <w:t>：针对本项目提供的服务承诺，包括按时</w:t>
            </w:r>
            <w:r>
              <w:rPr>
                <w:rFonts w:hint="eastAsia" w:ascii="宋体" w:hAnsi="宋体" w:eastAsia="宋体" w:cs="宋体"/>
                <w:color w:val="auto"/>
                <w:kern w:val="2"/>
                <w:sz w:val="24"/>
                <w:szCs w:val="24"/>
                <w:highlight w:val="none"/>
                <w:lang w:val="en-US" w:eastAsia="zh-CN" w:bidi="ar-SA"/>
              </w:rPr>
              <w:t>处置</w:t>
            </w:r>
            <w:r>
              <w:rPr>
                <w:rFonts w:hint="eastAsia" w:ascii="宋体" w:hAnsi="宋体" w:eastAsia="宋体" w:cs="宋体"/>
                <w:color w:val="auto"/>
                <w:kern w:val="2"/>
                <w:sz w:val="24"/>
                <w:szCs w:val="24"/>
                <w:highlight w:val="none"/>
                <w:lang w:val="zh-CN" w:eastAsia="zh-CN" w:bidi="ar-SA"/>
              </w:rPr>
              <w:t>的承诺、对责任事故处理的承诺、服务质量及标准的承诺、</w:t>
            </w:r>
            <w:r>
              <w:rPr>
                <w:rFonts w:hint="eastAsia" w:ascii="宋体" w:hAnsi="宋体" w:eastAsia="宋体" w:cs="宋体"/>
                <w:color w:val="auto"/>
                <w:kern w:val="2"/>
                <w:sz w:val="24"/>
                <w:szCs w:val="24"/>
                <w:highlight w:val="none"/>
                <w:lang w:val="en-US" w:eastAsia="zh-CN" w:bidi="ar-SA"/>
              </w:rPr>
              <w:t>针对突发事件响应服务承诺</w:t>
            </w:r>
            <w:r>
              <w:rPr>
                <w:rFonts w:hint="eastAsia" w:ascii="宋体" w:hAnsi="宋体" w:eastAsia="宋体" w:cs="宋体"/>
                <w:color w:val="auto"/>
                <w:kern w:val="2"/>
                <w:sz w:val="24"/>
                <w:szCs w:val="24"/>
                <w:highlight w:val="none"/>
                <w:lang w:val="zh-CN" w:eastAsia="zh-CN" w:bidi="ar-SA"/>
              </w:rPr>
              <w:t>等内容详细。</w:t>
            </w:r>
          </w:p>
          <w:p w14:paraId="0B61FCB3">
            <w:pPr>
              <w:pStyle w:val="19"/>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zh-CN" w:eastAsia="zh-CN" w:bidi="ar-SA"/>
              </w:rPr>
              <w:t>三档（</w:t>
            </w:r>
            <w:r>
              <w:rPr>
                <w:rFonts w:hint="eastAsia" w:hAnsi="宋体" w:cs="宋体"/>
                <w:b/>
                <w:bCs/>
                <w:color w:val="auto"/>
                <w:kern w:val="2"/>
                <w:sz w:val="24"/>
                <w:szCs w:val="24"/>
                <w:highlight w:val="none"/>
                <w:lang w:val="en-US" w:eastAsia="zh-CN" w:bidi="ar-SA"/>
              </w:rPr>
              <w:t>9</w:t>
            </w:r>
            <w:r>
              <w:rPr>
                <w:rFonts w:hint="eastAsia" w:ascii="宋体" w:hAnsi="宋体" w:eastAsia="宋体" w:cs="宋体"/>
                <w:b/>
                <w:bCs/>
                <w:color w:val="auto"/>
                <w:kern w:val="2"/>
                <w:sz w:val="24"/>
                <w:szCs w:val="24"/>
                <w:highlight w:val="none"/>
                <w:lang w:val="zh-CN" w:eastAsia="zh-CN" w:bidi="ar-SA"/>
              </w:rPr>
              <w:t>分）</w:t>
            </w:r>
            <w:r>
              <w:rPr>
                <w:rFonts w:hint="eastAsia" w:ascii="宋体" w:hAnsi="宋体" w:eastAsia="宋体" w:cs="宋体"/>
                <w:color w:val="auto"/>
                <w:kern w:val="2"/>
                <w:sz w:val="24"/>
                <w:szCs w:val="24"/>
                <w:highlight w:val="none"/>
                <w:lang w:val="zh-CN" w:eastAsia="zh-CN" w:bidi="ar-SA"/>
              </w:rPr>
              <w:t>：针对本项目提供的服务承诺，包括按时</w:t>
            </w:r>
            <w:r>
              <w:rPr>
                <w:rFonts w:hint="eastAsia" w:ascii="宋体" w:hAnsi="宋体" w:eastAsia="宋体" w:cs="宋体"/>
                <w:color w:val="auto"/>
                <w:kern w:val="2"/>
                <w:sz w:val="24"/>
                <w:szCs w:val="24"/>
                <w:highlight w:val="none"/>
                <w:lang w:val="en-US" w:eastAsia="zh-CN" w:bidi="ar-SA"/>
              </w:rPr>
              <w:t>处置</w:t>
            </w:r>
            <w:r>
              <w:rPr>
                <w:rFonts w:hint="eastAsia" w:ascii="宋体" w:hAnsi="宋体" w:eastAsia="宋体" w:cs="宋体"/>
                <w:color w:val="auto"/>
                <w:kern w:val="2"/>
                <w:sz w:val="24"/>
                <w:szCs w:val="24"/>
                <w:highlight w:val="none"/>
                <w:lang w:val="zh-CN" w:eastAsia="zh-CN" w:bidi="ar-SA"/>
              </w:rPr>
              <w:t>的承诺、对责任事故处理的承诺、服务质量及标准的承诺、</w:t>
            </w:r>
            <w:r>
              <w:rPr>
                <w:rFonts w:hint="eastAsia" w:ascii="宋体" w:hAnsi="宋体" w:eastAsia="宋体" w:cs="宋体"/>
                <w:color w:val="auto"/>
                <w:kern w:val="2"/>
                <w:sz w:val="24"/>
                <w:szCs w:val="24"/>
                <w:highlight w:val="none"/>
                <w:lang w:val="en-US" w:eastAsia="zh-CN" w:bidi="ar-SA"/>
              </w:rPr>
              <w:t>针对突发事件响应服务承诺（包含但不限于响应时间、响应措施）、</w:t>
            </w:r>
            <w:r>
              <w:rPr>
                <w:rFonts w:hint="eastAsia" w:ascii="宋体" w:hAnsi="宋体" w:eastAsia="宋体" w:cs="宋体"/>
                <w:color w:val="auto"/>
                <w:kern w:val="2"/>
                <w:sz w:val="24"/>
                <w:szCs w:val="24"/>
                <w:highlight w:val="none"/>
                <w:lang w:val="zh-CN" w:eastAsia="zh-CN" w:bidi="ar-SA"/>
              </w:rPr>
              <w:t>人力资源保障及</w:t>
            </w:r>
            <w:r>
              <w:rPr>
                <w:rFonts w:hint="eastAsia" w:ascii="宋体" w:hAnsi="宋体" w:eastAsia="宋体" w:cs="宋体"/>
                <w:color w:val="auto"/>
                <w:kern w:val="2"/>
                <w:sz w:val="24"/>
                <w:szCs w:val="24"/>
                <w:highlight w:val="none"/>
                <w:lang w:val="en-US" w:eastAsia="zh-CN" w:bidi="ar-SA"/>
              </w:rPr>
              <w:t>人员协调保障能力强</w:t>
            </w:r>
            <w:r>
              <w:rPr>
                <w:rFonts w:hint="eastAsia" w:ascii="宋体" w:hAnsi="宋体" w:eastAsia="宋体" w:cs="宋体"/>
                <w:color w:val="auto"/>
                <w:kern w:val="2"/>
                <w:sz w:val="24"/>
                <w:szCs w:val="24"/>
                <w:highlight w:val="none"/>
                <w:lang w:val="zh-CN" w:eastAsia="zh-CN" w:bidi="ar-SA"/>
              </w:rPr>
              <w:t>等，内容详细</w:t>
            </w:r>
            <w:r>
              <w:rPr>
                <w:rFonts w:hint="eastAsia" w:ascii="宋体" w:hAnsi="宋体" w:eastAsia="宋体" w:cs="宋体"/>
                <w:color w:val="auto"/>
                <w:kern w:val="2"/>
                <w:sz w:val="24"/>
                <w:szCs w:val="24"/>
                <w:highlight w:val="none"/>
                <w:lang w:val="en-US" w:eastAsia="zh-CN" w:bidi="ar-SA"/>
              </w:rPr>
              <w:t>。</w:t>
            </w:r>
          </w:p>
          <w:p w14:paraId="707F4429">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注：未提供方案、方案与本项目无关的或不满足一档要求的，得0分</w:t>
            </w:r>
          </w:p>
        </w:tc>
        <w:tc>
          <w:tcPr>
            <w:tcW w:w="795" w:type="dxa"/>
            <w:vAlign w:val="center"/>
          </w:tcPr>
          <w:p w14:paraId="71D03DC6">
            <w:pPr>
              <w:spacing w:line="480" w:lineRule="exact"/>
              <w:jc w:val="center"/>
              <w:rPr>
                <w:rFonts w:hint="default" w:ascii="宋体" w:hAnsi="宋体" w:cs="宋体"/>
                <w:b/>
                <w:color w:val="auto"/>
                <w:sz w:val="24"/>
                <w:highlight w:val="none"/>
                <w:lang w:val="en-US" w:eastAsia="zh-CN"/>
              </w:rPr>
            </w:pPr>
            <w:r>
              <w:rPr>
                <w:rFonts w:hint="eastAsia" w:ascii="宋体" w:hAnsi="宋体" w:cs="宋体"/>
                <w:b/>
                <w:color w:val="auto"/>
                <w:sz w:val="24"/>
                <w:highlight w:val="none"/>
                <w:lang w:val="en-US" w:eastAsia="zh-CN"/>
              </w:rPr>
              <w:t>9分</w:t>
            </w:r>
          </w:p>
        </w:tc>
      </w:tr>
      <w:tr w14:paraId="583BC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9" w:type="dxa"/>
            <w:vAlign w:val="center"/>
          </w:tcPr>
          <w:p w14:paraId="3BC14CA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highlight w:val="none"/>
              </w:rPr>
            </w:pPr>
            <w:r>
              <w:rPr>
                <w:rFonts w:hint="eastAsia" w:ascii="宋体" w:hAnsi="宋体" w:eastAsia="宋体" w:cs="宋体"/>
                <w:b/>
                <w:bCs/>
                <w:color w:val="auto"/>
                <w:kern w:val="0"/>
                <w:sz w:val="24"/>
                <w:highlight w:val="none"/>
              </w:rPr>
              <w:t>3</w:t>
            </w:r>
          </w:p>
        </w:tc>
        <w:tc>
          <w:tcPr>
            <w:tcW w:w="1247" w:type="dxa"/>
            <w:vAlign w:val="center"/>
          </w:tcPr>
          <w:p w14:paraId="2D783C6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highlight w:val="none"/>
              </w:rPr>
              <w:t>商务分</w:t>
            </w:r>
          </w:p>
        </w:tc>
        <w:tc>
          <w:tcPr>
            <w:tcW w:w="6548" w:type="dxa"/>
            <w:vAlign w:val="center"/>
          </w:tcPr>
          <w:p w14:paraId="0E5D03D4">
            <w:pPr>
              <w:keepNext w:val="0"/>
              <w:keepLines w:val="0"/>
              <w:pageBreakBefore w:val="0"/>
              <w:kinsoku/>
              <w:wordWrap/>
              <w:overflowPunct/>
              <w:topLinePunct w:val="0"/>
              <w:autoSpaceDE/>
              <w:autoSpaceDN/>
              <w:bidi w:val="0"/>
              <w:adjustRightInd/>
              <w:snapToGrid/>
              <w:spacing w:line="440" w:lineRule="exact"/>
              <w:ind w:firstLine="482" w:firstLineChars="200"/>
              <w:jc w:val="center"/>
              <w:textAlignment w:val="auto"/>
              <w:rPr>
                <w:rFonts w:hint="eastAsia" w:ascii="宋体" w:hAnsi="宋体" w:eastAsia="宋体" w:cs="宋体"/>
                <w:b/>
                <w:bCs w:val="0"/>
                <w:color w:val="auto"/>
                <w:sz w:val="24"/>
                <w:szCs w:val="24"/>
                <w:highlight w:val="none"/>
                <w:lang w:eastAsia="zh-CN"/>
              </w:rPr>
            </w:pPr>
            <w:r>
              <w:rPr>
                <w:rFonts w:hint="eastAsia" w:ascii="宋体" w:hAnsi="宋体" w:eastAsia="宋体" w:cs="宋体"/>
                <w:b/>
                <w:bCs/>
                <w:color w:val="auto"/>
                <w:sz w:val="24"/>
                <w:highlight w:val="none"/>
              </w:rPr>
              <w:t>评审因素</w:t>
            </w:r>
          </w:p>
        </w:tc>
        <w:tc>
          <w:tcPr>
            <w:tcW w:w="795" w:type="dxa"/>
            <w:vAlign w:val="center"/>
          </w:tcPr>
          <w:p w14:paraId="1FD92BB7">
            <w:pPr>
              <w:widowControl/>
              <w:spacing w:line="480" w:lineRule="exact"/>
              <w:jc w:val="center"/>
              <w:rPr>
                <w:rFonts w:hint="eastAsia" w:ascii="宋体" w:hAnsi="宋体" w:cs="宋体"/>
                <w:b/>
                <w:color w:val="auto"/>
                <w:sz w:val="24"/>
                <w:highlight w:val="none"/>
                <w:lang w:val="en-US" w:eastAsia="zh-CN"/>
              </w:rPr>
            </w:pPr>
            <w:r>
              <w:rPr>
                <w:rFonts w:hint="eastAsia" w:ascii="宋体" w:hAnsi="宋体" w:cs="宋体"/>
                <w:b/>
                <w:bCs/>
                <w:color w:val="auto"/>
                <w:kern w:val="0"/>
                <w:sz w:val="24"/>
                <w:highlight w:val="none"/>
                <w:lang w:val="en-US" w:eastAsia="zh-CN"/>
              </w:rPr>
              <w:t>16</w:t>
            </w:r>
            <w:r>
              <w:rPr>
                <w:rFonts w:hint="eastAsia" w:ascii="宋体" w:hAnsi="宋体" w:cs="宋体"/>
                <w:b/>
                <w:bCs/>
                <w:color w:val="auto"/>
                <w:kern w:val="0"/>
                <w:sz w:val="24"/>
                <w:highlight w:val="none"/>
              </w:rPr>
              <w:t>分</w:t>
            </w:r>
          </w:p>
        </w:tc>
      </w:tr>
      <w:tr w14:paraId="3441C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9" w:type="dxa"/>
            <w:vAlign w:val="center"/>
          </w:tcPr>
          <w:p w14:paraId="20D9EBF7">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3.1</w:t>
            </w:r>
          </w:p>
        </w:tc>
        <w:tc>
          <w:tcPr>
            <w:tcW w:w="1247" w:type="dxa"/>
            <w:vAlign w:val="center"/>
          </w:tcPr>
          <w:p w14:paraId="7854E1B9">
            <w:pPr>
              <w:pStyle w:val="29"/>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信誉分</w:t>
            </w:r>
          </w:p>
        </w:tc>
        <w:tc>
          <w:tcPr>
            <w:tcW w:w="6548" w:type="dxa"/>
          </w:tcPr>
          <w:p w14:paraId="67239333">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 xml:space="preserve">具有ISO9001质量管理体系认证证书、ISO14001环境管理体系认证证书、ISO45001职业健康安全管理体系认证证书，每提供一份得 </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分，满分</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分。</w:t>
            </w:r>
          </w:p>
          <w:p w14:paraId="0B84C7A0">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val="en-US" w:eastAsia="zh-CN"/>
              </w:rPr>
              <w:t>（响应文件中提供有效认证证书复印件并加盖供应商公章，且须提供国家认证认可监督管理委员会官方网站平台www.cnca.gov.cn的证书查询记录截图）</w:t>
            </w:r>
          </w:p>
        </w:tc>
        <w:tc>
          <w:tcPr>
            <w:tcW w:w="795" w:type="dxa"/>
            <w:vAlign w:val="center"/>
          </w:tcPr>
          <w:p w14:paraId="48AB09E3">
            <w:pPr>
              <w:spacing w:line="480" w:lineRule="exact"/>
              <w:jc w:val="center"/>
              <w:rPr>
                <w:rFonts w:hint="default" w:ascii="宋体" w:hAnsi="宋体" w:cs="宋体"/>
                <w:b/>
                <w:color w:val="auto"/>
                <w:sz w:val="24"/>
                <w:highlight w:val="none"/>
                <w:lang w:val="en-US" w:eastAsia="zh-CN"/>
              </w:rPr>
            </w:pPr>
            <w:r>
              <w:rPr>
                <w:rFonts w:hint="eastAsia" w:ascii="宋体" w:hAnsi="宋体" w:cs="宋体"/>
                <w:b/>
                <w:color w:val="auto"/>
                <w:sz w:val="24"/>
                <w:highlight w:val="none"/>
                <w:lang w:val="en-US" w:eastAsia="zh-CN"/>
              </w:rPr>
              <w:t>6分</w:t>
            </w:r>
          </w:p>
        </w:tc>
      </w:tr>
      <w:tr w14:paraId="753E1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9" w:type="dxa"/>
            <w:vAlign w:val="center"/>
          </w:tcPr>
          <w:p w14:paraId="3E520A5C">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3.2</w:t>
            </w:r>
          </w:p>
        </w:tc>
        <w:tc>
          <w:tcPr>
            <w:tcW w:w="1247" w:type="dxa"/>
            <w:vAlign w:val="center"/>
          </w:tcPr>
          <w:p w14:paraId="07679DC7">
            <w:pPr>
              <w:pStyle w:val="29"/>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业绩分</w:t>
            </w:r>
          </w:p>
        </w:tc>
        <w:tc>
          <w:tcPr>
            <w:tcW w:w="6548" w:type="dxa"/>
          </w:tcPr>
          <w:p w14:paraId="0CB62D7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20</w:t>
            </w:r>
            <w:r>
              <w:rPr>
                <w:rFonts w:hint="eastAsia" w:ascii="宋体" w:hAnsi="宋体" w:eastAsia="宋体" w:cs="宋体"/>
                <w:color w:val="auto"/>
                <w:sz w:val="24"/>
                <w:szCs w:val="24"/>
                <w:highlight w:val="none"/>
                <w:lang w:val="en" w:eastAsia="zh-CN"/>
              </w:rPr>
              <w:t>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年1月1日以来，提供类似项目业绩，每1个得</w:t>
            </w:r>
            <w:r>
              <w:rPr>
                <w:rFonts w:hint="eastAsia" w:ascii="宋体" w:hAnsi="宋体" w:cs="宋体"/>
                <w:color w:val="auto"/>
                <w:sz w:val="24"/>
                <w:szCs w:val="24"/>
                <w:highlight w:val="none"/>
                <w:lang w:val="en-US" w:eastAsia="zh-CN"/>
              </w:rPr>
              <w:t>2.5</w:t>
            </w:r>
            <w:r>
              <w:rPr>
                <w:rFonts w:hint="eastAsia" w:ascii="宋体" w:hAnsi="宋体" w:eastAsia="宋体" w:cs="宋体"/>
                <w:color w:val="auto"/>
                <w:sz w:val="24"/>
                <w:szCs w:val="24"/>
                <w:highlight w:val="none"/>
                <w:lang w:eastAsia="zh-CN"/>
              </w:rPr>
              <w:t>分，满分</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lang w:eastAsia="zh-CN"/>
              </w:rPr>
              <w:t>分（需提供清晰的合同关键页复印件并加盖公章，否则不得分）</w:t>
            </w:r>
          </w:p>
        </w:tc>
        <w:tc>
          <w:tcPr>
            <w:tcW w:w="795" w:type="dxa"/>
            <w:vAlign w:val="center"/>
          </w:tcPr>
          <w:p w14:paraId="71E9A768">
            <w:pPr>
              <w:spacing w:line="480" w:lineRule="exact"/>
              <w:jc w:val="center"/>
              <w:rPr>
                <w:rFonts w:hint="default" w:ascii="宋体" w:hAnsi="宋体" w:cs="宋体"/>
                <w:b/>
                <w:color w:val="auto"/>
                <w:sz w:val="24"/>
                <w:highlight w:val="none"/>
                <w:lang w:val="en-US" w:eastAsia="zh-CN"/>
              </w:rPr>
            </w:pPr>
            <w:r>
              <w:rPr>
                <w:rFonts w:hint="eastAsia" w:ascii="宋体" w:hAnsi="宋体" w:cs="宋体"/>
                <w:b/>
                <w:color w:val="auto"/>
                <w:sz w:val="24"/>
                <w:highlight w:val="none"/>
                <w:lang w:val="en-US" w:eastAsia="zh-CN"/>
              </w:rPr>
              <w:t>10分</w:t>
            </w:r>
          </w:p>
        </w:tc>
      </w:tr>
    </w:tbl>
    <w:p w14:paraId="574AC1DC">
      <w:pPr>
        <w:spacing w:line="460" w:lineRule="exact"/>
        <w:rPr>
          <w:rFonts w:ascii="宋体" w:hAnsi="宋体" w:cs="宋体"/>
          <w:color w:val="auto"/>
          <w:sz w:val="24"/>
          <w:highlight w:val="none"/>
        </w:rPr>
      </w:pPr>
    </w:p>
    <w:p w14:paraId="780ED8C2">
      <w:pPr>
        <w:spacing w:line="4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7.2.终止竞争性磋商采购活动</w:t>
      </w:r>
    </w:p>
    <w:p w14:paraId="4661E033">
      <w:pPr>
        <w:spacing w:line="460" w:lineRule="exact"/>
        <w:ind w:firstLine="480" w:firstLineChars="200"/>
        <w:rPr>
          <w:rFonts w:ascii="宋体" w:hAnsi="宋体" w:cs="宋体"/>
          <w:b/>
          <w:color w:val="auto"/>
          <w:sz w:val="32"/>
          <w:szCs w:val="32"/>
          <w:highlight w:val="none"/>
        </w:rPr>
      </w:pPr>
      <w:r>
        <w:rPr>
          <w:rFonts w:hint="eastAsia" w:ascii="宋体" w:hAnsi="宋体" w:cs="宋体"/>
          <w:color w:val="auto"/>
          <w:sz w:val="24"/>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587A2B99">
      <w:pPr>
        <w:keepNext/>
        <w:keepLines/>
        <w:spacing w:before="260" w:after="260" w:line="480" w:lineRule="exact"/>
        <w:ind w:firstLine="0" w:firstLineChars="0"/>
        <w:jc w:val="center"/>
        <w:outlineLvl w:val="1"/>
        <w:rPr>
          <w:rFonts w:ascii="宋体" w:hAnsi="宋体" w:cs="宋体"/>
          <w:b/>
          <w:color w:val="auto"/>
          <w:sz w:val="32"/>
          <w:szCs w:val="32"/>
          <w:highlight w:val="none"/>
        </w:rPr>
      </w:pPr>
      <w:bookmarkStart w:id="76" w:name="_Toc28398"/>
      <w:bookmarkStart w:id="77" w:name="_Toc4605"/>
      <w:bookmarkStart w:id="78" w:name="_Toc97909564"/>
      <w:r>
        <w:rPr>
          <w:rFonts w:hint="eastAsia" w:ascii="宋体" w:hAnsi="宋体" w:cs="宋体"/>
          <w:b/>
          <w:color w:val="auto"/>
          <w:sz w:val="32"/>
          <w:szCs w:val="32"/>
          <w:highlight w:val="none"/>
        </w:rPr>
        <w:t>第二节 评标报告</w:t>
      </w:r>
      <w:bookmarkEnd w:id="75"/>
      <w:bookmarkEnd w:id="76"/>
      <w:bookmarkEnd w:id="77"/>
      <w:bookmarkEnd w:id="78"/>
    </w:p>
    <w:p w14:paraId="3F905EF8">
      <w:pPr>
        <w:spacing w:line="4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1.成交标准</w:t>
      </w:r>
    </w:p>
    <w:p w14:paraId="7F37783D">
      <w:pPr>
        <w:spacing w:line="460" w:lineRule="exact"/>
        <w:ind w:firstLine="480" w:firstLineChars="200"/>
        <w:rPr>
          <w:rFonts w:ascii="宋体" w:hAnsi="宋体" w:cs="宋体"/>
          <w:color w:val="auto"/>
          <w:sz w:val="24"/>
          <w:highlight w:val="none"/>
        </w:rPr>
      </w:pPr>
      <w:r>
        <w:rPr>
          <w:rFonts w:hint="eastAsia" w:ascii="宋体" w:hAnsi="宋体" w:cs="宋体"/>
          <w:bCs/>
          <w:color w:val="auto"/>
          <w:sz w:val="24"/>
          <w:highlight w:val="none"/>
        </w:rPr>
        <w:t>由磋商小组根据综合评分情况，按照评审得分由高到低顺序推荐3名以上成交候选供应商</w:t>
      </w:r>
      <w:r>
        <w:rPr>
          <w:rFonts w:hint="eastAsia" w:ascii="宋体" w:hAnsi="宋体" w:cs="宋体"/>
          <w:color w:val="auto"/>
          <w:sz w:val="24"/>
          <w:highlight w:val="none"/>
        </w:rPr>
        <w:t>,并在线编写电子评审报告</w:t>
      </w:r>
      <w:r>
        <w:rPr>
          <w:rFonts w:hint="eastAsia" w:ascii="宋体" w:hAnsi="宋体" w:cs="宋体"/>
          <w:bCs/>
          <w:color w:val="auto"/>
          <w:sz w:val="24"/>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2FBDB199">
      <w:pPr>
        <w:spacing w:line="4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2.评标争议事项处理</w:t>
      </w:r>
    </w:p>
    <w:p w14:paraId="3DDD75C7">
      <w:pPr>
        <w:adjustRightInd w:val="0"/>
        <w:spacing w:line="4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330E2D01">
      <w:pPr>
        <w:keepNext/>
        <w:keepLines/>
        <w:spacing w:before="260" w:after="260" w:line="480" w:lineRule="exact"/>
        <w:ind w:firstLine="0" w:firstLineChars="0"/>
        <w:jc w:val="center"/>
        <w:outlineLvl w:val="1"/>
        <w:rPr>
          <w:rFonts w:ascii="宋体" w:hAnsi="宋体" w:cs="宋体"/>
          <w:b/>
          <w:color w:val="auto"/>
          <w:sz w:val="32"/>
          <w:szCs w:val="32"/>
          <w:highlight w:val="none"/>
        </w:rPr>
      </w:pPr>
      <w:bookmarkStart w:id="79" w:name="_Toc80205936"/>
      <w:bookmarkStart w:id="80" w:name="_Toc97909565"/>
      <w:bookmarkStart w:id="81" w:name="_Toc10909"/>
      <w:r>
        <w:rPr>
          <w:rFonts w:hint="eastAsia" w:ascii="宋体" w:hAnsi="宋体" w:cs="宋体"/>
          <w:b/>
          <w:color w:val="auto"/>
          <w:sz w:val="32"/>
          <w:szCs w:val="32"/>
          <w:highlight w:val="none"/>
        </w:rPr>
        <w:t>第三节 评审过程的保密与录像</w:t>
      </w:r>
      <w:bookmarkEnd w:id="79"/>
      <w:bookmarkEnd w:id="80"/>
      <w:bookmarkEnd w:id="81"/>
    </w:p>
    <w:p w14:paraId="6E619F7D">
      <w:pPr>
        <w:spacing w:line="4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1.保密。</w:t>
      </w:r>
    </w:p>
    <w:p w14:paraId="13A67F4E">
      <w:pPr>
        <w:widowControl/>
        <w:spacing w:line="4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487B903A">
      <w:pPr>
        <w:widowControl/>
        <w:spacing w:line="4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2.录音录像。</w:t>
      </w:r>
    </w:p>
    <w:p w14:paraId="094513D4">
      <w:pPr>
        <w:spacing w:line="4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采购代理机构对评审工作现场及操作屏幕进行全过程录音录像，录音录像资料作为采购项目文件随其他文件一并存档。</w:t>
      </w:r>
    </w:p>
    <w:p w14:paraId="545541E8">
      <w:pPr>
        <w:keepNext/>
        <w:keepLines/>
        <w:spacing w:before="260" w:after="260" w:line="416" w:lineRule="auto"/>
        <w:jc w:val="center"/>
        <w:rPr>
          <w:rFonts w:ascii="宋体" w:hAnsi="宋体"/>
          <w:b/>
          <w:bCs/>
          <w:color w:val="auto"/>
          <w:sz w:val="24"/>
          <w:highlight w:val="none"/>
        </w:rPr>
      </w:pPr>
      <w:r>
        <w:rPr>
          <w:rFonts w:ascii="宋体" w:hAnsi="宋体"/>
          <w:b/>
          <w:bCs/>
          <w:color w:val="auto"/>
          <w:sz w:val="24"/>
          <w:highlight w:val="none"/>
        </w:rPr>
        <w:br w:type="page"/>
      </w:r>
    </w:p>
    <w:p w14:paraId="598B4D0D">
      <w:pPr>
        <w:keepNext/>
        <w:keepLines/>
        <w:spacing w:before="260" w:after="260" w:line="416" w:lineRule="auto"/>
        <w:jc w:val="center"/>
        <w:rPr>
          <w:rFonts w:ascii="宋体" w:hAnsi="宋体"/>
          <w:b/>
          <w:bCs/>
          <w:color w:val="auto"/>
          <w:sz w:val="24"/>
          <w:highlight w:val="none"/>
        </w:rPr>
      </w:pPr>
    </w:p>
    <w:p w14:paraId="7B6DC91C">
      <w:pPr>
        <w:keepNext/>
        <w:keepLines/>
        <w:spacing w:before="260" w:after="260" w:line="416" w:lineRule="auto"/>
        <w:jc w:val="center"/>
        <w:rPr>
          <w:rFonts w:ascii="宋体" w:hAnsi="宋体"/>
          <w:b/>
          <w:bCs/>
          <w:color w:val="auto"/>
          <w:sz w:val="24"/>
          <w:highlight w:val="none"/>
        </w:rPr>
      </w:pPr>
    </w:p>
    <w:p w14:paraId="11BA4722">
      <w:pPr>
        <w:keepNext/>
        <w:keepLines/>
        <w:spacing w:before="260" w:after="260" w:line="416" w:lineRule="auto"/>
        <w:jc w:val="center"/>
        <w:rPr>
          <w:rFonts w:ascii="宋体" w:hAnsi="宋体"/>
          <w:b/>
          <w:bCs/>
          <w:color w:val="auto"/>
          <w:sz w:val="24"/>
          <w:highlight w:val="none"/>
        </w:rPr>
      </w:pPr>
    </w:p>
    <w:p w14:paraId="3084DED0">
      <w:pPr>
        <w:keepNext/>
        <w:keepLines/>
        <w:spacing w:before="260" w:after="260" w:line="416" w:lineRule="auto"/>
        <w:jc w:val="center"/>
        <w:rPr>
          <w:rFonts w:ascii="宋体" w:hAnsi="宋体"/>
          <w:b/>
          <w:bCs/>
          <w:color w:val="auto"/>
          <w:sz w:val="24"/>
          <w:highlight w:val="none"/>
        </w:rPr>
      </w:pPr>
    </w:p>
    <w:p w14:paraId="351F582B">
      <w:pPr>
        <w:keepNext/>
        <w:keepLines/>
        <w:spacing w:before="340" w:after="330" w:line="480" w:lineRule="exact"/>
        <w:jc w:val="center"/>
        <w:outlineLvl w:val="0"/>
        <w:rPr>
          <w:rFonts w:ascii="宋体" w:hAnsi="宋体" w:cs="宋体"/>
          <w:b/>
          <w:bCs/>
          <w:color w:val="auto"/>
          <w:kern w:val="44"/>
          <w:sz w:val="44"/>
          <w:szCs w:val="44"/>
          <w:highlight w:val="none"/>
        </w:rPr>
      </w:pPr>
    </w:p>
    <w:p w14:paraId="624A3DF5">
      <w:pPr>
        <w:keepNext/>
        <w:keepLines/>
        <w:spacing w:before="340" w:after="330" w:line="480" w:lineRule="exact"/>
        <w:jc w:val="center"/>
        <w:outlineLvl w:val="0"/>
        <w:rPr>
          <w:rFonts w:ascii="宋体" w:hAnsi="宋体" w:cs="宋体"/>
          <w:b/>
          <w:bCs/>
          <w:color w:val="auto"/>
          <w:kern w:val="44"/>
          <w:sz w:val="44"/>
          <w:szCs w:val="44"/>
          <w:highlight w:val="none"/>
        </w:rPr>
        <w:sectPr>
          <w:footerReference r:id="rId9" w:type="first"/>
          <w:footerReference r:id="rId8" w:type="default"/>
          <w:pgSz w:w="11910" w:h="16840"/>
          <w:pgMar w:top="1451" w:right="1219" w:bottom="1185" w:left="1338" w:header="720" w:footer="720" w:gutter="0"/>
          <w:cols w:space="720" w:num="1"/>
        </w:sectPr>
      </w:pPr>
      <w:bookmarkStart w:id="82" w:name="_Toc17704"/>
      <w:bookmarkStart w:id="83" w:name="_Toc27397"/>
      <w:bookmarkStart w:id="84" w:name="_Toc97909566"/>
      <w:r>
        <w:rPr>
          <w:rFonts w:hint="eastAsia" w:ascii="宋体" w:hAnsi="宋体" w:cs="宋体"/>
          <w:b/>
          <w:bCs/>
          <w:color w:val="auto"/>
          <w:kern w:val="44"/>
          <w:sz w:val="44"/>
          <w:szCs w:val="44"/>
          <w:highlight w:val="none"/>
        </w:rPr>
        <w:t>第五章 响应文件格式</w:t>
      </w:r>
      <w:bookmarkEnd w:id="82"/>
      <w:bookmarkEnd w:id="83"/>
      <w:bookmarkEnd w:id="84"/>
    </w:p>
    <w:p w14:paraId="3D18EE72">
      <w:pPr>
        <w:pStyle w:val="4"/>
        <w:jc w:val="center"/>
        <w:rPr>
          <w:rFonts w:ascii="宋体" w:hAnsi="宋体" w:cs="宋体"/>
          <w:color w:val="auto"/>
          <w:highlight w:val="none"/>
        </w:rPr>
      </w:pPr>
      <w:bookmarkStart w:id="85" w:name="_Toc97909567"/>
      <w:bookmarkStart w:id="86" w:name="_Toc80205938"/>
      <w:bookmarkStart w:id="87" w:name="_Toc16174"/>
      <w:bookmarkStart w:id="88" w:name="_Toc21428"/>
      <w:bookmarkStart w:id="89" w:name="_Toc80886942"/>
      <w:r>
        <w:rPr>
          <w:rFonts w:hint="eastAsia" w:ascii="宋体" w:hAnsi="宋体" w:cs="宋体"/>
          <w:color w:val="auto"/>
          <w:highlight w:val="none"/>
        </w:rPr>
        <w:t>第一节 封面格式</w:t>
      </w:r>
      <w:bookmarkEnd w:id="85"/>
      <w:bookmarkEnd w:id="86"/>
      <w:bookmarkEnd w:id="87"/>
      <w:bookmarkEnd w:id="88"/>
      <w:bookmarkEnd w:id="89"/>
    </w:p>
    <w:p w14:paraId="22AF32BF">
      <w:pPr>
        <w:snapToGrid w:val="0"/>
        <w:spacing w:before="120" w:beforeLines="50" w:after="50"/>
        <w:rPr>
          <w:rFonts w:ascii="宋体" w:hAnsi="宋体" w:cs="宋体"/>
          <w:color w:val="auto"/>
          <w:sz w:val="24"/>
          <w:szCs w:val="20"/>
          <w:highlight w:val="none"/>
        </w:rPr>
      </w:pPr>
    </w:p>
    <w:p w14:paraId="7C7B7901">
      <w:pPr>
        <w:snapToGrid w:val="0"/>
        <w:spacing w:before="120" w:beforeLines="50" w:after="50"/>
        <w:jc w:val="center"/>
        <w:rPr>
          <w:rFonts w:ascii="宋体" w:hAnsi="宋体" w:cs="宋体"/>
          <w:bCs/>
          <w:color w:val="auto"/>
          <w:sz w:val="24"/>
          <w:szCs w:val="20"/>
          <w:highlight w:val="none"/>
        </w:rPr>
      </w:pPr>
    </w:p>
    <w:p w14:paraId="4DDB5A94">
      <w:pPr>
        <w:snapToGrid w:val="0"/>
        <w:spacing w:before="120" w:beforeLines="50" w:after="50"/>
        <w:jc w:val="center"/>
        <w:rPr>
          <w:rFonts w:ascii="宋体" w:hAnsi="宋体" w:cs="宋体"/>
          <w:b/>
          <w:color w:val="auto"/>
          <w:sz w:val="44"/>
          <w:szCs w:val="44"/>
          <w:highlight w:val="none"/>
        </w:rPr>
      </w:pPr>
      <w:r>
        <w:rPr>
          <w:rFonts w:hint="eastAsia" w:ascii="宋体" w:hAnsi="宋体" w:cs="宋体"/>
          <w:b/>
          <w:color w:val="auto"/>
          <w:sz w:val="44"/>
          <w:szCs w:val="44"/>
          <w:highlight w:val="none"/>
        </w:rPr>
        <w:t>响  应  文  件</w:t>
      </w:r>
    </w:p>
    <w:p w14:paraId="2DAC1AAA">
      <w:pPr>
        <w:snapToGrid w:val="0"/>
        <w:spacing w:before="120" w:beforeLines="50" w:after="50"/>
        <w:rPr>
          <w:rFonts w:ascii="宋体" w:hAnsi="宋体" w:cs="宋体"/>
          <w:bCs/>
          <w:color w:val="auto"/>
          <w:sz w:val="24"/>
          <w:szCs w:val="20"/>
          <w:highlight w:val="none"/>
        </w:rPr>
      </w:pPr>
    </w:p>
    <w:p w14:paraId="13897A94">
      <w:pPr>
        <w:snapToGrid w:val="0"/>
        <w:spacing w:before="120" w:beforeLines="50" w:after="50"/>
        <w:rPr>
          <w:rFonts w:ascii="宋体" w:hAnsi="宋体" w:cs="宋体"/>
          <w:bCs/>
          <w:color w:val="auto"/>
          <w:sz w:val="24"/>
          <w:szCs w:val="20"/>
          <w:highlight w:val="none"/>
        </w:rPr>
      </w:pPr>
    </w:p>
    <w:p w14:paraId="02D0FEDF">
      <w:pPr>
        <w:snapToGrid w:val="0"/>
        <w:spacing w:before="120" w:beforeLines="50" w:after="50"/>
        <w:rPr>
          <w:rFonts w:ascii="宋体" w:hAnsi="宋体" w:cs="宋体"/>
          <w:bCs/>
          <w:color w:val="auto"/>
          <w:sz w:val="32"/>
          <w:szCs w:val="32"/>
          <w:highlight w:val="none"/>
        </w:rPr>
      </w:pPr>
    </w:p>
    <w:p w14:paraId="53AD3BD6">
      <w:pPr>
        <w:snapToGrid w:val="0"/>
        <w:spacing w:before="120" w:beforeLines="50" w:after="50"/>
        <w:ind w:firstLine="643" w:firstLineChars="200"/>
        <w:rPr>
          <w:rFonts w:ascii="宋体" w:hAnsi="宋体" w:cs="宋体"/>
          <w:b/>
          <w:color w:val="auto"/>
          <w:sz w:val="32"/>
          <w:szCs w:val="32"/>
          <w:highlight w:val="none"/>
        </w:rPr>
      </w:pPr>
      <w:r>
        <w:rPr>
          <w:rFonts w:hint="eastAsia" w:ascii="宋体" w:hAnsi="宋体" w:cs="宋体"/>
          <w:b/>
          <w:color w:val="auto"/>
          <w:sz w:val="32"/>
          <w:szCs w:val="32"/>
          <w:highlight w:val="none"/>
        </w:rPr>
        <w:t xml:space="preserve">项目名称： </w:t>
      </w:r>
    </w:p>
    <w:p w14:paraId="434A8A24">
      <w:pPr>
        <w:snapToGrid w:val="0"/>
        <w:spacing w:before="120" w:beforeLines="50" w:after="50"/>
        <w:ind w:firstLine="482" w:firstLineChars="150"/>
        <w:rPr>
          <w:rFonts w:ascii="宋体" w:hAnsi="宋体" w:cs="宋体"/>
          <w:b/>
          <w:color w:val="auto"/>
          <w:sz w:val="32"/>
          <w:szCs w:val="32"/>
          <w:highlight w:val="none"/>
        </w:rPr>
      </w:pPr>
    </w:p>
    <w:p w14:paraId="30627665">
      <w:pPr>
        <w:snapToGrid w:val="0"/>
        <w:spacing w:before="120" w:beforeLines="50" w:after="50"/>
        <w:ind w:firstLine="643" w:firstLineChars="200"/>
        <w:rPr>
          <w:rFonts w:ascii="宋体" w:hAnsi="宋体" w:cs="宋体"/>
          <w:b/>
          <w:color w:val="auto"/>
          <w:sz w:val="32"/>
          <w:szCs w:val="32"/>
          <w:highlight w:val="none"/>
        </w:rPr>
      </w:pPr>
      <w:r>
        <w:rPr>
          <w:rFonts w:hint="eastAsia" w:ascii="宋体" w:hAnsi="宋体" w:cs="宋体"/>
          <w:b/>
          <w:color w:val="auto"/>
          <w:sz w:val="32"/>
          <w:szCs w:val="32"/>
          <w:highlight w:val="none"/>
        </w:rPr>
        <w:t xml:space="preserve">项目编号： </w:t>
      </w:r>
    </w:p>
    <w:p w14:paraId="57A1297E">
      <w:pPr>
        <w:snapToGrid w:val="0"/>
        <w:spacing w:before="120" w:beforeLines="50" w:after="50"/>
        <w:ind w:firstLine="482" w:firstLineChars="150"/>
        <w:rPr>
          <w:rFonts w:ascii="宋体" w:hAnsi="宋体" w:cs="宋体"/>
          <w:b/>
          <w:color w:val="auto"/>
          <w:sz w:val="32"/>
          <w:szCs w:val="32"/>
          <w:highlight w:val="none"/>
        </w:rPr>
      </w:pPr>
    </w:p>
    <w:p w14:paraId="51BE210E">
      <w:pPr>
        <w:snapToGrid w:val="0"/>
        <w:spacing w:before="120" w:beforeLines="50" w:after="50"/>
        <w:ind w:firstLine="643" w:firstLineChars="200"/>
        <w:rPr>
          <w:rFonts w:ascii="宋体" w:hAnsi="宋体" w:cs="宋体"/>
          <w:b/>
          <w:color w:val="auto"/>
          <w:sz w:val="32"/>
          <w:szCs w:val="32"/>
          <w:highlight w:val="none"/>
        </w:rPr>
      </w:pPr>
      <w:r>
        <w:rPr>
          <w:rFonts w:hint="eastAsia" w:ascii="宋体" w:hAnsi="宋体" w:cs="宋体"/>
          <w:b/>
          <w:color w:val="auto"/>
          <w:sz w:val="32"/>
          <w:szCs w:val="32"/>
          <w:highlight w:val="none"/>
        </w:rPr>
        <w:t>所竞分标（如有则填写，无分标时填写“无”或者留空）：</w:t>
      </w:r>
    </w:p>
    <w:p w14:paraId="7FDD621A">
      <w:pPr>
        <w:snapToGrid w:val="0"/>
        <w:spacing w:before="120" w:beforeLines="50" w:after="50"/>
        <w:rPr>
          <w:rFonts w:ascii="宋体" w:hAnsi="宋体" w:cs="宋体"/>
          <w:b/>
          <w:color w:val="auto"/>
          <w:sz w:val="32"/>
          <w:szCs w:val="32"/>
          <w:highlight w:val="none"/>
        </w:rPr>
      </w:pPr>
    </w:p>
    <w:p w14:paraId="2D7A4890">
      <w:pPr>
        <w:snapToGrid w:val="0"/>
        <w:spacing w:before="120" w:beforeLines="50" w:after="50"/>
        <w:ind w:firstLine="643" w:firstLineChars="200"/>
        <w:rPr>
          <w:rFonts w:ascii="宋体" w:hAnsi="宋体" w:cs="宋体"/>
          <w:b/>
          <w:color w:val="auto"/>
          <w:sz w:val="32"/>
          <w:szCs w:val="32"/>
          <w:highlight w:val="none"/>
        </w:rPr>
      </w:pPr>
      <w:r>
        <w:rPr>
          <w:rFonts w:hint="eastAsia" w:ascii="宋体" w:hAnsi="宋体" w:cs="宋体"/>
          <w:b/>
          <w:color w:val="auto"/>
          <w:sz w:val="32"/>
          <w:szCs w:val="32"/>
          <w:highlight w:val="none"/>
        </w:rPr>
        <w:t>供应商名称：</w:t>
      </w:r>
    </w:p>
    <w:p w14:paraId="5A8778EC">
      <w:pPr>
        <w:snapToGrid w:val="0"/>
        <w:spacing w:before="120" w:beforeLines="50" w:after="50"/>
        <w:rPr>
          <w:rFonts w:ascii="宋体" w:hAnsi="宋体" w:cs="宋体"/>
          <w:b/>
          <w:color w:val="auto"/>
          <w:sz w:val="32"/>
          <w:szCs w:val="32"/>
          <w:highlight w:val="none"/>
        </w:rPr>
      </w:pPr>
    </w:p>
    <w:p w14:paraId="47EDF80B">
      <w:pPr>
        <w:snapToGrid w:val="0"/>
        <w:spacing w:before="120" w:beforeLines="50" w:after="50"/>
        <w:ind w:firstLine="482" w:firstLineChars="150"/>
        <w:jc w:val="center"/>
        <w:rPr>
          <w:rFonts w:ascii="宋体" w:hAnsi="宋体" w:cs="宋体"/>
          <w:b/>
          <w:color w:val="auto"/>
          <w:sz w:val="32"/>
          <w:szCs w:val="32"/>
          <w:highlight w:val="none"/>
        </w:rPr>
      </w:pPr>
      <w:r>
        <w:rPr>
          <w:rFonts w:hint="eastAsia" w:ascii="宋体" w:hAnsi="宋体" w:cs="宋体"/>
          <w:b/>
          <w:color w:val="auto"/>
          <w:sz w:val="32"/>
          <w:szCs w:val="32"/>
          <w:highlight w:val="none"/>
        </w:rPr>
        <w:t>首次响应文件提交截止时间前不得解密</w:t>
      </w:r>
    </w:p>
    <w:p w14:paraId="66FF3855">
      <w:pPr>
        <w:snapToGrid w:val="0"/>
        <w:spacing w:before="120" w:beforeLines="50" w:after="50"/>
        <w:ind w:firstLine="5461" w:firstLineChars="1700"/>
        <w:jc w:val="center"/>
        <w:rPr>
          <w:rFonts w:ascii="宋体" w:hAnsi="宋体" w:cs="宋体"/>
          <w:b/>
          <w:color w:val="auto"/>
          <w:sz w:val="32"/>
          <w:szCs w:val="32"/>
          <w:highlight w:val="none"/>
        </w:rPr>
      </w:pPr>
    </w:p>
    <w:p w14:paraId="0514AD51">
      <w:pPr>
        <w:snapToGrid w:val="0"/>
        <w:spacing w:before="120" w:beforeLines="50" w:after="50"/>
        <w:ind w:firstLine="645"/>
        <w:jc w:val="center"/>
        <w:rPr>
          <w:rFonts w:ascii="宋体" w:hAnsi="宋体" w:cs="宋体"/>
          <w:b/>
          <w:color w:val="auto"/>
          <w:sz w:val="32"/>
          <w:szCs w:val="32"/>
          <w:highlight w:val="none"/>
        </w:rPr>
      </w:pPr>
      <w:r>
        <w:rPr>
          <w:rFonts w:hint="eastAsia" w:ascii="宋体" w:hAnsi="宋体" w:cs="宋体"/>
          <w:b/>
          <w:color w:val="auto"/>
          <w:sz w:val="32"/>
          <w:szCs w:val="32"/>
          <w:highlight w:val="none"/>
        </w:rPr>
        <w:t>年    月    日</w:t>
      </w:r>
    </w:p>
    <w:p w14:paraId="1671D050">
      <w:pPr>
        <w:rPr>
          <w:rFonts w:ascii="宋体" w:hAnsi="宋体" w:cs="宋体"/>
          <w:color w:val="auto"/>
          <w:highlight w:val="none"/>
        </w:rPr>
        <w:sectPr>
          <w:pgSz w:w="11910" w:h="16840"/>
          <w:pgMar w:top="1340" w:right="1500" w:bottom="280" w:left="1680" w:header="720" w:footer="720" w:gutter="0"/>
          <w:cols w:space="720" w:num="1"/>
        </w:sectPr>
      </w:pPr>
    </w:p>
    <w:p w14:paraId="0F98823A">
      <w:pPr>
        <w:pStyle w:val="4"/>
        <w:jc w:val="center"/>
        <w:rPr>
          <w:rFonts w:ascii="宋体" w:hAnsi="宋体" w:cs="宋体"/>
          <w:bCs w:val="0"/>
          <w:color w:val="auto"/>
          <w:highlight w:val="none"/>
        </w:rPr>
      </w:pPr>
      <w:bookmarkStart w:id="90" w:name="_Toc97909568"/>
      <w:bookmarkStart w:id="91" w:name="_Toc11067"/>
      <w:bookmarkStart w:id="92" w:name="_Toc80205939"/>
      <w:bookmarkStart w:id="93" w:name="_Toc80886943"/>
      <w:bookmarkStart w:id="94" w:name="_Toc12568"/>
      <w:r>
        <w:rPr>
          <w:rFonts w:hint="eastAsia" w:ascii="宋体" w:hAnsi="宋体" w:cs="宋体"/>
          <w:bCs w:val="0"/>
          <w:color w:val="auto"/>
          <w:highlight w:val="none"/>
        </w:rPr>
        <w:t>第二节 资格证明文件格式</w:t>
      </w:r>
      <w:bookmarkEnd w:id="90"/>
      <w:bookmarkEnd w:id="91"/>
      <w:bookmarkEnd w:id="92"/>
      <w:bookmarkEnd w:id="93"/>
      <w:bookmarkEnd w:id="94"/>
    </w:p>
    <w:p w14:paraId="65F8C31D">
      <w:pPr>
        <w:snapToGrid w:val="0"/>
        <w:spacing w:before="120" w:beforeLines="50" w:after="50"/>
        <w:rPr>
          <w:rFonts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全流程电子文件</w:t>
      </w:r>
    </w:p>
    <w:p w14:paraId="69188D0F">
      <w:pPr>
        <w:snapToGrid w:val="0"/>
        <w:spacing w:before="120" w:beforeLines="50" w:after="50"/>
        <w:rPr>
          <w:rFonts w:ascii="宋体" w:hAnsi="宋体" w:cs="宋体"/>
          <w:color w:val="auto"/>
          <w:sz w:val="24"/>
          <w:szCs w:val="20"/>
          <w:highlight w:val="none"/>
        </w:rPr>
      </w:pPr>
    </w:p>
    <w:p w14:paraId="17607AFE">
      <w:pPr>
        <w:snapToGrid w:val="0"/>
        <w:spacing w:before="120" w:beforeLines="50" w:after="50"/>
        <w:rPr>
          <w:rFonts w:ascii="宋体" w:hAnsi="宋体" w:cs="宋体"/>
          <w:color w:val="auto"/>
          <w:sz w:val="24"/>
          <w:szCs w:val="20"/>
          <w:highlight w:val="none"/>
        </w:rPr>
      </w:pPr>
    </w:p>
    <w:p w14:paraId="2126520E">
      <w:pPr>
        <w:snapToGrid w:val="0"/>
        <w:spacing w:before="120" w:beforeLines="50" w:after="50"/>
        <w:jc w:val="center"/>
        <w:rPr>
          <w:rFonts w:ascii="宋体" w:hAnsi="宋体" w:cs="宋体"/>
          <w:b/>
          <w:color w:val="auto"/>
          <w:sz w:val="44"/>
          <w:szCs w:val="44"/>
          <w:highlight w:val="none"/>
        </w:rPr>
      </w:pPr>
      <w:r>
        <w:rPr>
          <w:rFonts w:hint="eastAsia" w:ascii="宋体" w:hAnsi="宋体" w:cs="宋体"/>
          <w:b/>
          <w:color w:val="auto"/>
          <w:sz w:val="44"/>
          <w:szCs w:val="44"/>
          <w:highlight w:val="none"/>
        </w:rPr>
        <w:t>资  格  证  明  文  件（封面）</w:t>
      </w:r>
    </w:p>
    <w:p w14:paraId="04458A94">
      <w:pPr>
        <w:snapToGrid w:val="0"/>
        <w:spacing w:before="120" w:beforeLines="50" w:after="50"/>
        <w:rPr>
          <w:rFonts w:ascii="宋体" w:hAnsi="宋体" w:cs="宋体"/>
          <w:b/>
          <w:color w:val="auto"/>
          <w:sz w:val="24"/>
          <w:szCs w:val="20"/>
          <w:highlight w:val="none"/>
        </w:rPr>
      </w:pPr>
    </w:p>
    <w:p w14:paraId="315415B1">
      <w:pPr>
        <w:snapToGrid w:val="0"/>
        <w:spacing w:before="120" w:beforeLines="50" w:after="50"/>
        <w:rPr>
          <w:rFonts w:ascii="宋体" w:hAnsi="宋体" w:cs="宋体"/>
          <w:b/>
          <w:color w:val="auto"/>
          <w:sz w:val="24"/>
          <w:szCs w:val="20"/>
          <w:highlight w:val="none"/>
        </w:rPr>
      </w:pPr>
    </w:p>
    <w:p w14:paraId="70041233">
      <w:pPr>
        <w:snapToGrid w:val="0"/>
        <w:spacing w:before="120" w:beforeLines="50" w:after="50"/>
        <w:rPr>
          <w:rFonts w:ascii="宋体" w:hAnsi="宋体" w:cs="宋体"/>
          <w:b/>
          <w:color w:val="auto"/>
          <w:sz w:val="24"/>
          <w:szCs w:val="20"/>
          <w:highlight w:val="none"/>
        </w:rPr>
      </w:pPr>
    </w:p>
    <w:p w14:paraId="7049BE22">
      <w:pPr>
        <w:snapToGrid w:val="0"/>
        <w:spacing w:before="120" w:beforeLines="50" w:after="50"/>
        <w:rPr>
          <w:rFonts w:ascii="宋体" w:hAnsi="宋体" w:cs="宋体"/>
          <w:b/>
          <w:color w:val="auto"/>
          <w:sz w:val="24"/>
          <w:szCs w:val="20"/>
          <w:highlight w:val="none"/>
        </w:rPr>
      </w:pPr>
    </w:p>
    <w:p w14:paraId="2EEC82EF">
      <w:pPr>
        <w:snapToGrid w:val="0"/>
        <w:spacing w:before="120" w:beforeLines="50" w:after="50"/>
        <w:rPr>
          <w:rFonts w:ascii="宋体" w:hAnsi="宋体" w:cs="宋体"/>
          <w:b/>
          <w:color w:val="auto"/>
          <w:sz w:val="24"/>
          <w:szCs w:val="20"/>
          <w:highlight w:val="none"/>
        </w:rPr>
      </w:pPr>
    </w:p>
    <w:p w14:paraId="2868F3BD">
      <w:pPr>
        <w:snapToGrid w:val="0"/>
        <w:spacing w:before="120" w:beforeLines="50" w:after="50"/>
        <w:ind w:firstLine="643" w:firstLineChars="200"/>
        <w:rPr>
          <w:rFonts w:ascii="宋体" w:hAnsi="宋体" w:cs="宋体"/>
          <w:b/>
          <w:color w:val="auto"/>
          <w:sz w:val="32"/>
          <w:szCs w:val="32"/>
          <w:highlight w:val="none"/>
        </w:rPr>
      </w:pPr>
      <w:r>
        <w:rPr>
          <w:rFonts w:hint="eastAsia" w:ascii="宋体" w:hAnsi="宋体" w:cs="宋体"/>
          <w:b/>
          <w:color w:val="auto"/>
          <w:sz w:val="32"/>
          <w:szCs w:val="32"/>
          <w:highlight w:val="none"/>
        </w:rPr>
        <w:t xml:space="preserve">项目名称： </w:t>
      </w:r>
    </w:p>
    <w:p w14:paraId="751B0181">
      <w:pPr>
        <w:snapToGrid w:val="0"/>
        <w:spacing w:before="120" w:beforeLines="50" w:after="50"/>
        <w:ind w:firstLine="723" w:firstLineChars="225"/>
        <w:rPr>
          <w:rFonts w:ascii="宋体" w:hAnsi="宋体" w:cs="宋体"/>
          <w:b/>
          <w:color w:val="auto"/>
          <w:sz w:val="32"/>
          <w:szCs w:val="32"/>
          <w:highlight w:val="none"/>
        </w:rPr>
      </w:pPr>
    </w:p>
    <w:p w14:paraId="1E40212E">
      <w:pPr>
        <w:snapToGrid w:val="0"/>
        <w:spacing w:before="120" w:beforeLines="50" w:after="50"/>
        <w:ind w:firstLine="723" w:firstLineChars="225"/>
        <w:rPr>
          <w:rFonts w:ascii="宋体" w:hAnsi="宋体" w:cs="宋体"/>
          <w:b/>
          <w:color w:val="auto"/>
          <w:sz w:val="32"/>
          <w:szCs w:val="32"/>
          <w:highlight w:val="none"/>
        </w:rPr>
      </w:pPr>
      <w:r>
        <w:rPr>
          <w:rFonts w:hint="eastAsia" w:ascii="宋体" w:hAnsi="宋体" w:cs="宋体"/>
          <w:b/>
          <w:color w:val="auto"/>
          <w:sz w:val="32"/>
          <w:szCs w:val="32"/>
          <w:highlight w:val="none"/>
        </w:rPr>
        <w:t xml:space="preserve">项目编号： </w:t>
      </w:r>
    </w:p>
    <w:p w14:paraId="34CCF327">
      <w:pPr>
        <w:snapToGrid w:val="0"/>
        <w:spacing w:before="120" w:beforeLines="50" w:after="50"/>
        <w:ind w:firstLine="723" w:firstLineChars="225"/>
        <w:rPr>
          <w:rFonts w:ascii="宋体" w:hAnsi="宋体" w:cs="宋体"/>
          <w:b/>
          <w:color w:val="auto"/>
          <w:sz w:val="32"/>
          <w:szCs w:val="32"/>
          <w:highlight w:val="none"/>
        </w:rPr>
      </w:pPr>
      <w:r>
        <w:rPr>
          <w:rFonts w:hint="eastAsia" w:ascii="宋体" w:hAnsi="宋体" w:cs="宋体"/>
          <w:b/>
          <w:color w:val="auto"/>
          <w:sz w:val="32"/>
          <w:szCs w:val="32"/>
          <w:highlight w:val="none"/>
        </w:rPr>
        <w:t xml:space="preserve"> </w:t>
      </w:r>
    </w:p>
    <w:p w14:paraId="769785C8">
      <w:pPr>
        <w:snapToGrid w:val="0"/>
        <w:spacing w:before="120" w:beforeLines="50" w:after="50"/>
        <w:ind w:firstLine="723" w:firstLineChars="225"/>
        <w:rPr>
          <w:rFonts w:ascii="宋体" w:hAnsi="宋体" w:cs="宋体"/>
          <w:b/>
          <w:color w:val="auto"/>
          <w:sz w:val="32"/>
          <w:szCs w:val="32"/>
          <w:highlight w:val="none"/>
        </w:rPr>
      </w:pPr>
      <w:r>
        <w:rPr>
          <w:rFonts w:hint="eastAsia" w:ascii="宋体" w:hAnsi="宋体" w:cs="宋体"/>
          <w:b/>
          <w:color w:val="auto"/>
          <w:sz w:val="32"/>
          <w:szCs w:val="32"/>
          <w:highlight w:val="none"/>
        </w:rPr>
        <w:t>所竞分标（如有则填写，无分标时填写“无”或者留空）：</w:t>
      </w:r>
    </w:p>
    <w:p w14:paraId="576615DA">
      <w:pPr>
        <w:snapToGrid w:val="0"/>
        <w:spacing w:before="120" w:beforeLines="50" w:after="50"/>
        <w:ind w:firstLine="723" w:firstLineChars="225"/>
        <w:rPr>
          <w:rFonts w:ascii="宋体" w:hAnsi="宋体" w:cs="宋体"/>
          <w:b/>
          <w:color w:val="auto"/>
          <w:sz w:val="32"/>
          <w:szCs w:val="32"/>
          <w:highlight w:val="none"/>
        </w:rPr>
      </w:pPr>
    </w:p>
    <w:p w14:paraId="150CD7B2">
      <w:pPr>
        <w:pStyle w:val="8"/>
        <w:snapToGrid w:val="0"/>
        <w:spacing w:before="50" w:after="50"/>
        <w:ind w:firstLine="723" w:firstLineChars="225"/>
        <w:rPr>
          <w:rFonts w:ascii="宋体" w:hAnsi="宋体" w:cs="宋体"/>
          <w:b/>
          <w:color w:val="auto"/>
          <w:sz w:val="32"/>
          <w:szCs w:val="32"/>
          <w:highlight w:val="none"/>
        </w:rPr>
      </w:pPr>
      <w:r>
        <w:rPr>
          <w:rFonts w:hint="eastAsia" w:ascii="宋体" w:hAnsi="宋体" w:cs="宋体"/>
          <w:b/>
          <w:color w:val="auto"/>
          <w:sz w:val="32"/>
          <w:szCs w:val="32"/>
          <w:highlight w:val="none"/>
        </w:rPr>
        <w:t>供应商名称：</w:t>
      </w:r>
    </w:p>
    <w:p w14:paraId="15BAE4AA">
      <w:pPr>
        <w:pStyle w:val="8"/>
        <w:snapToGrid w:val="0"/>
        <w:spacing w:before="50" w:after="50"/>
        <w:ind w:firstLine="723" w:firstLineChars="225"/>
        <w:rPr>
          <w:rFonts w:ascii="宋体" w:hAnsi="宋体" w:cs="宋体"/>
          <w:b/>
          <w:color w:val="auto"/>
          <w:sz w:val="32"/>
          <w:szCs w:val="32"/>
          <w:highlight w:val="none"/>
        </w:rPr>
      </w:pPr>
    </w:p>
    <w:p w14:paraId="7E36A693">
      <w:pPr>
        <w:pStyle w:val="8"/>
        <w:snapToGrid w:val="0"/>
        <w:spacing w:before="50" w:after="50"/>
        <w:ind w:firstLine="723" w:firstLineChars="225"/>
        <w:rPr>
          <w:rFonts w:ascii="宋体" w:hAnsi="宋体" w:cs="宋体"/>
          <w:b/>
          <w:color w:val="auto"/>
          <w:sz w:val="32"/>
          <w:szCs w:val="32"/>
          <w:highlight w:val="none"/>
        </w:rPr>
      </w:pPr>
    </w:p>
    <w:p w14:paraId="0470E226">
      <w:pPr>
        <w:pStyle w:val="8"/>
        <w:snapToGrid w:val="0"/>
        <w:spacing w:before="50" w:after="50"/>
        <w:ind w:firstLine="723" w:firstLineChars="225"/>
        <w:rPr>
          <w:rFonts w:ascii="宋体" w:hAnsi="宋体" w:cs="宋体"/>
          <w:b/>
          <w:color w:val="auto"/>
          <w:sz w:val="32"/>
          <w:szCs w:val="32"/>
          <w:highlight w:val="none"/>
        </w:rPr>
      </w:pPr>
    </w:p>
    <w:p w14:paraId="72CCBC6D">
      <w:pPr>
        <w:pStyle w:val="8"/>
        <w:snapToGrid w:val="0"/>
        <w:spacing w:before="50" w:after="50"/>
        <w:ind w:firstLine="1285" w:firstLineChars="400"/>
        <w:rPr>
          <w:rFonts w:ascii="宋体" w:hAnsi="宋体" w:cs="宋体"/>
          <w:b/>
          <w:color w:val="auto"/>
          <w:sz w:val="32"/>
          <w:szCs w:val="32"/>
          <w:highlight w:val="none"/>
        </w:rPr>
      </w:pPr>
    </w:p>
    <w:p w14:paraId="78AACAF8">
      <w:pPr>
        <w:snapToGrid w:val="0"/>
        <w:spacing w:before="120" w:beforeLines="50" w:after="50"/>
        <w:jc w:val="center"/>
        <w:rPr>
          <w:rFonts w:ascii="宋体" w:hAnsi="宋体" w:cs="宋体"/>
          <w:b/>
          <w:color w:val="auto"/>
          <w:sz w:val="32"/>
          <w:szCs w:val="32"/>
          <w:highlight w:val="none"/>
        </w:rPr>
      </w:pPr>
      <w:r>
        <w:rPr>
          <w:rFonts w:hint="eastAsia" w:ascii="宋体" w:hAnsi="宋体" w:cs="宋体"/>
          <w:b/>
          <w:color w:val="auto"/>
          <w:sz w:val="32"/>
          <w:szCs w:val="32"/>
          <w:highlight w:val="none"/>
        </w:rPr>
        <w:t>年    月    日</w:t>
      </w:r>
    </w:p>
    <w:p w14:paraId="3F63F1B2">
      <w:pPr>
        <w:snapToGrid w:val="0"/>
        <w:spacing w:before="120" w:beforeLines="50" w:after="50" w:line="360" w:lineRule="auto"/>
        <w:jc w:val="left"/>
        <w:rPr>
          <w:rFonts w:ascii="宋体" w:hAnsi="宋体" w:cs="宋体"/>
          <w:b/>
          <w:bCs/>
          <w:color w:val="auto"/>
          <w:sz w:val="32"/>
          <w:szCs w:val="32"/>
          <w:highlight w:val="none"/>
        </w:rPr>
      </w:pPr>
      <w:r>
        <w:rPr>
          <w:rFonts w:hint="eastAsia" w:ascii="宋体" w:hAnsi="宋体" w:cs="宋体"/>
          <w:b/>
          <w:color w:val="auto"/>
          <w:sz w:val="24"/>
          <w:highlight w:val="none"/>
        </w:rPr>
        <w:br w:type="page"/>
      </w:r>
      <w:r>
        <w:rPr>
          <w:rFonts w:hint="eastAsia" w:ascii="宋体" w:hAnsi="宋体" w:cs="宋体"/>
          <w:b/>
          <w:bCs/>
          <w:color w:val="auto"/>
          <w:sz w:val="32"/>
          <w:szCs w:val="32"/>
          <w:highlight w:val="none"/>
        </w:rPr>
        <w:t xml:space="preserve"> </w:t>
      </w:r>
    </w:p>
    <w:p w14:paraId="2AB04901">
      <w:pPr>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资格证明文件目录</w:t>
      </w:r>
    </w:p>
    <w:p w14:paraId="58A8DDF0">
      <w:pPr>
        <w:snapToGrid w:val="0"/>
        <w:spacing w:line="360" w:lineRule="auto"/>
        <w:rPr>
          <w:rFonts w:ascii="宋体" w:hAnsi="宋体" w:cs="宋体"/>
          <w:color w:val="auto"/>
          <w:kern w:val="0"/>
          <w:sz w:val="24"/>
          <w:highlight w:val="none"/>
        </w:rPr>
      </w:pPr>
    </w:p>
    <w:p w14:paraId="56D6D7ED">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一、</w:t>
      </w:r>
      <w:r>
        <w:rPr>
          <w:rFonts w:hint="eastAsia" w:ascii="宋体" w:hAnsi="宋体" w:cs="宋体"/>
          <w:color w:val="auto"/>
          <w:sz w:val="24"/>
          <w:highlight w:val="none"/>
        </w:rPr>
        <w:t>营业执照(或事业法人登记证或其他工商等登记证明材料）复印件（供应商为自然人的，须提供</w:t>
      </w:r>
      <w:r>
        <w:rPr>
          <w:rFonts w:hint="eastAsia" w:ascii="宋体" w:hAnsi="宋体" w:cs="宋体"/>
          <w:color w:val="auto"/>
          <w:kern w:val="0"/>
          <w:sz w:val="24"/>
          <w:highlight w:val="none"/>
        </w:rPr>
        <w:t>自然人的身份证明</w:t>
      </w:r>
      <w:r>
        <w:rPr>
          <w:rFonts w:hint="eastAsia" w:ascii="宋体" w:hAnsi="宋体" w:cs="宋体"/>
          <w:color w:val="auto"/>
          <w:sz w:val="24"/>
          <w:highlight w:val="none"/>
        </w:rPr>
        <w:t>）</w:t>
      </w:r>
      <w:r>
        <w:rPr>
          <w:rFonts w:hint="eastAsia" w:ascii="宋体" w:hAnsi="宋体" w:cs="宋体"/>
          <w:color w:val="auto"/>
          <w:kern w:val="0"/>
          <w:sz w:val="24"/>
          <w:highlight w:val="none"/>
        </w:rPr>
        <w:t>…………………………………………（页码）</w:t>
      </w:r>
    </w:p>
    <w:p w14:paraId="3D368849">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二、符合参与政府采购活动的资格条件依法缴纳税收、社会保障资金等方面的材料…………………………………………………………………………………（页码）</w:t>
      </w:r>
    </w:p>
    <w:p w14:paraId="52C77402">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三、财务状况报告方面的材料…………………………………………………（页码）</w:t>
      </w:r>
    </w:p>
    <w:p w14:paraId="4F4B163F">
      <w:pPr>
        <w:snapToGrid w:val="0"/>
        <w:spacing w:line="440" w:lineRule="exact"/>
        <w:rPr>
          <w:rFonts w:ascii="宋体" w:hAnsi="宋体" w:cs="宋体"/>
          <w:color w:val="auto"/>
          <w:kern w:val="0"/>
          <w:sz w:val="24"/>
          <w:highlight w:val="none"/>
        </w:rPr>
      </w:pPr>
      <w:r>
        <w:rPr>
          <w:rFonts w:hint="eastAsia" w:ascii="宋体" w:hAnsi="宋体" w:cs="宋体"/>
          <w:color w:val="auto"/>
          <w:sz w:val="24"/>
          <w:highlight w:val="none"/>
        </w:rPr>
        <w:t>四、供应商直接控股股东信息</w:t>
      </w:r>
      <w:r>
        <w:rPr>
          <w:rFonts w:hint="eastAsia" w:ascii="宋体" w:hAnsi="宋体" w:cs="宋体"/>
          <w:color w:val="auto"/>
          <w:kern w:val="0"/>
          <w:sz w:val="24"/>
          <w:highlight w:val="none"/>
        </w:rPr>
        <w:t>…………………………………………………（页码）</w:t>
      </w:r>
    </w:p>
    <w:p w14:paraId="1D368815">
      <w:pPr>
        <w:snapToGrid w:val="0"/>
        <w:spacing w:line="440" w:lineRule="exact"/>
        <w:rPr>
          <w:rFonts w:ascii="宋体" w:hAnsi="宋体" w:cs="宋体"/>
          <w:color w:val="auto"/>
          <w:kern w:val="0"/>
          <w:sz w:val="24"/>
          <w:highlight w:val="none"/>
        </w:rPr>
      </w:pPr>
      <w:r>
        <w:rPr>
          <w:rFonts w:hint="eastAsia" w:ascii="宋体" w:hAnsi="宋体" w:cs="宋体"/>
          <w:color w:val="auto"/>
          <w:sz w:val="24"/>
          <w:highlight w:val="none"/>
        </w:rPr>
        <w:t>五、供应商直接</w:t>
      </w:r>
      <w:r>
        <w:rPr>
          <w:rFonts w:hint="eastAsia" w:ascii="宋体" w:hAnsi="宋体" w:cs="宋体"/>
          <w:color w:val="auto"/>
          <w:sz w:val="24"/>
          <w:highlight w:val="none"/>
          <w:lang w:val="en-US" w:eastAsia="zh-CN"/>
        </w:rPr>
        <w:t>管理</w:t>
      </w:r>
      <w:r>
        <w:rPr>
          <w:rFonts w:hint="eastAsia" w:ascii="宋体" w:hAnsi="宋体" w:cs="宋体"/>
          <w:color w:val="auto"/>
          <w:sz w:val="24"/>
          <w:highlight w:val="none"/>
        </w:rPr>
        <w:t>关系信息表</w:t>
      </w:r>
      <w:r>
        <w:rPr>
          <w:rFonts w:hint="eastAsia" w:ascii="宋体" w:hAnsi="宋体" w:cs="宋体"/>
          <w:color w:val="auto"/>
          <w:kern w:val="0"/>
          <w:sz w:val="24"/>
          <w:highlight w:val="none"/>
        </w:rPr>
        <w:t>………………………………………………（页码）</w:t>
      </w:r>
    </w:p>
    <w:p w14:paraId="48AE9B72">
      <w:pPr>
        <w:snapToGrid w:val="0"/>
        <w:spacing w:line="440" w:lineRule="exact"/>
        <w:rPr>
          <w:rFonts w:hint="eastAsia" w:ascii="宋体" w:hAnsi="宋体" w:cs="宋体"/>
          <w:color w:val="auto"/>
          <w:kern w:val="0"/>
          <w:sz w:val="24"/>
          <w:highlight w:val="none"/>
        </w:rPr>
      </w:pPr>
      <w:r>
        <w:rPr>
          <w:rFonts w:hint="eastAsia" w:ascii="宋体" w:hAnsi="宋体" w:cs="宋体"/>
          <w:color w:val="auto"/>
          <w:kern w:val="0"/>
          <w:sz w:val="24"/>
          <w:highlight w:val="none"/>
        </w:rPr>
        <w:t>六、资格声明函…………………………………………………………………（页码）</w:t>
      </w:r>
    </w:p>
    <w:p w14:paraId="5E534617">
      <w:pPr>
        <w:pStyle w:val="22"/>
        <w:spacing w:line="440" w:lineRule="exact"/>
        <w:rPr>
          <w:color w:val="auto"/>
          <w:highlight w:val="none"/>
        </w:rPr>
      </w:pPr>
      <w:r>
        <w:rPr>
          <w:rFonts w:hint="eastAsia" w:ascii="宋体" w:hAnsi="宋体" w:cs="宋体"/>
          <w:color w:val="auto"/>
          <w:sz w:val="24"/>
          <w:highlight w:val="none"/>
          <w:lang w:val="en-US" w:eastAsia="zh-CN"/>
        </w:rPr>
        <w:t>七、</w:t>
      </w:r>
      <w:r>
        <w:rPr>
          <w:rFonts w:hint="eastAsia" w:ascii="宋体" w:hAnsi="宋体" w:cs="宋体"/>
          <w:color w:val="auto"/>
          <w:sz w:val="24"/>
          <w:highlight w:val="none"/>
        </w:rPr>
        <w:t>磋商保证金提交凭证…………………………………………………………（页码）</w:t>
      </w:r>
    </w:p>
    <w:p w14:paraId="767D4501">
      <w:pPr>
        <w:snapToGrid w:val="0"/>
        <w:spacing w:line="440" w:lineRule="exact"/>
        <w:rPr>
          <w:rFonts w:ascii="宋体" w:hAnsi="宋体" w:cs="宋体"/>
          <w:color w:val="auto"/>
          <w:kern w:val="0"/>
          <w:sz w:val="24"/>
          <w:highlight w:val="none"/>
        </w:rPr>
      </w:pPr>
      <w:r>
        <w:rPr>
          <w:rFonts w:hint="eastAsia" w:ascii="宋体" w:hAnsi="宋体" w:cs="宋体"/>
          <w:color w:val="auto"/>
          <w:sz w:val="24"/>
          <w:highlight w:val="none"/>
          <w:lang w:val="en-US" w:eastAsia="zh-CN"/>
        </w:rPr>
        <w:t>八</w:t>
      </w:r>
      <w:r>
        <w:rPr>
          <w:rFonts w:hint="eastAsia" w:ascii="宋体" w:hAnsi="宋体" w:cs="宋体"/>
          <w:color w:val="auto"/>
          <w:sz w:val="24"/>
          <w:highlight w:val="none"/>
        </w:rPr>
        <w:t>、符合特定资格条件（如有）的有关证明材料（复印件）</w:t>
      </w:r>
      <w:r>
        <w:rPr>
          <w:rFonts w:hint="eastAsia" w:ascii="宋体" w:hAnsi="宋体" w:cs="宋体"/>
          <w:color w:val="auto"/>
          <w:kern w:val="0"/>
          <w:sz w:val="24"/>
          <w:highlight w:val="none"/>
        </w:rPr>
        <w:t>………………（页码）</w:t>
      </w:r>
    </w:p>
    <w:p w14:paraId="506A3458">
      <w:pPr>
        <w:pStyle w:val="60"/>
        <w:rPr>
          <w:color w:val="auto"/>
          <w:highlight w:val="none"/>
        </w:rPr>
      </w:pPr>
    </w:p>
    <w:p w14:paraId="45661A21">
      <w:pPr>
        <w:spacing w:line="360" w:lineRule="auto"/>
        <w:rPr>
          <w:rFonts w:ascii="宋体" w:hAnsi="宋体" w:cs="宋体"/>
          <w:b/>
          <w:bCs/>
          <w:color w:val="auto"/>
          <w:sz w:val="24"/>
          <w:highlight w:val="none"/>
        </w:rPr>
      </w:pPr>
    </w:p>
    <w:p w14:paraId="2A3BFE39">
      <w:pPr>
        <w:spacing w:line="360" w:lineRule="auto"/>
        <w:rPr>
          <w:rFonts w:ascii="宋体" w:hAnsi="宋体" w:cs="宋体"/>
          <w:b/>
          <w:bCs/>
          <w:color w:val="auto"/>
          <w:sz w:val="24"/>
          <w:highlight w:val="none"/>
        </w:rPr>
      </w:pPr>
      <w:r>
        <w:rPr>
          <w:rFonts w:hint="eastAsia" w:ascii="宋体" w:hAnsi="宋体" w:cs="宋体"/>
          <w:b/>
          <w:bCs/>
          <w:color w:val="auto"/>
          <w:sz w:val="24"/>
          <w:highlight w:val="none"/>
        </w:rPr>
        <w:t>注：以上目录是编制供应商响应文件的基本格式要求，各供应商可根据自身情况进一步细化。</w:t>
      </w:r>
    </w:p>
    <w:p w14:paraId="3B9D86AD">
      <w:pPr>
        <w:snapToGrid w:val="0"/>
        <w:spacing w:before="120" w:beforeLines="50" w:after="50" w:line="360" w:lineRule="auto"/>
        <w:ind w:left="142" w:firstLine="420" w:firstLineChars="200"/>
        <w:jc w:val="left"/>
        <w:rPr>
          <w:rFonts w:ascii="宋体" w:hAnsi="宋体" w:cs="宋体"/>
          <w:color w:val="auto"/>
          <w:szCs w:val="21"/>
          <w:highlight w:val="none"/>
        </w:rPr>
      </w:pPr>
    </w:p>
    <w:p w14:paraId="749BE590">
      <w:pPr>
        <w:spacing w:line="300" w:lineRule="auto"/>
        <w:rPr>
          <w:rFonts w:ascii="宋体" w:hAnsi="宋体" w:cs="宋体"/>
          <w:color w:val="auto"/>
          <w:szCs w:val="21"/>
          <w:highlight w:val="none"/>
        </w:rPr>
      </w:pPr>
    </w:p>
    <w:p w14:paraId="4515FF80">
      <w:pPr>
        <w:spacing w:line="300" w:lineRule="auto"/>
        <w:rPr>
          <w:rFonts w:ascii="宋体" w:hAnsi="宋体" w:cs="宋体"/>
          <w:color w:val="auto"/>
          <w:szCs w:val="21"/>
          <w:highlight w:val="none"/>
        </w:rPr>
      </w:pPr>
    </w:p>
    <w:p w14:paraId="65186849">
      <w:pPr>
        <w:spacing w:line="300" w:lineRule="auto"/>
        <w:rPr>
          <w:rFonts w:ascii="宋体" w:hAnsi="宋体" w:cs="宋体"/>
          <w:color w:val="auto"/>
          <w:szCs w:val="21"/>
          <w:highlight w:val="none"/>
        </w:rPr>
      </w:pPr>
    </w:p>
    <w:p w14:paraId="2BF5E8E8">
      <w:pPr>
        <w:spacing w:line="300" w:lineRule="auto"/>
        <w:rPr>
          <w:rFonts w:ascii="宋体" w:hAnsi="宋体" w:cs="宋体"/>
          <w:color w:val="auto"/>
          <w:szCs w:val="21"/>
          <w:highlight w:val="none"/>
        </w:rPr>
      </w:pPr>
    </w:p>
    <w:p w14:paraId="1711087C">
      <w:pPr>
        <w:spacing w:line="300" w:lineRule="auto"/>
        <w:rPr>
          <w:rFonts w:ascii="宋体" w:hAnsi="宋体" w:cs="宋体"/>
          <w:color w:val="auto"/>
          <w:szCs w:val="21"/>
          <w:highlight w:val="none"/>
        </w:rPr>
      </w:pPr>
    </w:p>
    <w:p w14:paraId="00F104BA">
      <w:pPr>
        <w:spacing w:line="300" w:lineRule="auto"/>
        <w:rPr>
          <w:rFonts w:ascii="宋体" w:hAnsi="宋体" w:cs="宋体"/>
          <w:color w:val="auto"/>
          <w:szCs w:val="21"/>
          <w:highlight w:val="none"/>
        </w:rPr>
      </w:pPr>
    </w:p>
    <w:p w14:paraId="5547976D">
      <w:pPr>
        <w:spacing w:line="300" w:lineRule="auto"/>
        <w:rPr>
          <w:rFonts w:ascii="宋体" w:hAnsi="宋体" w:cs="宋体"/>
          <w:color w:val="auto"/>
          <w:szCs w:val="21"/>
          <w:highlight w:val="none"/>
        </w:rPr>
      </w:pPr>
    </w:p>
    <w:p w14:paraId="5D373B1E">
      <w:pPr>
        <w:spacing w:line="300" w:lineRule="auto"/>
        <w:rPr>
          <w:rFonts w:ascii="宋体" w:hAnsi="宋体" w:cs="宋体"/>
          <w:color w:val="auto"/>
          <w:szCs w:val="21"/>
          <w:highlight w:val="none"/>
        </w:rPr>
      </w:pPr>
    </w:p>
    <w:p w14:paraId="05A39DBC">
      <w:pPr>
        <w:spacing w:line="300" w:lineRule="auto"/>
        <w:rPr>
          <w:rFonts w:ascii="宋体" w:hAnsi="宋体" w:cs="宋体"/>
          <w:color w:val="auto"/>
          <w:szCs w:val="21"/>
          <w:highlight w:val="none"/>
        </w:rPr>
      </w:pPr>
    </w:p>
    <w:p w14:paraId="11FCA8A0">
      <w:pPr>
        <w:pStyle w:val="19"/>
        <w:spacing w:line="360" w:lineRule="auto"/>
        <w:ind w:firstLine="400" w:firstLineChars="200"/>
        <w:rPr>
          <w:rFonts w:hAnsi="宋体" w:cs="宋体"/>
          <w:b/>
          <w:color w:val="auto"/>
          <w:sz w:val="30"/>
          <w:szCs w:val="30"/>
          <w:highlight w:val="none"/>
        </w:rPr>
      </w:pPr>
      <w:r>
        <w:rPr>
          <w:rFonts w:hint="eastAsia" w:hAnsi="宋体" w:cs="宋体"/>
          <w:color w:val="auto"/>
          <w:highlight w:val="none"/>
        </w:rPr>
        <w:br w:type="page"/>
      </w:r>
      <w:r>
        <w:rPr>
          <w:rFonts w:hint="eastAsia" w:hAnsi="宋体" w:cs="宋体"/>
          <w:color w:val="auto"/>
          <w:highlight w:val="none"/>
        </w:rPr>
        <w:t xml:space="preserve">   </w:t>
      </w:r>
      <w:r>
        <w:rPr>
          <w:rFonts w:hint="eastAsia" w:hAnsi="宋体" w:cs="宋体"/>
          <w:b/>
          <w:color w:val="auto"/>
          <w:sz w:val="30"/>
          <w:szCs w:val="30"/>
          <w:highlight w:val="none"/>
        </w:rPr>
        <w:t>一、营业执照(或事业法人登记证或其他工商等登记证明材料）复印件（供应商为自然人的，提供自然人的身份证明）</w:t>
      </w:r>
    </w:p>
    <w:p w14:paraId="471920F7">
      <w:pPr>
        <w:pStyle w:val="19"/>
        <w:spacing w:line="360" w:lineRule="auto"/>
        <w:ind w:firstLine="602" w:firstLineChars="200"/>
        <w:rPr>
          <w:rFonts w:hAnsi="宋体" w:cs="宋体"/>
          <w:b/>
          <w:color w:val="auto"/>
          <w:sz w:val="30"/>
          <w:szCs w:val="30"/>
          <w:highlight w:val="none"/>
        </w:rPr>
      </w:pPr>
    </w:p>
    <w:p w14:paraId="5D41B10D">
      <w:pPr>
        <w:pStyle w:val="19"/>
        <w:spacing w:line="360" w:lineRule="auto"/>
        <w:ind w:firstLine="602" w:firstLineChars="200"/>
        <w:rPr>
          <w:rFonts w:hAnsi="宋体" w:cs="宋体"/>
          <w:b/>
          <w:color w:val="auto"/>
          <w:sz w:val="30"/>
          <w:szCs w:val="30"/>
          <w:highlight w:val="none"/>
        </w:rPr>
      </w:pPr>
    </w:p>
    <w:p w14:paraId="7B833E05">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6F2A00D1">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5F591DA4">
      <w:pPr>
        <w:snapToGrid w:val="0"/>
        <w:spacing w:before="120" w:beforeLines="50" w:after="50"/>
        <w:rPr>
          <w:rFonts w:ascii="宋体" w:hAnsi="宋体" w:cs="宋体"/>
          <w:color w:val="auto"/>
          <w:sz w:val="24"/>
          <w:szCs w:val="20"/>
          <w:highlight w:val="none"/>
        </w:rPr>
      </w:pPr>
    </w:p>
    <w:p w14:paraId="087EE0F2">
      <w:pPr>
        <w:pStyle w:val="19"/>
        <w:spacing w:line="360" w:lineRule="auto"/>
        <w:ind w:firstLine="602" w:firstLineChars="200"/>
        <w:rPr>
          <w:rFonts w:hint="eastAsia" w:hAnsi="宋体" w:cs="宋体"/>
          <w:b/>
          <w:color w:val="auto"/>
          <w:sz w:val="30"/>
          <w:szCs w:val="30"/>
          <w:highlight w:val="none"/>
        </w:rPr>
      </w:pPr>
    </w:p>
    <w:p w14:paraId="34F38DA2">
      <w:pPr>
        <w:pStyle w:val="19"/>
        <w:spacing w:line="360" w:lineRule="auto"/>
        <w:ind w:firstLine="602" w:firstLineChars="200"/>
        <w:rPr>
          <w:rFonts w:hint="eastAsia" w:hAnsi="宋体" w:cs="宋体"/>
          <w:b/>
          <w:color w:val="auto"/>
          <w:sz w:val="30"/>
          <w:szCs w:val="30"/>
          <w:highlight w:val="none"/>
        </w:rPr>
      </w:pPr>
    </w:p>
    <w:p w14:paraId="2D0D105D">
      <w:pPr>
        <w:pStyle w:val="19"/>
        <w:spacing w:line="360" w:lineRule="auto"/>
        <w:ind w:firstLine="602" w:firstLineChars="200"/>
        <w:rPr>
          <w:rFonts w:hint="eastAsia" w:hAnsi="宋体" w:cs="宋体"/>
          <w:b/>
          <w:color w:val="auto"/>
          <w:sz w:val="30"/>
          <w:szCs w:val="30"/>
          <w:highlight w:val="none"/>
        </w:rPr>
      </w:pPr>
    </w:p>
    <w:p w14:paraId="7F17EC0F">
      <w:pPr>
        <w:pStyle w:val="19"/>
        <w:spacing w:line="360" w:lineRule="auto"/>
        <w:ind w:firstLine="602" w:firstLineChars="200"/>
        <w:rPr>
          <w:rFonts w:hAnsi="宋体" w:cs="宋体"/>
          <w:b/>
          <w:color w:val="auto"/>
          <w:sz w:val="30"/>
          <w:szCs w:val="30"/>
          <w:highlight w:val="none"/>
        </w:rPr>
      </w:pPr>
      <w:r>
        <w:rPr>
          <w:rFonts w:hint="eastAsia" w:hAnsi="宋体" w:cs="宋体"/>
          <w:b/>
          <w:color w:val="auto"/>
          <w:sz w:val="30"/>
          <w:szCs w:val="30"/>
          <w:highlight w:val="none"/>
        </w:rPr>
        <w:t>二、符合参与政府采购活动的资格条件依法缴纳税收、社会保障资金等方面的材料</w:t>
      </w:r>
    </w:p>
    <w:p w14:paraId="3BDF0EAD">
      <w:pPr>
        <w:spacing w:line="300" w:lineRule="auto"/>
        <w:rPr>
          <w:rFonts w:ascii="宋体" w:hAnsi="宋体" w:cs="宋体"/>
          <w:color w:val="auto"/>
          <w:szCs w:val="21"/>
          <w:highlight w:val="none"/>
        </w:rPr>
      </w:pPr>
    </w:p>
    <w:p w14:paraId="0E38AB13">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03F07D60">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1D16F98B">
      <w:pPr>
        <w:spacing w:line="300" w:lineRule="auto"/>
        <w:rPr>
          <w:rFonts w:ascii="宋体" w:hAnsi="宋体" w:cs="宋体"/>
          <w:color w:val="auto"/>
          <w:szCs w:val="21"/>
          <w:highlight w:val="none"/>
        </w:rPr>
      </w:pPr>
    </w:p>
    <w:p w14:paraId="125FB7C3">
      <w:pPr>
        <w:spacing w:line="300" w:lineRule="auto"/>
        <w:ind w:firstLine="596" w:firstLineChars="198"/>
        <w:rPr>
          <w:rFonts w:hint="eastAsia" w:ascii="宋体" w:hAnsi="宋体" w:cs="宋体"/>
          <w:b/>
          <w:color w:val="auto"/>
          <w:kern w:val="0"/>
          <w:sz w:val="30"/>
          <w:szCs w:val="30"/>
          <w:highlight w:val="none"/>
        </w:rPr>
      </w:pPr>
    </w:p>
    <w:p w14:paraId="0EC71F3E">
      <w:pPr>
        <w:spacing w:line="300" w:lineRule="auto"/>
        <w:ind w:firstLine="596" w:firstLineChars="198"/>
        <w:rPr>
          <w:rFonts w:hint="eastAsia" w:ascii="宋体" w:hAnsi="宋体" w:cs="宋体"/>
          <w:b/>
          <w:color w:val="auto"/>
          <w:kern w:val="0"/>
          <w:sz w:val="30"/>
          <w:szCs w:val="30"/>
          <w:highlight w:val="none"/>
        </w:rPr>
      </w:pPr>
    </w:p>
    <w:p w14:paraId="2E72EB32">
      <w:pPr>
        <w:spacing w:line="300" w:lineRule="auto"/>
        <w:ind w:firstLine="596" w:firstLineChars="198"/>
        <w:rPr>
          <w:rFonts w:hint="eastAsia" w:ascii="宋体" w:hAnsi="宋体" w:cs="宋体"/>
          <w:b/>
          <w:color w:val="auto"/>
          <w:kern w:val="0"/>
          <w:sz w:val="30"/>
          <w:szCs w:val="30"/>
          <w:highlight w:val="none"/>
        </w:rPr>
      </w:pPr>
    </w:p>
    <w:p w14:paraId="4F57866E">
      <w:pPr>
        <w:spacing w:line="300" w:lineRule="auto"/>
        <w:ind w:firstLine="596" w:firstLineChars="198"/>
        <w:rPr>
          <w:rFonts w:ascii="宋体" w:hAnsi="宋体" w:cs="宋体"/>
          <w:b/>
          <w:color w:val="auto"/>
          <w:kern w:val="0"/>
          <w:sz w:val="30"/>
          <w:szCs w:val="30"/>
          <w:highlight w:val="none"/>
        </w:rPr>
      </w:pPr>
      <w:r>
        <w:rPr>
          <w:rFonts w:hint="eastAsia" w:ascii="宋体" w:hAnsi="宋体" w:cs="宋体"/>
          <w:b/>
          <w:color w:val="auto"/>
          <w:kern w:val="0"/>
          <w:sz w:val="30"/>
          <w:szCs w:val="30"/>
          <w:highlight w:val="none"/>
        </w:rPr>
        <w:t>三、财务状况报告方面的材料</w:t>
      </w:r>
    </w:p>
    <w:p w14:paraId="1E7A2A86">
      <w:pPr>
        <w:spacing w:line="300" w:lineRule="auto"/>
        <w:rPr>
          <w:rFonts w:ascii="宋体" w:hAnsi="宋体" w:cs="宋体"/>
          <w:color w:val="auto"/>
          <w:szCs w:val="21"/>
          <w:highlight w:val="none"/>
        </w:rPr>
      </w:pPr>
    </w:p>
    <w:p w14:paraId="1391FEDA">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0CF34621">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19D7B952">
      <w:pPr>
        <w:spacing w:line="320" w:lineRule="exact"/>
        <w:jc w:val="left"/>
        <w:rPr>
          <w:rFonts w:ascii="宋体" w:hAnsi="宋体" w:cs="宋体"/>
          <w:color w:val="auto"/>
          <w:szCs w:val="21"/>
          <w:highlight w:val="none"/>
        </w:rPr>
      </w:pPr>
      <w:r>
        <w:rPr>
          <w:rFonts w:hint="eastAsia" w:ascii="宋体" w:hAnsi="宋体" w:cs="宋体"/>
          <w:color w:val="auto"/>
          <w:szCs w:val="21"/>
          <w:highlight w:val="none"/>
        </w:rPr>
        <w:t xml:space="preserve"> </w:t>
      </w:r>
    </w:p>
    <w:p w14:paraId="7E376A97">
      <w:pPr>
        <w:snapToGrid w:val="0"/>
        <w:spacing w:before="120" w:beforeLines="50" w:after="50" w:line="360" w:lineRule="auto"/>
        <w:jc w:val="center"/>
        <w:rPr>
          <w:rFonts w:ascii="宋体" w:hAnsi="宋体" w:cs="宋体"/>
          <w:b/>
          <w:color w:val="auto"/>
          <w:sz w:val="24"/>
          <w:highlight w:val="none"/>
        </w:rPr>
      </w:pPr>
    </w:p>
    <w:p w14:paraId="5281148B">
      <w:pPr>
        <w:pStyle w:val="26"/>
        <w:ind w:left="840" w:hanging="420"/>
        <w:rPr>
          <w:rFonts w:ascii="宋体" w:hAnsi="宋体" w:cs="宋体"/>
          <w:color w:val="auto"/>
          <w:highlight w:val="none"/>
        </w:rPr>
      </w:pPr>
    </w:p>
    <w:p w14:paraId="36C54E92">
      <w:pPr>
        <w:rPr>
          <w:rFonts w:ascii="宋体" w:hAnsi="宋体" w:cs="宋体"/>
          <w:color w:val="auto"/>
          <w:highlight w:val="none"/>
        </w:rPr>
      </w:pPr>
    </w:p>
    <w:p w14:paraId="3C895D7E">
      <w:pPr>
        <w:pStyle w:val="26"/>
        <w:ind w:left="840" w:hanging="420"/>
        <w:rPr>
          <w:rFonts w:ascii="宋体" w:hAnsi="宋体" w:cs="宋体"/>
          <w:color w:val="auto"/>
          <w:highlight w:val="none"/>
        </w:rPr>
      </w:pPr>
    </w:p>
    <w:p w14:paraId="076124AC">
      <w:pPr>
        <w:rPr>
          <w:rFonts w:ascii="宋体" w:hAnsi="宋体" w:cs="宋体"/>
          <w:color w:val="auto"/>
          <w:highlight w:val="none"/>
        </w:rPr>
      </w:pPr>
    </w:p>
    <w:p w14:paraId="06FAC14F">
      <w:pPr>
        <w:pStyle w:val="26"/>
        <w:ind w:left="840" w:hanging="420"/>
        <w:rPr>
          <w:rFonts w:ascii="宋体" w:hAnsi="宋体" w:cs="宋体"/>
          <w:color w:val="auto"/>
          <w:highlight w:val="none"/>
        </w:rPr>
      </w:pPr>
    </w:p>
    <w:p w14:paraId="0640EAAC">
      <w:pPr>
        <w:rPr>
          <w:rFonts w:ascii="宋体" w:hAnsi="宋体" w:cs="宋体"/>
          <w:color w:val="auto"/>
          <w:highlight w:val="none"/>
        </w:rPr>
      </w:pPr>
    </w:p>
    <w:p w14:paraId="1390ED0D">
      <w:pPr>
        <w:pStyle w:val="26"/>
        <w:ind w:left="840" w:hanging="420"/>
        <w:rPr>
          <w:rFonts w:ascii="宋体" w:hAnsi="宋体" w:cs="宋体"/>
          <w:color w:val="auto"/>
          <w:highlight w:val="none"/>
        </w:rPr>
      </w:pPr>
    </w:p>
    <w:p w14:paraId="58DBDB8C">
      <w:pPr>
        <w:rPr>
          <w:rFonts w:ascii="宋体" w:hAnsi="宋体" w:cs="宋体"/>
          <w:color w:val="auto"/>
          <w:highlight w:val="none"/>
        </w:rPr>
      </w:pPr>
    </w:p>
    <w:p w14:paraId="1FEEB094">
      <w:pPr>
        <w:pStyle w:val="26"/>
        <w:ind w:left="840" w:hanging="420"/>
        <w:rPr>
          <w:rFonts w:ascii="宋体" w:hAnsi="宋体" w:cs="宋体"/>
          <w:color w:val="auto"/>
          <w:highlight w:val="none"/>
        </w:rPr>
      </w:pPr>
    </w:p>
    <w:p w14:paraId="121E111B">
      <w:pPr>
        <w:spacing w:line="360" w:lineRule="auto"/>
        <w:ind w:firstLine="596" w:firstLineChars="198"/>
        <w:contextualSpacing/>
        <w:rPr>
          <w:rFonts w:ascii="宋体" w:hAnsi="宋体" w:cs="宋体"/>
          <w:b/>
          <w:color w:val="auto"/>
          <w:kern w:val="0"/>
          <w:sz w:val="30"/>
          <w:szCs w:val="30"/>
          <w:highlight w:val="none"/>
        </w:rPr>
      </w:pPr>
      <w:r>
        <w:rPr>
          <w:rFonts w:hint="eastAsia" w:ascii="宋体" w:hAnsi="宋体" w:cs="宋体"/>
          <w:b/>
          <w:color w:val="auto"/>
          <w:kern w:val="0"/>
          <w:sz w:val="30"/>
          <w:szCs w:val="30"/>
          <w:highlight w:val="none"/>
        </w:rPr>
        <w:t>四、供应商直接控股股东信息</w:t>
      </w:r>
    </w:p>
    <w:p w14:paraId="5AF38591">
      <w:pPr>
        <w:spacing w:line="360" w:lineRule="auto"/>
        <w:contextualSpacing/>
        <w:jc w:val="center"/>
        <w:rPr>
          <w:rFonts w:ascii="宋体" w:hAnsi="宋体" w:cs="宋体"/>
          <w:b/>
          <w:color w:val="auto"/>
          <w:sz w:val="24"/>
          <w:highlight w:val="none"/>
        </w:rPr>
      </w:pPr>
    </w:p>
    <w:tbl>
      <w:tblPr>
        <w:tblStyle w:val="33"/>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6E8A1135">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CA612B6">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5843D08">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15B4336">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19E3693">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1362879">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5838EE29">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2188824">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22FDEEB">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CE02CBE">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09C11E1">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18092E6">
            <w:pPr>
              <w:widowControl/>
              <w:spacing w:line="360" w:lineRule="auto"/>
              <w:contextualSpacing/>
              <w:jc w:val="center"/>
              <w:rPr>
                <w:rFonts w:ascii="宋体" w:hAnsi="宋体" w:cs="宋体"/>
                <w:color w:val="auto"/>
                <w:kern w:val="0"/>
                <w:sz w:val="24"/>
                <w:highlight w:val="none"/>
              </w:rPr>
            </w:pPr>
          </w:p>
        </w:tc>
      </w:tr>
      <w:tr w14:paraId="2651DA5A">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D04F841">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0AFC281">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4480D95">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EE737C0">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CCC6EB6">
            <w:pPr>
              <w:widowControl/>
              <w:spacing w:line="360" w:lineRule="auto"/>
              <w:contextualSpacing/>
              <w:jc w:val="center"/>
              <w:rPr>
                <w:rFonts w:ascii="宋体" w:hAnsi="宋体" w:cs="宋体"/>
                <w:color w:val="auto"/>
                <w:kern w:val="0"/>
                <w:sz w:val="24"/>
                <w:highlight w:val="none"/>
              </w:rPr>
            </w:pPr>
          </w:p>
        </w:tc>
      </w:tr>
      <w:tr w14:paraId="5A7CA14D">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E31C04D">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2D3A09A">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403C684">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A9E8DB5">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7D7A118">
            <w:pPr>
              <w:widowControl/>
              <w:spacing w:line="360" w:lineRule="auto"/>
              <w:contextualSpacing/>
              <w:jc w:val="center"/>
              <w:rPr>
                <w:rFonts w:ascii="宋体" w:hAnsi="宋体" w:cs="宋体"/>
                <w:color w:val="auto"/>
                <w:kern w:val="0"/>
                <w:sz w:val="24"/>
                <w:highlight w:val="none"/>
              </w:rPr>
            </w:pPr>
          </w:p>
        </w:tc>
      </w:tr>
      <w:tr w14:paraId="2AC61C60">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E0651DE">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FBFFBB0">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59F13CC">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27DE34F">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E481CBF">
            <w:pPr>
              <w:widowControl/>
              <w:spacing w:line="360" w:lineRule="auto"/>
              <w:contextualSpacing/>
              <w:jc w:val="center"/>
              <w:rPr>
                <w:rFonts w:ascii="宋体" w:hAnsi="宋体" w:cs="宋体"/>
                <w:color w:val="auto"/>
                <w:kern w:val="0"/>
                <w:sz w:val="24"/>
                <w:highlight w:val="none"/>
              </w:rPr>
            </w:pPr>
          </w:p>
        </w:tc>
      </w:tr>
    </w:tbl>
    <w:p w14:paraId="67B34FFA">
      <w:pPr>
        <w:spacing w:line="360" w:lineRule="auto"/>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注：</w:t>
      </w:r>
    </w:p>
    <w:p w14:paraId="3CF59206">
      <w:pP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62E89F4">
      <w:pP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2.本表所指的控股关系仅限于直接控股关系，不包括间接的控股关系。公司实际控制人与公司之间的关系不属于本表所指的直接控股关系。</w:t>
      </w:r>
    </w:p>
    <w:p w14:paraId="4A94F5D6">
      <w:pP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3.供应商不存在直接控股股东的，则填“无”。</w:t>
      </w:r>
    </w:p>
    <w:p w14:paraId="64CE5145">
      <w:pPr>
        <w:snapToGrid w:val="0"/>
        <w:spacing w:line="360" w:lineRule="auto"/>
        <w:jc w:val="left"/>
        <w:rPr>
          <w:rFonts w:ascii="宋体" w:hAnsi="宋体" w:cs="宋体"/>
          <w:color w:val="auto"/>
          <w:sz w:val="24"/>
          <w:highlight w:val="none"/>
        </w:rPr>
      </w:pPr>
    </w:p>
    <w:p w14:paraId="024EBCC1">
      <w:pPr>
        <w:snapToGrid w:val="0"/>
        <w:spacing w:line="360" w:lineRule="auto"/>
        <w:jc w:val="left"/>
        <w:rPr>
          <w:rFonts w:ascii="宋体" w:hAnsi="宋体" w:cs="宋体"/>
          <w:color w:val="auto"/>
          <w:sz w:val="24"/>
          <w:highlight w:val="none"/>
        </w:rPr>
      </w:pPr>
    </w:p>
    <w:p w14:paraId="06C09CCD">
      <w:pPr>
        <w:snapToGrid w:val="0"/>
        <w:spacing w:line="360" w:lineRule="auto"/>
        <w:jc w:val="left"/>
        <w:rPr>
          <w:rFonts w:ascii="宋体" w:hAnsi="宋体" w:cs="宋体"/>
          <w:color w:val="auto"/>
          <w:sz w:val="24"/>
          <w:highlight w:val="none"/>
        </w:rPr>
      </w:pPr>
    </w:p>
    <w:p w14:paraId="6CDEC5E3">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658670E9">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28B19F5B">
      <w:pPr>
        <w:snapToGrid w:val="0"/>
        <w:rPr>
          <w:rFonts w:ascii="宋体" w:hAnsi="宋体" w:cs="宋体"/>
          <w:b/>
          <w:color w:val="auto"/>
          <w:kern w:val="0"/>
          <w:sz w:val="30"/>
          <w:szCs w:val="30"/>
          <w:highlight w:val="none"/>
        </w:rPr>
      </w:pPr>
    </w:p>
    <w:p w14:paraId="4533A25A">
      <w:pPr>
        <w:pStyle w:val="26"/>
        <w:ind w:left="840" w:hanging="420"/>
        <w:rPr>
          <w:rFonts w:ascii="宋体" w:hAnsi="宋体" w:cs="宋体"/>
          <w:color w:val="auto"/>
          <w:highlight w:val="none"/>
        </w:rPr>
      </w:pPr>
    </w:p>
    <w:p w14:paraId="01896A12">
      <w:pPr>
        <w:rPr>
          <w:rFonts w:ascii="宋体" w:hAnsi="宋体" w:cs="宋体"/>
          <w:color w:val="auto"/>
          <w:highlight w:val="none"/>
        </w:rPr>
      </w:pPr>
    </w:p>
    <w:p w14:paraId="7BC5554E">
      <w:pPr>
        <w:pStyle w:val="26"/>
        <w:ind w:left="840" w:hanging="420"/>
        <w:rPr>
          <w:rFonts w:ascii="宋体" w:hAnsi="宋体" w:cs="宋体"/>
          <w:color w:val="auto"/>
          <w:highlight w:val="none"/>
        </w:rPr>
      </w:pPr>
    </w:p>
    <w:p w14:paraId="29429240">
      <w:pPr>
        <w:rPr>
          <w:rFonts w:ascii="宋体" w:hAnsi="宋体" w:cs="宋体"/>
          <w:color w:val="auto"/>
          <w:highlight w:val="none"/>
        </w:rPr>
      </w:pPr>
    </w:p>
    <w:p w14:paraId="5089C822">
      <w:pPr>
        <w:pStyle w:val="26"/>
        <w:ind w:left="840" w:hanging="420"/>
        <w:rPr>
          <w:rFonts w:ascii="宋体" w:hAnsi="宋体" w:cs="宋体"/>
          <w:color w:val="auto"/>
          <w:highlight w:val="none"/>
        </w:rPr>
      </w:pPr>
    </w:p>
    <w:p w14:paraId="1AD89B89">
      <w:pPr>
        <w:rPr>
          <w:rFonts w:ascii="宋体" w:hAnsi="宋体" w:cs="宋体"/>
          <w:color w:val="auto"/>
          <w:highlight w:val="none"/>
        </w:rPr>
      </w:pPr>
    </w:p>
    <w:p w14:paraId="1FAD4013">
      <w:pPr>
        <w:pStyle w:val="26"/>
        <w:ind w:left="840" w:hanging="420"/>
        <w:rPr>
          <w:rFonts w:ascii="宋体" w:hAnsi="宋体" w:cs="宋体"/>
          <w:color w:val="auto"/>
          <w:highlight w:val="none"/>
        </w:rPr>
      </w:pPr>
    </w:p>
    <w:p w14:paraId="05455382">
      <w:pPr>
        <w:rPr>
          <w:rFonts w:ascii="宋体" w:hAnsi="宋体" w:cs="宋体"/>
          <w:color w:val="auto"/>
          <w:highlight w:val="none"/>
        </w:rPr>
      </w:pPr>
    </w:p>
    <w:p w14:paraId="26FD5909">
      <w:pPr>
        <w:pStyle w:val="26"/>
        <w:ind w:left="840" w:hanging="420"/>
        <w:rPr>
          <w:rFonts w:ascii="宋体" w:hAnsi="宋体" w:cs="宋体"/>
          <w:color w:val="auto"/>
          <w:highlight w:val="none"/>
        </w:rPr>
      </w:pPr>
    </w:p>
    <w:p w14:paraId="6899047D">
      <w:pPr>
        <w:snapToGrid w:val="0"/>
        <w:ind w:firstLine="596" w:firstLineChars="198"/>
        <w:rPr>
          <w:rFonts w:ascii="宋体" w:hAnsi="宋体" w:cs="宋体"/>
          <w:b/>
          <w:color w:val="auto"/>
          <w:kern w:val="0"/>
          <w:sz w:val="30"/>
          <w:szCs w:val="30"/>
          <w:highlight w:val="none"/>
        </w:rPr>
      </w:pPr>
      <w:r>
        <w:rPr>
          <w:rFonts w:hint="eastAsia" w:ascii="宋体" w:hAnsi="宋体" w:cs="宋体"/>
          <w:b/>
          <w:color w:val="auto"/>
          <w:kern w:val="0"/>
          <w:sz w:val="30"/>
          <w:szCs w:val="30"/>
          <w:highlight w:val="none"/>
        </w:rPr>
        <w:t>五、供应商直接管理关系信息表</w:t>
      </w:r>
    </w:p>
    <w:p w14:paraId="729D53C3">
      <w:pPr>
        <w:snapToGrid w:val="0"/>
        <w:spacing w:line="360" w:lineRule="auto"/>
        <w:jc w:val="center"/>
        <w:rPr>
          <w:rFonts w:ascii="宋体" w:hAnsi="宋体" w:cs="宋体"/>
          <w:b/>
          <w:color w:val="auto"/>
          <w:sz w:val="24"/>
          <w:highlight w:val="none"/>
        </w:rPr>
      </w:pPr>
    </w:p>
    <w:tbl>
      <w:tblPr>
        <w:tblStyle w:val="33"/>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6202F980">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E072A34">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C678546">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F4B50C3">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5AC588F">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1A6A1FD2">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CBBD326">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4C9FB86">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9D08137">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8EDA3E3">
            <w:pPr>
              <w:widowControl/>
              <w:spacing w:line="360" w:lineRule="auto"/>
              <w:contextualSpacing/>
              <w:jc w:val="center"/>
              <w:rPr>
                <w:rFonts w:ascii="宋体" w:hAnsi="宋体" w:cs="宋体"/>
                <w:color w:val="auto"/>
                <w:kern w:val="0"/>
                <w:sz w:val="24"/>
                <w:highlight w:val="none"/>
              </w:rPr>
            </w:pPr>
          </w:p>
        </w:tc>
      </w:tr>
      <w:tr w14:paraId="0090A4C5">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326D482">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B3E0C33">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E39FE82">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FDCF62B">
            <w:pPr>
              <w:widowControl/>
              <w:spacing w:line="360" w:lineRule="auto"/>
              <w:contextualSpacing/>
              <w:jc w:val="center"/>
              <w:rPr>
                <w:rFonts w:ascii="宋体" w:hAnsi="宋体" w:cs="宋体"/>
                <w:color w:val="auto"/>
                <w:kern w:val="0"/>
                <w:sz w:val="24"/>
                <w:highlight w:val="none"/>
              </w:rPr>
            </w:pPr>
          </w:p>
        </w:tc>
      </w:tr>
      <w:tr w14:paraId="42416A45">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275BAC7">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5527096">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3B8FFE5">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28E4B51">
            <w:pPr>
              <w:widowControl/>
              <w:spacing w:line="360" w:lineRule="auto"/>
              <w:contextualSpacing/>
              <w:jc w:val="center"/>
              <w:rPr>
                <w:rFonts w:ascii="宋体" w:hAnsi="宋体" w:cs="宋体"/>
                <w:color w:val="auto"/>
                <w:kern w:val="0"/>
                <w:sz w:val="24"/>
                <w:highlight w:val="none"/>
              </w:rPr>
            </w:pPr>
          </w:p>
        </w:tc>
      </w:tr>
      <w:tr w14:paraId="54819F6B">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539625A">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455E742">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03E6141">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6656D04">
            <w:pPr>
              <w:widowControl/>
              <w:spacing w:line="360" w:lineRule="auto"/>
              <w:contextualSpacing/>
              <w:jc w:val="center"/>
              <w:rPr>
                <w:rFonts w:ascii="宋体" w:hAnsi="宋体" w:cs="宋体"/>
                <w:color w:val="auto"/>
                <w:kern w:val="0"/>
                <w:sz w:val="24"/>
                <w:highlight w:val="none"/>
              </w:rPr>
            </w:pPr>
          </w:p>
        </w:tc>
      </w:tr>
    </w:tbl>
    <w:p w14:paraId="71318239">
      <w:pP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注：</w:t>
      </w:r>
    </w:p>
    <w:p w14:paraId="63B6F847">
      <w:pP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1.管理关系：是指不具有出资持股关系的其他单位之间存在的管理与被管理关系，如一些上下级关系的事业单位和团体组织。</w:t>
      </w:r>
    </w:p>
    <w:p w14:paraId="36D98039">
      <w:pP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2.本表所指的管理关系仅限于直接管理关系，不包括间接的管理关系。</w:t>
      </w:r>
    </w:p>
    <w:p w14:paraId="6B54049C">
      <w:pP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3.供应商不存在直接管理关系的，则填“无”。</w:t>
      </w:r>
    </w:p>
    <w:p w14:paraId="68122302">
      <w:pPr>
        <w:spacing w:line="360" w:lineRule="auto"/>
        <w:contextualSpacing/>
        <w:jc w:val="left"/>
        <w:rPr>
          <w:rFonts w:ascii="宋体" w:hAnsi="宋体" w:cs="宋体"/>
          <w:color w:val="auto"/>
          <w:sz w:val="24"/>
          <w:highlight w:val="none"/>
        </w:rPr>
      </w:pPr>
    </w:p>
    <w:p w14:paraId="2FB87E93">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4978792C">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65999538">
      <w:pPr>
        <w:spacing w:line="360" w:lineRule="auto"/>
        <w:ind w:right="480" w:firstLine="240" w:firstLineChars="100"/>
        <w:contextualSpacing/>
        <w:jc w:val="center"/>
        <w:rPr>
          <w:rFonts w:ascii="宋体" w:hAnsi="宋体" w:cs="宋体"/>
          <w:color w:val="auto"/>
          <w:sz w:val="28"/>
          <w:szCs w:val="28"/>
          <w:highlight w:val="none"/>
        </w:rPr>
      </w:pPr>
      <w:r>
        <w:rPr>
          <w:rFonts w:hint="eastAsia" w:ascii="宋体" w:hAnsi="宋体" w:cs="宋体"/>
          <w:color w:val="auto"/>
          <w:sz w:val="24"/>
          <w:highlight w:val="none"/>
        </w:rPr>
        <w:t xml:space="preserve">                                  </w:t>
      </w:r>
    </w:p>
    <w:p w14:paraId="77F0C593">
      <w:pPr>
        <w:spacing w:line="320" w:lineRule="exact"/>
        <w:ind w:firstLine="560" w:firstLineChars="200"/>
        <w:jc w:val="left"/>
        <w:rPr>
          <w:rFonts w:ascii="宋体" w:hAnsi="宋体" w:cs="宋体"/>
          <w:color w:val="auto"/>
          <w:sz w:val="28"/>
          <w:szCs w:val="28"/>
          <w:highlight w:val="none"/>
        </w:rPr>
      </w:pPr>
      <w:r>
        <w:rPr>
          <w:rFonts w:hint="eastAsia" w:ascii="宋体" w:hAnsi="宋体" w:cs="宋体"/>
          <w:color w:val="auto"/>
          <w:sz w:val="28"/>
          <w:szCs w:val="28"/>
          <w:highlight w:val="none"/>
        </w:rPr>
        <w:br w:type="page"/>
      </w:r>
      <w:r>
        <w:rPr>
          <w:rFonts w:hint="eastAsia" w:ascii="宋体" w:hAnsi="宋体" w:cs="宋体"/>
          <w:b/>
          <w:color w:val="auto"/>
          <w:kern w:val="0"/>
          <w:sz w:val="30"/>
          <w:szCs w:val="30"/>
          <w:highlight w:val="none"/>
        </w:rPr>
        <w:t>六、资格声明函</w:t>
      </w:r>
    </w:p>
    <w:p w14:paraId="431003E8">
      <w:pPr>
        <w:spacing w:line="320" w:lineRule="exact"/>
        <w:jc w:val="center"/>
        <w:rPr>
          <w:rFonts w:ascii="宋体" w:hAnsi="宋体" w:cs="宋体"/>
          <w:b/>
          <w:color w:val="auto"/>
          <w:sz w:val="32"/>
          <w:szCs w:val="32"/>
          <w:highlight w:val="none"/>
        </w:rPr>
      </w:pPr>
    </w:p>
    <w:p w14:paraId="419385AA">
      <w:pPr>
        <w:spacing w:line="32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资格声明函</w:t>
      </w:r>
    </w:p>
    <w:p w14:paraId="06FE9CA6">
      <w:pPr>
        <w:spacing w:line="320" w:lineRule="exact"/>
        <w:jc w:val="center"/>
        <w:rPr>
          <w:rFonts w:ascii="宋体" w:hAnsi="宋体" w:cs="宋体"/>
          <w:color w:val="auto"/>
          <w:sz w:val="24"/>
          <w:szCs w:val="20"/>
          <w:highlight w:val="none"/>
        </w:rPr>
      </w:pPr>
    </w:p>
    <w:p w14:paraId="086EC36D">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采购单位 </w:t>
      </w:r>
      <w:r>
        <w:rPr>
          <w:rFonts w:hint="eastAsia" w:ascii="宋体" w:hAnsi="宋体" w:cs="宋体"/>
          <w:color w:val="auto"/>
          <w:sz w:val="24"/>
          <w:highlight w:val="none"/>
        </w:rPr>
        <w:t>：</w:t>
      </w:r>
    </w:p>
    <w:p w14:paraId="707583C1">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1F684D78">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3315DD28">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338E17FA">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310F0F47">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3.在此，我方宣布同意如下：</w:t>
      </w:r>
    </w:p>
    <w:p w14:paraId="6040D5C3">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1B085161">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6A580593">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（3）同意提供按照贵方可能要求的与谈判有关的一切数据或者资料；</w:t>
      </w:r>
    </w:p>
    <w:p w14:paraId="70FAE85E">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（4）响应磋商文件规定的竞标有效期。</w:t>
      </w:r>
    </w:p>
    <w:p w14:paraId="3E1D8F7B">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404E261B">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w:t>
      </w:r>
      <w:r>
        <w:rPr>
          <w:rFonts w:hint="eastAsia" w:ascii="宋体" w:hAnsi="宋体" w:cs="宋体"/>
          <w:color w:val="auto"/>
          <w:sz w:val="24"/>
          <w:highlight w:val="none"/>
          <w:lang w:eastAsia="zh-CN"/>
        </w:rPr>
        <w:t>重大税收违法失信主体</w:t>
      </w:r>
      <w:r>
        <w:rPr>
          <w:rFonts w:hint="eastAsia" w:ascii="宋体" w:hAnsi="宋体" w:cs="宋体"/>
          <w:color w:val="auto"/>
          <w:sz w:val="24"/>
          <w:highlight w:val="none"/>
        </w:rPr>
        <w:t>、政府采购严重违法失信行为记录名单，完全符合《中华人民共和国政府采购法》第二十二条规定的供应商资格条件，我方对此声明负全部法律责任。</w:t>
      </w:r>
    </w:p>
    <w:p w14:paraId="1CFF2189">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A8960D8">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3B73F6CB">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137DDB10">
      <w:pPr>
        <w:pStyle w:val="19"/>
        <w:spacing w:line="360" w:lineRule="auto"/>
        <w:ind w:firstLine="480" w:firstLineChars="200"/>
        <w:contextualSpacing/>
        <w:jc w:val="left"/>
        <w:rPr>
          <w:rFonts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70BADD71">
      <w:pPr>
        <w:pStyle w:val="19"/>
        <w:spacing w:line="360" w:lineRule="auto"/>
        <w:ind w:firstLine="480" w:firstLineChars="200"/>
        <w:contextualSpacing/>
        <w:jc w:val="left"/>
        <w:rPr>
          <w:rFonts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电子函件：</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4A6515C5">
      <w:pPr>
        <w:pStyle w:val="16"/>
        <w:tabs>
          <w:tab w:val="left" w:pos="939"/>
        </w:tabs>
        <w:spacing w:line="360" w:lineRule="auto"/>
        <w:ind w:left="141" w:leftChars="67" w:firstLine="360" w:firstLineChars="150"/>
        <w:jc w:val="left"/>
        <w:rPr>
          <w:rFonts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帐号：</w:t>
      </w:r>
      <w:r>
        <w:rPr>
          <w:rFonts w:hint="eastAsia" w:ascii="宋体" w:hAnsi="宋体" w:cs="宋体"/>
          <w:color w:val="auto"/>
          <w:sz w:val="24"/>
          <w:highlight w:val="none"/>
          <w:u w:val="single"/>
        </w:rPr>
        <w:t xml:space="preserve">                               </w:t>
      </w:r>
    </w:p>
    <w:p w14:paraId="2C396A50">
      <w:pPr>
        <w:pStyle w:val="16"/>
        <w:tabs>
          <w:tab w:val="left" w:pos="939"/>
        </w:tabs>
        <w:spacing w:line="360" w:lineRule="auto"/>
        <w:ind w:left="0" w:leftChars="0" w:firstLine="480" w:firstLineChars="200"/>
        <w:jc w:val="left"/>
        <w:rPr>
          <w:rFonts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5F32BAC6">
      <w:pPr>
        <w:pStyle w:val="16"/>
        <w:tabs>
          <w:tab w:val="left" w:pos="939"/>
        </w:tabs>
        <w:spacing w:line="360" w:lineRule="auto"/>
        <w:ind w:left="141" w:leftChars="67" w:firstLine="360" w:firstLineChars="150"/>
        <w:jc w:val="left"/>
        <w:rPr>
          <w:rFonts w:ascii="宋体" w:hAnsi="宋体" w:cs="宋体"/>
          <w:color w:val="auto"/>
          <w:sz w:val="24"/>
          <w:highlight w:val="none"/>
        </w:rPr>
      </w:pPr>
      <w:r>
        <w:rPr>
          <w:rFonts w:hint="eastAsia" w:ascii="宋体" w:hAnsi="宋体" w:cs="宋体"/>
          <w:color w:val="auto"/>
          <w:sz w:val="24"/>
          <w:highlight w:val="none"/>
        </w:rPr>
        <w:t>特此承诺。</w:t>
      </w:r>
    </w:p>
    <w:p w14:paraId="5C1E0CA8">
      <w:pPr>
        <w:pStyle w:val="16"/>
        <w:tabs>
          <w:tab w:val="left" w:pos="939"/>
        </w:tabs>
        <w:spacing w:line="360" w:lineRule="auto"/>
        <w:ind w:left="0" w:leftChars="0" w:firstLine="480" w:firstLineChars="200"/>
        <w:jc w:val="left"/>
        <w:rPr>
          <w:rFonts w:ascii="宋体" w:hAnsi="宋体" w:cs="宋体"/>
          <w:color w:val="auto"/>
          <w:sz w:val="24"/>
          <w:highlight w:val="none"/>
        </w:rPr>
      </w:pPr>
      <w:r>
        <w:rPr>
          <w:rFonts w:hint="eastAsia" w:ascii="宋体" w:hAnsi="宋体" w:cs="宋体"/>
          <w:color w:val="auto"/>
          <w:sz w:val="24"/>
          <w:highlight w:val="none"/>
        </w:rPr>
        <w:t>注：如为联合体竞标，盖章处须加盖联合体各方公章并由联合体各方法定代表人签署，否则其响应文件按无效响应处理。</w:t>
      </w:r>
    </w:p>
    <w:p w14:paraId="44B6D861">
      <w:pPr>
        <w:pStyle w:val="16"/>
        <w:tabs>
          <w:tab w:val="left" w:pos="939"/>
        </w:tabs>
        <w:spacing w:line="360" w:lineRule="auto"/>
        <w:ind w:left="0" w:leftChars="0" w:firstLine="480" w:firstLineChars="200"/>
        <w:rPr>
          <w:rFonts w:ascii="宋体" w:hAnsi="宋体" w:cs="宋体"/>
          <w:color w:val="auto"/>
          <w:sz w:val="24"/>
          <w:highlight w:val="none"/>
        </w:rPr>
      </w:pPr>
    </w:p>
    <w:p w14:paraId="02AB8F03">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49FB4E9F">
      <w:pPr>
        <w:autoSpaceDE w:val="0"/>
        <w:autoSpaceDN w:val="0"/>
        <w:spacing w:line="360" w:lineRule="auto"/>
        <w:ind w:firstLine="6120" w:firstLineChars="25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337968EF">
      <w:pPr>
        <w:spacing w:line="520" w:lineRule="exact"/>
        <w:jc w:val="left"/>
        <w:rPr>
          <w:rFonts w:hint="eastAsia" w:ascii="宋体" w:hAnsi="宋体" w:cs="宋体"/>
          <w:b/>
          <w:color w:val="auto"/>
          <w:sz w:val="30"/>
          <w:szCs w:val="30"/>
          <w:highlight w:val="none"/>
          <w:lang w:val="en-US" w:eastAsia="zh-CN"/>
        </w:rPr>
      </w:pPr>
    </w:p>
    <w:p w14:paraId="1DC2265D">
      <w:pPr>
        <w:spacing w:line="520" w:lineRule="exact"/>
        <w:jc w:val="left"/>
        <w:rPr>
          <w:rFonts w:hint="eastAsia" w:ascii="宋体" w:hAnsi="宋体" w:cs="宋体"/>
          <w:b/>
          <w:color w:val="auto"/>
          <w:sz w:val="30"/>
          <w:szCs w:val="30"/>
          <w:highlight w:val="none"/>
          <w:lang w:val="en-US" w:eastAsia="zh-CN"/>
        </w:rPr>
      </w:pPr>
    </w:p>
    <w:p w14:paraId="2415F229">
      <w:pPr>
        <w:spacing w:line="520" w:lineRule="exact"/>
        <w:jc w:val="left"/>
        <w:rPr>
          <w:rFonts w:hint="eastAsia" w:ascii="宋体" w:hAnsi="宋体" w:cs="宋体"/>
          <w:b/>
          <w:color w:val="auto"/>
          <w:sz w:val="30"/>
          <w:szCs w:val="30"/>
          <w:highlight w:val="none"/>
          <w:lang w:val="en-US" w:eastAsia="zh-CN"/>
        </w:rPr>
      </w:pPr>
    </w:p>
    <w:p w14:paraId="4B3852CA">
      <w:pPr>
        <w:pageBreakBefore/>
        <w:spacing w:line="520" w:lineRule="exact"/>
        <w:jc w:val="left"/>
        <w:rPr>
          <w:rFonts w:ascii="宋体" w:hAnsi="宋体" w:cs="宋体"/>
          <w:color w:val="auto"/>
          <w:sz w:val="32"/>
          <w:szCs w:val="32"/>
          <w:highlight w:val="none"/>
        </w:rPr>
      </w:pPr>
      <w:r>
        <w:rPr>
          <w:rFonts w:hint="eastAsia" w:ascii="宋体" w:hAnsi="宋体" w:cs="宋体"/>
          <w:b/>
          <w:color w:val="auto"/>
          <w:sz w:val="30"/>
          <w:szCs w:val="30"/>
          <w:highlight w:val="none"/>
          <w:lang w:val="en-US" w:eastAsia="zh-CN"/>
        </w:rPr>
        <w:t>七</w:t>
      </w:r>
      <w:r>
        <w:rPr>
          <w:rFonts w:hint="eastAsia" w:ascii="宋体" w:hAnsi="宋体" w:cs="宋体"/>
          <w:b/>
          <w:color w:val="auto"/>
          <w:sz w:val="30"/>
          <w:szCs w:val="30"/>
          <w:highlight w:val="none"/>
        </w:rPr>
        <w:t>、磋商保证金提交凭证</w:t>
      </w:r>
    </w:p>
    <w:p w14:paraId="5BAD416C">
      <w:pPr>
        <w:spacing w:line="520" w:lineRule="exact"/>
        <w:ind w:firstLine="640"/>
        <w:jc w:val="left"/>
        <w:rPr>
          <w:rFonts w:hint="eastAsia" w:ascii="宋体" w:hAnsi="宋体" w:cs="宋体"/>
          <w:color w:val="auto"/>
          <w:sz w:val="28"/>
          <w:szCs w:val="28"/>
          <w:highlight w:val="none"/>
        </w:rPr>
      </w:pPr>
      <w:r>
        <w:rPr>
          <w:rFonts w:hint="eastAsia" w:ascii="宋体" w:hAnsi="宋体" w:cs="宋体"/>
          <w:color w:val="auto"/>
          <w:sz w:val="28"/>
          <w:szCs w:val="28"/>
          <w:highlight w:val="none"/>
        </w:rPr>
        <w:t>（附保证金交纳凭证）</w:t>
      </w:r>
    </w:p>
    <w:p w14:paraId="530D0552">
      <w:pPr>
        <w:pStyle w:val="42"/>
        <w:ind w:firstLine="640"/>
        <w:rPr>
          <w:color w:val="auto"/>
          <w:highlight w:val="none"/>
        </w:rPr>
      </w:pPr>
    </w:p>
    <w:p w14:paraId="665044E0">
      <w:pPr>
        <w:pStyle w:val="42"/>
        <w:ind w:firstLine="640"/>
        <w:rPr>
          <w:color w:val="auto"/>
          <w:highlight w:val="none"/>
        </w:rPr>
      </w:pPr>
    </w:p>
    <w:p w14:paraId="1925AB2D">
      <w:pPr>
        <w:pStyle w:val="42"/>
        <w:ind w:firstLine="640"/>
        <w:rPr>
          <w:color w:val="auto"/>
          <w:highlight w:val="none"/>
        </w:rPr>
      </w:pPr>
    </w:p>
    <w:p w14:paraId="7899B7DA">
      <w:pPr>
        <w:pStyle w:val="42"/>
        <w:ind w:firstLine="640"/>
        <w:rPr>
          <w:color w:val="auto"/>
          <w:highlight w:val="none"/>
        </w:rPr>
      </w:pPr>
    </w:p>
    <w:p w14:paraId="0C737D17">
      <w:pPr>
        <w:pStyle w:val="42"/>
        <w:ind w:firstLine="640"/>
        <w:rPr>
          <w:color w:val="auto"/>
          <w:highlight w:val="none"/>
        </w:rPr>
      </w:pPr>
    </w:p>
    <w:p w14:paraId="1D9CABFE">
      <w:pPr>
        <w:pStyle w:val="42"/>
        <w:ind w:firstLine="640"/>
        <w:rPr>
          <w:color w:val="auto"/>
          <w:highlight w:val="none"/>
        </w:rPr>
      </w:pPr>
    </w:p>
    <w:p w14:paraId="750A19E9">
      <w:pPr>
        <w:autoSpaceDE w:val="0"/>
        <w:autoSpaceDN w:val="0"/>
        <w:spacing w:line="360" w:lineRule="auto"/>
        <w:ind w:left="4365" w:leftChars="1850" w:hanging="480" w:hangingChars="200"/>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3150B464">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750B4B16">
      <w:pPr>
        <w:pStyle w:val="42"/>
        <w:ind w:firstLine="640"/>
        <w:rPr>
          <w:color w:val="auto"/>
          <w:highlight w:val="none"/>
        </w:rPr>
      </w:pPr>
    </w:p>
    <w:p w14:paraId="22DE6766">
      <w:pPr>
        <w:snapToGrid w:val="0"/>
        <w:spacing w:line="360" w:lineRule="auto"/>
        <w:ind w:firstLine="602" w:firstLineChars="200"/>
        <w:rPr>
          <w:rFonts w:ascii="宋体" w:hAnsi="宋体" w:cs="宋体"/>
          <w:b/>
          <w:color w:val="auto"/>
          <w:sz w:val="30"/>
          <w:szCs w:val="30"/>
          <w:highlight w:val="none"/>
        </w:rPr>
      </w:pPr>
      <w:r>
        <w:rPr>
          <w:rFonts w:hint="eastAsia" w:ascii="宋体" w:hAnsi="宋体" w:cs="宋体"/>
          <w:b/>
          <w:color w:val="auto"/>
          <w:sz w:val="30"/>
          <w:szCs w:val="30"/>
          <w:highlight w:val="none"/>
          <w:lang w:val="en-US" w:eastAsia="zh-CN"/>
        </w:rPr>
        <w:t>八、</w:t>
      </w:r>
      <w:r>
        <w:rPr>
          <w:rFonts w:hint="eastAsia" w:ascii="宋体" w:hAnsi="宋体" w:cs="宋体"/>
          <w:b/>
          <w:color w:val="auto"/>
          <w:sz w:val="30"/>
          <w:szCs w:val="30"/>
          <w:highlight w:val="none"/>
        </w:rPr>
        <w:t>符合特定资格条件（如果项目要求）的有关证明材料（复印件）</w:t>
      </w:r>
    </w:p>
    <w:p w14:paraId="75346C11">
      <w:pPr>
        <w:snapToGrid w:val="0"/>
        <w:spacing w:line="360" w:lineRule="auto"/>
        <w:ind w:firstLine="602" w:firstLineChars="200"/>
        <w:rPr>
          <w:rFonts w:ascii="宋体" w:hAnsi="宋体" w:cs="宋体"/>
          <w:b/>
          <w:color w:val="auto"/>
          <w:sz w:val="30"/>
          <w:szCs w:val="30"/>
          <w:highlight w:val="none"/>
        </w:rPr>
      </w:pPr>
    </w:p>
    <w:p w14:paraId="372A9A84">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0BB5934C">
      <w:pPr>
        <w:autoSpaceDE w:val="0"/>
        <w:autoSpaceDN w:val="0"/>
        <w:spacing w:line="360" w:lineRule="auto"/>
        <w:ind w:firstLine="6480" w:firstLineChars="2700"/>
        <w:rPr>
          <w:rFonts w:ascii="宋体" w:hAnsi="宋体" w:cs="宋体"/>
          <w:color w:val="auto"/>
          <w:kern w:val="0"/>
          <w:sz w:val="24"/>
          <w:highlight w:val="none"/>
          <w:lang w:val="zh-CN"/>
        </w:rPr>
        <w:sectPr>
          <w:pgSz w:w="11910" w:h="16840"/>
          <w:pgMar w:top="1340" w:right="1500" w:bottom="280" w:left="1680" w:header="720" w:footer="720" w:gutter="0"/>
          <w:cols w:space="720" w:num="1"/>
        </w:sectPr>
      </w:pPr>
      <w:r>
        <w:rPr>
          <w:rFonts w:hint="eastAsia" w:ascii="宋体" w:hAnsi="宋体" w:cs="宋体"/>
          <w:color w:val="auto"/>
          <w:kern w:val="0"/>
          <w:sz w:val="24"/>
          <w:highlight w:val="none"/>
          <w:lang w:val="zh-CN"/>
        </w:rPr>
        <w:t>日期：  年  月   日</w:t>
      </w:r>
    </w:p>
    <w:p w14:paraId="42012E6D">
      <w:pPr>
        <w:pStyle w:val="4"/>
        <w:jc w:val="center"/>
        <w:rPr>
          <w:rFonts w:ascii="宋体" w:hAnsi="宋体" w:cs="宋体"/>
          <w:color w:val="auto"/>
          <w:highlight w:val="none"/>
        </w:rPr>
      </w:pPr>
      <w:bookmarkStart w:id="95" w:name="_Toc31001"/>
      <w:bookmarkStart w:id="96" w:name="_Toc526"/>
      <w:bookmarkStart w:id="97" w:name="_Toc97909569"/>
      <w:bookmarkStart w:id="98" w:name="_Toc80886944"/>
      <w:bookmarkStart w:id="99" w:name="_Toc80205940"/>
      <w:r>
        <w:rPr>
          <w:rFonts w:hint="eastAsia" w:ascii="宋体" w:hAnsi="宋体" w:cs="宋体"/>
          <w:color w:val="auto"/>
          <w:highlight w:val="none"/>
        </w:rPr>
        <w:t>第三节 商务技术文件格式</w:t>
      </w:r>
      <w:bookmarkEnd w:id="95"/>
      <w:bookmarkEnd w:id="96"/>
      <w:bookmarkEnd w:id="97"/>
      <w:bookmarkEnd w:id="98"/>
      <w:bookmarkEnd w:id="99"/>
    </w:p>
    <w:p w14:paraId="2B15C90D">
      <w:pPr>
        <w:snapToGrid w:val="0"/>
        <w:spacing w:before="120" w:beforeLines="50" w:after="50"/>
        <w:rPr>
          <w:rFonts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全流程电子文件</w:t>
      </w:r>
    </w:p>
    <w:p w14:paraId="668DB957">
      <w:pPr>
        <w:snapToGrid w:val="0"/>
        <w:spacing w:before="120" w:beforeLines="50" w:after="50"/>
        <w:rPr>
          <w:rFonts w:ascii="宋体" w:hAnsi="宋体" w:cs="宋体"/>
          <w:color w:val="auto"/>
          <w:sz w:val="24"/>
          <w:szCs w:val="20"/>
          <w:highlight w:val="none"/>
        </w:rPr>
      </w:pPr>
    </w:p>
    <w:p w14:paraId="1C445C4B">
      <w:pPr>
        <w:snapToGrid w:val="0"/>
        <w:spacing w:before="120" w:beforeLines="50" w:after="50"/>
        <w:rPr>
          <w:rFonts w:ascii="宋体" w:hAnsi="宋体" w:cs="宋体"/>
          <w:color w:val="auto"/>
          <w:sz w:val="24"/>
          <w:szCs w:val="20"/>
          <w:highlight w:val="none"/>
        </w:rPr>
      </w:pPr>
    </w:p>
    <w:p w14:paraId="4D16D321">
      <w:pPr>
        <w:snapToGrid w:val="0"/>
        <w:spacing w:before="120" w:beforeLines="50" w:after="50"/>
        <w:rPr>
          <w:rFonts w:ascii="宋体" w:hAnsi="宋体" w:cs="宋体"/>
          <w:color w:val="auto"/>
          <w:sz w:val="24"/>
          <w:szCs w:val="20"/>
          <w:highlight w:val="none"/>
        </w:rPr>
      </w:pPr>
    </w:p>
    <w:p w14:paraId="73352D3E">
      <w:pPr>
        <w:snapToGrid w:val="0"/>
        <w:spacing w:before="120"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商  务  技  术  文  件（封面）</w:t>
      </w:r>
    </w:p>
    <w:p w14:paraId="3104C8A1">
      <w:pPr>
        <w:snapToGrid w:val="0"/>
        <w:spacing w:before="120" w:beforeLines="50" w:after="50"/>
        <w:rPr>
          <w:rFonts w:ascii="宋体" w:hAnsi="宋体" w:cs="宋体"/>
          <w:bCs/>
          <w:color w:val="auto"/>
          <w:sz w:val="24"/>
          <w:szCs w:val="20"/>
          <w:highlight w:val="none"/>
        </w:rPr>
      </w:pPr>
    </w:p>
    <w:p w14:paraId="03C3F4AC">
      <w:pPr>
        <w:snapToGrid w:val="0"/>
        <w:spacing w:before="120" w:beforeLines="50" w:after="50"/>
        <w:rPr>
          <w:rFonts w:ascii="宋体" w:hAnsi="宋体" w:cs="宋体"/>
          <w:bCs/>
          <w:color w:val="auto"/>
          <w:sz w:val="24"/>
          <w:szCs w:val="20"/>
          <w:highlight w:val="none"/>
        </w:rPr>
      </w:pPr>
    </w:p>
    <w:p w14:paraId="15D40BCA">
      <w:pPr>
        <w:snapToGrid w:val="0"/>
        <w:spacing w:before="120" w:beforeLines="50" w:after="50"/>
        <w:rPr>
          <w:rFonts w:ascii="宋体" w:hAnsi="宋体" w:cs="宋体"/>
          <w:bCs/>
          <w:color w:val="auto"/>
          <w:sz w:val="24"/>
          <w:szCs w:val="20"/>
          <w:highlight w:val="none"/>
        </w:rPr>
      </w:pPr>
    </w:p>
    <w:p w14:paraId="120AE563">
      <w:pPr>
        <w:snapToGrid w:val="0"/>
        <w:spacing w:before="120" w:beforeLines="50" w:after="50"/>
        <w:rPr>
          <w:rFonts w:ascii="宋体" w:hAnsi="宋体" w:cs="宋体"/>
          <w:bCs/>
          <w:color w:val="auto"/>
          <w:sz w:val="24"/>
          <w:szCs w:val="20"/>
          <w:highlight w:val="none"/>
        </w:rPr>
      </w:pPr>
    </w:p>
    <w:p w14:paraId="36FA66AC">
      <w:pPr>
        <w:snapToGrid w:val="0"/>
        <w:spacing w:before="120" w:beforeLines="50" w:after="50"/>
        <w:rPr>
          <w:rFonts w:ascii="宋体" w:hAnsi="宋体" w:cs="宋体"/>
          <w:bCs/>
          <w:color w:val="auto"/>
          <w:sz w:val="24"/>
          <w:szCs w:val="20"/>
          <w:highlight w:val="none"/>
        </w:rPr>
      </w:pPr>
    </w:p>
    <w:p w14:paraId="0644AD7F">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项目名称： </w:t>
      </w:r>
    </w:p>
    <w:p w14:paraId="51521A50">
      <w:pPr>
        <w:snapToGrid w:val="0"/>
        <w:spacing w:before="120" w:beforeLines="50" w:after="50"/>
        <w:ind w:firstLine="720" w:firstLineChars="225"/>
        <w:rPr>
          <w:rFonts w:ascii="宋体" w:hAnsi="宋体" w:cs="宋体"/>
          <w:bCs/>
          <w:color w:val="auto"/>
          <w:sz w:val="32"/>
          <w:szCs w:val="32"/>
          <w:highlight w:val="none"/>
        </w:rPr>
      </w:pPr>
    </w:p>
    <w:p w14:paraId="4CE80C69">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项目编号： </w:t>
      </w:r>
    </w:p>
    <w:p w14:paraId="0FFE9A15">
      <w:pPr>
        <w:snapToGrid w:val="0"/>
        <w:spacing w:before="120"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7B28008A">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02FEECB5">
      <w:pPr>
        <w:snapToGrid w:val="0"/>
        <w:spacing w:before="120" w:beforeLines="50" w:after="50"/>
        <w:ind w:firstLine="720" w:firstLineChars="225"/>
        <w:rPr>
          <w:rFonts w:ascii="宋体" w:hAnsi="宋体" w:cs="宋体"/>
          <w:bCs/>
          <w:color w:val="auto"/>
          <w:sz w:val="32"/>
          <w:szCs w:val="32"/>
          <w:highlight w:val="none"/>
        </w:rPr>
      </w:pPr>
    </w:p>
    <w:p w14:paraId="21D9F6F3">
      <w:pPr>
        <w:pStyle w:val="8"/>
        <w:snapToGrid w:val="0"/>
        <w:spacing w:before="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11F07408">
      <w:pPr>
        <w:pStyle w:val="8"/>
        <w:snapToGrid w:val="0"/>
        <w:spacing w:before="50" w:after="50"/>
        <w:ind w:firstLine="720" w:firstLineChars="225"/>
        <w:rPr>
          <w:rFonts w:ascii="宋体" w:hAnsi="宋体" w:cs="宋体"/>
          <w:bCs/>
          <w:color w:val="auto"/>
          <w:sz w:val="32"/>
          <w:szCs w:val="32"/>
          <w:highlight w:val="none"/>
        </w:rPr>
      </w:pPr>
    </w:p>
    <w:p w14:paraId="01EF8726">
      <w:pPr>
        <w:pStyle w:val="8"/>
        <w:snapToGrid w:val="0"/>
        <w:spacing w:before="50" w:after="50"/>
        <w:ind w:firstLine="720" w:firstLineChars="225"/>
        <w:rPr>
          <w:rFonts w:ascii="宋体" w:hAnsi="宋体" w:cs="宋体"/>
          <w:bCs/>
          <w:color w:val="auto"/>
          <w:sz w:val="32"/>
          <w:szCs w:val="32"/>
          <w:highlight w:val="none"/>
        </w:rPr>
      </w:pPr>
    </w:p>
    <w:p w14:paraId="6F92E546">
      <w:pPr>
        <w:pStyle w:val="8"/>
        <w:snapToGrid w:val="0"/>
        <w:spacing w:before="50" w:after="50"/>
        <w:ind w:firstLine="1280" w:firstLineChars="400"/>
        <w:rPr>
          <w:rFonts w:ascii="宋体" w:hAnsi="宋体" w:cs="宋体"/>
          <w:bCs/>
          <w:color w:val="auto"/>
          <w:sz w:val="32"/>
          <w:szCs w:val="32"/>
          <w:highlight w:val="none"/>
        </w:rPr>
      </w:pPr>
    </w:p>
    <w:p w14:paraId="388B3D5F">
      <w:pPr>
        <w:snapToGrid w:val="0"/>
        <w:spacing w:before="120"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74B19957">
      <w:pPr>
        <w:snapToGrid w:val="0"/>
        <w:spacing w:before="120" w:beforeLines="50" w:after="50" w:line="360" w:lineRule="auto"/>
        <w:ind w:left="142" w:firstLine="643" w:firstLineChars="200"/>
        <w:jc w:val="left"/>
        <w:rPr>
          <w:rFonts w:ascii="宋体" w:hAnsi="宋体" w:cs="宋体"/>
          <w:b/>
          <w:bCs/>
          <w:color w:val="auto"/>
          <w:sz w:val="32"/>
          <w:szCs w:val="32"/>
          <w:highlight w:val="none"/>
        </w:rPr>
        <w:sectPr>
          <w:pgSz w:w="11910" w:h="16840"/>
          <w:pgMar w:top="1340" w:right="1500" w:bottom="280" w:left="1680" w:header="720" w:footer="720" w:gutter="0"/>
          <w:cols w:space="720" w:num="1"/>
        </w:sectPr>
      </w:pPr>
    </w:p>
    <w:p w14:paraId="6368FC70">
      <w:pPr>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商务技术文件目录</w:t>
      </w:r>
    </w:p>
    <w:p w14:paraId="3C3D7F1A">
      <w:pPr>
        <w:jc w:val="center"/>
        <w:rPr>
          <w:rFonts w:ascii="宋体" w:hAnsi="宋体" w:cs="宋体"/>
          <w:b/>
          <w:color w:val="auto"/>
          <w:kern w:val="0"/>
          <w:sz w:val="28"/>
          <w:szCs w:val="28"/>
          <w:highlight w:val="none"/>
        </w:rPr>
      </w:pPr>
    </w:p>
    <w:p w14:paraId="3C968641">
      <w:pPr>
        <w:pStyle w:val="85"/>
        <w:spacing w:line="360" w:lineRule="auto"/>
        <w:rPr>
          <w:rFonts w:ascii="宋体" w:hAnsi="宋体" w:eastAsia="宋体" w:cs="宋体"/>
          <w:color w:val="auto"/>
          <w:highlight w:val="none"/>
        </w:rPr>
      </w:pPr>
      <w:r>
        <w:rPr>
          <w:rFonts w:hint="eastAsia" w:ascii="宋体" w:hAnsi="宋体" w:eastAsia="宋体" w:cs="宋体"/>
          <w:color w:val="auto"/>
          <w:highlight w:val="none"/>
        </w:rPr>
        <w:t>一、无串标行为承诺函………………………………………………………（页码）</w:t>
      </w:r>
    </w:p>
    <w:p w14:paraId="0F66FB83">
      <w:pPr>
        <w:pStyle w:val="85"/>
        <w:spacing w:line="360" w:lineRule="auto"/>
        <w:rPr>
          <w:rFonts w:ascii="宋体" w:hAnsi="宋体" w:eastAsia="宋体" w:cs="宋体"/>
          <w:color w:val="auto"/>
          <w:highlight w:val="none"/>
        </w:rPr>
      </w:pPr>
      <w:r>
        <w:rPr>
          <w:rFonts w:hint="eastAsia" w:ascii="宋体" w:hAnsi="宋体" w:eastAsia="宋体" w:cs="宋体"/>
          <w:color w:val="auto"/>
          <w:highlight w:val="none"/>
        </w:rPr>
        <w:t>二、法定代表人身份证明及法定代表人有效身份证正反面复印件………（页码）</w:t>
      </w:r>
    </w:p>
    <w:p w14:paraId="0D5EEF31">
      <w:pPr>
        <w:pStyle w:val="85"/>
        <w:spacing w:line="360" w:lineRule="auto"/>
        <w:rPr>
          <w:rFonts w:ascii="宋体" w:hAnsi="宋体" w:eastAsia="宋体" w:cs="宋体"/>
          <w:color w:val="auto"/>
          <w:highlight w:val="none"/>
        </w:rPr>
      </w:pPr>
      <w:r>
        <w:rPr>
          <w:rFonts w:hint="eastAsia" w:ascii="宋体" w:hAnsi="宋体" w:eastAsia="宋体" w:cs="宋体"/>
          <w:color w:val="auto"/>
          <w:highlight w:val="none"/>
        </w:rPr>
        <w:t>三、法定代表人授权委托书（如有委托时）………………………………（页码）</w:t>
      </w:r>
    </w:p>
    <w:p w14:paraId="4360CFD8">
      <w:pPr>
        <w:pStyle w:val="85"/>
        <w:spacing w:line="360" w:lineRule="auto"/>
        <w:rPr>
          <w:rFonts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商务条款偏离表………………………………</w:t>
      </w:r>
      <w:r>
        <w:rPr>
          <w:rFonts w:hint="eastAsia" w:ascii="宋体" w:hAnsi="宋体" w:eastAsia="宋体" w:cs="宋体"/>
          <w:color w:val="auto"/>
          <w:highlight w:val="none"/>
        </w:rPr>
        <w:t>…………………………（页码）</w:t>
      </w:r>
    </w:p>
    <w:p w14:paraId="359C886A">
      <w:pPr>
        <w:pStyle w:val="85"/>
        <w:spacing w:line="360" w:lineRule="auto"/>
        <w:rPr>
          <w:rFonts w:ascii="宋体" w:hAnsi="宋体" w:eastAsia="宋体" w:cs="宋体"/>
          <w:color w:val="auto"/>
          <w:highlight w:val="none"/>
        </w:rPr>
      </w:pPr>
      <w:bookmarkStart w:id="100" w:name="OLE_LINK7"/>
      <w:bookmarkStart w:id="101" w:name="OLE_LINK6"/>
      <w:bookmarkStart w:id="102" w:name="OLE_LINK5"/>
      <w:r>
        <w:rPr>
          <w:rFonts w:hint="eastAsia" w:ascii="宋体" w:hAnsi="宋体" w:eastAsia="宋体" w:cs="宋体"/>
          <w:color w:val="auto"/>
          <w:highlight w:val="none"/>
          <w:lang w:val="en-US" w:eastAsia="zh-CN"/>
        </w:rPr>
        <w:t>五</w:t>
      </w:r>
      <w:r>
        <w:rPr>
          <w:rFonts w:hint="eastAsia" w:ascii="宋体" w:hAnsi="宋体" w:eastAsia="宋体" w:cs="宋体"/>
          <w:color w:val="auto"/>
          <w:highlight w:val="none"/>
        </w:rPr>
        <w:t>、竞标人情况介绍</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586F4787">
      <w:pPr>
        <w:pStyle w:val="85"/>
        <w:spacing w:line="360" w:lineRule="auto"/>
        <w:rPr>
          <w:rFonts w:ascii="宋体" w:hAnsi="宋体" w:eastAsia="宋体" w:cs="宋体"/>
          <w:color w:val="auto"/>
          <w:highlight w:val="none"/>
        </w:rPr>
      </w:pPr>
      <w:r>
        <w:rPr>
          <w:rFonts w:hint="eastAsia" w:ascii="宋体" w:hAnsi="宋体" w:eastAsia="宋体" w:cs="宋体"/>
          <w:color w:val="auto"/>
          <w:highlight w:val="none"/>
          <w:lang w:val="en-US" w:eastAsia="zh-CN"/>
        </w:rPr>
        <w:t>六</w:t>
      </w:r>
      <w:r>
        <w:rPr>
          <w:rFonts w:hint="eastAsia" w:ascii="宋体" w:hAnsi="宋体" w:eastAsia="宋体" w:cs="宋体"/>
          <w:color w:val="auto"/>
          <w:highlight w:val="none"/>
        </w:rPr>
        <w:t>、供应商类似业绩的证明文件（如有要求）</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bookmarkEnd w:id="100"/>
      <w:bookmarkEnd w:id="101"/>
    </w:p>
    <w:bookmarkEnd w:id="102"/>
    <w:p w14:paraId="572487EA">
      <w:pPr>
        <w:pStyle w:val="85"/>
        <w:spacing w:line="360" w:lineRule="auto"/>
        <w:rPr>
          <w:rFonts w:ascii="宋体" w:hAnsi="宋体" w:eastAsia="宋体" w:cs="宋体"/>
          <w:color w:val="auto"/>
          <w:highlight w:val="none"/>
        </w:rPr>
      </w:pPr>
      <w:r>
        <w:rPr>
          <w:rFonts w:hint="eastAsia" w:ascii="宋体" w:hAnsi="宋体" w:eastAsia="宋体" w:cs="宋体"/>
          <w:color w:val="auto"/>
          <w:highlight w:val="none"/>
          <w:lang w:val="en-US" w:eastAsia="zh-CN"/>
        </w:rPr>
        <w:t>七</w:t>
      </w:r>
      <w:r>
        <w:rPr>
          <w:rFonts w:hint="eastAsia" w:ascii="宋体" w:hAnsi="宋体" w:eastAsia="宋体" w:cs="宋体"/>
          <w:color w:val="auto"/>
          <w:highlight w:val="none"/>
        </w:rPr>
        <w:t>、服务需求偏离表…………………………………………………………（页码）</w:t>
      </w:r>
    </w:p>
    <w:p w14:paraId="4F513963">
      <w:pPr>
        <w:pStyle w:val="85"/>
        <w:spacing w:line="360" w:lineRule="auto"/>
        <w:rPr>
          <w:rFonts w:ascii="宋体" w:hAnsi="宋体" w:eastAsia="宋体" w:cs="宋体"/>
          <w:color w:val="auto"/>
          <w:highlight w:val="none"/>
        </w:rPr>
      </w:pPr>
      <w:r>
        <w:rPr>
          <w:rFonts w:hint="eastAsia" w:ascii="宋体" w:hAnsi="宋体" w:eastAsia="宋体" w:cs="宋体"/>
          <w:color w:val="auto"/>
          <w:highlight w:val="none"/>
          <w:lang w:val="en-US" w:eastAsia="zh-CN"/>
        </w:rPr>
        <w:t>八</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技术</w:t>
      </w:r>
      <w:r>
        <w:rPr>
          <w:rFonts w:hint="eastAsia" w:ascii="宋体" w:hAnsi="宋体" w:eastAsia="宋体" w:cs="宋体"/>
          <w:color w:val="auto"/>
          <w:highlight w:val="none"/>
        </w:rPr>
        <w:t>方案…………………………………………………………………（页码）</w:t>
      </w:r>
    </w:p>
    <w:p w14:paraId="09BB4C77">
      <w:pPr>
        <w:pStyle w:val="85"/>
        <w:spacing w:line="360" w:lineRule="auto"/>
        <w:rPr>
          <w:rFonts w:ascii="宋体" w:hAnsi="宋体" w:eastAsia="宋体" w:cs="宋体"/>
          <w:color w:val="auto"/>
          <w:highlight w:val="none"/>
        </w:rPr>
      </w:pPr>
      <w:r>
        <w:rPr>
          <w:rFonts w:hint="eastAsia" w:ascii="宋体" w:hAnsi="宋体" w:eastAsia="宋体" w:cs="宋体"/>
          <w:color w:val="auto"/>
          <w:highlight w:val="none"/>
          <w:lang w:val="en-US" w:eastAsia="zh-CN"/>
        </w:rPr>
        <w:t>九</w:t>
      </w:r>
      <w:r>
        <w:rPr>
          <w:rFonts w:hint="eastAsia" w:ascii="宋体" w:hAnsi="宋体" w:eastAsia="宋体" w:cs="宋体"/>
          <w:color w:val="auto"/>
          <w:highlight w:val="none"/>
        </w:rPr>
        <w:t>、</w:t>
      </w:r>
      <w:r>
        <w:rPr>
          <w:rFonts w:ascii="宋体" w:hAnsi="宋体" w:eastAsia="宋体" w:cs="宋体"/>
          <w:color w:val="auto"/>
          <w:highlight w:val="none"/>
        </w:rPr>
        <w:t>服务承诺</w:t>
      </w:r>
      <w:r>
        <w:rPr>
          <w:rFonts w:hint="eastAsia" w:ascii="宋体" w:hAnsi="宋体" w:eastAsia="宋体" w:cs="宋体"/>
          <w:color w:val="auto"/>
          <w:highlight w:val="none"/>
        </w:rPr>
        <w:t>…………………………………………………………………（页码）</w:t>
      </w:r>
    </w:p>
    <w:p w14:paraId="44C1C3D1">
      <w:pPr>
        <w:pStyle w:val="85"/>
        <w:spacing w:line="360" w:lineRule="auto"/>
        <w:rPr>
          <w:rFonts w:ascii="宋体" w:hAnsi="宋体" w:eastAsia="宋体" w:cs="宋体"/>
          <w:color w:val="auto"/>
          <w:highlight w:val="none"/>
        </w:rPr>
      </w:pPr>
      <w:r>
        <w:rPr>
          <w:rFonts w:hint="eastAsia" w:ascii="宋体" w:hAnsi="宋体" w:eastAsia="宋体" w:cs="宋体"/>
          <w:color w:val="auto"/>
          <w:highlight w:val="none"/>
        </w:rPr>
        <w:t>十、项目实施人员一览表…………………………………………………（页码）</w:t>
      </w:r>
    </w:p>
    <w:p w14:paraId="18273367">
      <w:pPr>
        <w:pStyle w:val="85"/>
        <w:spacing w:line="360" w:lineRule="auto"/>
        <w:rPr>
          <w:rFonts w:ascii="宋体" w:hAnsi="宋体" w:eastAsia="宋体" w:cs="宋体"/>
          <w:color w:val="auto"/>
          <w:highlight w:val="none"/>
        </w:rPr>
      </w:pPr>
      <w:r>
        <w:rPr>
          <w:rFonts w:hint="eastAsia" w:ascii="宋体" w:hAnsi="宋体" w:eastAsia="宋体" w:cs="宋体"/>
          <w:color w:val="auto"/>
          <w:highlight w:val="none"/>
        </w:rPr>
        <w:t>十</w:t>
      </w:r>
      <w:r>
        <w:rPr>
          <w:rFonts w:hint="eastAsia" w:ascii="宋体" w:hAnsi="宋体" w:eastAsia="宋体" w:cs="宋体"/>
          <w:color w:val="auto"/>
          <w:highlight w:val="none"/>
          <w:lang w:val="en-US" w:eastAsia="zh-CN"/>
        </w:rPr>
        <w:t>一</w:t>
      </w:r>
      <w:r>
        <w:rPr>
          <w:rFonts w:hint="eastAsia" w:ascii="宋体" w:hAnsi="宋体" w:eastAsia="宋体" w:cs="宋体"/>
          <w:color w:val="auto"/>
          <w:highlight w:val="none"/>
        </w:rPr>
        <w:t>、服务需求、商务条款要求提供的其他材料</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70FAD0C5">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注：以上目录是基本格式要求，各供应商可根据自身情况进一步向下增加内容或细化。</w:t>
      </w:r>
    </w:p>
    <w:p w14:paraId="2D56602B">
      <w:pPr>
        <w:spacing w:line="400" w:lineRule="exact"/>
        <w:rPr>
          <w:rFonts w:ascii="宋体" w:hAnsi="宋体" w:cs="宋体"/>
          <w:color w:val="auto"/>
          <w:sz w:val="32"/>
          <w:szCs w:val="32"/>
          <w:highlight w:val="none"/>
        </w:rPr>
      </w:pPr>
    </w:p>
    <w:p w14:paraId="206E94F3">
      <w:pPr>
        <w:spacing w:line="520" w:lineRule="exact"/>
        <w:rPr>
          <w:rFonts w:ascii="宋体" w:hAnsi="宋体" w:cs="宋体"/>
          <w:color w:val="auto"/>
          <w:sz w:val="44"/>
          <w:szCs w:val="44"/>
          <w:highlight w:val="none"/>
        </w:rPr>
      </w:pPr>
    </w:p>
    <w:p w14:paraId="115E49D7">
      <w:pPr>
        <w:spacing w:line="520" w:lineRule="exact"/>
        <w:rPr>
          <w:rFonts w:ascii="宋体" w:hAnsi="宋体" w:cs="宋体"/>
          <w:color w:val="auto"/>
          <w:sz w:val="44"/>
          <w:szCs w:val="44"/>
          <w:highlight w:val="none"/>
        </w:rPr>
      </w:pPr>
    </w:p>
    <w:p w14:paraId="691122E9">
      <w:pPr>
        <w:spacing w:line="520" w:lineRule="exact"/>
        <w:rPr>
          <w:rFonts w:ascii="宋体" w:hAnsi="宋体" w:cs="宋体"/>
          <w:color w:val="auto"/>
          <w:sz w:val="44"/>
          <w:szCs w:val="44"/>
          <w:highlight w:val="none"/>
        </w:rPr>
      </w:pPr>
    </w:p>
    <w:p w14:paraId="546EF3AB">
      <w:pPr>
        <w:spacing w:line="520" w:lineRule="exact"/>
        <w:rPr>
          <w:rFonts w:ascii="宋体" w:hAnsi="宋体" w:cs="宋体"/>
          <w:color w:val="auto"/>
          <w:sz w:val="44"/>
          <w:szCs w:val="44"/>
          <w:highlight w:val="none"/>
        </w:rPr>
      </w:pPr>
    </w:p>
    <w:p w14:paraId="05D9F6F5">
      <w:pPr>
        <w:spacing w:line="520" w:lineRule="exact"/>
        <w:rPr>
          <w:rFonts w:ascii="宋体" w:hAnsi="宋体" w:cs="宋体"/>
          <w:color w:val="auto"/>
          <w:sz w:val="44"/>
          <w:szCs w:val="44"/>
          <w:highlight w:val="none"/>
        </w:rPr>
      </w:pPr>
    </w:p>
    <w:p w14:paraId="32B84C6D">
      <w:pPr>
        <w:spacing w:line="520" w:lineRule="exact"/>
        <w:rPr>
          <w:rFonts w:ascii="宋体" w:hAnsi="宋体" w:cs="宋体"/>
          <w:color w:val="auto"/>
          <w:sz w:val="44"/>
          <w:szCs w:val="44"/>
          <w:highlight w:val="none"/>
        </w:rPr>
      </w:pPr>
    </w:p>
    <w:p w14:paraId="3B3CCB79">
      <w:pPr>
        <w:spacing w:line="520" w:lineRule="exact"/>
        <w:rPr>
          <w:rFonts w:ascii="宋体" w:hAnsi="宋体" w:cs="宋体"/>
          <w:color w:val="auto"/>
          <w:sz w:val="44"/>
          <w:szCs w:val="44"/>
          <w:highlight w:val="none"/>
        </w:rPr>
      </w:pPr>
    </w:p>
    <w:p w14:paraId="48EC9E69">
      <w:pPr>
        <w:spacing w:line="520" w:lineRule="exact"/>
        <w:rPr>
          <w:rFonts w:ascii="宋体" w:hAnsi="宋体" w:cs="宋体"/>
          <w:color w:val="auto"/>
          <w:sz w:val="44"/>
          <w:szCs w:val="44"/>
          <w:highlight w:val="none"/>
        </w:rPr>
      </w:pPr>
    </w:p>
    <w:p w14:paraId="403FB493">
      <w:pPr>
        <w:spacing w:line="520" w:lineRule="exact"/>
        <w:rPr>
          <w:rFonts w:ascii="宋体" w:hAnsi="宋体" w:cs="宋体"/>
          <w:color w:val="auto"/>
          <w:sz w:val="44"/>
          <w:szCs w:val="44"/>
          <w:highlight w:val="none"/>
        </w:rPr>
      </w:pPr>
    </w:p>
    <w:p w14:paraId="3ED9BF08">
      <w:pPr>
        <w:spacing w:line="520" w:lineRule="exact"/>
        <w:rPr>
          <w:rFonts w:ascii="宋体" w:hAnsi="宋体" w:cs="宋体"/>
          <w:color w:val="auto"/>
          <w:sz w:val="44"/>
          <w:szCs w:val="44"/>
          <w:highlight w:val="none"/>
        </w:rPr>
      </w:pPr>
    </w:p>
    <w:p w14:paraId="47EE3587">
      <w:pPr>
        <w:spacing w:line="520" w:lineRule="exact"/>
        <w:rPr>
          <w:rFonts w:ascii="宋体" w:hAnsi="宋体" w:cs="宋体"/>
          <w:color w:val="auto"/>
          <w:sz w:val="44"/>
          <w:szCs w:val="44"/>
          <w:highlight w:val="none"/>
        </w:rPr>
      </w:pPr>
    </w:p>
    <w:p w14:paraId="2DDE3498">
      <w:pPr>
        <w:spacing w:line="520" w:lineRule="exact"/>
        <w:rPr>
          <w:rFonts w:ascii="宋体" w:hAnsi="宋体" w:cs="宋体"/>
          <w:color w:val="auto"/>
          <w:sz w:val="44"/>
          <w:szCs w:val="44"/>
          <w:highlight w:val="none"/>
        </w:rPr>
      </w:pPr>
    </w:p>
    <w:p w14:paraId="119B67F9">
      <w:pPr>
        <w:pageBreakBefore/>
        <w:spacing w:line="520" w:lineRule="exact"/>
        <w:rPr>
          <w:rFonts w:ascii="宋体" w:hAnsi="宋体" w:cs="宋体"/>
          <w:color w:val="auto"/>
          <w:sz w:val="44"/>
          <w:szCs w:val="44"/>
          <w:highlight w:val="none"/>
        </w:rPr>
      </w:pPr>
      <w:r>
        <w:rPr>
          <w:rFonts w:hint="eastAsia" w:ascii="宋体" w:hAnsi="宋体" w:cs="宋体"/>
          <w:b/>
          <w:color w:val="auto"/>
          <w:sz w:val="30"/>
          <w:szCs w:val="30"/>
          <w:highlight w:val="none"/>
        </w:rPr>
        <w:t>一、无串标行为承诺函</w:t>
      </w:r>
    </w:p>
    <w:p w14:paraId="6709F845">
      <w:pPr>
        <w:spacing w:line="500" w:lineRule="exact"/>
        <w:jc w:val="center"/>
        <w:rPr>
          <w:rFonts w:ascii="宋体" w:hAnsi="宋体" w:cs="宋体"/>
          <w:b/>
          <w:color w:val="auto"/>
          <w:sz w:val="32"/>
          <w:szCs w:val="32"/>
          <w:highlight w:val="none"/>
        </w:rPr>
      </w:pPr>
    </w:p>
    <w:p w14:paraId="3513B76C">
      <w:pPr>
        <w:spacing w:line="50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无串通竞标行为的承诺函</w:t>
      </w:r>
    </w:p>
    <w:p w14:paraId="4FB8320C">
      <w:pPr>
        <w:spacing w:line="600" w:lineRule="exact"/>
        <w:ind w:firstLine="482" w:firstLineChars="200"/>
        <w:contextualSpacing/>
        <w:rPr>
          <w:rFonts w:ascii="宋体" w:hAnsi="宋体" w:cs="宋体"/>
          <w:b/>
          <w:bCs/>
          <w:color w:val="auto"/>
          <w:sz w:val="24"/>
          <w:highlight w:val="none"/>
        </w:rPr>
      </w:pPr>
      <w:r>
        <w:rPr>
          <w:rFonts w:hint="eastAsia" w:ascii="宋体" w:hAnsi="宋体" w:cs="宋体"/>
          <w:b/>
          <w:bCs/>
          <w:color w:val="auto"/>
          <w:sz w:val="24"/>
          <w:highlight w:val="none"/>
        </w:rPr>
        <w:t>一、我方承诺无下列相互串通竞标的情形：</w:t>
      </w:r>
    </w:p>
    <w:p w14:paraId="2A29EEF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 xml:space="preserve">1.不同供应商的响应文件由同一单位或者个人编制； </w:t>
      </w:r>
    </w:p>
    <w:p w14:paraId="2CF1930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352E6A5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3.不同供应商的响应文件载明的项目管理员为同一个人；</w:t>
      </w:r>
    </w:p>
    <w:p w14:paraId="2946503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4.不</w:t>
      </w:r>
      <w:r>
        <w:rPr>
          <w:rFonts w:hint="eastAsia" w:ascii="宋体" w:hAnsi="宋体" w:cs="宋体"/>
          <w:color w:val="auto"/>
          <w:spacing w:val="-6"/>
          <w:sz w:val="24"/>
          <w:highlight w:val="none"/>
        </w:rPr>
        <w:t>同供应商的响应文件异常一致或者响应报价呈规律性差异；</w:t>
      </w:r>
    </w:p>
    <w:p w14:paraId="750CBC4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5.不同供应商的响应文件相互混装；</w:t>
      </w:r>
    </w:p>
    <w:p w14:paraId="6CBA14D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6.不同供应商的磋商保证金从同一单位或者个人账户转出。</w:t>
      </w:r>
    </w:p>
    <w:p w14:paraId="530C9BAD">
      <w:pPr>
        <w:spacing w:line="360" w:lineRule="auto"/>
        <w:ind w:firstLine="482" w:firstLineChars="200"/>
        <w:contextualSpacing/>
        <w:rPr>
          <w:rFonts w:ascii="宋体" w:hAnsi="宋体" w:cs="宋体"/>
          <w:b/>
          <w:bCs/>
          <w:color w:val="auto"/>
          <w:sz w:val="24"/>
          <w:highlight w:val="none"/>
        </w:rPr>
      </w:pPr>
      <w:r>
        <w:rPr>
          <w:rFonts w:hint="eastAsia" w:ascii="宋体" w:hAnsi="宋体" w:cs="宋体"/>
          <w:b/>
          <w:bCs/>
          <w:color w:val="auto"/>
          <w:sz w:val="24"/>
          <w:highlight w:val="none"/>
        </w:rPr>
        <w:t>二、我方承诺无下列恶意串通的情形：</w:t>
      </w:r>
    </w:p>
    <w:p w14:paraId="12388B2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75464EF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78CAC70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3.供</w:t>
      </w:r>
      <w:r>
        <w:rPr>
          <w:rFonts w:hint="eastAsia" w:ascii="宋体" w:hAnsi="宋体" w:cs="宋体"/>
          <w:color w:val="auto"/>
          <w:spacing w:val="-6"/>
          <w:sz w:val="24"/>
          <w:highlight w:val="none"/>
        </w:rPr>
        <w:t>应商之间协商报价、技术方案等响应文件的实质性内容；</w:t>
      </w:r>
    </w:p>
    <w:p w14:paraId="65C04285">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6D3F15A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5.供应商之间事先约定一致抬高或者压低响应报价，或者在竞争性磋商项目中事先约定轮流以高价位或者低价位成交，或者事先约定由某一特定供应商成交，然后再参加竞标；</w:t>
      </w:r>
    </w:p>
    <w:p w14:paraId="6B6C7739">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2BBABAC9">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w:t>
      </w:r>
      <w:r>
        <w:rPr>
          <w:rFonts w:hint="eastAsia" w:ascii="宋体" w:hAnsi="宋体" w:cs="宋体"/>
          <w:color w:val="auto"/>
          <w:spacing w:val="-6"/>
          <w:sz w:val="24"/>
          <w:highlight w:val="none"/>
        </w:rPr>
        <w:t>谋求特定供应商成交或者排斥其他供应商的其他串通行为。</w:t>
      </w:r>
    </w:p>
    <w:p w14:paraId="5A404F75">
      <w:pPr>
        <w:spacing w:line="360" w:lineRule="auto"/>
        <w:ind w:firstLine="480" w:firstLineChars="200"/>
        <w:contextualSpacing/>
        <w:rPr>
          <w:rFonts w:ascii="宋体" w:hAnsi="宋体" w:cs="宋体"/>
          <w:color w:val="auto"/>
          <w:sz w:val="24"/>
          <w:highlight w:val="none"/>
        </w:rPr>
      </w:pPr>
    </w:p>
    <w:p w14:paraId="17F8D7EF">
      <w:pPr>
        <w:spacing w:line="360" w:lineRule="auto"/>
        <w:ind w:firstLine="482" w:firstLineChars="200"/>
        <w:contextualSpacing/>
        <w:rPr>
          <w:rFonts w:ascii="宋体" w:hAnsi="宋体" w:cs="宋体"/>
          <w:b/>
          <w:bCs/>
          <w:color w:val="auto"/>
          <w:sz w:val="24"/>
          <w:highlight w:val="none"/>
        </w:rPr>
      </w:pPr>
      <w:r>
        <w:rPr>
          <w:rFonts w:hint="eastAsia" w:ascii="宋体" w:hAnsi="宋体" w:cs="宋体"/>
          <w:b/>
          <w:bCs/>
          <w:color w:val="auto"/>
          <w:sz w:val="24"/>
          <w:highlight w:val="none"/>
        </w:rPr>
        <w:t>以上情形一经核查属实，我方愿意承担一切后果，并不再寻求任何旨在减轻或者免除法律责任的辩解。</w:t>
      </w:r>
    </w:p>
    <w:p w14:paraId="595E0C3A">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6D527C8C">
      <w:pPr>
        <w:spacing w:line="520" w:lineRule="exact"/>
        <w:ind w:left="239" w:leftChars="114" w:firstLine="6120" w:firstLineChars="2550"/>
        <w:jc w:val="left"/>
        <w:rPr>
          <w:rFonts w:ascii="宋体" w:hAnsi="宋体" w:cs="宋体"/>
          <w:bCs/>
          <w:color w:val="auto"/>
          <w:sz w:val="44"/>
          <w:szCs w:val="44"/>
          <w:highlight w:val="none"/>
        </w:rPr>
      </w:pPr>
      <w:r>
        <w:rPr>
          <w:rFonts w:hint="eastAsia" w:ascii="宋体" w:hAnsi="宋体" w:cs="宋体"/>
          <w:color w:val="auto"/>
          <w:kern w:val="0"/>
          <w:sz w:val="24"/>
          <w:highlight w:val="none"/>
          <w:lang w:val="zh-CN"/>
        </w:rPr>
        <w:t xml:space="preserve">日期：  年  月   日   </w:t>
      </w:r>
      <w:r>
        <w:rPr>
          <w:rFonts w:hint="eastAsia" w:ascii="宋体" w:hAnsi="宋体" w:cs="宋体"/>
          <w:b/>
          <w:bCs/>
          <w:color w:val="auto"/>
          <w:sz w:val="32"/>
          <w:szCs w:val="32"/>
          <w:highlight w:val="none"/>
        </w:rPr>
        <w:br w:type="page"/>
      </w:r>
      <w:r>
        <w:rPr>
          <w:rFonts w:hint="eastAsia" w:ascii="宋体" w:hAnsi="宋体" w:cs="宋体"/>
          <w:b/>
          <w:color w:val="auto"/>
          <w:sz w:val="30"/>
          <w:szCs w:val="30"/>
          <w:highlight w:val="none"/>
        </w:rPr>
        <w:t>二、法定代表人身份证明及法定代表人有效身份证正反面复印件</w:t>
      </w:r>
    </w:p>
    <w:p w14:paraId="64B45950">
      <w:pPr>
        <w:spacing w:line="520" w:lineRule="exact"/>
        <w:jc w:val="center"/>
        <w:rPr>
          <w:rFonts w:ascii="宋体" w:hAnsi="宋体" w:cs="宋体"/>
          <w:bCs/>
          <w:color w:val="auto"/>
          <w:sz w:val="44"/>
          <w:szCs w:val="44"/>
          <w:highlight w:val="none"/>
        </w:rPr>
      </w:pPr>
    </w:p>
    <w:p w14:paraId="5390ECC9">
      <w:pPr>
        <w:spacing w:line="50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法定代表人证明书</w:t>
      </w:r>
    </w:p>
    <w:p w14:paraId="0D6F5E3A">
      <w:pPr>
        <w:spacing w:line="360" w:lineRule="auto"/>
        <w:ind w:left="540"/>
        <w:contextualSpacing/>
        <w:rPr>
          <w:rFonts w:ascii="宋体" w:hAnsi="宋体" w:cs="宋体"/>
          <w:color w:val="auto"/>
          <w:sz w:val="32"/>
          <w:szCs w:val="32"/>
          <w:highlight w:val="none"/>
        </w:rPr>
      </w:pPr>
    </w:p>
    <w:p w14:paraId="780B03A7">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p>
    <w:p w14:paraId="5FB90B59">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02DD29A3">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0938CCC3">
      <w:pPr>
        <w:spacing w:line="360" w:lineRule="auto"/>
        <w:ind w:left="540"/>
        <w:contextualSpacing/>
        <w:rPr>
          <w:rFonts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5FD17E9F">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6EE9B60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的法定代表人。</w:t>
      </w:r>
    </w:p>
    <w:p w14:paraId="108456BC">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特此证明。</w:t>
      </w:r>
    </w:p>
    <w:p w14:paraId="34E1516D">
      <w:pPr>
        <w:spacing w:line="360" w:lineRule="auto"/>
        <w:ind w:left="540"/>
        <w:contextualSpacing/>
        <w:rPr>
          <w:rFonts w:ascii="宋体" w:hAnsi="宋体" w:cs="宋体"/>
          <w:color w:val="auto"/>
          <w:sz w:val="24"/>
          <w:highlight w:val="none"/>
        </w:rPr>
      </w:pPr>
    </w:p>
    <w:p w14:paraId="3F59F0A1">
      <w:pPr>
        <w:spacing w:line="360" w:lineRule="auto"/>
        <w:ind w:left="540"/>
        <w:contextualSpacing/>
        <w:rPr>
          <w:rFonts w:ascii="宋体" w:hAnsi="宋体" w:cs="宋体"/>
          <w:color w:val="auto"/>
          <w:sz w:val="24"/>
          <w:highlight w:val="none"/>
        </w:rPr>
      </w:pPr>
    </w:p>
    <w:p w14:paraId="77B187EB">
      <w:pPr>
        <w:spacing w:line="360" w:lineRule="auto"/>
        <w:ind w:left="540"/>
        <w:contextualSpacing/>
        <w:rPr>
          <w:rFonts w:ascii="宋体" w:hAnsi="宋体" w:cs="宋体"/>
          <w:color w:val="auto"/>
          <w:sz w:val="24"/>
          <w:highlight w:val="none"/>
        </w:rPr>
      </w:pPr>
    </w:p>
    <w:p w14:paraId="213380FD">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0646F74F">
      <w:pPr>
        <w:spacing w:line="360" w:lineRule="auto"/>
        <w:ind w:left="540"/>
        <w:contextualSpacing/>
        <w:rPr>
          <w:rFonts w:ascii="宋体" w:hAnsi="宋体" w:cs="宋体"/>
          <w:color w:val="auto"/>
          <w:sz w:val="24"/>
          <w:highlight w:val="none"/>
        </w:rPr>
      </w:pPr>
    </w:p>
    <w:p w14:paraId="6C953274">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2ADAC3F8">
      <w:pPr>
        <w:spacing w:line="360" w:lineRule="auto"/>
        <w:contextualSpacing/>
        <w:jc w:val="center"/>
        <w:rPr>
          <w:rFonts w:ascii="宋体" w:hAnsi="宋体" w:cs="宋体"/>
          <w:b/>
          <w:color w:val="auto"/>
          <w:sz w:val="24"/>
          <w:highlight w:val="none"/>
        </w:rPr>
      </w:pPr>
      <w:r>
        <w:rPr>
          <w:rFonts w:hint="eastAsia" w:ascii="宋体" w:hAnsi="宋体" w:cs="宋体"/>
          <w:color w:val="auto"/>
          <w:kern w:val="0"/>
          <w:sz w:val="24"/>
          <w:highlight w:val="none"/>
          <w:lang w:val="zh-CN"/>
        </w:rPr>
        <w:t xml:space="preserve">                                                   日期：  年  月   日</w:t>
      </w:r>
    </w:p>
    <w:p w14:paraId="705BDF4B">
      <w:pPr>
        <w:spacing w:line="360" w:lineRule="auto"/>
        <w:contextualSpacing/>
        <w:jc w:val="left"/>
        <w:rPr>
          <w:rFonts w:ascii="宋体" w:hAnsi="宋体" w:cs="宋体"/>
          <w:color w:val="auto"/>
          <w:sz w:val="24"/>
          <w:highlight w:val="none"/>
        </w:rPr>
      </w:pPr>
    </w:p>
    <w:p w14:paraId="747288C9">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注：1.自然人竞标的无需提供，联合体竞标的只需牵头人出具。</w:t>
      </w:r>
    </w:p>
    <w:p w14:paraId="692796B4">
      <w:pPr>
        <w:spacing w:line="360" w:lineRule="auto"/>
        <w:ind w:firstLine="480" w:firstLineChars="200"/>
        <w:contextualSpacing/>
        <w:jc w:val="left"/>
        <w:rPr>
          <w:rFonts w:ascii="宋体" w:hAnsi="宋体" w:cs="宋体"/>
          <w:color w:val="auto"/>
          <w:sz w:val="24"/>
          <w:highlight w:val="none"/>
        </w:rPr>
        <w:sectPr>
          <w:pgSz w:w="11910" w:h="16840"/>
          <w:pgMar w:top="1340" w:right="1500" w:bottom="280" w:left="1680" w:header="720" w:footer="720" w:gutter="0"/>
          <w:cols w:space="720" w:num="1"/>
        </w:sectPr>
      </w:pPr>
      <w:r>
        <w:rPr>
          <w:rFonts w:hint="eastAsia" w:ascii="宋体" w:hAnsi="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33"/>
        <w:tblpPr w:leftFromText="180" w:rightFromText="180" w:vertAnchor="text" w:horzAnchor="margin" w:tblpY="1169"/>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75621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Pr>
          <w:p w14:paraId="6AB62703">
            <w:pPr>
              <w:spacing w:line="360" w:lineRule="auto"/>
              <w:rPr>
                <w:rFonts w:ascii="宋体" w:hAnsi="宋体" w:cs="宋体"/>
                <w:b/>
                <w:color w:val="auto"/>
                <w:sz w:val="24"/>
                <w:highlight w:val="none"/>
              </w:rPr>
            </w:pPr>
          </w:p>
          <w:p w14:paraId="33F7F012">
            <w:pPr>
              <w:spacing w:line="360" w:lineRule="auto"/>
              <w:rPr>
                <w:rFonts w:ascii="宋体" w:hAnsi="宋体" w:cs="宋体"/>
                <w:b/>
                <w:color w:val="auto"/>
                <w:sz w:val="24"/>
                <w:highlight w:val="none"/>
              </w:rPr>
            </w:pPr>
            <w:r>
              <w:rPr>
                <w:rFonts w:hint="eastAsia" w:ascii="宋体" w:hAnsi="宋体" w:cs="宋体"/>
                <w:b/>
                <w:color w:val="auto"/>
                <w:sz w:val="24"/>
                <w:highlight w:val="none"/>
              </w:rPr>
              <w:t>法定代表身份证复印件粘帖处（正、反面）</w:t>
            </w:r>
          </w:p>
        </w:tc>
      </w:tr>
    </w:tbl>
    <w:p w14:paraId="210E92FB">
      <w:pPr>
        <w:spacing w:line="360" w:lineRule="auto"/>
        <w:ind w:firstLine="482" w:firstLineChars="200"/>
        <w:contextualSpacing/>
        <w:jc w:val="left"/>
        <w:rPr>
          <w:rFonts w:ascii="宋体" w:hAnsi="宋体" w:cs="宋体"/>
          <w:b/>
          <w:color w:val="auto"/>
          <w:sz w:val="32"/>
          <w:szCs w:val="32"/>
          <w:highlight w:val="none"/>
        </w:rPr>
      </w:pPr>
      <w:r>
        <w:rPr>
          <w:rFonts w:hint="eastAsia" w:ascii="宋体" w:hAnsi="宋体" w:cs="宋体"/>
          <w:b/>
          <w:color w:val="auto"/>
          <w:sz w:val="24"/>
          <w:highlight w:val="none"/>
        </w:rPr>
        <w:t>附件：</w:t>
      </w:r>
    </w:p>
    <w:p w14:paraId="515831A9">
      <w:pPr>
        <w:adjustRightInd w:val="0"/>
        <w:snapToGrid w:val="0"/>
        <w:spacing w:line="300" w:lineRule="auto"/>
        <w:jc w:val="left"/>
        <w:rPr>
          <w:rFonts w:ascii="宋体" w:hAnsi="宋体" w:cs="宋体"/>
          <w:b/>
          <w:color w:val="auto"/>
          <w:szCs w:val="21"/>
          <w:highlight w:val="none"/>
        </w:rPr>
      </w:pPr>
    </w:p>
    <w:p w14:paraId="0E723B21">
      <w:pPr>
        <w:spacing w:line="520" w:lineRule="exact"/>
        <w:ind w:firstLine="880"/>
        <w:jc w:val="left"/>
        <w:rPr>
          <w:rFonts w:ascii="宋体" w:hAnsi="宋体" w:cs="宋体"/>
          <w:bCs/>
          <w:color w:val="auto"/>
          <w:sz w:val="44"/>
          <w:szCs w:val="44"/>
          <w:highlight w:val="none"/>
        </w:rPr>
      </w:pPr>
      <w:r>
        <w:rPr>
          <w:rFonts w:hint="eastAsia" w:ascii="宋体" w:hAnsi="宋体" w:cs="宋体"/>
          <w:color w:val="auto"/>
          <w:sz w:val="44"/>
          <w:szCs w:val="44"/>
          <w:highlight w:val="none"/>
        </w:rPr>
        <w:br w:type="page"/>
      </w:r>
      <w:r>
        <w:rPr>
          <w:rFonts w:hint="eastAsia" w:ascii="宋体" w:hAnsi="宋体" w:cs="宋体"/>
          <w:b/>
          <w:color w:val="auto"/>
          <w:sz w:val="30"/>
          <w:szCs w:val="30"/>
          <w:highlight w:val="none"/>
        </w:rPr>
        <w:t>三、法定代表人授权委托书</w:t>
      </w:r>
    </w:p>
    <w:p w14:paraId="19167AC2">
      <w:pPr>
        <w:spacing w:line="500" w:lineRule="exact"/>
        <w:jc w:val="center"/>
        <w:rPr>
          <w:rFonts w:ascii="宋体" w:hAnsi="宋体" w:cs="宋体"/>
          <w:color w:val="auto"/>
          <w:sz w:val="44"/>
          <w:szCs w:val="44"/>
          <w:highlight w:val="none"/>
        </w:rPr>
      </w:pPr>
    </w:p>
    <w:p w14:paraId="2F6FADA7">
      <w:pPr>
        <w:spacing w:line="50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授权委托书（非联合体竞标格式）</w:t>
      </w:r>
    </w:p>
    <w:p w14:paraId="5EAA40EA">
      <w:pPr>
        <w:spacing w:line="50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（如有委托时）</w:t>
      </w:r>
    </w:p>
    <w:p w14:paraId="36B73EE3">
      <w:pPr>
        <w:spacing w:line="520" w:lineRule="exact"/>
        <w:rPr>
          <w:rFonts w:ascii="宋体" w:hAnsi="宋体" w:cs="宋体"/>
          <w:color w:val="auto"/>
          <w:sz w:val="32"/>
          <w:szCs w:val="32"/>
          <w:highlight w:val="none"/>
        </w:rPr>
      </w:pPr>
    </w:p>
    <w:p w14:paraId="7D31BCE5">
      <w:pPr>
        <w:spacing w:line="360" w:lineRule="auto"/>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采购单位 </w:t>
      </w:r>
      <w:r>
        <w:rPr>
          <w:rFonts w:hint="eastAsia" w:ascii="宋体" w:hAnsi="宋体" w:cs="宋体"/>
          <w:color w:val="auto"/>
          <w:sz w:val="24"/>
          <w:highlight w:val="none"/>
        </w:rPr>
        <w:t>：</w:t>
      </w:r>
    </w:p>
    <w:p w14:paraId="2C0C588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（供应商名称）  </w:t>
      </w:r>
      <w:r>
        <w:rPr>
          <w:rFonts w:hint="eastAsia" w:ascii="宋体" w:hAnsi="宋体" w:cs="宋体"/>
          <w:color w:val="auto"/>
          <w:sz w:val="24"/>
          <w:highlight w:val="none"/>
        </w:rPr>
        <w:t>的（</w:t>
      </w:r>
      <w:r>
        <w:rPr>
          <w:rFonts w:hint="eastAsia" w:ascii="宋体" w:hAnsi="宋体" w:cs="宋体"/>
          <w:color w:val="auto"/>
          <w:sz w:val="24"/>
          <w:highlight w:val="none"/>
          <w:u w:val="single"/>
        </w:rPr>
        <w:t>□法定代表人/□负责人/□自然人本人</w:t>
      </w:r>
      <w:r>
        <w:rPr>
          <w:rFonts w:hint="eastAsia" w:ascii="宋体" w:hAnsi="宋体" w:cs="宋体"/>
          <w:color w:val="auto"/>
          <w:sz w:val="24"/>
          <w:highlight w:val="none"/>
        </w:rPr>
        <w:t>），现授权</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以我方的名义参加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项目的竞标活动，并代表我方全权办理针对上述项目的所有采购程序和环节的具体事务和签署相关文件。</w:t>
      </w:r>
    </w:p>
    <w:p w14:paraId="711ADED1">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我方对委托代理人的签字事项负全部责任。</w:t>
      </w:r>
    </w:p>
    <w:p w14:paraId="6DA3467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057AAAF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委托代理人无转委托权，特此委托。</w:t>
      </w:r>
    </w:p>
    <w:p w14:paraId="1726E4D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附：法定代表人身份证明书及委托代理人有效身份证正反面复印件</w:t>
      </w:r>
    </w:p>
    <w:p w14:paraId="1B6F2F73">
      <w:pPr>
        <w:spacing w:line="360" w:lineRule="auto"/>
        <w:rPr>
          <w:rFonts w:ascii="宋体" w:hAnsi="宋体" w:cs="宋体"/>
          <w:color w:val="auto"/>
          <w:sz w:val="24"/>
          <w:highlight w:val="none"/>
        </w:rPr>
      </w:pPr>
    </w:p>
    <w:p w14:paraId="405990F2">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委托代理人（签字）：         法定代表人（签字或盖章）：                    </w:t>
      </w:r>
    </w:p>
    <w:p w14:paraId="5E984480">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委托代理人身份证号码：                              </w:t>
      </w:r>
    </w:p>
    <w:p w14:paraId="7AC95FDE">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p>
    <w:p w14:paraId="150977C7">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kern w:val="0"/>
          <w:sz w:val="24"/>
          <w:highlight w:val="none"/>
        </w:rPr>
        <w:t>供应商名称（电子签章）：</w:t>
      </w:r>
    </w:p>
    <w:p w14:paraId="033090CF">
      <w:pPr>
        <w:spacing w:line="360" w:lineRule="auto"/>
        <w:contextualSpacing/>
        <w:jc w:val="center"/>
        <w:rPr>
          <w:rFonts w:ascii="宋体" w:hAnsi="宋体" w:cs="宋体"/>
          <w:b/>
          <w:color w:val="auto"/>
          <w:sz w:val="24"/>
          <w:highlight w:val="none"/>
        </w:rPr>
      </w:pPr>
      <w:r>
        <w:rPr>
          <w:rFonts w:hint="eastAsia" w:ascii="宋体" w:hAnsi="宋体" w:cs="宋体"/>
          <w:color w:val="auto"/>
          <w:kern w:val="0"/>
          <w:sz w:val="24"/>
          <w:highlight w:val="none"/>
          <w:lang w:val="zh-CN"/>
        </w:rPr>
        <w:t xml:space="preserve">                                                   日期：  年  月   日</w:t>
      </w:r>
    </w:p>
    <w:p w14:paraId="32D6779C">
      <w:pPr>
        <w:spacing w:line="360" w:lineRule="auto"/>
        <w:rPr>
          <w:rFonts w:ascii="宋体" w:hAnsi="宋体" w:cs="宋体"/>
          <w:color w:val="auto"/>
          <w:sz w:val="24"/>
          <w:highlight w:val="none"/>
        </w:rPr>
      </w:pPr>
    </w:p>
    <w:p w14:paraId="40AE2A10">
      <w:pPr>
        <w:spacing w:line="360" w:lineRule="auto"/>
        <w:rPr>
          <w:rFonts w:ascii="宋体" w:hAnsi="宋体" w:cs="宋体"/>
          <w:color w:val="auto"/>
          <w:sz w:val="24"/>
          <w:highlight w:val="none"/>
        </w:rPr>
      </w:pPr>
      <w:r>
        <w:rPr>
          <w:rFonts w:hint="eastAsia" w:ascii="宋体" w:hAnsi="宋体" w:cs="宋体"/>
          <w:color w:val="auto"/>
          <w:sz w:val="24"/>
          <w:highlight w:val="none"/>
        </w:rPr>
        <w:t>注：1. 法定代表人必须在授权委托书上亲笔签字或盖章，委托代理人必须在授权委托书上亲笔签字，</w:t>
      </w:r>
      <w:r>
        <w:rPr>
          <w:rFonts w:hint="eastAsia" w:ascii="宋体" w:hAnsi="宋体" w:cs="宋体"/>
          <w:b/>
          <w:color w:val="auto"/>
          <w:sz w:val="24"/>
          <w:highlight w:val="none"/>
        </w:rPr>
        <w:t>否则其响应文件按无效响应处理。</w:t>
      </w:r>
    </w:p>
    <w:p w14:paraId="3D50F130">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79D85D70">
      <w:pPr>
        <w:spacing w:line="360" w:lineRule="auto"/>
        <w:ind w:firstLine="480" w:firstLineChars="200"/>
        <w:jc w:val="left"/>
        <w:rPr>
          <w:rFonts w:ascii="宋体" w:hAnsi="宋体" w:cs="宋体"/>
          <w:color w:val="auto"/>
          <w:szCs w:val="21"/>
          <w:highlight w:val="none"/>
        </w:rPr>
      </w:pPr>
      <w:r>
        <w:rPr>
          <w:rFonts w:hint="eastAsia" w:ascii="宋体" w:hAnsi="宋体" w:cs="宋体"/>
          <w:color w:val="auto"/>
          <w:sz w:val="24"/>
          <w:highlight w:val="none"/>
        </w:rPr>
        <w:t>3. 法人、其他组织竞标时“我方”是指“我单位”，自然人竞标时“我方”是指“本人”。</w:t>
      </w:r>
    </w:p>
    <w:p w14:paraId="7EA82C9E">
      <w:pPr>
        <w:spacing w:line="520" w:lineRule="exact"/>
        <w:jc w:val="left"/>
        <w:rPr>
          <w:rFonts w:ascii="宋体" w:hAnsi="宋体" w:cs="宋体"/>
          <w:color w:val="auto"/>
          <w:sz w:val="32"/>
          <w:szCs w:val="32"/>
          <w:highlight w:val="none"/>
        </w:rPr>
      </w:pPr>
      <w:r>
        <w:rPr>
          <w:rFonts w:hint="eastAsia" w:ascii="宋体" w:hAnsi="宋体" w:cs="宋体"/>
          <w:color w:val="auto"/>
          <w:sz w:val="32"/>
          <w:szCs w:val="32"/>
          <w:highlight w:val="none"/>
        </w:rPr>
        <w:br w:type="page"/>
      </w:r>
    </w:p>
    <w:p w14:paraId="0A51374D">
      <w:pPr>
        <w:spacing w:line="520" w:lineRule="exact"/>
        <w:jc w:val="left"/>
        <w:rPr>
          <w:rFonts w:ascii="宋体" w:hAnsi="宋体" w:cs="宋体"/>
          <w:b/>
          <w:color w:val="auto"/>
          <w:sz w:val="30"/>
          <w:szCs w:val="30"/>
          <w:highlight w:val="none"/>
        </w:rPr>
      </w:pPr>
    </w:p>
    <w:p w14:paraId="62A7E09F">
      <w:pPr>
        <w:spacing w:line="520" w:lineRule="exact"/>
        <w:jc w:val="left"/>
        <w:rPr>
          <w:rFonts w:ascii="宋体" w:hAnsi="宋体" w:cs="宋体"/>
          <w:b/>
          <w:color w:val="auto"/>
          <w:sz w:val="30"/>
          <w:szCs w:val="30"/>
          <w:highlight w:val="none"/>
        </w:rPr>
      </w:pPr>
      <w:r>
        <w:rPr>
          <w:rFonts w:hint="eastAsia" w:ascii="宋体" w:hAnsi="宋体" w:cs="宋体"/>
          <w:b/>
          <w:color w:val="auto"/>
          <w:sz w:val="30"/>
          <w:szCs w:val="30"/>
          <w:highlight w:val="none"/>
          <w:lang w:val="en-US" w:eastAsia="zh-CN"/>
        </w:rPr>
        <w:t>四</w:t>
      </w:r>
      <w:r>
        <w:rPr>
          <w:rFonts w:hint="eastAsia" w:ascii="宋体" w:hAnsi="宋体" w:cs="宋体"/>
          <w:b/>
          <w:color w:val="auto"/>
          <w:sz w:val="30"/>
          <w:szCs w:val="30"/>
          <w:highlight w:val="none"/>
        </w:rPr>
        <w:t>、商务条款偏离表</w:t>
      </w:r>
    </w:p>
    <w:p w14:paraId="3A851A55">
      <w:pPr>
        <w:spacing w:line="50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商务条款偏离表</w:t>
      </w:r>
    </w:p>
    <w:p w14:paraId="3C294475">
      <w:pPr>
        <w:spacing w:line="520" w:lineRule="exact"/>
        <w:rPr>
          <w:rFonts w:ascii="宋体" w:hAnsi="宋体" w:cs="宋体"/>
          <w:color w:val="auto"/>
          <w:sz w:val="32"/>
          <w:szCs w:val="32"/>
          <w:highlight w:val="none"/>
        </w:rPr>
      </w:pPr>
    </w:p>
    <w:p w14:paraId="352D7CCE">
      <w:pPr>
        <w:spacing w:line="360" w:lineRule="auto"/>
        <w:contextualSpacing/>
        <w:rPr>
          <w:rFonts w:ascii="宋体" w:hAnsi="宋体" w:cs="宋体"/>
          <w:color w:val="auto"/>
          <w:sz w:val="24"/>
          <w:highlight w:val="none"/>
          <w:u w:val="single"/>
        </w:rPr>
      </w:pPr>
      <w:r>
        <w:rPr>
          <w:rFonts w:hint="eastAsia" w:ascii="宋体" w:hAnsi="宋体" w:cs="宋体"/>
          <w:color w:val="auto"/>
          <w:sz w:val="24"/>
          <w:highlight w:val="none"/>
        </w:rPr>
        <w:t>采购项目编号：</w:t>
      </w:r>
      <w:r>
        <w:rPr>
          <w:rFonts w:hint="eastAsia" w:ascii="宋体" w:hAnsi="宋体" w:cs="宋体"/>
          <w:color w:val="auto"/>
          <w:sz w:val="24"/>
          <w:highlight w:val="none"/>
          <w:u w:val="single"/>
        </w:rPr>
        <w:t xml:space="preserve">                        </w:t>
      </w:r>
    </w:p>
    <w:p w14:paraId="0787B509">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采购项目名称：</w:t>
      </w:r>
      <w:r>
        <w:rPr>
          <w:rFonts w:hint="eastAsia" w:ascii="宋体" w:hAnsi="宋体" w:cs="宋体"/>
          <w:color w:val="auto"/>
          <w:sz w:val="24"/>
          <w:highlight w:val="none"/>
          <w:u w:val="single"/>
        </w:rPr>
        <w:t xml:space="preserve">                            </w:t>
      </w:r>
    </w:p>
    <w:p w14:paraId="5F9DF836">
      <w:pPr>
        <w:spacing w:line="360" w:lineRule="auto"/>
        <w:contextualSpacing/>
        <w:rPr>
          <w:rFonts w:ascii="宋体" w:hAnsi="宋体" w:cs="宋体"/>
          <w:color w:val="auto"/>
          <w:sz w:val="24"/>
          <w:highlight w:val="none"/>
          <w:u w:val="single"/>
        </w:rPr>
      </w:pPr>
      <w:r>
        <w:rPr>
          <w:rFonts w:hint="eastAsia" w:ascii="宋体" w:hAnsi="宋体" w:cs="宋体"/>
          <w:color w:val="auto"/>
          <w:sz w:val="24"/>
          <w:highlight w:val="none"/>
        </w:rPr>
        <w:t>分标号（此处有分标时填写具体分标号，无分标时填写“无”）：</w:t>
      </w:r>
      <w:r>
        <w:rPr>
          <w:rFonts w:hint="eastAsia" w:ascii="宋体" w:hAnsi="宋体" w:cs="宋体"/>
          <w:color w:val="auto"/>
          <w:sz w:val="24"/>
          <w:highlight w:val="none"/>
          <w:u w:val="single"/>
        </w:rPr>
        <w:t xml:space="preserve">                       </w:t>
      </w:r>
    </w:p>
    <w:tbl>
      <w:tblPr>
        <w:tblStyle w:val="33"/>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3904"/>
        <w:gridCol w:w="3589"/>
        <w:gridCol w:w="1274"/>
      </w:tblGrid>
      <w:tr w14:paraId="0816F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13" w:type="dxa"/>
            <w:tcBorders>
              <w:top w:val="single" w:color="auto" w:sz="4" w:space="0"/>
              <w:left w:val="single" w:color="auto" w:sz="4" w:space="0"/>
              <w:bottom w:val="single" w:color="auto" w:sz="4" w:space="0"/>
              <w:right w:val="single" w:color="auto" w:sz="4" w:space="0"/>
            </w:tcBorders>
            <w:vAlign w:val="center"/>
          </w:tcPr>
          <w:p w14:paraId="53F9F966">
            <w:pPr>
              <w:spacing w:line="34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项号</w:t>
            </w:r>
          </w:p>
        </w:tc>
        <w:tc>
          <w:tcPr>
            <w:tcW w:w="3904" w:type="dxa"/>
            <w:tcBorders>
              <w:top w:val="single" w:color="auto" w:sz="4" w:space="0"/>
              <w:left w:val="single" w:color="auto" w:sz="4" w:space="0"/>
              <w:bottom w:val="single" w:color="auto" w:sz="4" w:space="0"/>
              <w:right w:val="single" w:color="auto" w:sz="4" w:space="0"/>
            </w:tcBorders>
            <w:vAlign w:val="center"/>
          </w:tcPr>
          <w:p w14:paraId="299CB9CE">
            <w:pPr>
              <w:spacing w:line="34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竞争性磋商采购文件的商务需求</w:t>
            </w:r>
          </w:p>
        </w:tc>
        <w:tc>
          <w:tcPr>
            <w:tcW w:w="3589" w:type="dxa"/>
            <w:tcBorders>
              <w:top w:val="single" w:color="auto" w:sz="4" w:space="0"/>
              <w:left w:val="single" w:color="auto" w:sz="4" w:space="0"/>
              <w:bottom w:val="single" w:color="auto" w:sz="4" w:space="0"/>
              <w:right w:val="single" w:color="auto" w:sz="4" w:space="0"/>
            </w:tcBorders>
            <w:vAlign w:val="center"/>
          </w:tcPr>
          <w:p w14:paraId="1D2B986B">
            <w:pPr>
              <w:spacing w:line="34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06C6FE65">
            <w:pPr>
              <w:spacing w:line="34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偏离说明</w:t>
            </w:r>
          </w:p>
        </w:tc>
      </w:tr>
      <w:tr w14:paraId="760DE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713" w:type="dxa"/>
            <w:tcBorders>
              <w:top w:val="single" w:color="auto" w:sz="4" w:space="0"/>
              <w:left w:val="single" w:color="auto" w:sz="4" w:space="0"/>
              <w:bottom w:val="single" w:color="auto" w:sz="4" w:space="0"/>
              <w:right w:val="single" w:color="auto" w:sz="4" w:space="0"/>
            </w:tcBorders>
          </w:tcPr>
          <w:p w14:paraId="0AF87B39">
            <w:pPr>
              <w:spacing w:line="340" w:lineRule="exact"/>
              <w:rPr>
                <w:rFonts w:ascii="宋体" w:hAnsi="宋体" w:cs="宋体"/>
                <w:color w:val="auto"/>
                <w:sz w:val="24"/>
                <w:szCs w:val="24"/>
                <w:highlight w:val="none"/>
              </w:rPr>
            </w:pPr>
            <w:r>
              <w:rPr>
                <w:rFonts w:hint="eastAsia" w:ascii="宋体" w:hAnsi="宋体" w:cs="宋体"/>
                <w:color w:val="auto"/>
                <w:sz w:val="24"/>
                <w:szCs w:val="24"/>
                <w:highlight w:val="none"/>
              </w:rPr>
              <w:t>一</w:t>
            </w:r>
          </w:p>
        </w:tc>
        <w:tc>
          <w:tcPr>
            <w:tcW w:w="3904" w:type="dxa"/>
            <w:tcBorders>
              <w:top w:val="single" w:color="auto" w:sz="4" w:space="0"/>
              <w:left w:val="single" w:color="auto" w:sz="4" w:space="0"/>
              <w:bottom w:val="single" w:color="auto" w:sz="4" w:space="0"/>
              <w:right w:val="single" w:color="auto" w:sz="4" w:space="0"/>
            </w:tcBorders>
          </w:tcPr>
          <w:p w14:paraId="3700BC03">
            <w:pPr>
              <w:spacing w:line="340" w:lineRule="exact"/>
              <w:rPr>
                <w:rFonts w:ascii="宋体" w:hAnsi="宋体" w:cs="宋体"/>
                <w:color w:val="auto"/>
                <w:sz w:val="24"/>
                <w:szCs w:val="24"/>
                <w:highlight w:val="none"/>
              </w:rPr>
            </w:pPr>
            <w:r>
              <w:rPr>
                <w:rFonts w:hint="eastAsia" w:ascii="宋体" w:hAnsi="宋体" w:cs="宋体"/>
                <w:color w:val="auto"/>
                <w:sz w:val="24"/>
                <w:szCs w:val="24"/>
                <w:highlight w:val="none"/>
              </w:rPr>
              <w:t>1  ……</w:t>
            </w:r>
          </w:p>
          <w:p w14:paraId="417F3441">
            <w:pPr>
              <w:spacing w:line="340" w:lineRule="exact"/>
              <w:rPr>
                <w:rFonts w:ascii="宋体" w:hAnsi="宋体" w:cs="宋体"/>
                <w:color w:val="auto"/>
                <w:sz w:val="24"/>
                <w:szCs w:val="24"/>
                <w:highlight w:val="none"/>
              </w:rPr>
            </w:pPr>
            <w:r>
              <w:rPr>
                <w:rFonts w:hint="eastAsia" w:ascii="宋体" w:hAnsi="宋体" w:cs="宋体"/>
                <w:color w:val="auto"/>
                <w:sz w:val="24"/>
                <w:szCs w:val="24"/>
                <w:highlight w:val="none"/>
              </w:rPr>
              <w:t>2  ……</w:t>
            </w:r>
          </w:p>
          <w:p w14:paraId="6A6619D4">
            <w:pPr>
              <w:spacing w:line="340" w:lineRule="exact"/>
              <w:rPr>
                <w:rFonts w:ascii="宋体" w:hAnsi="宋体" w:cs="宋体"/>
                <w:color w:val="auto"/>
                <w:sz w:val="24"/>
                <w:szCs w:val="24"/>
                <w:highlight w:val="none"/>
              </w:rPr>
            </w:pPr>
            <w:r>
              <w:rPr>
                <w:rFonts w:hint="eastAsia" w:ascii="宋体" w:hAnsi="宋体" w:cs="宋体"/>
                <w:color w:val="auto"/>
                <w:sz w:val="24"/>
                <w:szCs w:val="24"/>
                <w:highlight w:val="none"/>
              </w:rPr>
              <w:t>3  ……</w:t>
            </w:r>
          </w:p>
          <w:p w14:paraId="4C37D04C">
            <w:pPr>
              <w:spacing w:line="340" w:lineRule="exact"/>
              <w:rPr>
                <w:rFonts w:ascii="宋体" w:hAnsi="宋体" w:cs="宋体"/>
                <w:color w:val="auto"/>
                <w:sz w:val="24"/>
                <w:szCs w:val="24"/>
                <w:highlight w:val="none"/>
              </w:rPr>
            </w:pPr>
            <w:r>
              <w:rPr>
                <w:rFonts w:hint="eastAsia" w:ascii="宋体" w:hAnsi="宋体" w:cs="宋体"/>
                <w:color w:val="auto"/>
                <w:sz w:val="24"/>
                <w:szCs w:val="24"/>
                <w:highlight w:val="none"/>
              </w:rPr>
              <w:t>……</w:t>
            </w:r>
          </w:p>
        </w:tc>
        <w:tc>
          <w:tcPr>
            <w:tcW w:w="3589" w:type="dxa"/>
            <w:tcBorders>
              <w:top w:val="single" w:color="auto" w:sz="4" w:space="0"/>
              <w:left w:val="single" w:color="auto" w:sz="4" w:space="0"/>
              <w:bottom w:val="single" w:color="auto" w:sz="4" w:space="0"/>
              <w:right w:val="single" w:color="auto" w:sz="4" w:space="0"/>
            </w:tcBorders>
          </w:tcPr>
          <w:p w14:paraId="621FF36F">
            <w:pPr>
              <w:spacing w:line="340" w:lineRule="exact"/>
              <w:rPr>
                <w:rFonts w:ascii="宋体" w:hAnsi="宋体" w:cs="宋体"/>
                <w:color w:val="auto"/>
                <w:sz w:val="24"/>
                <w:szCs w:val="24"/>
                <w:highlight w:val="none"/>
              </w:rPr>
            </w:pPr>
            <w:r>
              <w:rPr>
                <w:rFonts w:hint="eastAsia" w:ascii="宋体" w:hAnsi="宋体" w:cs="宋体"/>
                <w:color w:val="auto"/>
                <w:sz w:val="24"/>
                <w:szCs w:val="24"/>
                <w:highlight w:val="none"/>
              </w:rPr>
              <w:t>1  ……</w:t>
            </w:r>
          </w:p>
          <w:p w14:paraId="1ADF54E6">
            <w:pPr>
              <w:spacing w:line="340" w:lineRule="exact"/>
              <w:rPr>
                <w:rFonts w:ascii="宋体" w:hAnsi="宋体" w:cs="宋体"/>
                <w:color w:val="auto"/>
                <w:sz w:val="24"/>
                <w:szCs w:val="24"/>
                <w:highlight w:val="none"/>
              </w:rPr>
            </w:pPr>
            <w:r>
              <w:rPr>
                <w:rFonts w:hint="eastAsia" w:ascii="宋体" w:hAnsi="宋体" w:cs="宋体"/>
                <w:color w:val="auto"/>
                <w:sz w:val="24"/>
                <w:szCs w:val="24"/>
                <w:highlight w:val="none"/>
              </w:rPr>
              <w:t>2  ……</w:t>
            </w:r>
          </w:p>
          <w:p w14:paraId="7858A6FA">
            <w:pPr>
              <w:spacing w:line="340" w:lineRule="exact"/>
              <w:rPr>
                <w:rFonts w:ascii="宋体" w:hAnsi="宋体" w:cs="宋体"/>
                <w:color w:val="auto"/>
                <w:sz w:val="24"/>
                <w:szCs w:val="24"/>
                <w:highlight w:val="none"/>
              </w:rPr>
            </w:pPr>
            <w:r>
              <w:rPr>
                <w:rFonts w:hint="eastAsia" w:ascii="宋体" w:hAnsi="宋体" w:cs="宋体"/>
                <w:color w:val="auto"/>
                <w:sz w:val="24"/>
                <w:szCs w:val="24"/>
                <w:highlight w:val="none"/>
              </w:rPr>
              <w:t>3  ……</w:t>
            </w:r>
          </w:p>
          <w:p w14:paraId="2501429E">
            <w:pPr>
              <w:spacing w:line="340" w:lineRule="exact"/>
              <w:rPr>
                <w:rFonts w:ascii="宋体" w:hAnsi="宋体" w:cs="宋体"/>
                <w:color w:val="auto"/>
                <w:sz w:val="24"/>
                <w:szCs w:val="24"/>
                <w:highlight w:val="none"/>
              </w:rPr>
            </w:pPr>
            <w:r>
              <w:rPr>
                <w:rFonts w:hint="eastAsia" w:ascii="宋体" w:hAnsi="宋体" w:cs="宋体"/>
                <w:color w:val="auto"/>
                <w:sz w:val="24"/>
                <w:szCs w:val="24"/>
                <w:highlight w:val="none"/>
              </w:rPr>
              <w:t>……</w:t>
            </w:r>
          </w:p>
        </w:tc>
        <w:tc>
          <w:tcPr>
            <w:tcW w:w="1274" w:type="dxa"/>
            <w:tcBorders>
              <w:top w:val="single" w:color="auto" w:sz="4" w:space="0"/>
              <w:left w:val="single" w:color="auto" w:sz="4" w:space="0"/>
              <w:bottom w:val="single" w:color="auto" w:sz="4" w:space="0"/>
              <w:right w:val="single" w:color="auto" w:sz="4" w:space="0"/>
            </w:tcBorders>
          </w:tcPr>
          <w:p w14:paraId="3AF4737D">
            <w:pPr>
              <w:spacing w:line="300" w:lineRule="exact"/>
              <w:rPr>
                <w:rFonts w:ascii="宋体" w:hAnsi="宋体" w:cs="宋体"/>
                <w:color w:val="auto"/>
                <w:sz w:val="24"/>
                <w:szCs w:val="24"/>
                <w:highlight w:val="none"/>
              </w:rPr>
            </w:pPr>
          </w:p>
        </w:tc>
      </w:tr>
      <w:tr w14:paraId="4C22C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713" w:type="dxa"/>
            <w:tcBorders>
              <w:top w:val="single" w:color="auto" w:sz="4" w:space="0"/>
              <w:left w:val="single" w:color="auto" w:sz="4" w:space="0"/>
              <w:bottom w:val="single" w:color="auto" w:sz="4" w:space="0"/>
              <w:right w:val="single" w:color="auto" w:sz="4" w:space="0"/>
            </w:tcBorders>
          </w:tcPr>
          <w:p w14:paraId="251385E6">
            <w:pPr>
              <w:spacing w:line="340" w:lineRule="exact"/>
              <w:rPr>
                <w:rFonts w:ascii="宋体" w:hAnsi="宋体" w:cs="宋体"/>
                <w:color w:val="auto"/>
                <w:sz w:val="24"/>
                <w:szCs w:val="24"/>
                <w:highlight w:val="none"/>
              </w:rPr>
            </w:pPr>
            <w:r>
              <w:rPr>
                <w:rFonts w:hint="eastAsia" w:ascii="宋体" w:hAnsi="宋体" w:cs="宋体"/>
                <w:color w:val="auto"/>
                <w:sz w:val="24"/>
                <w:szCs w:val="24"/>
                <w:highlight w:val="none"/>
              </w:rPr>
              <w:t>二</w:t>
            </w:r>
          </w:p>
        </w:tc>
        <w:tc>
          <w:tcPr>
            <w:tcW w:w="3904" w:type="dxa"/>
            <w:tcBorders>
              <w:top w:val="single" w:color="auto" w:sz="4" w:space="0"/>
              <w:left w:val="single" w:color="auto" w:sz="4" w:space="0"/>
              <w:bottom w:val="single" w:color="auto" w:sz="4" w:space="0"/>
              <w:right w:val="single" w:color="auto" w:sz="4" w:space="0"/>
            </w:tcBorders>
          </w:tcPr>
          <w:p w14:paraId="51B4E70B">
            <w:pPr>
              <w:spacing w:line="340" w:lineRule="exact"/>
              <w:rPr>
                <w:rFonts w:ascii="宋体" w:hAnsi="宋体" w:cs="宋体"/>
                <w:color w:val="auto"/>
                <w:sz w:val="24"/>
                <w:szCs w:val="24"/>
                <w:highlight w:val="none"/>
              </w:rPr>
            </w:pPr>
            <w:r>
              <w:rPr>
                <w:rFonts w:hint="eastAsia" w:ascii="宋体" w:hAnsi="宋体" w:cs="宋体"/>
                <w:color w:val="auto"/>
                <w:sz w:val="24"/>
                <w:szCs w:val="24"/>
                <w:highlight w:val="none"/>
              </w:rPr>
              <w:t>1  ……</w:t>
            </w:r>
          </w:p>
          <w:p w14:paraId="4E476E4C">
            <w:pPr>
              <w:spacing w:line="340" w:lineRule="exact"/>
              <w:rPr>
                <w:rFonts w:ascii="宋体" w:hAnsi="宋体" w:cs="宋体"/>
                <w:color w:val="auto"/>
                <w:sz w:val="24"/>
                <w:szCs w:val="24"/>
                <w:highlight w:val="none"/>
              </w:rPr>
            </w:pPr>
            <w:r>
              <w:rPr>
                <w:rFonts w:hint="eastAsia" w:ascii="宋体" w:hAnsi="宋体" w:cs="宋体"/>
                <w:color w:val="auto"/>
                <w:sz w:val="24"/>
                <w:szCs w:val="24"/>
                <w:highlight w:val="none"/>
              </w:rPr>
              <w:t>2  ……</w:t>
            </w:r>
          </w:p>
          <w:p w14:paraId="00C9F930">
            <w:pPr>
              <w:spacing w:line="340" w:lineRule="exact"/>
              <w:rPr>
                <w:rFonts w:ascii="宋体" w:hAnsi="宋体" w:cs="宋体"/>
                <w:color w:val="auto"/>
                <w:sz w:val="24"/>
                <w:szCs w:val="24"/>
                <w:highlight w:val="none"/>
              </w:rPr>
            </w:pPr>
            <w:r>
              <w:rPr>
                <w:rFonts w:hint="eastAsia" w:ascii="宋体" w:hAnsi="宋体" w:cs="宋体"/>
                <w:color w:val="auto"/>
                <w:sz w:val="24"/>
                <w:szCs w:val="24"/>
                <w:highlight w:val="none"/>
              </w:rPr>
              <w:t>3  ……</w:t>
            </w:r>
          </w:p>
          <w:p w14:paraId="184DD736">
            <w:pPr>
              <w:spacing w:line="340" w:lineRule="exact"/>
              <w:rPr>
                <w:rFonts w:ascii="宋体" w:hAnsi="宋体" w:cs="宋体"/>
                <w:color w:val="auto"/>
                <w:sz w:val="24"/>
                <w:szCs w:val="24"/>
                <w:highlight w:val="none"/>
              </w:rPr>
            </w:pPr>
            <w:r>
              <w:rPr>
                <w:rFonts w:hint="eastAsia" w:ascii="宋体" w:hAnsi="宋体" w:cs="宋体"/>
                <w:color w:val="auto"/>
                <w:sz w:val="24"/>
                <w:szCs w:val="24"/>
                <w:highlight w:val="none"/>
              </w:rPr>
              <w:t>……</w:t>
            </w:r>
          </w:p>
        </w:tc>
        <w:tc>
          <w:tcPr>
            <w:tcW w:w="3589" w:type="dxa"/>
            <w:tcBorders>
              <w:top w:val="single" w:color="auto" w:sz="4" w:space="0"/>
              <w:left w:val="single" w:color="auto" w:sz="4" w:space="0"/>
              <w:bottom w:val="single" w:color="auto" w:sz="4" w:space="0"/>
              <w:right w:val="single" w:color="auto" w:sz="4" w:space="0"/>
            </w:tcBorders>
          </w:tcPr>
          <w:p w14:paraId="2E329973">
            <w:pPr>
              <w:spacing w:line="340" w:lineRule="exact"/>
              <w:rPr>
                <w:rFonts w:ascii="宋体" w:hAnsi="宋体" w:cs="宋体"/>
                <w:color w:val="auto"/>
                <w:sz w:val="24"/>
                <w:szCs w:val="24"/>
                <w:highlight w:val="none"/>
              </w:rPr>
            </w:pPr>
            <w:r>
              <w:rPr>
                <w:rFonts w:hint="eastAsia" w:ascii="宋体" w:hAnsi="宋体" w:cs="宋体"/>
                <w:color w:val="auto"/>
                <w:sz w:val="24"/>
                <w:szCs w:val="24"/>
                <w:highlight w:val="none"/>
              </w:rPr>
              <w:t>1  ……</w:t>
            </w:r>
          </w:p>
          <w:p w14:paraId="2D7DCABD">
            <w:pPr>
              <w:spacing w:line="340" w:lineRule="exact"/>
              <w:rPr>
                <w:rFonts w:ascii="宋体" w:hAnsi="宋体" w:cs="宋体"/>
                <w:color w:val="auto"/>
                <w:sz w:val="24"/>
                <w:szCs w:val="24"/>
                <w:highlight w:val="none"/>
              </w:rPr>
            </w:pPr>
            <w:r>
              <w:rPr>
                <w:rFonts w:hint="eastAsia" w:ascii="宋体" w:hAnsi="宋体" w:cs="宋体"/>
                <w:color w:val="auto"/>
                <w:sz w:val="24"/>
                <w:szCs w:val="24"/>
                <w:highlight w:val="none"/>
              </w:rPr>
              <w:t>2  ……</w:t>
            </w:r>
          </w:p>
          <w:p w14:paraId="09174B45">
            <w:pPr>
              <w:spacing w:line="340" w:lineRule="exact"/>
              <w:rPr>
                <w:rFonts w:ascii="宋体" w:hAnsi="宋体" w:cs="宋体"/>
                <w:color w:val="auto"/>
                <w:sz w:val="24"/>
                <w:szCs w:val="24"/>
                <w:highlight w:val="none"/>
              </w:rPr>
            </w:pPr>
            <w:r>
              <w:rPr>
                <w:rFonts w:hint="eastAsia" w:ascii="宋体" w:hAnsi="宋体" w:cs="宋体"/>
                <w:color w:val="auto"/>
                <w:sz w:val="24"/>
                <w:szCs w:val="24"/>
                <w:highlight w:val="none"/>
              </w:rPr>
              <w:t>3  ……</w:t>
            </w:r>
          </w:p>
          <w:p w14:paraId="645E6BA5">
            <w:pPr>
              <w:spacing w:line="340" w:lineRule="exact"/>
              <w:rPr>
                <w:rFonts w:ascii="宋体" w:hAnsi="宋体" w:cs="宋体"/>
                <w:color w:val="auto"/>
                <w:sz w:val="24"/>
                <w:szCs w:val="24"/>
                <w:highlight w:val="none"/>
              </w:rPr>
            </w:pPr>
            <w:r>
              <w:rPr>
                <w:rFonts w:hint="eastAsia" w:ascii="宋体" w:hAnsi="宋体" w:cs="宋体"/>
                <w:color w:val="auto"/>
                <w:sz w:val="24"/>
                <w:szCs w:val="24"/>
                <w:highlight w:val="none"/>
              </w:rPr>
              <w:t>……</w:t>
            </w:r>
          </w:p>
        </w:tc>
        <w:tc>
          <w:tcPr>
            <w:tcW w:w="1274" w:type="dxa"/>
            <w:tcBorders>
              <w:top w:val="single" w:color="auto" w:sz="4" w:space="0"/>
              <w:left w:val="single" w:color="auto" w:sz="4" w:space="0"/>
              <w:bottom w:val="single" w:color="auto" w:sz="4" w:space="0"/>
              <w:right w:val="single" w:color="auto" w:sz="4" w:space="0"/>
            </w:tcBorders>
          </w:tcPr>
          <w:p w14:paraId="76B7DB1B">
            <w:pPr>
              <w:spacing w:line="300" w:lineRule="exact"/>
              <w:rPr>
                <w:rFonts w:ascii="宋体" w:hAnsi="宋体" w:cs="宋体"/>
                <w:color w:val="auto"/>
                <w:sz w:val="24"/>
                <w:szCs w:val="24"/>
                <w:highlight w:val="none"/>
              </w:rPr>
            </w:pPr>
          </w:p>
        </w:tc>
      </w:tr>
      <w:tr w14:paraId="4C812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713" w:type="dxa"/>
            <w:tcBorders>
              <w:top w:val="single" w:color="auto" w:sz="4" w:space="0"/>
              <w:left w:val="single" w:color="auto" w:sz="4" w:space="0"/>
              <w:bottom w:val="single" w:color="auto" w:sz="4" w:space="0"/>
              <w:right w:val="single" w:color="auto" w:sz="4" w:space="0"/>
            </w:tcBorders>
          </w:tcPr>
          <w:p w14:paraId="2D99F751">
            <w:pPr>
              <w:spacing w:line="340" w:lineRule="exact"/>
              <w:rPr>
                <w:rFonts w:ascii="宋体" w:hAnsi="宋体" w:cs="宋体"/>
                <w:color w:val="auto"/>
                <w:sz w:val="24"/>
                <w:szCs w:val="24"/>
                <w:highlight w:val="none"/>
              </w:rPr>
            </w:pPr>
            <w:r>
              <w:rPr>
                <w:rFonts w:hint="eastAsia" w:ascii="宋体" w:hAnsi="宋体" w:cs="宋体"/>
                <w:color w:val="auto"/>
                <w:sz w:val="24"/>
                <w:szCs w:val="24"/>
                <w:highlight w:val="none"/>
              </w:rPr>
              <w:t>...</w:t>
            </w:r>
          </w:p>
        </w:tc>
        <w:tc>
          <w:tcPr>
            <w:tcW w:w="3904" w:type="dxa"/>
            <w:tcBorders>
              <w:top w:val="single" w:color="auto" w:sz="4" w:space="0"/>
              <w:left w:val="single" w:color="auto" w:sz="4" w:space="0"/>
              <w:bottom w:val="single" w:color="auto" w:sz="4" w:space="0"/>
              <w:right w:val="single" w:color="auto" w:sz="4" w:space="0"/>
            </w:tcBorders>
          </w:tcPr>
          <w:p w14:paraId="2E16B5DA">
            <w:pPr>
              <w:spacing w:line="340" w:lineRule="exact"/>
              <w:rPr>
                <w:rFonts w:ascii="宋体" w:hAnsi="宋体" w:cs="宋体"/>
                <w:color w:val="auto"/>
                <w:sz w:val="24"/>
                <w:szCs w:val="24"/>
                <w:highlight w:val="none"/>
              </w:rPr>
            </w:pPr>
            <w:r>
              <w:rPr>
                <w:rFonts w:hint="eastAsia" w:ascii="宋体" w:hAnsi="宋体" w:cs="宋体"/>
                <w:color w:val="auto"/>
                <w:sz w:val="24"/>
                <w:szCs w:val="24"/>
                <w:highlight w:val="none"/>
              </w:rPr>
              <w:t>1  ……</w:t>
            </w:r>
          </w:p>
          <w:p w14:paraId="68838730">
            <w:pPr>
              <w:spacing w:line="340" w:lineRule="exact"/>
              <w:rPr>
                <w:rFonts w:ascii="宋体" w:hAnsi="宋体" w:cs="宋体"/>
                <w:color w:val="auto"/>
                <w:sz w:val="24"/>
                <w:szCs w:val="24"/>
                <w:highlight w:val="none"/>
              </w:rPr>
            </w:pPr>
            <w:r>
              <w:rPr>
                <w:rFonts w:hint="eastAsia" w:ascii="宋体" w:hAnsi="宋体" w:cs="宋体"/>
                <w:color w:val="auto"/>
                <w:sz w:val="24"/>
                <w:szCs w:val="24"/>
                <w:highlight w:val="none"/>
              </w:rPr>
              <w:t>2  ……</w:t>
            </w:r>
          </w:p>
          <w:p w14:paraId="3809F941">
            <w:pPr>
              <w:spacing w:line="340" w:lineRule="exact"/>
              <w:rPr>
                <w:rFonts w:ascii="宋体" w:hAnsi="宋体" w:cs="宋体"/>
                <w:color w:val="auto"/>
                <w:sz w:val="24"/>
                <w:szCs w:val="24"/>
                <w:highlight w:val="none"/>
              </w:rPr>
            </w:pPr>
            <w:r>
              <w:rPr>
                <w:rFonts w:hint="eastAsia" w:ascii="宋体" w:hAnsi="宋体" w:cs="宋体"/>
                <w:color w:val="auto"/>
                <w:sz w:val="24"/>
                <w:szCs w:val="24"/>
                <w:highlight w:val="none"/>
              </w:rPr>
              <w:t>3  ……</w:t>
            </w:r>
          </w:p>
          <w:p w14:paraId="158B2020">
            <w:pPr>
              <w:spacing w:line="340" w:lineRule="exact"/>
              <w:rPr>
                <w:rFonts w:ascii="宋体" w:hAnsi="宋体" w:cs="宋体"/>
                <w:color w:val="auto"/>
                <w:sz w:val="24"/>
                <w:szCs w:val="24"/>
                <w:highlight w:val="none"/>
              </w:rPr>
            </w:pPr>
            <w:r>
              <w:rPr>
                <w:rFonts w:hint="eastAsia" w:ascii="宋体" w:hAnsi="宋体" w:cs="宋体"/>
                <w:color w:val="auto"/>
                <w:sz w:val="24"/>
                <w:szCs w:val="24"/>
                <w:highlight w:val="none"/>
              </w:rPr>
              <w:t>……</w:t>
            </w:r>
          </w:p>
        </w:tc>
        <w:tc>
          <w:tcPr>
            <w:tcW w:w="3589" w:type="dxa"/>
            <w:tcBorders>
              <w:top w:val="single" w:color="auto" w:sz="4" w:space="0"/>
              <w:left w:val="single" w:color="auto" w:sz="4" w:space="0"/>
              <w:bottom w:val="single" w:color="auto" w:sz="4" w:space="0"/>
              <w:right w:val="single" w:color="auto" w:sz="4" w:space="0"/>
            </w:tcBorders>
          </w:tcPr>
          <w:p w14:paraId="1F20ECCB">
            <w:pPr>
              <w:spacing w:line="340" w:lineRule="exact"/>
              <w:rPr>
                <w:rFonts w:ascii="宋体" w:hAnsi="宋体" w:cs="宋体"/>
                <w:color w:val="auto"/>
                <w:sz w:val="24"/>
                <w:szCs w:val="24"/>
                <w:highlight w:val="none"/>
              </w:rPr>
            </w:pPr>
            <w:r>
              <w:rPr>
                <w:rFonts w:hint="eastAsia" w:ascii="宋体" w:hAnsi="宋体" w:cs="宋体"/>
                <w:color w:val="auto"/>
                <w:sz w:val="24"/>
                <w:szCs w:val="24"/>
                <w:highlight w:val="none"/>
              </w:rPr>
              <w:t>1  ……</w:t>
            </w:r>
          </w:p>
          <w:p w14:paraId="79210910">
            <w:pPr>
              <w:spacing w:line="340" w:lineRule="exact"/>
              <w:rPr>
                <w:rFonts w:ascii="宋体" w:hAnsi="宋体" w:cs="宋体"/>
                <w:color w:val="auto"/>
                <w:sz w:val="24"/>
                <w:szCs w:val="24"/>
                <w:highlight w:val="none"/>
              </w:rPr>
            </w:pPr>
            <w:r>
              <w:rPr>
                <w:rFonts w:hint="eastAsia" w:ascii="宋体" w:hAnsi="宋体" w:cs="宋体"/>
                <w:color w:val="auto"/>
                <w:sz w:val="24"/>
                <w:szCs w:val="24"/>
                <w:highlight w:val="none"/>
              </w:rPr>
              <w:t>2  ……</w:t>
            </w:r>
          </w:p>
          <w:p w14:paraId="254E044C">
            <w:pPr>
              <w:spacing w:line="340" w:lineRule="exact"/>
              <w:rPr>
                <w:rFonts w:ascii="宋体" w:hAnsi="宋体" w:cs="宋体"/>
                <w:color w:val="auto"/>
                <w:sz w:val="24"/>
                <w:szCs w:val="24"/>
                <w:highlight w:val="none"/>
              </w:rPr>
            </w:pPr>
            <w:r>
              <w:rPr>
                <w:rFonts w:hint="eastAsia" w:ascii="宋体" w:hAnsi="宋体" w:cs="宋体"/>
                <w:color w:val="auto"/>
                <w:sz w:val="24"/>
                <w:szCs w:val="24"/>
                <w:highlight w:val="none"/>
              </w:rPr>
              <w:t>3  ……</w:t>
            </w:r>
          </w:p>
          <w:p w14:paraId="76CDB0DD">
            <w:pPr>
              <w:spacing w:line="340" w:lineRule="exact"/>
              <w:rPr>
                <w:rFonts w:ascii="宋体" w:hAnsi="宋体" w:cs="宋体"/>
                <w:color w:val="auto"/>
                <w:sz w:val="24"/>
                <w:szCs w:val="24"/>
                <w:highlight w:val="none"/>
              </w:rPr>
            </w:pPr>
            <w:r>
              <w:rPr>
                <w:rFonts w:hint="eastAsia" w:ascii="宋体" w:hAnsi="宋体" w:cs="宋体"/>
                <w:color w:val="auto"/>
                <w:sz w:val="24"/>
                <w:szCs w:val="24"/>
                <w:highlight w:val="none"/>
              </w:rPr>
              <w:t>……</w:t>
            </w:r>
          </w:p>
        </w:tc>
        <w:tc>
          <w:tcPr>
            <w:tcW w:w="1274" w:type="dxa"/>
            <w:tcBorders>
              <w:top w:val="single" w:color="auto" w:sz="4" w:space="0"/>
              <w:left w:val="single" w:color="auto" w:sz="4" w:space="0"/>
              <w:bottom w:val="single" w:color="auto" w:sz="4" w:space="0"/>
              <w:right w:val="single" w:color="auto" w:sz="4" w:space="0"/>
            </w:tcBorders>
          </w:tcPr>
          <w:p w14:paraId="7EE3A3A0">
            <w:pPr>
              <w:spacing w:line="300" w:lineRule="exact"/>
              <w:rPr>
                <w:rFonts w:ascii="宋体" w:hAnsi="宋体" w:cs="宋体"/>
                <w:color w:val="auto"/>
                <w:sz w:val="24"/>
                <w:szCs w:val="24"/>
                <w:highlight w:val="none"/>
              </w:rPr>
            </w:pPr>
          </w:p>
        </w:tc>
      </w:tr>
    </w:tbl>
    <w:p w14:paraId="7CF573C1">
      <w:pPr>
        <w:pStyle w:val="15"/>
        <w:spacing w:line="400" w:lineRule="exact"/>
        <w:ind w:firstLine="0" w:firstLineChars="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注：1.说明：应对照磋商文件“第二章 采购需求”中的商务条款逐条作出明确响应，并作出偏离说明。</w:t>
      </w:r>
    </w:p>
    <w:p w14:paraId="47A2C515">
      <w:pPr>
        <w:pStyle w:val="15"/>
        <w:spacing w:line="40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1A8EDCBA">
      <w:pPr>
        <w:spacing w:line="40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3.表格内容均需按要求填写，不得留空，否则按竞标无效处理。</w:t>
      </w:r>
    </w:p>
    <w:p w14:paraId="7C664089">
      <w:pPr>
        <w:spacing w:line="360" w:lineRule="auto"/>
        <w:ind w:firstLine="3840" w:firstLineChars="1600"/>
        <w:rPr>
          <w:rFonts w:ascii="宋体" w:hAnsi="宋体" w:cs="宋体"/>
          <w:color w:val="auto"/>
          <w:kern w:val="0"/>
          <w:sz w:val="24"/>
          <w:highlight w:val="none"/>
        </w:rPr>
      </w:pPr>
    </w:p>
    <w:p w14:paraId="3E166F70">
      <w:pPr>
        <w:spacing w:line="360" w:lineRule="auto"/>
        <w:ind w:firstLine="3840" w:firstLineChars="1600"/>
        <w:rPr>
          <w:rFonts w:ascii="宋体" w:hAnsi="宋体" w:cs="宋体"/>
          <w:color w:val="auto"/>
          <w:sz w:val="24"/>
          <w:highlight w:val="none"/>
        </w:rPr>
      </w:pPr>
      <w:r>
        <w:rPr>
          <w:rFonts w:hint="eastAsia" w:ascii="宋体" w:hAnsi="宋体" w:cs="宋体"/>
          <w:color w:val="auto"/>
          <w:kern w:val="0"/>
          <w:sz w:val="24"/>
          <w:highlight w:val="none"/>
        </w:rPr>
        <w:t>供应商名称（电子签章）：</w:t>
      </w:r>
    </w:p>
    <w:p w14:paraId="5C7F281A">
      <w:pPr>
        <w:spacing w:line="360" w:lineRule="auto"/>
        <w:contextualSpacing/>
        <w:jc w:val="center"/>
        <w:rPr>
          <w:rFonts w:ascii="宋体" w:hAnsi="宋体" w:cs="宋体"/>
          <w:b/>
          <w:color w:val="auto"/>
          <w:sz w:val="24"/>
          <w:highlight w:val="none"/>
        </w:rPr>
      </w:pPr>
      <w:r>
        <w:rPr>
          <w:rFonts w:hint="eastAsia" w:ascii="宋体" w:hAnsi="宋体" w:cs="宋体"/>
          <w:color w:val="auto"/>
          <w:kern w:val="0"/>
          <w:sz w:val="24"/>
          <w:highlight w:val="none"/>
          <w:lang w:val="zh-CN"/>
        </w:rPr>
        <w:t xml:space="preserve">                                                   日期：  年  月   日</w:t>
      </w:r>
    </w:p>
    <w:p w14:paraId="35854443">
      <w:pPr>
        <w:pageBreakBefore/>
        <w:snapToGrid w:val="0"/>
        <w:spacing w:line="360" w:lineRule="auto"/>
        <w:ind w:firstLine="602" w:firstLineChars="200"/>
        <w:rPr>
          <w:rFonts w:ascii="宋体" w:hAnsi="宋体" w:cs="宋体"/>
          <w:b/>
          <w:color w:val="auto"/>
          <w:sz w:val="30"/>
          <w:szCs w:val="30"/>
          <w:highlight w:val="none"/>
        </w:rPr>
      </w:pPr>
      <w:r>
        <w:rPr>
          <w:rFonts w:hint="eastAsia" w:ascii="宋体" w:hAnsi="宋体" w:cs="宋体"/>
          <w:b/>
          <w:color w:val="auto"/>
          <w:sz w:val="30"/>
          <w:szCs w:val="30"/>
          <w:highlight w:val="none"/>
          <w:lang w:val="en-US" w:eastAsia="zh-CN"/>
        </w:rPr>
        <w:t>五</w:t>
      </w:r>
      <w:r>
        <w:rPr>
          <w:rFonts w:hint="eastAsia" w:ascii="宋体" w:hAnsi="宋体" w:cs="宋体"/>
          <w:b/>
          <w:color w:val="auto"/>
          <w:sz w:val="30"/>
          <w:szCs w:val="30"/>
          <w:highlight w:val="none"/>
        </w:rPr>
        <w:t>、竞标人情况介绍</w:t>
      </w:r>
    </w:p>
    <w:p w14:paraId="42A79512">
      <w:pPr>
        <w:snapToGrid w:val="0"/>
        <w:spacing w:line="360" w:lineRule="auto"/>
        <w:ind w:firstLine="602" w:firstLineChars="200"/>
        <w:rPr>
          <w:rFonts w:ascii="宋体" w:hAnsi="宋体" w:cs="宋体"/>
          <w:b/>
          <w:color w:val="auto"/>
          <w:sz w:val="30"/>
          <w:szCs w:val="30"/>
          <w:highlight w:val="none"/>
        </w:rPr>
      </w:pPr>
    </w:p>
    <w:p w14:paraId="1A0AD76B">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40BDA2C6">
      <w:pPr>
        <w:autoSpaceDE w:val="0"/>
        <w:autoSpaceDN w:val="0"/>
        <w:spacing w:line="360" w:lineRule="auto"/>
        <w:ind w:firstLine="6480" w:firstLineChars="270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53A20510">
      <w:pPr>
        <w:snapToGrid w:val="0"/>
        <w:spacing w:before="120" w:beforeLines="50" w:after="50"/>
        <w:ind w:firstLine="602" w:firstLineChars="200"/>
        <w:rPr>
          <w:rFonts w:ascii="宋体" w:hAnsi="宋体" w:cs="宋体"/>
          <w:b/>
          <w:color w:val="auto"/>
          <w:sz w:val="30"/>
          <w:szCs w:val="30"/>
          <w:highlight w:val="none"/>
        </w:rPr>
      </w:pPr>
    </w:p>
    <w:p w14:paraId="28AD8167">
      <w:pPr>
        <w:snapToGrid w:val="0"/>
        <w:spacing w:before="120" w:beforeLines="50" w:after="50"/>
        <w:ind w:firstLine="602" w:firstLineChars="200"/>
        <w:rPr>
          <w:rFonts w:ascii="宋体" w:hAnsi="宋体" w:cs="宋体"/>
          <w:color w:val="auto"/>
          <w:sz w:val="24"/>
          <w:highlight w:val="none"/>
        </w:rPr>
      </w:pPr>
      <w:r>
        <w:rPr>
          <w:rFonts w:hint="eastAsia" w:ascii="宋体" w:hAnsi="宋体" w:cs="宋体"/>
          <w:b/>
          <w:color w:val="auto"/>
          <w:sz w:val="30"/>
          <w:szCs w:val="30"/>
          <w:highlight w:val="none"/>
          <w:lang w:val="en-US" w:eastAsia="zh-CN"/>
        </w:rPr>
        <w:t>六</w:t>
      </w:r>
      <w:r>
        <w:rPr>
          <w:rFonts w:hint="eastAsia" w:ascii="宋体" w:hAnsi="宋体" w:cs="宋体"/>
          <w:b/>
          <w:color w:val="auto"/>
          <w:sz w:val="30"/>
          <w:szCs w:val="30"/>
          <w:highlight w:val="none"/>
        </w:rPr>
        <w:t>、供应商类似的业绩证明文件</w:t>
      </w:r>
    </w:p>
    <w:tbl>
      <w:tblPr>
        <w:tblStyle w:val="33"/>
        <w:tblpPr w:leftFromText="180" w:rightFromText="180" w:vertAnchor="page" w:horzAnchor="margin" w:tblpXSpec="center" w:tblpY="4783"/>
        <w:tblW w:w="916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28"/>
        <w:gridCol w:w="1470"/>
        <w:gridCol w:w="1545"/>
        <w:gridCol w:w="2640"/>
        <w:gridCol w:w="1978"/>
      </w:tblGrid>
      <w:tr w14:paraId="0CE4C6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02" w:hRule="atLeast"/>
        </w:trPr>
        <w:tc>
          <w:tcPr>
            <w:tcW w:w="1528" w:type="dxa"/>
            <w:vMerge w:val="restart"/>
            <w:tcBorders>
              <w:top w:val="single" w:color="auto" w:sz="4" w:space="0"/>
              <w:left w:val="single" w:color="auto" w:sz="4" w:space="0"/>
              <w:bottom w:val="single" w:color="auto" w:sz="4" w:space="0"/>
              <w:right w:val="single" w:color="auto" w:sz="4" w:space="0"/>
            </w:tcBorders>
            <w:vAlign w:val="center"/>
          </w:tcPr>
          <w:p w14:paraId="19336A45">
            <w:pPr>
              <w:snapToGrid w:val="0"/>
              <w:spacing w:line="240" w:lineRule="exact"/>
              <w:jc w:val="center"/>
              <w:rPr>
                <w:rFonts w:ascii="宋体" w:hAnsi="宋体" w:cs="宋体"/>
                <w:color w:val="auto"/>
                <w:sz w:val="24"/>
                <w:highlight w:val="none"/>
              </w:rPr>
            </w:pPr>
            <w:r>
              <w:rPr>
                <w:rFonts w:hint="eastAsia" w:ascii="宋体" w:hAnsi="宋体" w:cs="宋体"/>
                <w:color w:val="auto"/>
                <w:sz w:val="24"/>
                <w:highlight w:val="none"/>
              </w:rPr>
              <w:t>采购人名称</w:t>
            </w:r>
          </w:p>
        </w:tc>
        <w:tc>
          <w:tcPr>
            <w:tcW w:w="1470" w:type="dxa"/>
            <w:vMerge w:val="restart"/>
            <w:tcBorders>
              <w:top w:val="single" w:color="auto" w:sz="4" w:space="0"/>
              <w:left w:val="single" w:color="auto" w:sz="4" w:space="0"/>
              <w:bottom w:val="single" w:color="auto" w:sz="4" w:space="0"/>
              <w:right w:val="single" w:color="auto" w:sz="4" w:space="0"/>
            </w:tcBorders>
            <w:vAlign w:val="center"/>
          </w:tcPr>
          <w:p w14:paraId="6B1050E8">
            <w:pPr>
              <w:snapToGrid w:val="0"/>
              <w:spacing w:line="240" w:lineRule="exact"/>
              <w:jc w:val="center"/>
              <w:rPr>
                <w:rFonts w:ascii="宋体" w:hAnsi="宋体" w:cs="宋体"/>
                <w:color w:val="auto"/>
                <w:sz w:val="24"/>
                <w:highlight w:val="none"/>
              </w:rPr>
            </w:pPr>
            <w:r>
              <w:rPr>
                <w:rFonts w:hint="eastAsia" w:ascii="宋体" w:hAnsi="宋体" w:cs="宋体"/>
                <w:color w:val="auto"/>
                <w:sz w:val="24"/>
                <w:highlight w:val="none"/>
              </w:rPr>
              <w:t>项目名称</w:t>
            </w:r>
          </w:p>
        </w:tc>
        <w:tc>
          <w:tcPr>
            <w:tcW w:w="1545" w:type="dxa"/>
            <w:vMerge w:val="restart"/>
            <w:tcBorders>
              <w:top w:val="single" w:color="auto" w:sz="4" w:space="0"/>
              <w:left w:val="single" w:color="auto" w:sz="4" w:space="0"/>
              <w:bottom w:val="single" w:color="auto" w:sz="4" w:space="0"/>
              <w:right w:val="single" w:color="auto" w:sz="4" w:space="0"/>
            </w:tcBorders>
            <w:vAlign w:val="center"/>
          </w:tcPr>
          <w:p w14:paraId="6B44B0AF">
            <w:pPr>
              <w:snapToGrid w:val="0"/>
              <w:spacing w:line="240" w:lineRule="exact"/>
              <w:jc w:val="center"/>
              <w:rPr>
                <w:rFonts w:ascii="宋体" w:hAnsi="宋体" w:cs="宋体"/>
                <w:color w:val="auto"/>
                <w:sz w:val="24"/>
                <w:highlight w:val="none"/>
              </w:rPr>
            </w:pPr>
            <w:r>
              <w:rPr>
                <w:rFonts w:hint="eastAsia" w:ascii="宋体" w:hAnsi="宋体" w:cs="宋体"/>
                <w:color w:val="auto"/>
                <w:sz w:val="24"/>
                <w:highlight w:val="none"/>
              </w:rPr>
              <w:t>合同金额</w:t>
            </w:r>
          </w:p>
          <w:p w14:paraId="12409B93">
            <w:pPr>
              <w:snapToGrid w:val="0"/>
              <w:spacing w:line="240" w:lineRule="exact"/>
              <w:jc w:val="center"/>
              <w:rPr>
                <w:rFonts w:ascii="宋体" w:hAnsi="宋体" w:cs="宋体"/>
                <w:color w:val="auto"/>
                <w:sz w:val="24"/>
                <w:highlight w:val="none"/>
              </w:rPr>
            </w:pPr>
            <w:r>
              <w:rPr>
                <w:rFonts w:hint="eastAsia" w:ascii="宋体" w:hAnsi="宋体" w:cs="宋体"/>
                <w:color w:val="auto"/>
                <w:sz w:val="24"/>
                <w:highlight w:val="none"/>
              </w:rPr>
              <w:t>（万元）</w:t>
            </w:r>
          </w:p>
        </w:tc>
        <w:tc>
          <w:tcPr>
            <w:tcW w:w="2640" w:type="dxa"/>
            <w:tcBorders>
              <w:top w:val="single" w:color="auto" w:sz="4" w:space="0"/>
              <w:left w:val="single" w:color="auto" w:sz="4" w:space="0"/>
              <w:bottom w:val="single" w:color="auto" w:sz="4" w:space="0"/>
              <w:right w:val="single" w:color="auto" w:sz="4" w:space="0"/>
            </w:tcBorders>
            <w:vAlign w:val="center"/>
          </w:tcPr>
          <w:p w14:paraId="26CCC507">
            <w:pPr>
              <w:snapToGrid w:val="0"/>
              <w:spacing w:line="240" w:lineRule="exact"/>
              <w:jc w:val="center"/>
              <w:rPr>
                <w:rFonts w:ascii="宋体" w:hAnsi="宋体" w:cs="宋体"/>
                <w:color w:val="auto"/>
                <w:sz w:val="24"/>
                <w:highlight w:val="none"/>
              </w:rPr>
            </w:pPr>
            <w:r>
              <w:rPr>
                <w:rFonts w:hint="eastAsia" w:ascii="宋体" w:hAnsi="宋体" w:cs="宋体"/>
                <w:color w:val="auto"/>
                <w:sz w:val="24"/>
                <w:highlight w:val="none"/>
              </w:rPr>
              <w:t>附件在响应文件中页码</w:t>
            </w:r>
          </w:p>
        </w:tc>
        <w:tc>
          <w:tcPr>
            <w:tcW w:w="1978" w:type="dxa"/>
            <w:vMerge w:val="restart"/>
            <w:tcBorders>
              <w:top w:val="single" w:color="auto" w:sz="4" w:space="0"/>
              <w:left w:val="single" w:color="auto" w:sz="4" w:space="0"/>
              <w:bottom w:val="single" w:color="auto" w:sz="4" w:space="0"/>
              <w:right w:val="single" w:color="auto" w:sz="4" w:space="0"/>
            </w:tcBorders>
            <w:vAlign w:val="center"/>
          </w:tcPr>
          <w:p w14:paraId="6B8FC5C9">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采购人联系人及联系电话</w:t>
            </w:r>
          </w:p>
        </w:tc>
      </w:tr>
      <w:tr w14:paraId="08757E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1" w:hRule="atLeast"/>
        </w:trPr>
        <w:tc>
          <w:tcPr>
            <w:tcW w:w="1528" w:type="dxa"/>
            <w:vMerge w:val="continue"/>
            <w:tcBorders>
              <w:top w:val="single" w:color="auto" w:sz="4" w:space="0"/>
              <w:left w:val="single" w:color="auto" w:sz="4" w:space="0"/>
              <w:bottom w:val="single" w:color="auto" w:sz="4" w:space="0"/>
              <w:right w:val="single" w:color="auto" w:sz="4" w:space="0"/>
            </w:tcBorders>
            <w:vAlign w:val="center"/>
          </w:tcPr>
          <w:p w14:paraId="533C82A5">
            <w:pPr>
              <w:jc w:val="left"/>
              <w:rPr>
                <w:rFonts w:ascii="宋体" w:hAnsi="宋体" w:cs="宋体"/>
                <w:color w:val="auto"/>
                <w:sz w:val="24"/>
                <w:highlight w:val="none"/>
              </w:rPr>
            </w:pPr>
          </w:p>
        </w:tc>
        <w:tc>
          <w:tcPr>
            <w:tcW w:w="1470" w:type="dxa"/>
            <w:vMerge w:val="continue"/>
            <w:tcBorders>
              <w:top w:val="single" w:color="auto" w:sz="4" w:space="0"/>
              <w:left w:val="single" w:color="auto" w:sz="4" w:space="0"/>
              <w:bottom w:val="single" w:color="auto" w:sz="4" w:space="0"/>
              <w:right w:val="single" w:color="auto" w:sz="4" w:space="0"/>
            </w:tcBorders>
            <w:vAlign w:val="center"/>
          </w:tcPr>
          <w:p w14:paraId="4CEE967B">
            <w:pPr>
              <w:jc w:val="left"/>
              <w:rPr>
                <w:rFonts w:ascii="宋体" w:hAnsi="宋体" w:cs="宋体"/>
                <w:color w:val="auto"/>
                <w:sz w:val="24"/>
                <w:highlight w:val="none"/>
              </w:rPr>
            </w:pPr>
          </w:p>
        </w:tc>
        <w:tc>
          <w:tcPr>
            <w:tcW w:w="1545" w:type="dxa"/>
            <w:vMerge w:val="continue"/>
            <w:tcBorders>
              <w:top w:val="single" w:color="auto" w:sz="4" w:space="0"/>
              <w:left w:val="single" w:color="auto" w:sz="4" w:space="0"/>
              <w:bottom w:val="single" w:color="auto" w:sz="4" w:space="0"/>
              <w:right w:val="single" w:color="auto" w:sz="4" w:space="0"/>
            </w:tcBorders>
            <w:vAlign w:val="center"/>
          </w:tcPr>
          <w:p w14:paraId="0444776D">
            <w:pPr>
              <w:jc w:val="left"/>
              <w:rPr>
                <w:rFonts w:ascii="宋体" w:hAnsi="宋体" w:cs="宋体"/>
                <w:color w:val="auto"/>
                <w:sz w:val="24"/>
                <w:highlight w:val="none"/>
              </w:rPr>
            </w:pPr>
          </w:p>
        </w:tc>
        <w:tc>
          <w:tcPr>
            <w:tcW w:w="2640" w:type="dxa"/>
            <w:tcBorders>
              <w:top w:val="single" w:color="auto" w:sz="4" w:space="0"/>
              <w:left w:val="single" w:color="auto" w:sz="4" w:space="0"/>
              <w:bottom w:val="single" w:color="auto" w:sz="4" w:space="0"/>
              <w:right w:val="single" w:color="auto" w:sz="4" w:space="0"/>
            </w:tcBorders>
            <w:vAlign w:val="center"/>
          </w:tcPr>
          <w:p w14:paraId="13E28239">
            <w:pPr>
              <w:snapToGrid w:val="0"/>
              <w:spacing w:line="240" w:lineRule="exact"/>
              <w:jc w:val="center"/>
              <w:rPr>
                <w:rFonts w:ascii="宋体" w:hAnsi="宋体" w:cs="宋体"/>
                <w:color w:val="auto"/>
                <w:sz w:val="24"/>
                <w:highlight w:val="none"/>
              </w:rPr>
            </w:pPr>
            <w:r>
              <w:rPr>
                <w:rFonts w:hint="eastAsia" w:ascii="宋体" w:hAnsi="宋体" w:cs="宋体"/>
                <w:color w:val="auto"/>
                <w:sz w:val="24"/>
                <w:highlight w:val="none"/>
              </w:rPr>
              <w:t>合同</w:t>
            </w:r>
          </w:p>
        </w:tc>
        <w:tc>
          <w:tcPr>
            <w:tcW w:w="1978" w:type="dxa"/>
            <w:vMerge w:val="continue"/>
            <w:tcBorders>
              <w:top w:val="single" w:color="auto" w:sz="4" w:space="0"/>
              <w:left w:val="single" w:color="auto" w:sz="4" w:space="0"/>
              <w:bottom w:val="single" w:color="auto" w:sz="4" w:space="0"/>
              <w:right w:val="single" w:color="auto" w:sz="4" w:space="0"/>
            </w:tcBorders>
            <w:vAlign w:val="center"/>
          </w:tcPr>
          <w:p w14:paraId="1DBA39C4">
            <w:pPr>
              <w:jc w:val="left"/>
              <w:rPr>
                <w:rFonts w:ascii="宋体" w:hAnsi="宋体" w:cs="宋体"/>
                <w:color w:val="auto"/>
                <w:sz w:val="24"/>
                <w:highlight w:val="none"/>
              </w:rPr>
            </w:pPr>
          </w:p>
        </w:tc>
      </w:tr>
      <w:tr w14:paraId="7AA109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528" w:type="dxa"/>
            <w:tcBorders>
              <w:top w:val="single" w:color="auto" w:sz="4" w:space="0"/>
              <w:left w:val="single" w:color="auto" w:sz="4" w:space="0"/>
              <w:bottom w:val="single" w:color="auto" w:sz="4" w:space="0"/>
              <w:right w:val="single" w:color="auto" w:sz="4" w:space="0"/>
            </w:tcBorders>
          </w:tcPr>
          <w:p w14:paraId="4AF5BECA">
            <w:pPr>
              <w:snapToGrid w:val="0"/>
              <w:spacing w:line="240" w:lineRule="exact"/>
              <w:jc w:val="left"/>
              <w:rPr>
                <w:rFonts w:ascii="宋体" w:hAnsi="宋体" w:cs="宋体"/>
                <w:color w:val="auto"/>
                <w:sz w:val="24"/>
                <w:highlight w:val="none"/>
              </w:rPr>
            </w:pPr>
          </w:p>
        </w:tc>
        <w:tc>
          <w:tcPr>
            <w:tcW w:w="1470" w:type="dxa"/>
            <w:tcBorders>
              <w:top w:val="single" w:color="auto" w:sz="4" w:space="0"/>
              <w:left w:val="single" w:color="auto" w:sz="4" w:space="0"/>
              <w:bottom w:val="single" w:color="auto" w:sz="4" w:space="0"/>
              <w:right w:val="single" w:color="auto" w:sz="4" w:space="0"/>
            </w:tcBorders>
          </w:tcPr>
          <w:p w14:paraId="69942986">
            <w:pPr>
              <w:snapToGrid w:val="0"/>
              <w:spacing w:line="240" w:lineRule="exact"/>
              <w:jc w:val="left"/>
              <w:rPr>
                <w:rFonts w:ascii="宋体" w:hAnsi="宋体" w:cs="宋体"/>
                <w:color w:val="auto"/>
                <w:sz w:val="24"/>
                <w:highlight w:val="none"/>
              </w:rPr>
            </w:pPr>
          </w:p>
        </w:tc>
        <w:tc>
          <w:tcPr>
            <w:tcW w:w="1545" w:type="dxa"/>
            <w:tcBorders>
              <w:top w:val="single" w:color="auto" w:sz="4" w:space="0"/>
              <w:left w:val="single" w:color="auto" w:sz="4" w:space="0"/>
              <w:bottom w:val="single" w:color="auto" w:sz="4" w:space="0"/>
              <w:right w:val="single" w:color="auto" w:sz="4" w:space="0"/>
            </w:tcBorders>
          </w:tcPr>
          <w:p w14:paraId="6F2286D8">
            <w:pPr>
              <w:snapToGrid w:val="0"/>
              <w:spacing w:line="240" w:lineRule="exact"/>
              <w:jc w:val="left"/>
              <w:rPr>
                <w:rFonts w:ascii="宋体" w:hAnsi="宋体" w:cs="宋体"/>
                <w:color w:val="auto"/>
                <w:sz w:val="24"/>
                <w:highlight w:val="none"/>
              </w:rPr>
            </w:pPr>
          </w:p>
        </w:tc>
        <w:tc>
          <w:tcPr>
            <w:tcW w:w="2640" w:type="dxa"/>
            <w:tcBorders>
              <w:top w:val="single" w:color="auto" w:sz="4" w:space="0"/>
              <w:left w:val="single" w:color="auto" w:sz="4" w:space="0"/>
              <w:bottom w:val="single" w:color="auto" w:sz="4" w:space="0"/>
              <w:right w:val="single" w:color="auto" w:sz="4" w:space="0"/>
            </w:tcBorders>
          </w:tcPr>
          <w:p w14:paraId="4FF26BF3">
            <w:pPr>
              <w:snapToGrid w:val="0"/>
              <w:spacing w:line="240" w:lineRule="exact"/>
              <w:jc w:val="left"/>
              <w:rPr>
                <w:rFonts w:ascii="宋体" w:hAnsi="宋体" w:cs="宋体"/>
                <w:color w:val="auto"/>
                <w:sz w:val="24"/>
                <w:highlight w:val="none"/>
              </w:rPr>
            </w:pPr>
          </w:p>
        </w:tc>
        <w:tc>
          <w:tcPr>
            <w:tcW w:w="1978" w:type="dxa"/>
            <w:tcBorders>
              <w:top w:val="single" w:color="auto" w:sz="4" w:space="0"/>
              <w:left w:val="single" w:color="auto" w:sz="4" w:space="0"/>
              <w:bottom w:val="single" w:color="auto" w:sz="4" w:space="0"/>
              <w:right w:val="single" w:color="auto" w:sz="4" w:space="0"/>
            </w:tcBorders>
          </w:tcPr>
          <w:p w14:paraId="6E3FBD52">
            <w:pPr>
              <w:snapToGrid w:val="0"/>
              <w:spacing w:line="240" w:lineRule="exact"/>
              <w:jc w:val="left"/>
              <w:rPr>
                <w:rFonts w:ascii="宋体" w:hAnsi="宋体" w:cs="宋体"/>
                <w:color w:val="auto"/>
                <w:sz w:val="24"/>
                <w:highlight w:val="none"/>
              </w:rPr>
            </w:pPr>
          </w:p>
        </w:tc>
      </w:tr>
      <w:tr w14:paraId="0C7F6F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8" w:type="dxa"/>
            <w:tcBorders>
              <w:top w:val="single" w:color="auto" w:sz="4" w:space="0"/>
              <w:left w:val="single" w:color="auto" w:sz="4" w:space="0"/>
              <w:bottom w:val="single" w:color="auto" w:sz="4" w:space="0"/>
              <w:right w:val="single" w:color="auto" w:sz="4" w:space="0"/>
            </w:tcBorders>
          </w:tcPr>
          <w:p w14:paraId="325C400A">
            <w:pPr>
              <w:snapToGrid w:val="0"/>
              <w:spacing w:before="50" w:after="120" w:afterLines="50" w:line="400" w:lineRule="exact"/>
              <w:jc w:val="left"/>
              <w:rPr>
                <w:rFonts w:ascii="宋体" w:hAnsi="宋体" w:cs="宋体"/>
                <w:color w:val="auto"/>
                <w:sz w:val="24"/>
                <w:highlight w:val="none"/>
              </w:rPr>
            </w:pPr>
          </w:p>
        </w:tc>
        <w:tc>
          <w:tcPr>
            <w:tcW w:w="1470" w:type="dxa"/>
            <w:tcBorders>
              <w:top w:val="single" w:color="auto" w:sz="4" w:space="0"/>
              <w:left w:val="single" w:color="auto" w:sz="4" w:space="0"/>
              <w:bottom w:val="single" w:color="auto" w:sz="4" w:space="0"/>
              <w:right w:val="single" w:color="auto" w:sz="4" w:space="0"/>
            </w:tcBorders>
          </w:tcPr>
          <w:p w14:paraId="58FE3C43">
            <w:pPr>
              <w:snapToGrid w:val="0"/>
              <w:spacing w:before="50" w:after="120" w:afterLines="50" w:line="400" w:lineRule="exact"/>
              <w:jc w:val="left"/>
              <w:rPr>
                <w:rFonts w:ascii="宋体" w:hAnsi="宋体" w:cs="宋体"/>
                <w:color w:val="auto"/>
                <w:sz w:val="24"/>
                <w:highlight w:val="none"/>
              </w:rPr>
            </w:pPr>
          </w:p>
        </w:tc>
        <w:tc>
          <w:tcPr>
            <w:tcW w:w="1545" w:type="dxa"/>
            <w:tcBorders>
              <w:top w:val="single" w:color="auto" w:sz="4" w:space="0"/>
              <w:left w:val="single" w:color="auto" w:sz="4" w:space="0"/>
              <w:bottom w:val="single" w:color="auto" w:sz="4" w:space="0"/>
              <w:right w:val="single" w:color="auto" w:sz="4" w:space="0"/>
            </w:tcBorders>
          </w:tcPr>
          <w:p w14:paraId="02D7D870">
            <w:pPr>
              <w:snapToGrid w:val="0"/>
              <w:spacing w:before="50" w:after="120" w:afterLines="50" w:line="400" w:lineRule="exact"/>
              <w:jc w:val="left"/>
              <w:rPr>
                <w:rFonts w:ascii="宋体" w:hAnsi="宋体" w:cs="宋体"/>
                <w:color w:val="auto"/>
                <w:sz w:val="24"/>
                <w:highlight w:val="none"/>
              </w:rPr>
            </w:pPr>
          </w:p>
        </w:tc>
        <w:tc>
          <w:tcPr>
            <w:tcW w:w="2640" w:type="dxa"/>
            <w:tcBorders>
              <w:top w:val="single" w:color="auto" w:sz="4" w:space="0"/>
              <w:left w:val="single" w:color="auto" w:sz="4" w:space="0"/>
              <w:bottom w:val="single" w:color="auto" w:sz="4" w:space="0"/>
              <w:right w:val="single" w:color="auto" w:sz="4" w:space="0"/>
            </w:tcBorders>
          </w:tcPr>
          <w:p w14:paraId="4D0156C6">
            <w:pPr>
              <w:snapToGrid w:val="0"/>
              <w:spacing w:before="50" w:after="120" w:afterLines="50" w:line="400" w:lineRule="exact"/>
              <w:jc w:val="left"/>
              <w:rPr>
                <w:rFonts w:ascii="宋体" w:hAnsi="宋体" w:cs="宋体"/>
                <w:color w:val="auto"/>
                <w:sz w:val="24"/>
                <w:highlight w:val="none"/>
              </w:rPr>
            </w:pPr>
          </w:p>
        </w:tc>
        <w:tc>
          <w:tcPr>
            <w:tcW w:w="1978" w:type="dxa"/>
            <w:tcBorders>
              <w:top w:val="single" w:color="auto" w:sz="4" w:space="0"/>
              <w:left w:val="single" w:color="auto" w:sz="4" w:space="0"/>
              <w:bottom w:val="single" w:color="auto" w:sz="4" w:space="0"/>
              <w:right w:val="single" w:color="auto" w:sz="4" w:space="0"/>
            </w:tcBorders>
          </w:tcPr>
          <w:p w14:paraId="58856FE7">
            <w:pPr>
              <w:snapToGrid w:val="0"/>
              <w:spacing w:before="50" w:after="120" w:afterLines="50" w:line="400" w:lineRule="exact"/>
              <w:jc w:val="left"/>
              <w:rPr>
                <w:rFonts w:ascii="宋体" w:hAnsi="宋体" w:cs="宋体"/>
                <w:color w:val="auto"/>
                <w:sz w:val="24"/>
                <w:highlight w:val="none"/>
              </w:rPr>
            </w:pPr>
          </w:p>
        </w:tc>
      </w:tr>
      <w:tr w14:paraId="4CD411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528" w:type="dxa"/>
            <w:tcBorders>
              <w:top w:val="single" w:color="auto" w:sz="4" w:space="0"/>
              <w:left w:val="single" w:color="auto" w:sz="4" w:space="0"/>
              <w:bottom w:val="single" w:color="auto" w:sz="4" w:space="0"/>
              <w:right w:val="single" w:color="auto" w:sz="4" w:space="0"/>
            </w:tcBorders>
          </w:tcPr>
          <w:p w14:paraId="5461D5FF">
            <w:pPr>
              <w:snapToGrid w:val="0"/>
              <w:spacing w:before="50" w:after="120" w:afterLines="50" w:line="400" w:lineRule="exact"/>
              <w:jc w:val="left"/>
              <w:rPr>
                <w:rFonts w:ascii="宋体" w:hAnsi="宋体" w:cs="宋体"/>
                <w:color w:val="auto"/>
                <w:sz w:val="24"/>
                <w:highlight w:val="none"/>
              </w:rPr>
            </w:pPr>
          </w:p>
        </w:tc>
        <w:tc>
          <w:tcPr>
            <w:tcW w:w="1470" w:type="dxa"/>
            <w:tcBorders>
              <w:top w:val="single" w:color="auto" w:sz="4" w:space="0"/>
              <w:left w:val="single" w:color="auto" w:sz="4" w:space="0"/>
              <w:bottom w:val="single" w:color="auto" w:sz="4" w:space="0"/>
              <w:right w:val="single" w:color="auto" w:sz="4" w:space="0"/>
            </w:tcBorders>
          </w:tcPr>
          <w:p w14:paraId="3163AC4E">
            <w:pPr>
              <w:snapToGrid w:val="0"/>
              <w:spacing w:before="50" w:after="120" w:afterLines="50" w:line="400" w:lineRule="exact"/>
              <w:jc w:val="left"/>
              <w:rPr>
                <w:rFonts w:ascii="宋体" w:hAnsi="宋体" w:cs="宋体"/>
                <w:color w:val="auto"/>
                <w:sz w:val="24"/>
                <w:highlight w:val="none"/>
              </w:rPr>
            </w:pPr>
          </w:p>
        </w:tc>
        <w:tc>
          <w:tcPr>
            <w:tcW w:w="1545" w:type="dxa"/>
            <w:tcBorders>
              <w:top w:val="single" w:color="auto" w:sz="4" w:space="0"/>
              <w:left w:val="single" w:color="auto" w:sz="4" w:space="0"/>
              <w:bottom w:val="single" w:color="auto" w:sz="4" w:space="0"/>
              <w:right w:val="single" w:color="auto" w:sz="4" w:space="0"/>
            </w:tcBorders>
          </w:tcPr>
          <w:p w14:paraId="624650D5">
            <w:pPr>
              <w:snapToGrid w:val="0"/>
              <w:spacing w:before="50" w:after="120" w:afterLines="50" w:line="400" w:lineRule="exact"/>
              <w:jc w:val="left"/>
              <w:rPr>
                <w:rFonts w:ascii="宋体" w:hAnsi="宋体" w:cs="宋体"/>
                <w:color w:val="auto"/>
                <w:sz w:val="24"/>
                <w:highlight w:val="none"/>
              </w:rPr>
            </w:pPr>
          </w:p>
        </w:tc>
        <w:tc>
          <w:tcPr>
            <w:tcW w:w="2640" w:type="dxa"/>
            <w:tcBorders>
              <w:top w:val="single" w:color="auto" w:sz="4" w:space="0"/>
              <w:left w:val="single" w:color="auto" w:sz="4" w:space="0"/>
              <w:bottom w:val="single" w:color="auto" w:sz="4" w:space="0"/>
              <w:right w:val="single" w:color="auto" w:sz="4" w:space="0"/>
            </w:tcBorders>
          </w:tcPr>
          <w:p w14:paraId="03D946DC">
            <w:pPr>
              <w:snapToGrid w:val="0"/>
              <w:spacing w:before="50" w:after="120" w:afterLines="50" w:line="400" w:lineRule="exact"/>
              <w:jc w:val="left"/>
              <w:rPr>
                <w:rFonts w:ascii="宋体" w:hAnsi="宋体" w:cs="宋体"/>
                <w:color w:val="auto"/>
                <w:sz w:val="24"/>
                <w:highlight w:val="none"/>
              </w:rPr>
            </w:pPr>
          </w:p>
        </w:tc>
        <w:tc>
          <w:tcPr>
            <w:tcW w:w="1978" w:type="dxa"/>
            <w:tcBorders>
              <w:top w:val="single" w:color="auto" w:sz="4" w:space="0"/>
              <w:left w:val="single" w:color="auto" w:sz="4" w:space="0"/>
              <w:bottom w:val="single" w:color="auto" w:sz="4" w:space="0"/>
              <w:right w:val="single" w:color="auto" w:sz="4" w:space="0"/>
            </w:tcBorders>
          </w:tcPr>
          <w:p w14:paraId="5CDF71B2">
            <w:pPr>
              <w:snapToGrid w:val="0"/>
              <w:spacing w:before="50" w:after="120" w:afterLines="50" w:line="400" w:lineRule="exact"/>
              <w:jc w:val="left"/>
              <w:rPr>
                <w:rFonts w:ascii="宋体" w:hAnsi="宋体" w:cs="宋体"/>
                <w:color w:val="auto"/>
                <w:sz w:val="24"/>
                <w:highlight w:val="none"/>
              </w:rPr>
            </w:pPr>
          </w:p>
        </w:tc>
      </w:tr>
      <w:tr w14:paraId="3A4C01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8" w:type="dxa"/>
            <w:tcBorders>
              <w:top w:val="single" w:color="auto" w:sz="4" w:space="0"/>
              <w:left w:val="single" w:color="auto" w:sz="4" w:space="0"/>
              <w:bottom w:val="single" w:color="auto" w:sz="4" w:space="0"/>
              <w:right w:val="single" w:color="auto" w:sz="4" w:space="0"/>
            </w:tcBorders>
          </w:tcPr>
          <w:p w14:paraId="6CEAAB5B">
            <w:pPr>
              <w:snapToGrid w:val="0"/>
              <w:spacing w:before="50" w:after="120" w:afterLines="50" w:line="400" w:lineRule="exact"/>
              <w:jc w:val="left"/>
              <w:rPr>
                <w:rFonts w:ascii="宋体" w:hAnsi="宋体" w:cs="宋体"/>
                <w:color w:val="auto"/>
                <w:sz w:val="24"/>
                <w:highlight w:val="none"/>
              </w:rPr>
            </w:pPr>
          </w:p>
        </w:tc>
        <w:tc>
          <w:tcPr>
            <w:tcW w:w="1470" w:type="dxa"/>
            <w:tcBorders>
              <w:top w:val="single" w:color="auto" w:sz="4" w:space="0"/>
              <w:left w:val="single" w:color="auto" w:sz="4" w:space="0"/>
              <w:bottom w:val="single" w:color="auto" w:sz="4" w:space="0"/>
              <w:right w:val="single" w:color="auto" w:sz="4" w:space="0"/>
            </w:tcBorders>
          </w:tcPr>
          <w:p w14:paraId="620D1787">
            <w:pPr>
              <w:snapToGrid w:val="0"/>
              <w:spacing w:before="50" w:after="120" w:afterLines="50" w:line="400" w:lineRule="exact"/>
              <w:jc w:val="left"/>
              <w:rPr>
                <w:rFonts w:ascii="宋体" w:hAnsi="宋体" w:cs="宋体"/>
                <w:color w:val="auto"/>
                <w:sz w:val="24"/>
                <w:highlight w:val="none"/>
              </w:rPr>
            </w:pPr>
          </w:p>
        </w:tc>
        <w:tc>
          <w:tcPr>
            <w:tcW w:w="1545" w:type="dxa"/>
            <w:tcBorders>
              <w:top w:val="single" w:color="auto" w:sz="4" w:space="0"/>
              <w:left w:val="single" w:color="auto" w:sz="4" w:space="0"/>
              <w:bottom w:val="single" w:color="auto" w:sz="4" w:space="0"/>
              <w:right w:val="single" w:color="auto" w:sz="4" w:space="0"/>
            </w:tcBorders>
          </w:tcPr>
          <w:p w14:paraId="632B9F29">
            <w:pPr>
              <w:snapToGrid w:val="0"/>
              <w:spacing w:before="50" w:after="120" w:afterLines="50" w:line="400" w:lineRule="exact"/>
              <w:jc w:val="left"/>
              <w:rPr>
                <w:rFonts w:ascii="宋体" w:hAnsi="宋体" w:cs="宋体"/>
                <w:color w:val="auto"/>
                <w:sz w:val="24"/>
                <w:highlight w:val="none"/>
              </w:rPr>
            </w:pPr>
          </w:p>
        </w:tc>
        <w:tc>
          <w:tcPr>
            <w:tcW w:w="2640" w:type="dxa"/>
            <w:tcBorders>
              <w:top w:val="single" w:color="auto" w:sz="4" w:space="0"/>
              <w:left w:val="single" w:color="auto" w:sz="4" w:space="0"/>
              <w:bottom w:val="single" w:color="auto" w:sz="4" w:space="0"/>
              <w:right w:val="single" w:color="auto" w:sz="4" w:space="0"/>
            </w:tcBorders>
          </w:tcPr>
          <w:p w14:paraId="44F94999">
            <w:pPr>
              <w:snapToGrid w:val="0"/>
              <w:spacing w:before="50" w:after="120" w:afterLines="50" w:line="400" w:lineRule="exact"/>
              <w:jc w:val="left"/>
              <w:rPr>
                <w:rFonts w:ascii="宋体" w:hAnsi="宋体" w:cs="宋体"/>
                <w:color w:val="auto"/>
                <w:sz w:val="24"/>
                <w:highlight w:val="none"/>
              </w:rPr>
            </w:pPr>
          </w:p>
        </w:tc>
        <w:tc>
          <w:tcPr>
            <w:tcW w:w="1978" w:type="dxa"/>
            <w:tcBorders>
              <w:top w:val="single" w:color="auto" w:sz="4" w:space="0"/>
              <w:left w:val="single" w:color="auto" w:sz="4" w:space="0"/>
              <w:bottom w:val="single" w:color="auto" w:sz="4" w:space="0"/>
              <w:right w:val="single" w:color="auto" w:sz="4" w:space="0"/>
            </w:tcBorders>
          </w:tcPr>
          <w:p w14:paraId="4BA7FD6C">
            <w:pPr>
              <w:snapToGrid w:val="0"/>
              <w:spacing w:before="50" w:after="120" w:afterLines="50" w:line="400" w:lineRule="exact"/>
              <w:jc w:val="left"/>
              <w:rPr>
                <w:rFonts w:ascii="宋体" w:hAnsi="宋体" w:cs="宋体"/>
                <w:color w:val="auto"/>
                <w:sz w:val="24"/>
                <w:highlight w:val="none"/>
              </w:rPr>
            </w:pPr>
          </w:p>
        </w:tc>
      </w:tr>
      <w:tr w14:paraId="087DEA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8" w:type="dxa"/>
            <w:tcBorders>
              <w:top w:val="single" w:color="auto" w:sz="4" w:space="0"/>
              <w:left w:val="single" w:color="auto" w:sz="4" w:space="0"/>
              <w:bottom w:val="single" w:color="auto" w:sz="4" w:space="0"/>
              <w:right w:val="single" w:color="auto" w:sz="4" w:space="0"/>
            </w:tcBorders>
          </w:tcPr>
          <w:p w14:paraId="0AC6E29B">
            <w:pPr>
              <w:snapToGrid w:val="0"/>
              <w:spacing w:before="50" w:after="120" w:afterLines="50" w:line="400" w:lineRule="exact"/>
              <w:jc w:val="left"/>
              <w:rPr>
                <w:rFonts w:ascii="宋体" w:hAnsi="宋体" w:cs="宋体"/>
                <w:color w:val="auto"/>
                <w:sz w:val="24"/>
                <w:highlight w:val="none"/>
              </w:rPr>
            </w:pPr>
          </w:p>
        </w:tc>
        <w:tc>
          <w:tcPr>
            <w:tcW w:w="1470" w:type="dxa"/>
            <w:tcBorders>
              <w:top w:val="single" w:color="auto" w:sz="4" w:space="0"/>
              <w:left w:val="single" w:color="auto" w:sz="4" w:space="0"/>
              <w:bottom w:val="single" w:color="auto" w:sz="4" w:space="0"/>
              <w:right w:val="single" w:color="auto" w:sz="4" w:space="0"/>
            </w:tcBorders>
          </w:tcPr>
          <w:p w14:paraId="61AB3998">
            <w:pPr>
              <w:snapToGrid w:val="0"/>
              <w:spacing w:before="50" w:after="120" w:afterLines="50" w:line="400" w:lineRule="exact"/>
              <w:jc w:val="left"/>
              <w:rPr>
                <w:rFonts w:ascii="宋体" w:hAnsi="宋体" w:cs="宋体"/>
                <w:color w:val="auto"/>
                <w:sz w:val="24"/>
                <w:highlight w:val="none"/>
              </w:rPr>
            </w:pPr>
          </w:p>
        </w:tc>
        <w:tc>
          <w:tcPr>
            <w:tcW w:w="1545" w:type="dxa"/>
            <w:tcBorders>
              <w:top w:val="single" w:color="auto" w:sz="4" w:space="0"/>
              <w:left w:val="single" w:color="auto" w:sz="4" w:space="0"/>
              <w:bottom w:val="single" w:color="auto" w:sz="4" w:space="0"/>
              <w:right w:val="single" w:color="auto" w:sz="4" w:space="0"/>
            </w:tcBorders>
          </w:tcPr>
          <w:p w14:paraId="5ED936C1">
            <w:pPr>
              <w:snapToGrid w:val="0"/>
              <w:spacing w:before="50" w:after="120" w:afterLines="50" w:line="400" w:lineRule="exact"/>
              <w:jc w:val="left"/>
              <w:rPr>
                <w:rFonts w:ascii="宋体" w:hAnsi="宋体" w:cs="宋体"/>
                <w:color w:val="auto"/>
                <w:sz w:val="24"/>
                <w:highlight w:val="none"/>
              </w:rPr>
            </w:pPr>
          </w:p>
        </w:tc>
        <w:tc>
          <w:tcPr>
            <w:tcW w:w="2640" w:type="dxa"/>
            <w:tcBorders>
              <w:top w:val="single" w:color="auto" w:sz="4" w:space="0"/>
              <w:left w:val="single" w:color="auto" w:sz="4" w:space="0"/>
              <w:bottom w:val="single" w:color="auto" w:sz="4" w:space="0"/>
              <w:right w:val="single" w:color="auto" w:sz="4" w:space="0"/>
            </w:tcBorders>
          </w:tcPr>
          <w:p w14:paraId="66D12162">
            <w:pPr>
              <w:snapToGrid w:val="0"/>
              <w:spacing w:before="50" w:after="120" w:afterLines="50" w:line="400" w:lineRule="exact"/>
              <w:jc w:val="left"/>
              <w:rPr>
                <w:rFonts w:ascii="宋体" w:hAnsi="宋体" w:cs="宋体"/>
                <w:color w:val="auto"/>
                <w:sz w:val="24"/>
                <w:highlight w:val="none"/>
              </w:rPr>
            </w:pPr>
          </w:p>
        </w:tc>
        <w:tc>
          <w:tcPr>
            <w:tcW w:w="1978" w:type="dxa"/>
            <w:tcBorders>
              <w:top w:val="single" w:color="auto" w:sz="4" w:space="0"/>
              <w:left w:val="single" w:color="auto" w:sz="4" w:space="0"/>
              <w:bottom w:val="single" w:color="auto" w:sz="4" w:space="0"/>
              <w:right w:val="single" w:color="auto" w:sz="4" w:space="0"/>
            </w:tcBorders>
          </w:tcPr>
          <w:p w14:paraId="7B7410FB">
            <w:pPr>
              <w:snapToGrid w:val="0"/>
              <w:spacing w:before="50" w:after="120" w:afterLines="50" w:line="400" w:lineRule="exact"/>
              <w:jc w:val="left"/>
              <w:rPr>
                <w:rFonts w:ascii="宋体" w:hAnsi="宋体" w:cs="宋体"/>
                <w:color w:val="auto"/>
                <w:sz w:val="24"/>
                <w:highlight w:val="none"/>
              </w:rPr>
            </w:pPr>
          </w:p>
        </w:tc>
      </w:tr>
    </w:tbl>
    <w:p w14:paraId="6E9DE921">
      <w:pPr>
        <w:pStyle w:val="25"/>
        <w:snapToGrid w:val="0"/>
        <w:ind w:left="0" w:firstLine="0" w:firstLineChars="0"/>
        <w:rPr>
          <w:rFonts w:ascii="宋体" w:hAnsi="宋体" w:cs="宋体"/>
          <w:color w:val="auto"/>
          <w:sz w:val="24"/>
          <w:highlight w:val="none"/>
        </w:rPr>
      </w:pPr>
    </w:p>
    <w:p w14:paraId="4921D80B">
      <w:pPr>
        <w:pStyle w:val="25"/>
        <w:snapToGrid w:val="0"/>
        <w:ind w:left="480" w:hanging="480"/>
        <w:rPr>
          <w:rFonts w:ascii="宋体" w:hAnsi="宋体" w:cs="宋体"/>
          <w:color w:val="auto"/>
          <w:sz w:val="24"/>
          <w:highlight w:val="none"/>
        </w:rPr>
      </w:pPr>
    </w:p>
    <w:p w14:paraId="20018A6D">
      <w:pPr>
        <w:autoSpaceDE w:val="0"/>
        <w:autoSpaceDN w:val="0"/>
        <w:spacing w:line="360" w:lineRule="auto"/>
        <w:ind w:firstLine="120"/>
        <w:rPr>
          <w:rFonts w:ascii="宋体" w:hAnsi="宋体" w:cs="宋体"/>
          <w:color w:val="auto"/>
          <w:sz w:val="24"/>
          <w:highlight w:val="none"/>
        </w:rPr>
      </w:pPr>
      <w:r>
        <w:rPr>
          <w:rFonts w:hint="eastAsia" w:ascii="宋体" w:hAnsi="宋体" w:cs="宋体"/>
          <w:b/>
          <w:color w:val="auto"/>
          <w:sz w:val="24"/>
          <w:highlight w:val="none"/>
        </w:rPr>
        <w:t>附表 :相关项目业绩一览表（供应商同类项目合同复印件格式自拟）</w:t>
      </w:r>
    </w:p>
    <w:p w14:paraId="2BDF5501">
      <w:pPr>
        <w:pStyle w:val="19"/>
        <w:spacing w:line="360" w:lineRule="auto"/>
        <w:ind w:left="72"/>
        <w:rPr>
          <w:rFonts w:hAnsi="宋体" w:cs="宋体"/>
          <w:color w:val="auto"/>
          <w:sz w:val="24"/>
          <w:szCs w:val="24"/>
          <w:highlight w:val="none"/>
        </w:rPr>
      </w:pPr>
      <w:r>
        <w:rPr>
          <w:rFonts w:hint="eastAsia" w:hAnsi="宋体" w:cs="宋体"/>
          <w:color w:val="auto"/>
          <w:sz w:val="24"/>
          <w:szCs w:val="24"/>
          <w:highlight w:val="none"/>
        </w:rPr>
        <w:t>注：供应商可按上述的格式自行编制，须随表提交相应的合同复印件注明所在供应商商务技术文件页码。</w:t>
      </w:r>
    </w:p>
    <w:p w14:paraId="5237D827">
      <w:pPr>
        <w:snapToGrid w:val="0"/>
        <w:spacing w:line="360" w:lineRule="auto"/>
        <w:ind w:firstLine="4935" w:firstLineChars="2350"/>
        <w:rPr>
          <w:rFonts w:ascii="宋体" w:hAnsi="宋体" w:cs="宋体"/>
          <w:color w:val="auto"/>
          <w:szCs w:val="21"/>
          <w:highlight w:val="none"/>
        </w:rPr>
      </w:pPr>
      <w:r>
        <w:rPr>
          <w:rFonts w:hint="eastAsia" w:ascii="宋体" w:hAnsi="宋体" w:cs="宋体"/>
          <w:color w:val="auto"/>
          <w:szCs w:val="21"/>
          <w:highlight w:val="none"/>
        </w:rPr>
        <w:t xml:space="preserve"> </w:t>
      </w:r>
    </w:p>
    <w:p w14:paraId="35DDA353">
      <w:pPr>
        <w:snapToGrid w:val="0"/>
        <w:spacing w:line="360" w:lineRule="auto"/>
        <w:ind w:firstLine="4935" w:firstLineChars="2350"/>
        <w:rPr>
          <w:rFonts w:ascii="宋体" w:hAnsi="宋体" w:cs="宋体"/>
          <w:color w:val="auto"/>
          <w:szCs w:val="21"/>
          <w:highlight w:val="none"/>
        </w:rPr>
      </w:pPr>
    </w:p>
    <w:p w14:paraId="4C664FCB">
      <w:pPr>
        <w:snapToGrid w:val="0"/>
        <w:spacing w:line="360" w:lineRule="auto"/>
        <w:ind w:left="4410" w:leftChars="2100" w:firstLine="5670" w:firstLineChars="2700"/>
        <w:rPr>
          <w:rFonts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供应商名称(电子签章）：</w:t>
      </w:r>
    </w:p>
    <w:p w14:paraId="2A1AEFCD">
      <w:pPr>
        <w:spacing w:line="500" w:lineRule="exact"/>
        <w:jc w:val="center"/>
        <w:rPr>
          <w:rFonts w:ascii="宋体" w:hAnsi="宋体" w:cs="宋体"/>
          <w:color w:val="auto"/>
          <w:sz w:val="32"/>
          <w:szCs w:val="32"/>
          <w:highlight w:val="none"/>
        </w:rPr>
        <w:sectPr>
          <w:pgSz w:w="11910" w:h="16840"/>
          <w:pgMar w:top="1340" w:right="1500" w:bottom="280" w:left="1680" w:header="720" w:footer="720" w:gutter="0"/>
          <w:cols w:space="720" w:num="1"/>
        </w:sectPr>
      </w:pPr>
      <w:r>
        <w:rPr>
          <w:rFonts w:hint="eastAsia" w:ascii="宋体" w:hAnsi="宋体" w:cs="宋体"/>
          <w:color w:val="auto"/>
          <w:kern w:val="0"/>
          <w:sz w:val="24"/>
          <w:highlight w:val="none"/>
          <w:lang w:val="zh-CN"/>
        </w:rPr>
        <w:t xml:space="preserve">                                                     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131660EA">
      <w:pPr>
        <w:snapToGrid w:val="0"/>
        <w:spacing w:line="360" w:lineRule="auto"/>
        <w:ind w:firstLine="602" w:firstLineChars="200"/>
        <w:rPr>
          <w:rFonts w:ascii="宋体" w:hAnsi="宋体" w:cs="宋体"/>
          <w:color w:val="auto"/>
          <w:sz w:val="32"/>
          <w:szCs w:val="32"/>
          <w:highlight w:val="none"/>
        </w:rPr>
      </w:pPr>
      <w:r>
        <w:rPr>
          <w:rFonts w:hint="eastAsia" w:ascii="宋体" w:hAnsi="宋体" w:cs="宋体"/>
          <w:b/>
          <w:color w:val="auto"/>
          <w:sz w:val="30"/>
          <w:szCs w:val="30"/>
          <w:highlight w:val="none"/>
          <w:lang w:val="en-US" w:eastAsia="zh-CN"/>
        </w:rPr>
        <w:t>七</w:t>
      </w:r>
      <w:r>
        <w:rPr>
          <w:rFonts w:hint="eastAsia" w:ascii="宋体" w:hAnsi="宋体" w:cs="宋体"/>
          <w:b/>
          <w:color w:val="auto"/>
          <w:sz w:val="30"/>
          <w:szCs w:val="30"/>
          <w:highlight w:val="none"/>
        </w:rPr>
        <w:t>、服务需求偏离表</w:t>
      </w:r>
    </w:p>
    <w:p w14:paraId="1585E32F">
      <w:pPr>
        <w:spacing w:line="50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服务需求偏离表</w:t>
      </w:r>
    </w:p>
    <w:p w14:paraId="20013A25">
      <w:pPr>
        <w:spacing w:line="50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(注：按采购需求具体条款修改）</w:t>
      </w:r>
    </w:p>
    <w:p w14:paraId="6593C37A">
      <w:pPr>
        <w:spacing w:line="360" w:lineRule="auto"/>
        <w:contextualSpacing/>
        <w:jc w:val="left"/>
        <w:rPr>
          <w:rFonts w:ascii="宋体" w:hAnsi="宋体" w:cs="宋体"/>
          <w:color w:val="auto"/>
          <w:sz w:val="24"/>
          <w:highlight w:val="none"/>
        </w:rPr>
      </w:pPr>
    </w:p>
    <w:p w14:paraId="6814BE30">
      <w:pPr>
        <w:pStyle w:val="19"/>
        <w:spacing w:line="360" w:lineRule="auto"/>
        <w:contextualSpacing/>
        <w:rPr>
          <w:rFonts w:hAnsi="宋体" w:cs="宋体"/>
          <w:color w:val="auto"/>
          <w:sz w:val="24"/>
          <w:szCs w:val="24"/>
          <w:highlight w:val="none"/>
        </w:rPr>
      </w:pPr>
      <w:r>
        <w:rPr>
          <w:rFonts w:hint="eastAsia" w:hAnsi="宋体" w:cs="宋体"/>
          <w:color w:val="auto"/>
          <w:sz w:val="24"/>
          <w:szCs w:val="24"/>
          <w:highlight w:val="none"/>
        </w:rPr>
        <w:t>所竞分标：</w:t>
      </w:r>
      <w:r>
        <w:rPr>
          <w:rFonts w:hint="eastAsia" w:hAnsi="宋体" w:cs="宋体"/>
          <w:color w:val="auto"/>
          <w:sz w:val="24"/>
          <w:szCs w:val="24"/>
          <w:highlight w:val="none"/>
          <w:u w:val="single"/>
        </w:rPr>
        <w:t xml:space="preserve">              </w:t>
      </w:r>
    </w:p>
    <w:tbl>
      <w:tblPr>
        <w:tblStyle w:val="33"/>
        <w:tblW w:w="86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851"/>
        <w:gridCol w:w="705"/>
        <w:gridCol w:w="1350"/>
        <w:gridCol w:w="840"/>
        <w:gridCol w:w="780"/>
        <w:gridCol w:w="1350"/>
        <w:gridCol w:w="1823"/>
      </w:tblGrid>
      <w:tr w14:paraId="2F4B6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922" w:type="dxa"/>
            <w:vMerge w:val="restart"/>
            <w:tcBorders>
              <w:top w:val="single" w:color="auto" w:sz="4" w:space="0"/>
              <w:left w:val="single" w:color="auto" w:sz="4" w:space="0"/>
              <w:bottom w:val="single" w:color="auto" w:sz="4" w:space="0"/>
              <w:right w:val="single" w:color="auto" w:sz="4" w:space="0"/>
            </w:tcBorders>
            <w:vAlign w:val="center"/>
          </w:tcPr>
          <w:p w14:paraId="75078B29">
            <w:pPr>
              <w:jc w:val="center"/>
              <w:rPr>
                <w:rFonts w:ascii="宋体" w:hAnsi="宋体" w:cs="宋体"/>
                <w:color w:val="auto"/>
                <w:sz w:val="24"/>
                <w:highlight w:val="none"/>
              </w:rPr>
            </w:pPr>
            <w:r>
              <w:rPr>
                <w:rFonts w:hint="eastAsia" w:ascii="宋体" w:hAnsi="宋体" w:cs="宋体"/>
                <w:color w:val="auto"/>
                <w:sz w:val="24"/>
                <w:highlight w:val="none"/>
              </w:rPr>
              <w:t>项号</w:t>
            </w:r>
          </w:p>
        </w:tc>
        <w:tc>
          <w:tcPr>
            <w:tcW w:w="2906" w:type="dxa"/>
            <w:gridSpan w:val="3"/>
            <w:tcBorders>
              <w:top w:val="single" w:color="auto" w:sz="4" w:space="0"/>
              <w:left w:val="single" w:color="auto" w:sz="4" w:space="0"/>
              <w:bottom w:val="single" w:color="auto" w:sz="4" w:space="0"/>
              <w:right w:val="single" w:color="auto" w:sz="4" w:space="0"/>
            </w:tcBorders>
            <w:vAlign w:val="center"/>
          </w:tcPr>
          <w:p w14:paraId="1CEB3FF5">
            <w:pPr>
              <w:jc w:val="center"/>
              <w:rPr>
                <w:rFonts w:ascii="宋体" w:hAnsi="宋体" w:cs="宋体"/>
                <w:color w:val="auto"/>
                <w:sz w:val="24"/>
                <w:highlight w:val="none"/>
              </w:rPr>
            </w:pPr>
            <w:r>
              <w:rPr>
                <w:rFonts w:hint="eastAsia" w:ascii="宋体" w:hAnsi="宋体" w:cs="宋体"/>
                <w:color w:val="auto"/>
                <w:sz w:val="24"/>
                <w:highlight w:val="none"/>
              </w:rPr>
              <w:t>竞争性磋商采购文件需求</w:t>
            </w:r>
          </w:p>
        </w:tc>
        <w:tc>
          <w:tcPr>
            <w:tcW w:w="2970" w:type="dxa"/>
            <w:gridSpan w:val="3"/>
            <w:tcBorders>
              <w:top w:val="single" w:color="auto" w:sz="4" w:space="0"/>
              <w:left w:val="single" w:color="auto" w:sz="4" w:space="0"/>
              <w:bottom w:val="single" w:color="auto" w:sz="4" w:space="0"/>
              <w:right w:val="single" w:color="auto" w:sz="4" w:space="0"/>
            </w:tcBorders>
            <w:vAlign w:val="center"/>
          </w:tcPr>
          <w:p w14:paraId="01F48A0C">
            <w:pPr>
              <w:jc w:val="center"/>
              <w:rPr>
                <w:rFonts w:ascii="宋体" w:hAnsi="宋体" w:cs="宋体"/>
                <w:color w:val="auto"/>
                <w:sz w:val="24"/>
                <w:highlight w:val="none"/>
              </w:rPr>
            </w:pPr>
            <w:r>
              <w:rPr>
                <w:rFonts w:hint="eastAsia" w:ascii="宋体" w:hAnsi="宋体" w:cs="宋体"/>
                <w:color w:val="auto"/>
                <w:sz w:val="24"/>
                <w:highlight w:val="none"/>
              </w:rPr>
              <w:t>响应文件承诺</w:t>
            </w:r>
          </w:p>
        </w:tc>
        <w:tc>
          <w:tcPr>
            <w:tcW w:w="1823" w:type="dxa"/>
            <w:vMerge w:val="restart"/>
            <w:tcBorders>
              <w:top w:val="single" w:color="auto" w:sz="4" w:space="0"/>
              <w:left w:val="single" w:color="auto" w:sz="4" w:space="0"/>
              <w:bottom w:val="single" w:color="auto" w:sz="4" w:space="0"/>
              <w:right w:val="single" w:color="auto" w:sz="4" w:space="0"/>
            </w:tcBorders>
            <w:vAlign w:val="center"/>
          </w:tcPr>
          <w:p w14:paraId="03AC1C4F">
            <w:pPr>
              <w:jc w:val="center"/>
              <w:rPr>
                <w:rFonts w:ascii="宋体" w:hAnsi="宋体" w:cs="宋体"/>
                <w:color w:val="auto"/>
                <w:sz w:val="24"/>
                <w:highlight w:val="none"/>
              </w:rPr>
            </w:pPr>
            <w:r>
              <w:rPr>
                <w:rFonts w:hint="eastAsia" w:ascii="宋体" w:hAnsi="宋体" w:cs="宋体"/>
                <w:color w:val="auto"/>
                <w:sz w:val="24"/>
                <w:highlight w:val="none"/>
              </w:rPr>
              <w:t>偏离说明</w:t>
            </w:r>
          </w:p>
        </w:tc>
      </w:tr>
      <w:tr w14:paraId="4C8BD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922" w:type="dxa"/>
            <w:vMerge w:val="continue"/>
            <w:tcBorders>
              <w:top w:val="single" w:color="auto" w:sz="4" w:space="0"/>
              <w:left w:val="single" w:color="auto" w:sz="4" w:space="0"/>
              <w:bottom w:val="single" w:color="auto" w:sz="4" w:space="0"/>
              <w:right w:val="single" w:color="auto" w:sz="4" w:space="0"/>
            </w:tcBorders>
            <w:vAlign w:val="center"/>
          </w:tcPr>
          <w:p w14:paraId="0C258DE8">
            <w:pPr>
              <w:widowControl/>
              <w:jc w:val="left"/>
              <w:rPr>
                <w:rFonts w:ascii="宋体" w:hAnsi="宋体" w:cs="宋体"/>
                <w:color w:val="auto"/>
                <w:sz w:val="24"/>
                <w:highlight w:val="none"/>
              </w:rPr>
            </w:pPr>
          </w:p>
        </w:tc>
        <w:tc>
          <w:tcPr>
            <w:tcW w:w="851" w:type="dxa"/>
            <w:tcBorders>
              <w:top w:val="single" w:color="auto" w:sz="4" w:space="0"/>
              <w:left w:val="single" w:color="auto" w:sz="4" w:space="0"/>
              <w:bottom w:val="single" w:color="auto" w:sz="4" w:space="0"/>
              <w:right w:val="single" w:color="auto" w:sz="4" w:space="0"/>
            </w:tcBorders>
            <w:vAlign w:val="center"/>
          </w:tcPr>
          <w:p w14:paraId="2DF1FB01">
            <w:pPr>
              <w:jc w:val="center"/>
              <w:rPr>
                <w:rFonts w:ascii="宋体" w:hAnsi="宋体" w:cs="宋体"/>
                <w:color w:val="auto"/>
                <w:sz w:val="24"/>
                <w:highlight w:val="none"/>
              </w:rPr>
            </w:pPr>
            <w:r>
              <w:rPr>
                <w:rFonts w:hint="eastAsia" w:ascii="宋体" w:hAnsi="宋体" w:cs="宋体"/>
                <w:color w:val="auto"/>
                <w:sz w:val="24"/>
                <w:highlight w:val="none"/>
              </w:rPr>
              <w:t>服务</w:t>
            </w:r>
          </w:p>
          <w:p w14:paraId="58DE7D15">
            <w:pPr>
              <w:jc w:val="center"/>
              <w:rPr>
                <w:rFonts w:ascii="宋体" w:hAnsi="宋体" w:cs="宋体"/>
                <w:color w:val="auto"/>
                <w:sz w:val="24"/>
                <w:highlight w:val="none"/>
              </w:rPr>
            </w:pPr>
            <w:r>
              <w:rPr>
                <w:rFonts w:hint="eastAsia" w:ascii="宋体" w:hAnsi="宋体" w:cs="宋体"/>
                <w:color w:val="auto"/>
                <w:sz w:val="24"/>
                <w:highlight w:val="none"/>
              </w:rPr>
              <w:t>名称</w:t>
            </w:r>
          </w:p>
        </w:tc>
        <w:tc>
          <w:tcPr>
            <w:tcW w:w="705" w:type="dxa"/>
            <w:tcBorders>
              <w:top w:val="single" w:color="auto" w:sz="4" w:space="0"/>
              <w:left w:val="single" w:color="auto" w:sz="4" w:space="0"/>
              <w:bottom w:val="single" w:color="auto" w:sz="4" w:space="0"/>
              <w:right w:val="single" w:color="auto" w:sz="4" w:space="0"/>
            </w:tcBorders>
            <w:vAlign w:val="center"/>
          </w:tcPr>
          <w:p w14:paraId="17F00EFE">
            <w:pPr>
              <w:jc w:val="center"/>
              <w:rPr>
                <w:rFonts w:ascii="宋体" w:hAnsi="宋体" w:cs="宋体"/>
                <w:color w:val="auto"/>
                <w:sz w:val="24"/>
                <w:highlight w:val="none"/>
              </w:rPr>
            </w:pPr>
            <w:r>
              <w:rPr>
                <w:rFonts w:hint="eastAsia" w:ascii="宋体" w:hAnsi="宋体" w:cs="宋体"/>
                <w:color w:val="auto"/>
                <w:sz w:val="24"/>
                <w:highlight w:val="none"/>
              </w:rPr>
              <w:t>数量</w:t>
            </w:r>
          </w:p>
        </w:tc>
        <w:tc>
          <w:tcPr>
            <w:tcW w:w="1350" w:type="dxa"/>
            <w:tcBorders>
              <w:top w:val="single" w:color="auto" w:sz="4" w:space="0"/>
              <w:left w:val="single" w:color="auto" w:sz="4" w:space="0"/>
              <w:bottom w:val="single" w:color="auto" w:sz="4" w:space="0"/>
              <w:right w:val="single" w:color="auto" w:sz="4" w:space="0"/>
            </w:tcBorders>
            <w:vAlign w:val="center"/>
          </w:tcPr>
          <w:p w14:paraId="24C9CD6F">
            <w:pPr>
              <w:jc w:val="center"/>
              <w:rPr>
                <w:rFonts w:ascii="宋体" w:hAnsi="宋体" w:cs="宋体"/>
                <w:color w:val="auto"/>
                <w:sz w:val="24"/>
                <w:highlight w:val="none"/>
              </w:rPr>
            </w:pPr>
            <w:r>
              <w:rPr>
                <w:rFonts w:hint="eastAsia" w:ascii="宋体" w:hAnsi="宋体" w:cs="宋体"/>
                <w:color w:val="auto"/>
                <w:sz w:val="24"/>
                <w:highlight w:val="none"/>
              </w:rPr>
              <w:t>服务内容</w:t>
            </w:r>
          </w:p>
          <w:p w14:paraId="5CE3D8E0">
            <w:pPr>
              <w:jc w:val="center"/>
              <w:rPr>
                <w:rFonts w:ascii="宋体" w:hAnsi="宋体" w:cs="宋体"/>
                <w:color w:val="auto"/>
                <w:sz w:val="24"/>
                <w:highlight w:val="none"/>
              </w:rPr>
            </w:pPr>
            <w:r>
              <w:rPr>
                <w:rFonts w:hint="eastAsia" w:ascii="宋体" w:hAnsi="宋体" w:cs="宋体"/>
                <w:color w:val="auto"/>
                <w:sz w:val="24"/>
                <w:highlight w:val="none"/>
              </w:rPr>
              <w:t>和要求</w:t>
            </w:r>
          </w:p>
        </w:tc>
        <w:tc>
          <w:tcPr>
            <w:tcW w:w="840" w:type="dxa"/>
            <w:tcBorders>
              <w:top w:val="single" w:color="auto" w:sz="4" w:space="0"/>
              <w:left w:val="single" w:color="auto" w:sz="4" w:space="0"/>
              <w:bottom w:val="single" w:color="auto" w:sz="4" w:space="0"/>
              <w:right w:val="single" w:color="auto" w:sz="4" w:space="0"/>
            </w:tcBorders>
            <w:vAlign w:val="center"/>
          </w:tcPr>
          <w:p w14:paraId="6D090C28">
            <w:pPr>
              <w:jc w:val="center"/>
              <w:rPr>
                <w:rFonts w:ascii="宋体" w:hAnsi="宋体" w:cs="宋体"/>
                <w:color w:val="auto"/>
                <w:sz w:val="24"/>
                <w:highlight w:val="none"/>
              </w:rPr>
            </w:pPr>
            <w:r>
              <w:rPr>
                <w:rFonts w:hint="eastAsia" w:ascii="宋体" w:hAnsi="宋体" w:cs="宋体"/>
                <w:color w:val="auto"/>
                <w:sz w:val="24"/>
                <w:highlight w:val="none"/>
              </w:rPr>
              <w:t>服务</w:t>
            </w:r>
          </w:p>
          <w:p w14:paraId="6BE6CADC">
            <w:pPr>
              <w:jc w:val="center"/>
              <w:rPr>
                <w:rFonts w:ascii="宋体" w:hAnsi="宋体" w:cs="宋体"/>
                <w:color w:val="auto"/>
                <w:sz w:val="24"/>
                <w:highlight w:val="none"/>
              </w:rPr>
            </w:pPr>
            <w:r>
              <w:rPr>
                <w:rFonts w:hint="eastAsia" w:ascii="宋体" w:hAnsi="宋体" w:cs="宋体"/>
                <w:color w:val="auto"/>
                <w:sz w:val="24"/>
                <w:highlight w:val="none"/>
              </w:rPr>
              <w:t>名称</w:t>
            </w:r>
          </w:p>
        </w:tc>
        <w:tc>
          <w:tcPr>
            <w:tcW w:w="780" w:type="dxa"/>
            <w:tcBorders>
              <w:top w:val="single" w:color="auto" w:sz="4" w:space="0"/>
              <w:left w:val="single" w:color="auto" w:sz="4" w:space="0"/>
              <w:bottom w:val="single" w:color="auto" w:sz="4" w:space="0"/>
              <w:right w:val="single" w:color="auto" w:sz="4" w:space="0"/>
            </w:tcBorders>
            <w:vAlign w:val="center"/>
          </w:tcPr>
          <w:p w14:paraId="72475FF7">
            <w:pPr>
              <w:jc w:val="center"/>
              <w:rPr>
                <w:rFonts w:ascii="宋体" w:hAnsi="宋体" w:cs="宋体"/>
                <w:color w:val="auto"/>
                <w:sz w:val="24"/>
                <w:highlight w:val="none"/>
              </w:rPr>
            </w:pPr>
            <w:r>
              <w:rPr>
                <w:rFonts w:hint="eastAsia" w:ascii="宋体" w:hAnsi="宋体" w:cs="宋体"/>
                <w:color w:val="auto"/>
                <w:sz w:val="24"/>
                <w:highlight w:val="none"/>
              </w:rPr>
              <w:t>数量</w:t>
            </w:r>
          </w:p>
        </w:tc>
        <w:tc>
          <w:tcPr>
            <w:tcW w:w="1350" w:type="dxa"/>
            <w:tcBorders>
              <w:top w:val="single" w:color="auto" w:sz="4" w:space="0"/>
              <w:left w:val="single" w:color="auto" w:sz="4" w:space="0"/>
              <w:bottom w:val="single" w:color="auto" w:sz="4" w:space="0"/>
              <w:right w:val="single" w:color="auto" w:sz="4" w:space="0"/>
            </w:tcBorders>
            <w:vAlign w:val="center"/>
          </w:tcPr>
          <w:p w14:paraId="4CD87E13">
            <w:pPr>
              <w:jc w:val="center"/>
              <w:rPr>
                <w:rFonts w:ascii="宋体" w:hAnsi="宋体" w:cs="宋体"/>
                <w:color w:val="auto"/>
                <w:sz w:val="24"/>
                <w:highlight w:val="none"/>
              </w:rPr>
            </w:pPr>
            <w:r>
              <w:rPr>
                <w:rFonts w:hint="eastAsia" w:ascii="宋体" w:hAnsi="宋体" w:cs="宋体"/>
                <w:color w:val="auto"/>
                <w:sz w:val="24"/>
                <w:highlight w:val="none"/>
              </w:rPr>
              <w:t>服务内容和要求</w:t>
            </w:r>
          </w:p>
        </w:tc>
        <w:tc>
          <w:tcPr>
            <w:tcW w:w="1823" w:type="dxa"/>
            <w:vMerge w:val="continue"/>
            <w:tcBorders>
              <w:top w:val="single" w:color="auto" w:sz="4" w:space="0"/>
              <w:left w:val="single" w:color="auto" w:sz="4" w:space="0"/>
              <w:bottom w:val="single" w:color="auto" w:sz="4" w:space="0"/>
              <w:right w:val="single" w:color="auto" w:sz="4" w:space="0"/>
            </w:tcBorders>
            <w:vAlign w:val="center"/>
          </w:tcPr>
          <w:p w14:paraId="22129992">
            <w:pPr>
              <w:widowControl/>
              <w:jc w:val="left"/>
              <w:rPr>
                <w:rFonts w:ascii="宋体" w:hAnsi="宋体" w:cs="宋体"/>
                <w:color w:val="auto"/>
                <w:sz w:val="24"/>
                <w:highlight w:val="none"/>
              </w:rPr>
            </w:pPr>
          </w:p>
        </w:tc>
      </w:tr>
      <w:tr w14:paraId="5E346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922" w:type="dxa"/>
            <w:tcBorders>
              <w:top w:val="single" w:color="auto" w:sz="4" w:space="0"/>
              <w:left w:val="single" w:color="auto" w:sz="4" w:space="0"/>
              <w:bottom w:val="single" w:color="auto" w:sz="4" w:space="0"/>
              <w:right w:val="single" w:color="auto" w:sz="4" w:space="0"/>
            </w:tcBorders>
            <w:vAlign w:val="center"/>
          </w:tcPr>
          <w:p w14:paraId="5C5E1A4A">
            <w:pPr>
              <w:rPr>
                <w:rFonts w:ascii="宋体" w:hAnsi="宋体" w:cs="宋体"/>
                <w:color w:val="auto"/>
                <w:sz w:val="24"/>
                <w:highlight w:val="none"/>
              </w:rPr>
            </w:pPr>
            <w:r>
              <w:rPr>
                <w:rFonts w:hint="eastAsia" w:ascii="宋体" w:hAnsi="宋体" w:cs="宋体"/>
                <w:color w:val="auto"/>
                <w:sz w:val="24"/>
                <w:highlight w:val="none"/>
              </w:rPr>
              <w:t>1</w:t>
            </w:r>
          </w:p>
        </w:tc>
        <w:tc>
          <w:tcPr>
            <w:tcW w:w="851" w:type="dxa"/>
            <w:tcBorders>
              <w:top w:val="single" w:color="auto" w:sz="4" w:space="0"/>
              <w:left w:val="single" w:color="auto" w:sz="4" w:space="0"/>
              <w:bottom w:val="single" w:color="auto" w:sz="4" w:space="0"/>
              <w:right w:val="single" w:color="auto" w:sz="4" w:space="0"/>
            </w:tcBorders>
            <w:vAlign w:val="center"/>
          </w:tcPr>
          <w:p w14:paraId="791FE417">
            <w:pPr>
              <w:rPr>
                <w:rFonts w:ascii="宋体" w:hAnsi="宋体" w:cs="宋体"/>
                <w:color w:val="auto"/>
                <w:sz w:val="24"/>
                <w:highlight w:val="none"/>
              </w:rPr>
            </w:pPr>
            <w:r>
              <w:rPr>
                <w:rFonts w:hint="eastAsia" w:ascii="宋体" w:hAnsi="宋体" w:cs="宋体"/>
                <w:color w:val="auto"/>
                <w:sz w:val="24"/>
                <w:highlight w:val="none"/>
              </w:rPr>
              <w:t>……</w:t>
            </w:r>
          </w:p>
        </w:tc>
        <w:tc>
          <w:tcPr>
            <w:tcW w:w="705" w:type="dxa"/>
            <w:tcBorders>
              <w:top w:val="single" w:color="auto" w:sz="4" w:space="0"/>
              <w:left w:val="single" w:color="auto" w:sz="4" w:space="0"/>
              <w:bottom w:val="single" w:color="auto" w:sz="4" w:space="0"/>
              <w:right w:val="single" w:color="auto" w:sz="4" w:space="0"/>
            </w:tcBorders>
            <w:vAlign w:val="center"/>
          </w:tcPr>
          <w:p w14:paraId="6F6E4E71">
            <w:pPr>
              <w:rPr>
                <w:rFonts w:ascii="宋体" w:hAnsi="宋体" w:cs="宋体"/>
                <w:color w:val="auto"/>
                <w:sz w:val="24"/>
                <w:highlight w:val="none"/>
              </w:rPr>
            </w:pPr>
            <w:r>
              <w:rPr>
                <w:rFonts w:hint="eastAsia" w:ascii="宋体" w:hAnsi="宋体" w:cs="宋体"/>
                <w:color w:val="auto"/>
                <w:sz w:val="24"/>
                <w:highlight w:val="none"/>
              </w:rPr>
              <w:t>…</w:t>
            </w:r>
          </w:p>
        </w:tc>
        <w:tc>
          <w:tcPr>
            <w:tcW w:w="1350" w:type="dxa"/>
            <w:tcBorders>
              <w:top w:val="single" w:color="auto" w:sz="4" w:space="0"/>
              <w:left w:val="single" w:color="auto" w:sz="4" w:space="0"/>
              <w:bottom w:val="single" w:color="auto" w:sz="4" w:space="0"/>
              <w:right w:val="single" w:color="auto" w:sz="4" w:space="0"/>
            </w:tcBorders>
            <w:vAlign w:val="center"/>
          </w:tcPr>
          <w:p w14:paraId="14473E4D">
            <w:pPr>
              <w:rPr>
                <w:rFonts w:ascii="宋体" w:hAnsi="宋体" w:cs="宋体"/>
                <w:color w:val="auto"/>
                <w:sz w:val="24"/>
                <w:highlight w:val="none"/>
              </w:rPr>
            </w:pPr>
            <w:r>
              <w:rPr>
                <w:rFonts w:hint="eastAsia" w:ascii="宋体" w:hAnsi="宋体" w:cs="宋体"/>
                <w:color w:val="auto"/>
                <w:sz w:val="24"/>
                <w:highlight w:val="none"/>
              </w:rPr>
              <w:t>1  ……</w:t>
            </w:r>
          </w:p>
          <w:p w14:paraId="79562339">
            <w:pPr>
              <w:rPr>
                <w:rFonts w:ascii="宋体" w:hAnsi="宋体" w:cs="宋体"/>
                <w:color w:val="auto"/>
                <w:sz w:val="24"/>
                <w:highlight w:val="none"/>
              </w:rPr>
            </w:pPr>
            <w:r>
              <w:rPr>
                <w:rFonts w:hint="eastAsia" w:ascii="宋体" w:hAnsi="宋体" w:cs="宋体"/>
                <w:color w:val="auto"/>
                <w:sz w:val="24"/>
                <w:highlight w:val="none"/>
              </w:rPr>
              <w:t>2  ……</w:t>
            </w:r>
          </w:p>
          <w:p w14:paraId="5ED79294">
            <w:pPr>
              <w:rPr>
                <w:rFonts w:ascii="宋体" w:hAnsi="宋体" w:cs="宋体"/>
                <w:color w:val="auto"/>
                <w:sz w:val="24"/>
                <w:highlight w:val="none"/>
              </w:rPr>
            </w:pPr>
            <w:r>
              <w:rPr>
                <w:rFonts w:hint="eastAsia" w:ascii="宋体" w:hAnsi="宋体" w:cs="宋体"/>
                <w:color w:val="auto"/>
                <w:sz w:val="24"/>
                <w:highlight w:val="none"/>
              </w:rPr>
              <w:t>3  ……</w:t>
            </w:r>
          </w:p>
          <w:p w14:paraId="5AA32E58">
            <w:pPr>
              <w:rPr>
                <w:rFonts w:ascii="宋体" w:hAnsi="宋体" w:cs="宋体"/>
                <w:color w:val="auto"/>
                <w:sz w:val="24"/>
                <w:highlight w:val="none"/>
              </w:rPr>
            </w:pPr>
            <w:r>
              <w:rPr>
                <w:rFonts w:hint="eastAsia" w:ascii="宋体" w:hAnsi="宋体" w:cs="宋体"/>
                <w:color w:val="auto"/>
                <w:sz w:val="24"/>
                <w:highlight w:val="none"/>
              </w:rPr>
              <w:t>……</w:t>
            </w:r>
          </w:p>
        </w:tc>
        <w:tc>
          <w:tcPr>
            <w:tcW w:w="840" w:type="dxa"/>
            <w:tcBorders>
              <w:top w:val="single" w:color="auto" w:sz="4" w:space="0"/>
              <w:left w:val="single" w:color="auto" w:sz="4" w:space="0"/>
              <w:bottom w:val="single" w:color="auto" w:sz="4" w:space="0"/>
              <w:right w:val="single" w:color="auto" w:sz="4" w:space="0"/>
            </w:tcBorders>
            <w:vAlign w:val="center"/>
          </w:tcPr>
          <w:p w14:paraId="716D744A">
            <w:pPr>
              <w:rPr>
                <w:rFonts w:ascii="宋体" w:hAnsi="宋体" w:cs="宋体"/>
                <w:color w:val="auto"/>
                <w:sz w:val="24"/>
                <w:highlight w:val="none"/>
              </w:rPr>
            </w:pPr>
            <w:r>
              <w:rPr>
                <w:rFonts w:hint="eastAsia" w:ascii="宋体" w:hAnsi="宋体" w:cs="宋体"/>
                <w:color w:val="auto"/>
                <w:sz w:val="24"/>
                <w:highlight w:val="none"/>
              </w:rPr>
              <w:t>……</w:t>
            </w:r>
          </w:p>
        </w:tc>
        <w:tc>
          <w:tcPr>
            <w:tcW w:w="780" w:type="dxa"/>
            <w:tcBorders>
              <w:top w:val="single" w:color="auto" w:sz="4" w:space="0"/>
              <w:left w:val="single" w:color="auto" w:sz="4" w:space="0"/>
              <w:bottom w:val="single" w:color="auto" w:sz="4" w:space="0"/>
              <w:right w:val="single" w:color="auto" w:sz="4" w:space="0"/>
            </w:tcBorders>
            <w:vAlign w:val="center"/>
          </w:tcPr>
          <w:p w14:paraId="791AD4CC">
            <w:pPr>
              <w:rPr>
                <w:rFonts w:ascii="宋体" w:hAnsi="宋体" w:cs="宋体"/>
                <w:color w:val="auto"/>
                <w:sz w:val="24"/>
                <w:highlight w:val="none"/>
              </w:rPr>
            </w:pPr>
            <w:r>
              <w:rPr>
                <w:rFonts w:hint="eastAsia" w:ascii="宋体" w:hAnsi="宋体" w:cs="宋体"/>
                <w:color w:val="auto"/>
                <w:sz w:val="24"/>
                <w:highlight w:val="none"/>
              </w:rPr>
              <w:t>…</w:t>
            </w:r>
          </w:p>
        </w:tc>
        <w:tc>
          <w:tcPr>
            <w:tcW w:w="1350" w:type="dxa"/>
            <w:tcBorders>
              <w:top w:val="single" w:color="auto" w:sz="4" w:space="0"/>
              <w:left w:val="single" w:color="auto" w:sz="4" w:space="0"/>
              <w:bottom w:val="single" w:color="auto" w:sz="4" w:space="0"/>
              <w:right w:val="single" w:color="auto" w:sz="4" w:space="0"/>
            </w:tcBorders>
            <w:vAlign w:val="center"/>
          </w:tcPr>
          <w:p w14:paraId="7881EED6">
            <w:pPr>
              <w:rPr>
                <w:rFonts w:ascii="宋体" w:hAnsi="宋体" w:cs="宋体"/>
                <w:color w:val="auto"/>
                <w:sz w:val="24"/>
                <w:highlight w:val="none"/>
              </w:rPr>
            </w:pPr>
            <w:r>
              <w:rPr>
                <w:rFonts w:hint="eastAsia" w:ascii="宋体" w:hAnsi="宋体" w:cs="宋体"/>
                <w:color w:val="auto"/>
                <w:sz w:val="24"/>
                <w:highlight w:val="none"/>
              </w:rPr>
              <w:t>1  ……</w:t>
            </w:r>
          </w:p>
          <w:p w14:paraId="06E50761">
            <w:pPr>
              <w:rPr>
                <w:rFonts w:ascii="宋体" w:hAnsi="宋体" w:cs="宋体"/>
                <w:color w:val="auto"/>
                <w:sz w:val="24"/>
                <w:highlight w:val="none"/>
              </w:rPr>
            </w:pPr>
            <w:r>
              <w:rPr>
                <w:rFonts w:hint="eastAsia" w:ascii="宋体" w:hAnsi="宋体" w:cs="宋体"/>
                <w:color w:val="auto"/>
                <w:sz w:val="24"/>
                <w:highlight w:val="none"/>
              </w:rPr>
              <w:t>2  ……</w:t>
            </w:r>
          </w:p>
          <w:p w14:paraId="1C4D699F">
            <w:pPr>
              <w:rPr>
                <w:rFonts w:ascii="宋体" w:hAnsi="宋体" w:cs="宋体"/>
                <w:color w:val="auto"/>
                <w:sz w:val="24"/>
                <w:highlight w:val="none"/>
              </w:rPr>
            </w:pPr>
            <w:r>
              <w:rPr>
                <w:rFonts w:hint="eastAsia" w:ascii="宋体" w:hAnsi="宋体" w:cs="宋体"/>
                <w:color w:val="auto"/>
                <w:sz w:val="24"/>
                <w:highlight w:val="none"/>
              </w:rPr>
              <w:t>3  ……</w:t>
            </w:r>
          </w:p>
          <w:p w14:paraId="7EEF9415">
            <w:pPr>
              <w:rPr>
                <w:rFonts w:ascii="宋体" w:hAnsi="宋体" w:cs="宋体"/>
                <w:color w:val="auto"/>
                <w:sz w:val="24"/>
                <w:highlight w:val="none"/>
              </w:rPr>
            </w:pPr>
            <w:r>
              <w:rPr>
                <w:rFonts w:hint="eastAsia" w:ascii="宋体" w:hAnsi="宋体" w:cs="宋体"/>
                <w:color w:val="auto"/>
                <w:sz w:val="24"/>
                <w:highlight w:val="none"/>
              </w:rPr>
              <w:t>……</w:t>
            </w:r>
          </w:p>
        </w:tc>
        <w:tc>
          <w:tcPr>
            <w:tcW w:w="1823" w:type="dxa"/>
            <w:tcBorders>
              <w:top w:val="single" w:color="auto" w:sz="4" w:space="0"/>
              <w:left w:val="single" w:color="auto" w:sz="4" w:space="0"/>
              <w:bottom w:val="single" w:color="auto" w:sz="4" w:space="0"/>
              <w:right w:val="single" w:color="auto" w:sz="4" w:space="0"/>
            </w:tcBorders>
            <w:vAlign w:val="center"/>
          </w:tcPr>
          <w:p w14:paraId="1D93371A">
            <w:pPr>
              <w:rPr>
                <w:rFonts w:ascii="宋体" w:hAnsi="宋体" w:cs="宋体"/>
                <w:color w:val="auto"/>
                <w:sz w:val="24"/>
                <w:highlight w:val="none"/>
              </w:rPr>
            </w:pPr>
          </w:p>
        </w:tc>
      </w:tr>
      <w:tr w14:paraId="25486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922" w:type="dxa"/>
            <w:tcBorders>
              <w:top w:val="single" w:color="auto" w:sz="4" w:space="0"/>
              <w:left w:val="single" w:color="auto" w:sz="4" w:space="0"/>
              <w:bottom w:val="single" w:color="auto" w:sz="4" w:space="0"/>
              <w:right w:val="single" w:color="auto" w:sz="4" w:space="0"/>
            </w:tcBorders>
            <w:vAlign w:val="center"/>
          </w:tcPr>
          <w:p w14:paraId="67AAA67E">
            <w:pPr>
              <w:rPr>
                <w:rFonts w:ascii="宋体" w:hAnsi="宋体" w:cs="宋体"/>
                <w:color w:val="auto"/>
                <w:sz w:val="24"/>
                <w:highlight w:val="none"/>
              </w:rPr>
            </w:pPr>
            <w:r>
              <w:rPr>
                <w:rFonts w:hint="eastAsia" w:ascii="宋体" w:hAnsi="宋体" w:cs="宋体"/>
                <w:color w:val="auto"/>
                <w:sz w:val="24"/>
                <w:highlight w:val="none"/>
              </w:rPr>
              <w:t>2</w:t>
            </w:r>
          </w:p>
        </w:tc>
        <w:tc>
          <w:tcPr>
            <w:tcW w:w="851" w:type="dxa"/>
            <w:tcBorders>
              <w:top w:val="single" w:color="auto" w:sz="4" w:space="0"/>
              <w:left w:val="single" w:color="auto" w:sz="4" w:space="0"/>
              <w:bottom w:val="single" w:color="auto" w:sz="4" w:space="0"/>
              <w:right w:val="single" w:color="auto" w:sz="4" w:space="0"/>
            </w:tcBorders>
            <w:vAlign w:val="center"/>
          </w:tcPr>
          <w:p w14:paraId="70C20C45">
            <w:pPr>
              <w:rPr>
                <w:rFonts w:ascii="宋体" w:hAnsi="宋体" w:cs="宋体"/>
                <w:color w:val="auto"/>
                <w:sz w:val="24"/>
                <w:highlight w:val="none"/>
              </w:rPr>
            </w:pPr>
            <w:r>
              <w:rPr>
                <w:rFonts w:hint="eastAsia" w:ascii="宋体" w:hAnsi="宋体" w:cs="宋体"/>
                <w:color w:val="auto"/>
                <w:sz w:val="24"/>
                <w:highlight w:val="none"/>
              </w:rPr>
              <w:t>……</w:t>
            </w:r>
          </w:p>
        </w:tc>
        <w:tc>
          <w:tcPr>
            <w:tcW w:w="705" w:type="dxa"/>
            <w:tcBorders>
              <w:top w:val="single" w:color="auto" w:sz="4" w:space="0"/>
              <w:left w:val="single" w:color="auto" w:sz="4" w:space="0"/>
              <w:bottom w:val="single" w:color="auto" w:sz="4" w:space="0"/>
              <w:right w:val="single" w:color="auto" w:sz="4" w:space="0"/>
            </w:tcBorders>
            <w:vAlign w:val="center"/>
          </w:tcPr>
          <w:p w14:paraId="727B76BE">
            <w:pPr>
              <w:rPr>
                <w:rFonts w:ascii="宋体" w:hAnsi="宋体" w:cs="宋体"/>
                <w:color w:val="auto"/>
                <w:sz w:val="24"/>
                <w:highlight w:val="none"/>
              </w:rPr>
            </w:pPr>
            <w:r>
              <w:rPr>
                <w:rFonts w:hint="eastAsia" w:ascii="宋体" w:hAnsi="宋体" w:cs="宋体"/>
                <w:color w:val="auto"/>
                <w:sz w:val="24"/>
                <w:highlight w:val="none"/>
              </w:rPr>
              <w:t>…</w:t>
            </w:r>
          </w:p>
        </w:tc>
        <w:tc>
          <w:tcPr>
            <w:tcW w:w="1350" w:type="dxa"/>
            <w:tcBorders>
              <w:top w:val="single" w:color="auto" w:sz="4" w:space="0"/>
              <w:left w:val="single" w:color="auto" w:sz="4" w:space="0"/>
              <w:bottom w:val="single" w:color="auto" w:sz="4" w:space="0"/>
              <w:right w:val="single" w:color="auto" w:sz="4" w:space="0"/>
            </w:tcBorders>
            <w:vAlign w:val="center"/>
          </w:tcPr>
          <w:p w14:paraId="25C03B9F">
            <w:pPr>
              <w:rPr>
                <w:rFonts w:ascii="宋体" w:hAnsi="宋体" w:cs="宋体"/>
                <w:color w:val="auto"/>
                <w:sz w:val="24"/>
                <w:highlight w:val="none"/>
              </w:rPr>
            </w:pPr>
            <w:r>
              <w:rPr>
                <w:rFonts w:hint="eastAsia" w:ascii="宋体" w:hAnsi="宋体" w:cs="宋体"/>
                <w:color w:val="auto"/>
                <w:sz w:val="24"/>
                <w:highlight w:val="none"/>
              </w:rPr>
              <w:t>1  ……</w:t>
            </w:r>
          </w:p>
          <w:p w14:paraId="47D562AC">
            <w:pPr>
              <w:rPr>
                <w:rFonts w:ascii="宋体" w:hAnsi="宋体" w:cs="宋体"/>
                <w:color w:val="auto"/>
                <w:sz w:val="24"/>
                <w:highlight w:val="none"/>
              </w:rPr>
            </w:pPr>
            <w:r>
              <w:rPr>
                <w:rFonts w:hint="eastAsia" w:ascii="宋体" w:hAnsi="宋体" w:cs="宋体"/>
                <w:color w:val="auto"/>
                <w:sz w:val="24"/>
                <w:highlight w:val="none"/>
              </w:rPr>
              <w:t>2  ……</w:t>
            </w:r>
          </w:p>
          <w:p w14:paraId="428D4370">
            <w:pPr>
              <w:rPr>
                <w:rFonts w:ascii="宋体" w:hAnsi="宋体" w:cs="宋体"/>
                <w:color w:val="auto"/>
                <w:sz w:val="24"/>
                <w:highlight w:val="none"/>
              </w:rPr>
            </w:pPr>
            <w:r>
              <w:rPr>
                <w:rFonts w:hint="eastAsia" w:ascii="宋体" w:hAnsi="宋体" w:cs="宋体"/>
                <w:color w:val="auto"/>
                <w:sz w:val="24"/>
                <w:highlight w:val="none"/>
              </w:rPr>
              <w:t>3  ……</w:t>
            </w:r>
          </w:p>
          <w:p w14:paraId="30FD1ABD">
            <w:pPr>
              <w:rPr>
                <w:rFonts w:ascii="宋体" w:hAnsi="宋体" w:cs="宋体"/>
                <w:color w:val="auto"/>
                <w:sz w:val="24"/>
                <w:highlight w:val="none"/>
              </w:rPr>
            </w:pPr>
            <w:r>
              <w:rPr>
                <w:rFonts w:hint="eastAsia" w:ascii="宋体" w:hAnsi="宋体" w:cs="宋体"/>
                <w:color w:val="auto"/>
                <w:sz w:val="24"/>
                <w:highlight w:val="none"/>
              </w:rPr>
              <w:t>……</w:t>
            </w:r>
          </w:p>
        </w:tc>
        <w:tc>
          <w:tcPr>
            <w:tcW w:w="840" w:type="dxa"/>
            <w:tcBorders>
              <w:top w:val="single" w:color="auto" w:sz="4" w:space="0"/>
              <w:left w:val="single" w:color="auto" w:sz="4" w:space="0"/>
              <w:bottom w:val="single" w:color="auto" w:sz="4" w:space="0"/>
              <w:right w:val="single" w:color="auto" w:sz="4" w:space="0"/>
            </w:tcBorders>
            <w:vAlign w:val="center"/>
          </w:tcPr>
          <w:p w14:paraId="7DC386C5">
            <w:pPr>
              <w:rPr>
                <w:rFonts w:ascii="宋体" w:hAnsi="宋体" w:cs="宋体"/>
                <w:color w:val="auto"/>
                <w:sz w:val="24"/>
                <w:highlight w:val="none"/>
              </w:rPr>
            </w:pPr>
            <w:r>
              <w:rPr>
                <w:rFonts w:hint="eastAsia" w:ascii="宋体" w:hAnsi="宋体" w:cs="宋体"/>
                <w:color w:val="auto"/>
                <w:sz w:val="24"/>
                <w:highlight w:val="none"/>
              </w:rPr>
              <w:t>……</w:t>
            </w:r>
          </w:p>
        </w:tc>
        <w:tc>
          <w:tcPr>
            <w:tcW w:w="780" w:type="dxa"/>
            <w:tcBorders>
              <w:top w:val="single" w:color="auto" w:sz="4" w:space="0"/>
              <w:left w:val="single" w:color="auto" w:sz="4" w:space="0"/>
              <w:bottom w:val="single" w:color="auto" w:sz="4" w:space="0"/>
              <w:right w:val="single" w:color="auto" w:sz="4" w:space="0"/>
            </w:tcBorders>
            <w:vAlign w:val="center"/>
          </w:tcPr>
          <w:p w14:paraId="3EB03ADA">
            <w:pPr>
              <w:rPr>
                <w:rFonts w:ascii="宋体" w:hAnsi="宋体" w:cs="宋体"/>
                <w:color w:val="auto"/>
                <w:sz w:val="24"/>
                <w:highlight w:val="none"/>
              </w:rPr>
            </w:pPr>
            <w:r>
              <w:rPr>
                <w:rFonts w:hint="eastAsia" w:ascii="宋体" w:hAnsi="宋体" w:cs="宋体"/>
                <w:color w:val="auto"/>
                <w:sz w:val="24"/>
                <w:highlight w:val="none"/>
              </w:rPr>
              <w:t>…</w:t>
            </w:r>
          </w:p>
        </w:tc>
        <w:tc>
          <w:tcPr>
            <w:tcW w:w="1350" w:type="dxa"/>
            <w:tcBorders>
              <w:top w:val="single" w:color="auto" w:sz="4" w:space="0"/>
              <w:left w:val="single" w:color="auto" w:sz="4" w:space="0"/>
              <w:bottom w:val="single" w:color="auto" w:sz="4" w:space="0"/>
              <w:right w:val="single" w:color="auto" w:sz="4" w:space="0"/>
            </w:tcBorders>
            <w:vAlign w:val="center"/>
          </w:tcPr>
          <w:p w14:paraId="7CD0952F">
            <w:pPr>
              <w:rPr>
                <w:rFonts w:ascii="宋体" w:hAnsi="宋体" w:cs="宋体"/>
                <w:color w:val="auto"/>
                <w:sz w:val="24"/>
                <w:highlight w:val="none"/>
              </w:rPr>
            </w:pPr>
            <w:r>
              <w:rPr>
                <w:rFonts w:hint="eastAsia" w:ascii="宋体" w:hAnsi="宋体" w:cs="宋体"/>
                <w:color w:val="auto"/>
                <w:sz w:val="24"/>
                <w:highlight w:val="none"/>
              </w:rPr>
              <w:t>1  ……</w:t>
            </w:r>
          </w:p>
          <w:p w14:paraId="57E4B31B">
            <w:pPr>
              <w:rPr>
                <w:rFonts w:ascii="宋体" w:hAnsi="宋体" w:cs="宋体"/>
                <w:color w:val="auto"/>
                <w:sz w:val="24"/>
                <w:highlight w:val="none"/>
              </w:rPr>
            </w:pPr>
            <w:r>
              <w:rPr>
                <w:rFonts w:hint="eastAsia" w:ascii="宋体" w:hAnsi="宋体" w:cs="宋体"/>
                <w:color w:val="auto"/>
                <w:sz w:val="24"/>
                <w:highlight w:val="none"/>
              </w:rPr>
              <w:t>2  ……</w:t>
            </w:r>
          </w:p>
          <w:p w14:paraId="7C430B2E">
            <w:pPr>
              <w:rPr>
                <w:rFonts w:ascii="宋体" w:hAnsi="宋体" w:cs="宋体"/>
                <w:color w:val="auto"/>
                <w:sz w:val="24"/>
                <w:highlight w:val="none"/>
              </w:rPr>
            </w:pPr>
            <w:r>
              <w:rPr>
                <w:rFonts w:hint="eastAsia" w:ascii="宋体" w:hAnsi="宋体" w:cs="宋体"/>
                <w:color w:val="auto"/>
                <w:sz w:val="24"/>
                <w:highlight w:val="none"/>
              </w:rPr>
              <w:t>3  ……</w:t>
            </w:r>
          </w:p>
          <w:p w14:paraId="0A7FC932">
            <w:pPr>
              <w:rPr>
                <w:rFonts w:ascii="宋体" w:hAnsi="宋体" w:cs="宋体"/>
                <w:color w:val="auto"/>
                <w:sz w:val="24"/>
                <w:highlight w:val="none"/>
              </w:rPr>
            </w:pPr>
            <w:r>
              <w:rPr>
                <w:rFonts w:hint="eastAsia" w:ascii="宋体" w:hAnsi="宋体" w:cs="宋体"/>
                <w:color w:val="auto"/>
                <w:sz w:val="24"/>
                <w:highlight w:val="none"/>
              </w:rPr>
              <w:t>……</w:t>
            </w:r>
          </w:p>
        </w:tc>
        <w:tc>
          <w:tcPr>
            <w:tcW w:w="1823" w:type="dxa"/>
            <w:tcBorders>
              <w:top w:val="single" w:color="auto" w:sz="4" w:space="0"/>
              <w:left w:val="single" w:color="auto" w:sz="4" w:space="0"/>
              <w:bottom w:val="single" w:color="auto" w:sz="4" w:space="0"/>
              <w:right w:val="single" w:color="auto" w:sz="4" w:space="0"/>
            </w:tcBorders>
            <w:vAlign w:val="center"/>
          </w:tcPr>
          <w:p w14:paraId="234B9549">
            <w:pPr>
              <w:rPr>
                <w:rFonts w:ascii="宋体" w:hAnsi="宋体" w:cs="宋体"/>
                <w:color w:val="auto"/>
                <w:sz w:val="24"/>
                <w:highlight w:val="none"/>
              </w:rPr>
            </w:pPr>
          </w:p>
        </w:tc>
      </w:tr>
      <w:tr w14:paraId="3AA92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922" w:type="dxa"/>
            <w:tcBorders>
              <w:top w:val="single" w:color="auto" w:sz="4" w:space="0"/>
              <w:left w:val="single" w:color="auto" w:sz="4" w:space="0"/>
              <w:bottom w:val="single" w:color="auto" w:sz="4" w:space="0"/>
              <w:right w:val="single" w:color="auto" w:sz="4" w:space="0"/>
            </w:tcBorders>
            <w:vAlign w:val="center"/>
          </w:tcPr>
          <w:p w14:paraId="70E400AC">
            <w:pPr>
              <w:rPr>
                <w:rFonts w:ascii="宋体" w:hAnsi="宋体" w:cs="宋体"/>
                <w:color w:val="auto"/>
                <w:sz w:val="24"/>
                <w:highlight w:val="none"/>
              </w:rPr>
            </w:pPr>
            <w:r>
              <w:rPr>
                <w:rFonts w:hint="eastAsia" w:ascii="宋体" w:hAnsi="宋体" w:cs="宋体"/>
                <w:color w:val="auto"/>
                <w:sz w:val="24"/>
                <w:highlight w:val="none"/>
              </w:rPr>
              <w:t>...</w:t>
            </w:r>
          </w:p>
        </w:tc>
        <w:tc>
          <w:tcPr>
            <w:tcW w:w="851" w:type="dxa"/>
            <w:tcBorders>
              <w:top w:val="single" w:color="auto" w:sz="4" w:space="0"/>
              <w:left w:val="single" w:color="auto" w:sz="4" w:space="0"/>
              <w:bottom w:val="single" w:color="auto" w:sz="4" w:space="0"/>
              <w:right w:val="single" w:color="auto" w:sz="4" w:space="0"/>
            </w:tcBorders>
            <w:vAlign w:val="center"/>
          </w:tcPr>
          <w:p w14:paraId="46AAEBC9">
            <w:pPr>
              <w:rPr>
                <w:rFonts w:ascii="宋体" w:hAnsi="宋体" w:cs="宋体"/>
                <w:color w:val="auto"/>
                <w:sz w:val="24"/>
                <w:highlight w:val="none"/>
              </w:rPr>
            </w:pPr>
          </w:p>
        </w:tc>
        <w:tc>
          <w:tcPr>
            <w:tcW w:w="705" w:type="dxa"/>
            <w:tcBorders>
              <w:top w:val="single" w:color="auto" w:sz="4" w:space="0"/>
              <w:left w:val="single" w:color="auto" w:sz="4" w:space="0"/>
              <w:bottom w:val="single" w:color="auto" w:sz="4" w:space="0"/>
              <w:right w:val="single" w:color="auto" w:sz="4" w:space="0"/>
            </w:tcBorders>
            <w:vAlign w:val="center"/>
          </w:tcPr>
          <w:p w14:paraId="24888B55">
            <w:pPr>
              <w:rPr>
                <w:rFonts w:ascii="宋体" w:hAnsi="宋体" w:cs="宋体"/>
                <w:color w:val="auto"/>
                <w:sz w:val="24"/>
                <w:highlight w:val="none"/>
              </w:rPr>
            </w:pPr>
          </w:p>
        </w:tc>
        <w:tc>
          <w:tcPr>
            <w:tcW w:w="1350" w:type="dxa"/>
            <w:tcBorders>
              <w:top w:val="single" w:color="auto" w:sz="4" w:space="0"/>
              <w:left w:val="single" w:color="auto" w:sz="4" w:space="0"/>
              <w:bottom w:val="single" w:color="auto" w:sz="4" w:space="0"/>
              <w:right w:val="single" w:color="auto" w:sz="4" w:space="0"/>
            </w:tcBorders>
            <w:vAlign w:val="center"/>
          </w:tcPr>
          <w:p w14:paraId="2D645A56">
            <w:pPr>
              <w:rPr>
                <w:rFonts w:ascii="宋体" w:hAnsi="宋体" w:cs="宋体"/>
                <w:color w:val="auto"/>
                <w:sz w:val="24"/>
                <w:highlight w:val="none"/>
              </w:rPr>
            </w:pPr>
          </w:p>
        </w:tc>
        <w:tc>
          <w:tcPr>
            <w:tcW w:w="840" w:type="dxa"/>
            <w:tcBorders>
              <w:top w:val="single" w:color="auto" w:sz="4" w:space="0"/>
              <w:left w:val="single" w:color="auto" w:sz="4" w:space="0"/>
              <w:bottom w:val="single" w:color="auto" w:sz="4" w:space="0"/>
              <w:right w:val="single" w:color="auto" w:sz="4" w:space="0"/>
            </w:tcBorders>
            <w:vAlign w:val="center"/>
          </w:tcPr>
          <w:p w14:paraId="3FDA5797">
            <w:pPr>
              <w:rPr>
                <w:rFonts w:ascii="宋体" w:hAnsi="宋体" w:cs="宋体"/>
                <w:color w:val="auto"/>
                <w:sz w:val="24"/>
                <w:highlight w:val="none"/>
              </w:rPr>
            </w:pPr>
          </w:p>
        </w:tc>
        <w:tc>
          <w:tcPr>
            <w:tcW w:w="780" w:type="dxa"/>
            <w:tcBorders>
              <w:top w:val="single" w:color="auto" w:sz="4" w:space="0"/>
              <w:left w:val="single" w:color="auto" w:sz="4" w:space="0"/>
              <w:bottom w:val="single" w:color="auto" w:sz="4" w:space="0"/>
              <w:right w:val="single" w:color="auto" w:sz="4" w:space="0"/>
            </w:tcBorders>
            <w:vAlign w:val="center"/>
          </w:tcPr>
          <w:p w14:paraId="1DB6AB0B">
            <w:pPr>
              <w:rPr>
                <w:rFonts w:ascii="宋体" w:hAnsi="宋体" w:cs="宋体"/>
                <w:color w:val="auto"/>
                <w:sz w:val="24"/>
                <w:highlight w:val="none"/>
              </w:rPr>
            </w:pPr>
          </w:p>
        </w:tc>
        <w:tc>
          <w:tcPr>
            <w:tcW w:w="1350" w:type="dxa"/>
            <w:tcBorders>
              <w:top w:val="single" w:color="auto" w:sz="4" w:space="0"/>
              <w:left w:val="single" w:color="auto" w:sz="4" w:space="0"/>
              <w:bottom w:val="single" w:color="auto" w:sz="4" w:space="0"/>
              <w:right w:val="single" w:color="auto" w:sz="4" w:space="0"/>
            </w:tcBorders>
            <w:vAlign w:val="center"/>
          </w:tcPr>
          <w:p w14:paraId="3E0DDECC">
            <w:pPr>
              <w:rPr>
                <w:rFonts w:ascii="宋体" w:hAnsi="宋体" w:cs="宋体"/>
                <w:color w:val="auto"/>
                <w:sz w:val="24"/>
                <w:highlight w:val="none"/>
              </w:rPr>
            </w:pPr>
          </w:p>
        </w:tc>
        <w:tc>
          <w:tcPr>
            <w:tcW w:w="1823" w:type="dxa"/>
            <w:tcBorders>
              <w:top w:val="single" w:color="auto" w:sz="4" w:space="0"/>
              <w:left w:val="single" w:color="auto" w:sz="4" w:space="0"/>
              <w:bottom w:val="single" w:color="auto" w:sz="4" w:space="0"/>
              <w:right w:val="single" w:color="auto" w:sz="4" w:space="0"/>
            </w:tcBorders>
            <w:vAlign w:val="center"/>
          </w:tcPr>
          <w:p w14:paraId="2B1213AA">
            <w:pPr>
              <w:rPr>
                <w:rFonts w:ascii="宋体" w:hAnsi="宋体" w:cs="宋体"/>
                <w:color w:val="auto"/>
                <w:sz w:val="24"/>
                <w:highlight w:val="none"/>
              </w:rPr>
            </w:pPr>
          </w:p>
        </w:tc>
      </w:tr>
    </w:tbl>
    <w:p w14:paraId="2F8CCAEB">
      <w:pPr>
        <w:pStyle w:val="13"/>
        <w:spacing w:after="0" w:line="360" w:lineRule="auto"/>
        <w:contextualSpacing/>
        <w:rPr>
          <w:rFonts w:ascii="宋体" w:hAnsi="宋体" w:cs="宋体"/>
          <w:color w:val="auto"/>
          <w:kern w:val="0"/>
          <w:sz w:val="24"/>
          <w:szCs w:val="24"/>
          <w:highlight w:val="none"/>
        </w:rPr>
      </w:pPr>
    </w:p>
    <w:p w14:paraId="7C05D660">
      <w:pPr>
        <w:pStyle w:val="13"/>
        <w:spacing w:after="0" w:line="360" w:lineRule="auto"/>
        <w:contextualSpacing/>
        <w:rPr>
          <w:rFonts w:ascii="宋体" w:hAnsi="宋体" w:cs="宋体"/>
          <w:color w:val="auto"/>
          <w:kern w:val="0"/>
          <w:sz w:val="24"/>
          <w:szCs w:val="24"/>
          <w:highlight w:val="none"/>
        </w:rPr>
      </w:pPr>
      <w:r>
        <w:rPr>
          <w:rFonts w:hint="eastAsia" w:ascii="宋体" w:hAnsi="宋体" w:cs="宋体"/>
          <w:color w:val="auto"/>
          <w:kern w:val="0"/>
          <w:sz w:val="24"/>
          <w:szCs w:val="24"/>
          <w:highlight w:val="none"/>
        </w:rPr>
        <w:t>注：</w:t>
      </w:r>
    </w:p>
    <w:p w14:paraId="484EEFEB">
      <w:pPr>
        <w:pStyle w:val="13"/>
        <w:spacing w:after="0" w:line="360" w:lineRule="auto"/>
        <w:ind w:firstLine="480" w:firstLineChars="200"/>
        <w:contextualSpacing/>
        <w:rPr>
          <w:rFonts w:ascii="宋体" w:hAnsi="宋体" w:cs="宋体"/>
          <w:color w:val="auto"/>
          <w:kern w:val="0"/>
          <w:sz w:val="24"/>
          <w:szCs w:val="24"/>
          <w:highlight w:val="none"/>
        </w:rPr>
      </w:pPr>
      <w:r>
        <w:rPr>
          <w:rFonts w:hint="eastAsia" w:ascii="宋体" w:hAnsi="宋体" w:cs="宋体"/>
          <w:color w:val="auto"/>
          <w:kern w:val="0"/>
          <w:sz w:val="24"/>
          <w:szCs w:val="24"/>
          <w:highlight w:val="none"/>
        </w:rPr>
        <w:t>1.说明：应对照磋商文件“第二章”中“服务需求一览表”的采购清单及技术参数条款逐条作出明确响应，并作出偏离说明。</w:t>
      </w:r>
    </w:p>
    <w:p w14:paraId="796B6D6F">
      <w:pPr>
        <w:pStyle w:val="15"/>
        <w:spacing w:line="400" w:lineRule="exact"/>
        <w:ind w:firstLine="480" w:firstLineChars="20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63DDF9EC">
      <w:pPr>
        <w:spacing w:line="40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3.表格内容均需按要求填写并盖章，不得留空，否则按竞标无效处理。</w:t>
      </w:r>
    </w:p>
    <w:p w14:paraId="11020A99">
      <w:pPr>
        <w:snapToGrid w:val="0"/>
        <w:spacing w:line="360" w:lineRule="auto"/>
        <w:ind w:firstLine="482" w:firstLineChars="200"/>
        <w:rPr>
          <w:rFonts w:ascii="宋体" w:hAnsi="宋体" w:cs="宋体"/>
          <w:b/>
          <w:color w:val="auto"/>
          <w:sz w:val="24"/>
          <w:highlight w:val="none"/>
        </w:rPr>
      </w:pPr>
    </w:p>
    <w:p w14:paraId="10A5F590">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02EA95E9">
      <w:pPr>
        <w:autoSpaceDE w:val="0"/>
        <w:autoSpaceDN w:val="0"/>
        <w:spacing w:line="360" w:lineRule="auto"/>
        <w:ind w:firstLine="6480" w:firstLineChars="270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5E0B9AF4">
      <w:pPr>
        <w:keepNext w:val="0"/>
        <w:keepLines w:val="0"/>
        <w:pageBreakBefore/>
        <w:widowControl w:val="0"/>
        <w:kinsoku/>
        <w:wordWrap/>
        <w:overflowPunct/>
        <w:topLinePunct w:val="0"/>
        <w:autoSpaceDE/>
        <w:autoSpaceDN/>
        <w:bidi w:val="0"/>
        <w:adjustRightInd/>
        <w:snapToGrid w:val="0"/>
        <w:spacing w:line="360" w:lineRule="auto"/>
        <w:ind w:firstLine="602" w:firstLineChars="200"/>
        <w:textAlignment w:val="auto"/>
        <w:rPr>
          <w:rFonts w:ascii="宋体" w:hAnsi="宋体" w:cs="宋体"/>
          <w:b/>
          <w:color w:val="auto"/>
          <w:sz w:val="30"/>
          <w:szCs w:val="30"/>
          <w:highlight w:val="none"/>
        </w:rPr>
      </w:pPr>
      <w:r>
        <w:rPr>
          <w:rFonts w:hint="eastAsia" w:ascii="宋体" w:hAnsi="宋体" w:cs="宋体"/>
          <w:b/>
          <w:color w:val="auto"/>
          <w:sz w:val="30"/>
          <w:szCs w:val="30"/>
          <w:highlight w:val="none"/>
          <w:lang w:val="en-US" w:eastAsia="zh-CN"/>
        </w:rPr>
        <w:t>八</w:t>
      </w:r>
      <w:r>
        <w:rPr>
          <w:rFonts w:hint="eastAsia" w:ascii="宋体" w:hAnsi="宋体" w:cs="宋体"/>
          <w:b/>
          <w:color w:val="auto"/>
          <w:sz w:val="30"/>
          <w:szCs w:val="30"/>
          <w:highlight w:val="none"/>
        </w:rPr>
        <w:t>、</w:t>
      </w:r>
      <w:r>
        <w:rPr>
          <w:rFonts w:hint="eastAsia" w:ascii="宋体" w:hAnsi="宋体" w:cs="宋体"/>
          <w:b/>
          <w:color w:val="auto"/>
          <w:sz w:val="30"/>
          <w:szCs w:val="30"/>
          <w:highlight w:val="none"/>
          <w:lang w:val="en-US" w:eastAsia="zh-CN"/>
        </w:rPr>
        <w:t>技术</w:t>
      </w:r>
      <w:r>
        <w:rPr>
          <w:rFonts w:hint="eastAsia" w:ascii="宋体" w:hAnsi="宋体" w:cs="宋体"/>
          <w:b/>
          <w:color w:val="auto"/>
          <w:sz w:val="30"/>
          <w:szCs w:val="30"/>
          <w:highlight w:val="none"/>
        </w:rPr>
        <w:t>方案</w:t>
      </w:r>
    </w:p>
    <w:p w14:paraId="1470C8EC">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（由供应商根据采购需求及采购文件及评分要求编制）</w:t>
      </w:r>
    </w:p>
    <w:p w14:paraId="17F23E34">
      <w:pPr>
        <w:spacing w:line="500" w:lineRule="exact"/>
        <w:rPr>
          <w:rFonts w:ascii="宋体" w:hAnsi="宋体" w:cs="宋体"/>
          <w:color w:val="auto"/>
          <w:sz w:val="32"/>
          <w:szCs w:val="32"/>
          <w:highlight w:val="none"/>
        </w:rPr>
      </w:pPr>
    </w:p>
    <w:p w14:paraId="4CF11835">
      <w:pPr>
        <w:pStyle w:val="60"/>
        <w:ind w:firstLine="640"/>
        <w:rPr>
          <w:rFonts w:ascii="宋体" w:hAnsi="宋体" w:cs="宋体"/>
          <w:color w:val="auto"/>
          <w:sz w:val="32"/>
          <w:szCs w:val="32"/>
          <w:highlight w:val="none"/>
        </w:rPr>
      </w:pPr>
    </w:p>
    <w:p w14:paraId="25FBDD85">
      <w:pPr>
        <w:pStyle w:val="60"/>
        <w:ind w:firstLine="640"/>
        <w:rPr>
          <w:rFonts w:ascii="宋体" w:hAnsi="宋体" w:cs="宋体"/>
          <w:color w:val="auto"/>
          <w:sz w:val="32"/>
          <w:szCs w:val="32"/>
          <w:highlight w:val="none"/>
        </w:rPr>
      </w:pPr>
    </w:p>
    <w:p w14:paraId="01CEA3FB">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0BD5686A">
      <w:pPr>
        <w:autoSpaceDE w:val="0"/>
        <w:autoSpaceDN w:val="0"/>
        <w:spacing w:line="360" w:lineRule="auto"/>
        <w:ind w:firstLine="6480" w:firstLineChars="27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73C5BED6">
      <w:pPr>
        <w:pStyle w:val="60"/>
        <w:ind w:left="630" w:firstLine="0" w:firstLineChars="0"/>
        <w:rPr>
          <w:rFonts w:ascii="宋体" w:hAnsi="宋体" w:cs="宋体"/>
          <w:b/>
          <w:color w:val="auto"/>
          <w:sz w:val="30"/>
          <w:szCs w:val="30"/>
          <w:highlight w:val="none"/>
        </w:rPr>
      </w:pPr>
    </w:p>
    <w:p w14:paraId="701486D9">
      <w:pPr>
        <w:pStyle w:val="60"/>
        <w:ind w:left="630" w:firstLine="0" w:firstLineChars="0"/>
        <w:rPr>
          <w:rFonts w:ascii="宋体" w:hAnsi="宋体" w:cs="宋体"/>
          <w:b/>
          <w:color w:val="auto"/>
          <w:sz w:val="30"/>
          <w:szCs w:val="30"/>
          <w:highlight w:val="none"/>
        </w:rPr>
      </w:pPr>
    </w:p>
    <w:p w14:paraId="3B7E14C0">
      <w:pPr>
        <w:pStyle w:val="60"/>
        <w:ind w:left="630" w:firstLine="0" w:firstLineChars="0"/>
        <w:rPr>
          <w:rFonts w:ascii="宋体" w:hAnsi="宋体" w:cs="宋体"/>
          <w:b/>
          <w:color w:val="auto"/>
          <w:sz w:val="30"/>
          <w:szCs w:val="30"/>
          <w:highlight w:val="none"/>
        </w:rPr>
      </w:pPr>
    </w:p>
    <w:p w14:paraId="42307610">
      <w:pPr>
        <w:pStyle w:val="60"/>
        <w:ind w:left="630" w:firstLine="0" w:firstLineChars="0"/>
        <w:rPr>
          <w:rFonts w:ascii="宋体" w:hAnsi="宋体" w:cs="宋体"/>
          <w:b/>
          <w:color w:val="auto"/>
          <w:sz w:val="30"/>
          <w:szCs w:val="30"/>
          <w:highlight w:val="none"/>
        </w:rPr>
      </w:pPr>
    </w:p>
    <w:p w14:paraId="0E127D2A">
      <w:pPr>
        <w:pStyle w:val="60"/>
        <w:ind w:left="630" w:firstLine="0" w:firstLineChars="0"/>
        <w:rPr>
          <w:rFonts w:ascii="宋体" w:hAnsi="宋体" w:cs="宋体"/>
          <w:b/>
          <w:color w:val="auto"/>
          <w:sz w:val="30"/>
          <w:szCs w:val="30"/>
          <w:highlight w:val="none"/>
        </w:rPr>
      </w:pPr>
    </w:p>
    <w:p w14:paraId="497DFFA2">
      <w:pPr>
        <w:pStyle w:val="60"/>
        <w:ind w:left="630" w:firstLine="0" w:firstLineChars="0"/>
        <w:rPr>
          <w:rFonts w:ascii="宋体" w:hAnsi="宋体" w:cs="宋体"/>
          <w:b/>
          <w:color w:val="auto"/>
          <w:sz w:val="30"/>
          <w:szCs w:val="30"/>
          <w:highlight w:val="none"/>
        </w:rPr>
      </w:pPr>
      <w:r>
        <w:rPr>
          <w:rFonts w:hint="eastAsia" w:ascii="宋体" w:hAnsi="宋体" w:cs="宋体"/>
          <w:b/>
          <w:color w:val="auto"/>
          <w:sz w:val="30"/>
          <w:szCs w:val="30"/>
          <w:highlight w:val="none"/>
          <w:lang w:val="en-US" w:eastAsia="zh-CN"/>
        </w:rPr>
        <w:t>九</w:t>
      </w:r>
      <w:r>
        <w:rPr>
          <w:rFonts w:hint="eastAsia" w:ascii="宋体" w:hAnsi="宋体" w:cs="宋体"/>
          <w:b/>
          <w:color w:val="auto"/>
          <w:sz w:val="30"/>
          <w:szCs w:val="30"/>
          <w:highlight w:val="none"/>
        </w:rPr>
        <w:t>、服务承诺</w:t>
      </w:r>
    </w:p>
    <w:p w14:paraId="1BA63FEA">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（由供应商根据采购需求及采购文件要求编制）</w:t>
      </w:r>
    </w:p>
    <w:p w14:paraId="6C40A359">
      <w:pPr>
        <w:spacing w:line="500" w:lineRule="exact"/>
        <w:rPr>
          <w:rFonts w:ascii="宋体" w:hAnsi="宋体" w:cs="宋体"/>
          <w:color w:val="auto"/>
          <w:sz w:val="32"/>
          <w:szCs w:val="32"/>
          <w:highlight w:val="none"/>
        </w:rPr>
      </w:pPr>
    </w:p>
    <w:p w14:paraId="399D7335">
      <w:pPr>
        <w:pStyle w:val="60"/>
        <w:ind w:firstLine="640"/>
        <w:rPr>
          <w:rFonts w:ascii="宋体" w:hAnsi="宋体" w:cs="宋体"/>
          <w:color w:val="auto"/>
          <w:sz w:val="32"/>
          <w:szCs w:val="32"/>
          <w:highlight w:val="none"/>
        </w:rPr>
      </w:pPr>
    </w:p>
    <w:p w14:paraId="7FB8D7A8">
      <w:pPr>
        <w:pStyle w:val="60"/>
        <w:ind w:firstLine="640"/>
        <w:rPr>
          <w:rFonts w:ascii="宋体" w:hAnsi="宋体" w:cs="宋体"/>
          <w:color w:val="auto"/>
          <w:sz w:val="32"/>
          <w:szCs w:val="32"/>
          <w:highlight w:val="none"/>
        </w:rPr>
      </w:pPr>
    </w:p>
    <w:p w14:paraId="2C898515">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19AEEEA4">
      <w:pPr>
        <w:autoSpaceDE w:val="0"/>
        <w:autoSpaceDN w:val="0"/>
        <w:spacing w:line="360" w:lineRule="auto"/>
        <w:ind w:firstLine="6480" w:firstLineChars="27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4CDE9843">
      <w:pPr>
        <w:pStyle w:val="60"/>
        <w:ind w:firstLine="480"/>
        <w:rPr>
          <w:rFonts w:ascii="宋体" w:hAnsi="宋体" w:cs="宋体"/>
          <w:color w:val="auto"/>
          <w:kern w:val="0"/>
          <w:sz w:val="24"/>
          <w:highlight w:val="none"/>
          <w:lang w:val="zh-CN"/>
        </w:rPr>
      </w:pPr>
    </w:p>
    <w:p w14:paraId="6E96B9AD">
      <w:pPr>
        <w:pageBreakBefore/>
        <w:snapToGrid w:val="0"/>
        <w:spacing w:line="360" w:lineRule="auto"/>
        <w:ind w:firstLine="602" w:firstLineChars="200"/>
        <w:rPr>
          <w:rFonts w:ascii="宋体" w:hAnsi="宋体" w:cs="宋体"/>
          <w:b/>
          <w:color w:val="auto"/>
          <w:sz w:val="30"/>
          <w:szCs w:val="30"/>
          <w:highlight w:val="none"/>
        </w:rPr>
      </w:pPr>
      <w:r>
        <w:rPr>
          <w:rFonts w:hint="eastAsia" w:ascii="宋体" w:hAnsi="宋体" w:cs="宋体"/>
          <w:b/>
          <w:color w:val="auto"/>
          <w:sz w:val="30"/>
          <w:szCs w:val="30"/>
          <w:highlight w:val="none"/>
        </w:rPr>
        <w:t>十、项目实施人员一览表</w:t>
      </w:r>
    </w:p>
    <w:p w14:paraId="32DAEA13">
      <w:pPr>
        <w:spacing w:line="360" w:lineRule="auto"/>
        <w:jc w:val="center"/>
        <w:rPr>
          <w:rFonts w:ascii="宋体" w:hAnsi="宋体" w:cs="宋体"/>
          <w:b/>
          <w:bCs/>
          <w:color w:val="auto"/>
          <w:sz w:val="24"/>
          <w:highlight w:val="none"/>
        </w:rPr>
      </w:pPr>
      <w:r>
        <w:rPr>
          <w:rFonts w:hint="eastAsia" w:ascii="宋体" w:hAnsi="宋体" w:cs="宋体"/>
          <w:color w:val="auto"/>
          <w:sz w:val="24"/>
          <w:highlight w:val="none"/>
        </w:rPr>
        <w:t>（由供应商根据采购需求及采购文件要求编制）</w:t>
      </w:r>
    </w:p>
    <w:p w14:paraId="7B50E1A7">
      <w:pPr>
        <w:pStyle w:val="19"/>
        <w:rPr>
          <w:rFonts w:hAnsi="宋体" w:cs="宋体"/>
          <w:b/>
          <w:color w:val="auto"/>
          <w:sz w:val="24"/>
          <w:highlight w:val="none"/>
        </w:rPr>
      </w:pPr>
      <w:r>
        <w:rPr>
          <w:rFonts w:hint="eastAsia" w:hAnsi="宋体" w:cs="宋体"/>
          <w:color w:val="auto"/>
          <w:sz w:val="24"/>
          <w:szCs w:val="24"/>
          <w:highlight w:val="none"/>
        </w:rPr>
        <w:t>响应分标：</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分标</w:t>
      </w:r>
    </w:p>
    <w:p w14:paraId="4ED1DA51">
      <w:pPr>
        <w:keepNext/>
        <w:autoSpaceDE w:val="0"/>
        <w:autoSpaceDN w:val="0"/>
        <w:spacing w:line="360" w:lineRule="auto"/>
        <w:ind w:firstLine="477"/>
        <w:rPr>
          <w:rFonts w:ascii="宋体" w:hAnsi="宋体" w:cs="宋体"/>
          <w:b/>
          <w:color w:val="auto"/>
          <w:sz w:val="24"/>
          <w:highlight w:val="none"/>
        </w:rPr>
      </w:pPr>
    </w:p>
    <w:p w14:paraId="4DC5F163">
      <w:pPr>
        <w:keepNext/>
        <w:autoSpaceDE w:val="0"/>
        <w:autoSpaceDN w:val="0"/>
        <w:spacing w:line="360" w:lineRule="auto"/>
        <w:ind w:firstLine="477"/>
        <w:rPr>
          <w:rFonts w:ascii="宋体" w:hAnsi="宋体" w:cs="宋体"/>
          <w:b/>
          <w:color w:val="auto"/>
          <w:sz w:val="24"/>
          <w:highlight w:val="none"/>
        </w:rPr>
      </w:pPr>
      <w:r>
        <w:rPr>
          <w:rFonts w:hint="eastAsia" w:ascii="宋体" w:hAnsi="宋体" w:cs="宋体"/>
          <w:b/>
          <w:color w:val="auto"/>
          <w:sz w:val="24"/>
          <w:highlight w:val="none"/>
        </w:rPr>
        <w:t>附表A:本项目的项目经理情况表</w:t>
      </w:r>
    </w:p>
    <w:tbl>
      <w:tblPr>
        <w:tblStyle w:val="33"/>
        <w:tblW w:w="9169" w:type="dxa"/>
        <w:tblInd w:w="0" w:type="dxa"/>
        <w:tblLayout w:type="fixed"/>
        <w:tblCellMar>
          <w:top w:w="0" w:type="dxa"/>
          <w:left w:w="108" w:type="dxa"/>
          <w:bottom w:w="0" w:type="dxa"/>
          <w:right w:w="108" w:type="dxa"/>
        </w:tblCellMar>
      </w:tblPr>
      <w:tblGrid>
        <w:gridCol w:w="2061"/>
        <w:gridCol w:w="1287"/>
        <w:gridCol w:w="1260"/>
        <w:gridCol w:w="4561"/>
      </w:tblGrid>
      <w:tr w14:paraId="3826A0E2">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79AE5A7F">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18F8A817">
            <w:pPr>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3890A3FA">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页码</w:t>
            </w:r>
          </w:p>
        </w:tc>
        <w:tc>
          <w:tcPr>
            <w:tcW w:w="4561" w:type="dxa"/>
            <w:tcBorders>
              <w:top w:val="single" w:color="auto" w:sz="6" w:space="0"/>
              <w:left w:val="single" w:color="auto" w:sz="6" w:space="0"/>
              <w:bottom w:val="single" w:color="auto" w:sz="6" w:space="0"/>
              <w:right w:val="single" w:color="auto" w:sz="6" w:space="0"/>
            </w:tcBorders>
            <w:vAlign w:val="center"/>
          </w:tcPr>
          <w:p w14:paraId="156552B4">
            <w:pPr>
              <w:autoSpaceDE w:val="0"/>
              <w:autoSpaceDN w:val="0"/>
              <w:spacing w:line="400" w:lineRule="exact"/>
              <w:rPr>
                <w:rFonts w:ascii="宋体" w:hAnsi="宋体" w:cs="宋体"/>
                <w:color w:val="auto"/>
                <w:sz w:val="24"/>
                <w:highlight w:val="none"/>
              </w:rPr>
            </w:pPr>
            <w:r>
              <w:rPr>
                <w:rFonts w:hint="eastAsia" w:ascii="宋体" w:hAnsi="宋体" w:cs="宋体"/>
                <w:color w:val="auto"/>
                <w:sz w:val="24"/>
                <w:highlight w:val="none"/>
              </w:rPr>
              <w:t>响应截止时间前三年业绩及承担的主要工作情况，曾担任项目经理的项目应列明细</w:t>
            </w:r>
          </w:p>
        </w:tc>
      </w:tr>
      <w:tr w14:paraId="4232534D">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2D66CBA">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8E1A112">
            <w:pPr>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2FE044CA">
            <w:pPr>
              <w:autoSpaceDE w:val="0"/>
              <w:autoSpaceDN w:val="0"/>
              <w:spacing w:line="360" w:lineRule="auto"/>
              <w:jc w:val="center"/>
              <w:rPr>
                <w:rFonts w:ascii="宋体" w:hAnsi="宋体" w:cs="宋体"/>
                <w:color w:val="auto"/>
                <w:sz w:val="24"/>
                <w:highlight w:val="none"/>
              </w:rPr>
            </w:pPr>
          </w:p>
        </w:tc>
        <w:tc>
          <w:tcPr>
            <w:tcW w:w="4561" w:type="dxa"/>
            <w:vMerge w:val="restart"/>
            <w:tcBorders>
              <w:top w:val="single" w:color="auto" w:sz="6" w:space="0"/>
              <w:left w:val="single" w:color="auto" w:sz="6" w:space="0"/>
              <w:bottom w:val="single" w:color="auto" w:sz="6" w:space="0"/>
              <w:right w:val="single" w:color="auto" w:sz="6" w:space="0"/>
            </w:tcBorders>
            <w:vAlign w:val="center"/>
          </w:tcPr>
          <w:p w14:paraId="5458D404">
            <w:pPr>
              <w:autoSpaceDE w:val="0"/>
              <w:autoSpaceDN w:val="0"/>
              <w:spacing w:line="360" w:lineRule="auto"/>
              <w:jc w:val="center"/>
              <w:rPr>
                <w:rFonts w:ascii="宋体" w:hAnsi="宋体" w:cs="宋体"/>
                <w:color w:val="auto"/>
                <w:sz w:val="24"/>
                <w:highlight w:val="none"/>
              </w:rPr>
            </w:pPr>
          </w:p>
        </w:tc>
      </w:tr>
      <w:tr w14:paraId="6EC45E14">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50204D7">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B87410E">
            <w:pPr>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435C7C8A">
            <w:pPr>
              <w:autoSpaceDE w:val="0"/>
              <w:autoSpaceDN w:val="0"/>
              <w:spacing w:line="360" w:lineRule="auto"/>
              <w:jc w:val="center"/>
              <w:rPr>
                <w:rFonts w:ascii="宋体" w:hAnsi="宋体" w:cs="宋体"/>
                <w:color w:val="auto"/>
                <w:sz w:val="24"/>
                <w:highlight w:val="none"/>
              </w:rPr>
            </w:pPr>
          </w:p>
        </w:tc>
        <w:tc>
          <w:tcPr>
            <w:tcW w:w="4561" w:type="dxa"/>
            <w:vMerge w:val="continue"/>
            <w:tcBorders>
              <w:top w:val="single" w:color="auto" w:sz="6" w:space="0"/>
              <w:left w:val="single" w:color="auto" w:sz="6" w:space="0"/>
              <w:bottom w:val="single" w:color="auto" w:sz="6" w:space="0"/>
              <w:right w:val="single" w:color="auto" w:sz="6" w:space="0"/>
            </w:tcBorders>
            <w:vAlign w:val="center"/>
          </w:tcPr>
          <w:p w14:paraId="518D49B8">
            <w:pPr>
              <w:autoSpaceDE w:val="0"/>
              <w:autoSpaceDN w:val="0"/>
              <w:spacing w:line="360" w:lineRule="auto"/>
              <w:jc w:val="center"/>
              <w:rPr>
                <w:rFonts w:ascii="宋体" w:hAnsi="宋体" w:cs="宋体"/>
                <w:color w:val="auto"/>
                <w:sz w:val="24"/>
                <w:highlight w:val="none"/>
              </w:rPr>
            </w:pPr>
          </w:p>
        </w:tc>
      </w:tr>
      <w:tr w14:paraId="4949E509">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6196532">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101F1A75">
            <w:pPr>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3E1F1485">
            <w:pPr>
              <w:autoSpaceDE w:val="0"/>
              <w:autoSpaceDN w:val="0"/>
              <w:spacing w:line="360" w:lineRule="auto"/>
              <w:jc w:val="center"/>
              <w:rPr>
                <w:rFonts w:ascii="宋体" w:hAnsi="宋体" w:cs="宋体"/>
                <w:color w:val="auto"/>
                <w:sz w:val="24"/>
                <w:highlight w:val="none"/>
              </w:rPr>
            </w:pPr>
          </w:p>
        </w:tc>
        <w:tc>
          <w:tcPr>
            <w:tcW w:w="4561" w:type="dxa"/>
            <w:vMerge w:val="continue"/>
            <w:tcBorders>
              <w:top w:val="single" w:color="auto" w:sz="6" w:space="0"/>
              <w:left w:val="single" w:color="auto" w:sz="6" w:space="0"/>
              <w:bottom w:val="single" w:color="auto" w:sz="6" w:space="0"/>
              <w:right w:val="single" w:color="auto" w:sz="6" w:space="0"/>
            </w:tcBorders>
            <w:vAlign w:val="center"/>
          </w:tcPr>
          <w:p w14:paraId="153DA359">
            <w:pPr>
              <w:autoSpaceDE w:val="0"/>
              <w:autoSpaceDN w:val="0"/>
              <w:spacing w:line="360" w:lineRule="auto"/>
              <w:jc w:val="center"/>
              <w:rPr>
                <w:rFonts w:ascii="宋体" w:hAnsi="宋体" w:cs="宋体"/>
                <w:color w:val="auto"/>
                <w:sz w:val="24"/>
                <w:highlight w:val="none"/>
              </w:rPr>
            </w:pPr>
          </w:p>
        </w:tc>
      </w:tr>
      <w:tr w14:paraId="26530EC5">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AE95802">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161A632">
            <w:pPr>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174D6009">
            <w:pPr>
              <w:autoSpaceDE w:val="0"/>
              <w:autoSpaceDN w:val="0"/>
              <w:spacing w:line="360" w:lineRule="auto"/>
              <w:jc w:val="center"/>
              <w:rPr>
                <w:rFonts w:ascii="宋体" w:hAnsi="宋体" w:cs="宋体"/>
                <w:color w:val="auto"/>
                <w:sz w:val="24"/>
                <w:highlight w:val="none"/>
              </w:rPr>
            </w:pPr>
          </w:p>
        </w:tc>
        <w:tc>
          <w:tcPr>
            <w:tcW w:w="4561" w:type="dxa"/>
            <w:vMerge w:val="continue"/>
            <w:tcBorders>
              <w:top w:val="single" w:color="auto" w:sz="6" w:space="0"/>
              <w:left w:val="single" w:color="auto" w:sz="6" w:space="0"/>
              <w:bottom w:val="single" w:color="auto" w:sz="6" w:space="0"/>
              <w:right w:val="single" w:color="auto" w:sz="6" w:space="0"/>
            </w:tcBorders>
            <w:vAlign w:val="center"/>
          </w:tcPr>
          <w:p w14:paraId="24BC27BC">
            <w:pPr>
              <w:autoSpaceDE w:val="0"/>
              <w:autoSpaceDN w:val="0"/>
              <w:spacing w:line="360" w:lineRule="auto"/>
              <w:jc w:val="center"/>
              <w:rPr>
                <w:rFonts w:ascii="宋体" w:hAnsi="宋体" w:cs="宋体"/>
                <w:color w:val="auto"/>
                <w:sz w:val="24"/>
                <w:highlight w:val="none"/>
              </w:rPr>
            </w:pPr>
          </w:p>
        </w:tc>
      </w:tr>
      <w:tr w14:paraId="31171CD0">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216EB49A">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15584AC5">
            <w:pPr>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34204323">
            <w:pPr>
              <w:autoSpaceDE w:val="0"/>
              <w:autoSpaceDN w:val="0"/>
              <w:spacing w:line="360" w:lineRule="auto"/>
              <w:jc w:val="center"/>
              <w:rPr>
                <w:rFonts w:ascii="宋体" w:hAnsi="宋体" w:cs="宋体"/>
                <w:color w:val="auto"/>
                <w:sz w:val="24"/>
                <w:highlight w:val="none"/>
              </w:rPr>
            </w:pPr>
          </w:p>
        </w:tc>
        <w:tc>
          <w:tcPr>
            <w:tcW w:w="4561" w:type="dxa"/>
            <w:vMerge w:val="continue"/>
            <w:tcBorders>
              <w:top w:val="single" w:color="auto" w:sz="6" w:space="0"/>
              <w:left w:val="single" w:color="auto" w:sz="6" w:space="0"/>
              <w:bottom w:val="single" w:color="auto" w:sz="6" w:space="0"/>
              <w:right w:val="single" w:color="auto" w:sz="6" w:space="0"/>
            </w:tcBorders>
            <w:vAlign w:val="center"/>
          </w:tcPr>
          <w:p w14:paraId="45552F3A">
            <w:pPr>
              <w:autoSpaceDE w:val="0"/>
              <w:autoSpaceDN w:val="0"/>
              <w:spacing w:line="360" w:lineRule="auto"/>
              <w:jc w:val="center"/>
              <w:rPr>
                <w:rFonts w:ascii="宋体" w:hAnsi="宋体" w:cs="宋体"/>
                <w:color w:val="auto"/>
                <w:sz w:val="24"/>
                <w:highlight w:val="none"/>
              </w:rPr>
            </w:pPr>
          </w:p>
        </w:tc>
      </w:tr>
      <w:tr w14:paraId="724C08DC">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1199D998">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41EF4EB">
            <w:pPr>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384E2E2F">
            <w:pPr>
              <w:autoSpaceDE w:val="0"/>
              <w:autoSpaceDN w:val="0"/>
              <w:spacing w:line="360" w:lineRule="auto"/>
              <w:jc w:val="center"/>
              <w:rPr>
                <w:rFonts w:ascii="宋体" w:hAnsi="宋体" w:cs="宋体"/>
                <w:color w:val="auto"/>
                <w:sz w:val="24"/>
                <w:highlight w:val="none"/>
              </w:rPr>
            </w:pPr>
          </w:p>
        </w:tc>
        <w:tc>
          <w:tcPr>
            <w:tcW w:w="4561" w:type="dxa"/>
            <w:vMerge w:val="continue"/>
            <w:tcBorders>
              <w:top w:val="single" w:color="auto" w:sz="6" w:space="0"/>
              <w:left w:val="single" w:color="auto" w:sz="6" w:space="0"/>
              <w:bottom w:val="single" w:color="auto" w:sz="6" w:space="0"/>
              <w:right w:val="single" w:color="auto" w:sz="6" w:space="0"/>
            </w:tcBorders>
            <w:vAlign w:val="center"/>
          </w:tcPr>
          <w:p w14:paraId="4A493567">
            <w:pPr>
              <w:autoSpaceDE w:val="0"/>
              <w:autoSpaceDN w:val="0"/>
              <w:spacing w:line="360" w:lineRule="auto"/>
              <w:jc w:val="center"/>
              <w:rPr>
                <w:rFonts w:ascii="宋体" w:hAnsi="宋体" w:cs="宋体"/>
                <w:color w:val="auto"/>
                <w:sz w:val="24"/>
                <w:highlight w:val="none"/>
              </w:rPr>
            </w:pPr>
          </w:p>
        </w:tc>
      </w:tr>
    </w:tbl>
    <w:p w14:paraId="67DE198C">
      <w:pPr>
        <w:autoSpaceDE w:val="0"/>
        <w:autoSpaceDN w:val="0"/>
        <w:spacing w:line="360" w:lineRule="auto"/>
        <w:rPr>
          <w:rFonts w:ascii="宋体" w:hAnsi="宋体" w:cs="宋体"/>
          <w:b/>
          <w:color w:val="auto"/>
          <w:sz w:val="24"/>
          <w:highlight w:val="none"/>
        </w:rPr>
      </w:pPr>
      <w:r>
        <w:rPr>
          <w:rFonts w:hint="eastAsia" w:ascii="宋体" w:hAnsi="宋体" w:cs="宋体"/>
          <w:b/>
          <w:color w:val="auto"/>
          <w:sz w:val="24"/>
          <w:highlight w:val="none"/>
        </w:rPr>
        <w:t>注：须随表提交相应的证书复印件并注明所在响应技术文件页码。</w:t>
      </w:r>
    </w:p>
    <w:p w14:paraId="5B5DE3AC">
      <w:pPr>
        <w:autoSpaceDE w:val="0"/>
        <w:autoSpaceDN w:val="0"/>
        <w:spacing w:line="360" w:lineRule="auto"/>
        <w:rPr>
          <w:rFonts w:hint="eastAsia" w:ascii="宋体" w:hAnsi="宋体" w:cs="宋体"/>
          <w:b/>
          <w:color w:val="auto"/>
          <w:sz w:val="24"/>
          <w:highlight w:val="none"/>
        </w:rPr>
      </w:pPr>
    </w:p>
    <w:p w14:paraId="19EB0133">
      <w:pPr>
        <w:autoSpaceDE w:val="0"/>
        <w:autoSpaceDN w:val="0"/>
        <w:spacing w:line="360" w:lineRule="auto"/>
        <w:rPr>
          <w:rFonts w:ascii="宋体" w:hAnsi="宋体" w:cs="宋体"/>
          <w:b/>
          <w:color w:val="auto"/>
          <w:sz w:val="24"/>
          <w:highlight w:val="none"/>
        </w:rPr>
      </w:pPr>
      <w:r>
        <w:rPr>
          <w:rFonts w:hint="eastAsia" w:ascii="宋体" w:hAnsi="宋体" w:cs="宋体"/>
          <w:b/>
          <w:color w:val="auto"/>
          <w:sz w:val="24"/>
          <w:highlight w:val="none"/>
        </w:rPr>
        <w:t>附表B:本项目的项目小组人员情况表</w:t>
      </w:r>
      <w:r>
        <w:rPr>
          <w:rFonts w:hint="eastAsia" w:ascii="宋体" w:hAnsi="宋体" w:cs="宋体"/>
          <w:color w:val="auto"/>
          <w:sz w:val="24"/>
          <w:highlight w:val="none"/>
        </w:rPr>
        <w:t>（按此格式自制）</w:t>
      </w:r>
    </w:p>
    <w:tbl>
      <w:tblPr>
        <w:tblStyle w:val="33"/>
        <w:tblW w:w="9072" w:type="dxa"/>
        <w:tblInd w:w="108" w:type="dxa"/>
        <w:tblLayout w:type="fixed"/>
        <w:tblCellMar>
          <w:top w:w="0" w:type="dxa"/>
          <w:left w:w="108" w:type="dxa"/>
          <w:bottom w:w="0" w:type="dxa"/>
          <w:right w:w="108" w:type="dxa"/>
        </w:tblCellMar>
      </w:tblPr>
      <w:tblGrid>
        <w:gridCol w:w="709"/>
        <w:gridCol w:w="851"/>
        <w:gridCol w:w="708"/>
        <w:gridCol w:w="709"/>
        <w:gridCol w:w="1276"/>
        <w:gridCol w:w="1417"/>
        <w:gridCol w:w="1560"/>
        <w:gridCol w:w="1842"/>
      </w:tblGrid>
      <w:tr w14:paraId="6513ABA9">
        <w:tblPrEx>
          <w:tblCellMar>
            <w:top w:w="0" w:type="dxa"/>
            <w:left w:w="108" w:type="dxa"/>
            <w:bottom w:w="0" w:type="dxa"/>
            <w:right w:w="108" w:type="dxa"/>
          </w:tblCellMar>
        </w:tblPrEx>
        <w:tc>
          <w:tcPr>
            <w:tcW w:w="709" w:type="dxa"/>
            <w:tcBorders>
              <w:top w:val="single" w:color="auto" w:sz="6" w:space="0"/>
              <w:left w:val="single" w:color="auto" w:sz="6" w:space="0"/>
              <w:bottom w:val="single" w:color="auto" w:sz="6" w:space="0"/>
              <w:right w:val="single" w:color="auto" w:sz="6" w:space="0"/>
            </w:tcBorders>
            <w:vAlign w:val="center"/>
          </w:tcPr>
          <w:p w14:paraId="11C57B45">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851" w:type="dxa"/>
            <w:tcBorders>
              <w:top w:val="single" w:color="auto" w:sz="6" w:space="0"/>
              <w:left w:val="single" w:color="auto" w:sz="6" w:space="0"/>
              <w:bottom w:val="single" w:color="auto" w:sz="6" w:space="0"/>
              <w:right w:val="single" w:color="auto" w:sz="6" w:space="0"/>
            </w:tcBorders>
            <w:vAlign w:val="center"/>
          </w:tcPr>
          <w:p w14:paraId="37E69B01">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姓名</w:t>
            </w:r>
          </w:p>
        </w:tc>
        <w:tc>
          <w:tcPr>
            <w:tcW w:w="708" w:type="dxa"/>
            <w:tcBorders>
              <w:top w:val="single" w:color="auto" w:sz="6" w:space="0"/>
              <w:left w:val="single" w:color="auto" w:sz="6" w:space="0"/>
              <w:bottom w:val="single" w:color="auto" w:sz="6" w:space="0"/>
              <w:right w:val="single" w:color="auto" w:sz="6" w:space="0"/>
            </w:tcBorders>
            <w:vAlign w:val="center"/>
          </w:tcPr>
          <w:p w14:paraId="46FCC453">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性别</w:t>
            </w:r>
          </w:p>
        </w:tc>
        <w:tc>
          <w:tcPr>
            <w:tcW w:w="709" w:type="dxa"/>
            <w:tcBorders>
              <w:top w:val="single" w:color="auto" w:sz="6" w:space="0"/>
              <w:left w:val="single" w:color="auto" w:sz="6" w:space="0"/>
              <w:bottom w:val="single" w:color="auto" w:sz="6" w:space="0"/>
              <w:right w:val="single" w:color="auto" w:sz="6" w:space="0"/>
            </w:tcBorders>
            <w:vAlign w:val="center"/>
          </w:tcPr>
          <w:p w14:paraId="4B7DFC73">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年龄</w:t>
            </w:r>
          </w:p>
        </w:tc>
        <w:tc>
          <w:tcPr>
            <w:tcW w:w="1276" w:type="dxa"/>
            <w:tcBorders>
              <w:top w:val="single" w:color="auto" w:sz="6" w:space="0"/>
              <w:left w:val="single" w:color="auto" w:sz="6" w:space="0"/>
              <w:bottom w:val="single" w:color="auto" w:sz="6" w:space="0"/>
              <w:right w:val="single" w:color="auto" w:sz="6" w:space="0"/>
            </w:tcBorders>
            <w:vAlign w:val="center"/>
          </w:tcPr>
          <w:p w14:paraId="19957FAB">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学历</w:t>
            </w:r>
          </w:p>
          <w:p w14:paraId="6CD373D7">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(页码）</w:t>
            </w:r>
          </w:p>
        </w:tc>
        <w:tc>
          <w:tcPr>
            <w:tcW w:w="1417" w:type="dxa"/>
            <w:tcBorders>
              <w:top w:val="single" w:color="auto" w:sz="6" w:space="0"/>
              <w:left w:val="single" w:color="auto" w:sz="6" w:space="0"/>
              <w:bottom w:val="single" w:color="auto" w:sz="6" w:space="0"/>
              <w:right w:val="single" w:color="auto" w:sz="6" w:space="0"/>
            </w:tcBorders>
            <w:vAlign w:val="center"/>
          </w:tcPr>
          <w:p w14:paraId="27191742">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专业</w:t>
            </w:r>
          </w:p>
          <w:p w14:paraId="049D1225">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(页码）</w:t>
            </w:r>
          </w:p>
        </w:tc>
        <w:tc>
          <w:tcPr>
            <w:tcW w:w="1560" w:type="dxa"/>
            <w:tcBorders>
              <w:top w:val="single" w:color="auto" w:sz="6" w:space="0"/>
              <w:left w:val="single" w:color="auto" w:sz="6" w:space="0"/>
              <w:bottom w:val="single" w:color="auto" w:sz="6" w:space="0"/>
              <w:right w:val="single" w:color="auto" w:sz="6" w:space="0"/>
            </w:tcBorders>
            <w:vAlign w:val="center"/>
          </w:tcPr>
          <w:p w14:paraId="5213D8C9">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本项目中的职责</w:t>
            </w:r>
          </w:p>
        </w:tc>
        <w:tc>
          <w:tcPr>
            <w:tcW w:w="1842" w:type="dxa"/>
            <w:tcBorders>
              <w:top w:val="single" w:color="auto" w:sz="6" w:space="0"/>
              <w:left w:val="single" w:color="auto" w:sz="6" w:space="0"/>
              <w:bottom w:val="single" w:color="auto" w:sz="6" w:space="0"/>
              <w:right w:val="single" w:color="auto" w:sz="6" w:space="0"/>
            </w:tcBorders>
            <w:vAlign w:val="center"/>
          </w:tcPr>
          <w:p w14:paraId="4F9BC986">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参与本项目的到位情况</w:t>
            </w:r>
          </w:p>
        </w:tc>
      </w:tr>
      <w:tr w14:paraId="3FCFDAC9">
        <w:tblPrEx>
          <w:tblCellMar>
            <w:top w:w="0" w:type="dxa"/>
            <w:left w:w="108" w:type="dxa"/>
            <w:bottom w:w="0" w:type="dxa"/>
            <w:right w:w="108" w:type="dxa"/>
          </w:tblCellMar>
        </w:tblPrEx>
        <w:trPr>
          <w:trHeight w:val="479" w:hRule="atLeast"/>
        </w:trPr>
        <w:tc>
          <w:tcPr>
            <w:tcW w:w="709" w:type="dxa"/>
            <w:tcBorders>
              <w:top w:val="single" w:color="auto" w:sz="6" w:space="0"/>
              <w:left w:val="single" w:color="auto" w:sz="6" w:space="0"/>
              <w:bottom w:val="single" w:color="auto" w:sz="6" w:space="0"/>
              <w:right w:val="single" w:color="auto" w:sz="6" w:space="0"/>
            </w:tcBorders>
          </w:tcPr>
          <w:p w14:paraId="2C1A2BED">
            <w:pPr>
              <w:autoSpaceDE w:val="0"/>
              <w:autoSpaceDN w:val="0"/>
              <w:spacing w:line="360" w:lineRule="auto"/>
              <w:jc w:val="center"/>
              <w:rPr>
                <w:rFonts w:ascii="宋体" w:hAnsi="宋体" w:cs="宋体"/>
                <w:color w:val="auto"/>
                <w:sz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6BC54EAA">
            <w:pPr>
              <w:autoSpaceDE w:val="0"/>
              <w:autoSpaceDN w:val="0"/>
              <w:spacing w:line="360" w:lineRule="auto"/>
              <w:rPr>
                <w:rFonts w:ascii="宋体" w:hAnsi="宋体" w:cs="宋体"/>
                <w:color w:val="auto"/>
                <w:sz w:val="24"/>
                <w:highlight w:val="none"/>
              </w:rPr>
            </w:pPr>
          </w:p>
        </w:tc>
        <w:tc>
          <w:tcPr>
            <w:tcW w:w="708" w:type="dxa"/>
            <w:tcBorders>
              <w:top w:val="single" w:color="auto" w:sz="6" w:space="0"/>
              <w:left w:val="single" w:color="auto" w:sz="6" w:space="0"/>
              <w:bottom w:val="single" w:color="auto" w:sz="6" w:space="0"/>
              <w:right w:val="single" w:color="auto" w:sz="6" w:space="0"/>
            </w:tcBorders>
          </w:tcPr>
          <w:p w14:paraId="1A9923D6">
            <w:pPr>
              <w:autoSpaceDE w:val="0"/>
              <w:autoSpaceDN w:val="0"/>
              <w:spacing w:line="360" w:lineRule="auto"/>
              <w:rPr>
                <w:rFonts w:ascii="宋体" w:hAnsi="宋体" w:cs="宋体"/>
                <w:color w:val="auto"/>
                <w:sz w:val="24"/>
                <w:highlight w:val="none"/>
              </w:rPr>
            </w:pPr>
          </w:p>
        </w:tc>
        <w:tc>
          <w:tcPr>
            <w:tcW w:w="709" w:type="dxa"/>
            <w:tcBorders>
              <w:top w:val="single" w:color="auto" w:sz="6" w:space="0"/>
              <w:left w:val="single" w:color="auto" w:sz="6" w:space="0"/>
              <w:bottom w:val="single" w:color="auto" w:sz="6" w:space="0"/>
              <w:right w:val="single" w:color="auto" w:sz="6" w:space="0"/>
            </w:tcBorders>
          </w:tcPr>
          <w:p w14:paraId="3E5CA6D7">
            <w:pPr>
              <w:autoSpaceDE w:val="0"/>
              <w:autoSpaceDN w:val="0"/>
              <w:spacing w:line="360" w:lineRule="auto"/>
              <w:rPr>
                <w:rFonts w:ascii="宋体" w:hAnsi="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tcPr>
          <w:p w14:paraId="4241AE96">
            <w:pPr>
              <w:autoSpaceDE w:val="0"/>
              <w:autoSpaceDN w:val="0"/>
              <w:spacing w:line="360" w:lineRule="auto"/>
              <w:rPr>
                <w:rFonts w:ascii="宋体" w:hAnsi="宋体" w:cs="宋体"/>
                <w:color w:val="auto"/>
                <w:sz w:val="24"/>
                <w:highlight w:val="none"/>
              </w:rPr>
            </w:pPr>
          </w:p>
        </w:tc>
        <w:tc>
          <w:tcPr>
            <w:tcW w:w="1417" w:type="dxa"/>
            <w:tcBorders>
              <w:top w:val="single" w:color="auto" w:sz="6" w:space="0"/>
              <w:left w:val="single" w:color="auto" w:sz="6" w:space="0"/>
              <w:bottom w:val="single" w:color="auto" w:sz="6" w:space="0"/>
              <w:right w:val="single" w:color="auto" w:sz="6" w:space="0"/>
            </w:tcBorders>
          </w:tcPr>
          <w:p w14:paraId="449E3E40">
            <w:pPr>
              <w:autoSpaceDE w:val="0"/>
              <w:autoSpaceDN w:val="0"/>
              <w:spacing w:line="360" w:lineRule="auto"/>
              <w:rPr>
                <w:rFonts w:ascii="宋体" w:hAnsi="宋体" w:cs="宋体"/>
                <w:color w:val="auto"/>
                <w:sz w:val="24"/>
                <w:highlight w:val="none"/>
              </w:rPr>
            </w:pPr>
          </w:p>
        </w:tc>
        <w:tc>
          <w:tcPr>
            <w:tcW w:w="1560" w:type="dxa"/>
            <w:tcBorders>
              <w:top w:val="single" w:color="auto" w:sz="6" w:space="0"/>
              <w:left w:val="single" w:color="auto" w:sz="6" w:space="0"/>
              <w:bottom w:val="single" w:color="auto" w:sz="6" w:space="0"/>
              <w:right w:val="single" w:color="auto" w:sz="6" w:space="0"/>
            </w:tcBorders>
          </w:tcPr>
          <w:p w14:paraId="582D05DF">
            <w:pPr>
              <w:autoSpaceDE w:val="0"/>
              <w:autoSpaceDN w:val="0"/>
              <w:spacing w:line="360" w:lineRule="auto"/>
              <w:rPr>
                <w:rFonts w:ascii="宋体" w:hAnsi="宋体" w:cs="宋体"/>
                <w:color w:val="auto"/>
                <w:sz w:val="24"/>
                <w:highlight w:val="none"/>
              </w:rPr>
            </w:pPr>
          </w:p>
        </w:tc>
        <w:tc>
          <w:tcPr>
            <w:tcW w:w="1842" w:type="dxa"/>
            <w:tcBorders>
              <w:top w:val="single" w:color="auto" w:sz="6" w:space="0"/>
              <w:left w:val="single" w:color="auto" w:sz="6" w:space="0"/>
              <w:bottom w:val="single" w:color="auto" w:sz="6" w:space="0"/>
              <w:right w:val="single" w:color="auto" w:sz="6" w:space="0"/>
            </w:tcBorders>
          </w:tcPr>
          <w:p w14:paraId="6C45A0C4">
            <w:pPr>
              <w:autoSpaceDE w:val="0"/>
              <w:autoSpaceDN w:val="0"/>
              <w:spacing w:line="360" w:lineRule="auto"/>
              <w:rPr>
                <w:rFonts w:ascii="宋体" w:hAnsi="宋体" w:cs="宋体"/>
                <w:color w:val="auto"/>
                <w:sz w:val="24"/>
                <w:highlight w:val="none"/>
              </w:rPr>
            </w:pPr>
          </w:p>
        </w:tc>
      </w:tr>
      <w:tr w14:paraId="2BE4400A">
        <w:tblPrEx>
          <w:tblCellMar>
            <w:top w:w="0" w:type="dxa"/>
            <w:left w:w="108" w:type="dxa"/>
            <w:bottom w:w="0" w:type="dxa"/>
            <w:right w:w="108" w:type="dxa"/>
          </w:tblCellMar>
        </w:tblPrEx>
        <w:trPr>
          <w:trHeight w:val="473" w:hRule="atLeast"/>
        </w:trPr>
        <w:tc>
          <w:tcPr>
            <w:tcW w:w="709" w:type="dxa"/>
            <w:tcBorders>
              <w:top w:val="single" w:color="auto" w:sz="6" w:space="0"/>
              <w:left w:val="single" w:color="auto" w:sz="6" w:space="0"/>
              <w:bottom w:val="single" w:color="auto" w:sz="6" w:space="0"/>
              <w:right w:val="single" w:color="auto" w:sz="6" w:space="0"/>
            </w:tcBorders>
          </w:tcPr>
          <w:p w14:paraId="3F96355B">
            <w:pPr>
              <w:autoSpaceDE w:val="0"/>
              <w:autoSpaceDN w:val="0"/>
              <w:spacing w:line="360" w:lineRule="auto"/>
              <w:jc w:val="center"/>
              <w:rPr>
                <w:rFonts w:ascii="宋体" w:hAnsi="宋体" w:cs="宋体"/>
                <w:color w:val="auto"/>
                <w:sz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404D27BA">
            <w:pPr>
              <w:autoSpaceDE w:val="0"/>
              <w:autoSpaceDN w:val="0"/>
              <w:spacing w:line="360" w:lineRule="auto"/>
              <w:rPr>
                <w:rFonts w:ascii="宋体" w:hAnsi="宋体" w:cs="宋体"/>
                <w:color w:val="auto"/>
                <w:sz w:val="24"/>
                <w:highlight w:val="none"/>
              </w:rPr>
            </w:pPr>
          </w:p>
        </w:tc>
        <w:tc>
          <w:tcPr>
            <w:tcW w:w="708" w:type="dxa"/>
            <w:tcBorders>
              <w:top w:val="single" w:color="auto" w:sz="6" w:space="0"/>
              <w:left w:val="single" w:color="auto" w:sz="6" w:space="0"/>
              <w:bottom w:val="single" w:color="auto" w:sz="6" w:space="0"/>
              <w:right w:val="single" w:color="auto" w:sz="6" w:space="0"/>
            </w:tcBorders>
          </w:tcPr>
          <w:p w14:paraId="4D424928">
            <w:pPr>
              <w:autoSpaceDE w:val="0"/>
              <w:autoSpaceDN w:val="0"/>
              <w:spacing w:line="360" w:lineRule="auto"/>
              <w:rPr>
                <w:rFonts w:ascii="宋体" w:hAnsi="宋体" w:cs="宋体"/>
                <w:color w:val="auto"/>
                <w:sz w:val="24"/>
                <w:highlight w:val="none"/>
              </w:rPr>
            </w:pPr>
          </w:p>
        </w:tc>
        <w:tc>
          <w:tcPr>
            <w:tcW w:w="709" w:type="dxa"/>
            <w:tcBorders>
              <w:top w:val="single" w:color="auto" w:sz="6" w:space="0"/>
              <w:left w:val="single" w:color="auto" w:sz="6" w:space="0"/>
              <w:bottom w:val="single" w:color="auto" w:sz="6" w:space="0"/>
              <w:right w:val="single" w:color="auto" w:sz="6" w:space="0"/>
            </w:tcBorders>
          </w:tcPr>
          <w:p w14:paraId="669974F7">
            <w:pPr>
              <w:autoSpaceDE w:val="0"/>
              <w:autoSpaceDN w:val="0"/>
              <w:spacing w:line="360" w:lineRule="auto"/>
              <w:rPr>
                <w:rFonts w:ascii="宋体" w:hAnsi="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tcPr>
          <w:p w14:paraId="72E520F9">
            <w:pPr>
              <w:autoSpaceDE w:val="0"/>
              <w:autoSpaceDN w:val="0"/>
              <w:spacing w:line="360" w:lineRule="auto"/>
              <w:rPr>
                <w:rFonts w:ascii="宋体" w:hAnsi="宋体" w:cs="宋体"/>
                <w:color w:val="auto"/>
                <w:sz w:val="24"/>
                <w:highlight w:val="none"/>
              </w:rPr>
            </w:pPr>
          </w:p>
        </w:tc>
        <w:tc>
          <w:tcPr>
            <w:tcW w:w="1417" w:type="dxa"/>
            <w:tcBorders>
              <w:top w:val="single" w:color="auto" w:sz="6" w:space="0"/>
              <w:left w:val="single" w:color="auto" w:sz="6" w:space="0"/>
              <w:bottom w:val="single" w:color="auto" w:sz="6" w:space="0"/>
              <w:right w:val="single" w:color="auto" w:sz="6" w:space="0"/>
            </w:tcBorders>
          </w:tcPr>
          <w:p w14:paraId="78BFE810">
            <w:pPr>
              <w:autoSpaceDE w:val="0"/>
              <w:autoSpaceDN w:val="0"/>
              <w:spacing w:line="360" w:lineRule="auto"/>
              <w:rPr>
                <w:rFonts w:ascii="宋体" w:hAnsi="宋体" w:cs="宋体"/>
                <w:color w:val="auto"/>
                <w:sz w:val="24"/>
                <w:highlight w:val="none"/>
              </w:rPr>
            </w:pPr>
          </w:p>
        </w:tc>
        <w:tc>
          <w:tcPr>
            <w:tcW w:w="1560" w:type="dxa"/>
            <w:tcBorders>
              <w:top w:val="single" w:color="auto" w:sz="6" w:space="0"/>
              <w:left w:val="single" w:color="auto" w:sz="6" w:space="0"/>
              <w:bottom w:val="single" w:color="auto" w:sz="6" w:space="0"/>
              <w:right w:val="single" w:color="auto" w:sz="6" w:space="0"/>
            </w:tcBorders>
          </w:tcPr>
          <w:p w14:paraId="1EFAF7C0">
            <w:pPr>
              <w:autoSpaceDE w:val="0"/>
              <w:autoSpaceDN w:val="0"/>
              <w:spacing w:line="360" w:lineRule="auto"/>
              <w:rPr>
                <w:rFonts w:ascii="宋体" w:hAnsi="宋体" w:cs="宋体"/>
                <w:color w:val="auto"/>
                <w:sz w:val="24"/>
                <w:highlight w:val="none"/>
              </w:rPr>
            </w:pPr>
          </w:p>
        </w:tc>
        <w:tc>
          <w:tcPr>
            <w:tcW w:w="1842" w:type="dxa"/>
            <w:tcBorders>
              <w:top w:val="single" w:color="auto" w:sz="6" w:space="0"/>
              <w:left w:val="single" w:color="auto" w:sz="6" w:space="0"/>
              <w:bottom w:val="single" w:color="auto" w:sz="6" w:space="0"/>
              <w:right w:val="single" w:color="auto" w:sz="6" w:space="0"/>
            </w:tcBorders>
          </w:tcPr>
          <w:p w14:paraId="54F04A86">
            <w:pPr>
              <w:autoSpaceDE w:val="0"/>
              <w:autoSpaceDN w:val="0"/>
              <w:spacing w:line="360" w:lineRule="auto"/>
              <w:rPr>
                <w:rFonts w:ascii="宋体" w:hAnsi="宋体" w:cs="宋体"/>
                <w:color w:val="auto"/>
                <w:sz w:val="24"/>
                <w:highlight w:val="none"/>
              </w:rPr>
            </w:pPr>
          </w:p>
        </w:tc>
      </w:tr>
    </w:tbl>
    <w:p w14:paraId="357231B9">
      <w:pPr>
        <w:spacing w:line="360" w:lineRule="auto"/>
        <w:rPr>
          <w:rFonts w:ascii="宋体" w:hAnsi="宋体" w:cs="宋体"/>
          <w:b/>
          <w:bCs/>
          <w:color w:val="auto"/>
          <w:sz w:val="24"/>
          <w:highlight w:val="none"/>
        </w:rPr>
      </w:pPr>
      <w:r>
        <w:rPr>
          <w:rFonts w:hint="eastAsia" w:ascii="宋体" w:hAnsi="宋体" w:cs="宋体"/>
          <w:b/>
          <w:color w:val="auto"/>
          <w:sz w:val="24"/>
          <w:highlight w:val="none"/>
        </w:rPr>
        <w:t>注：供应商可按上述的格式自行编制，须随表提交相应的证书复印件并注明所在响应技术文件页码。</w:t>
      </w:r>
    </w:p>
    <w:p w14:paraId="5563B64F">
      <w:pPr>
        <w:autoSpaceDE w:val="0"/>
        <w:autoSpaceDN w:val="0"/>
        <w:spacing w:line="360" w:lineRule="auto"/>
        <w:ind w:firstLine="6480" w:firstLineChars="2700"/>
        <w:rPr>
          <w:rFonts w:ascii="宋体" w:hAnsi="宋体" w:cs="宋体"/>
          <w:color w:val="auto"/>
          <w:kern w:val="0"/>
          <w:sz w:val="24"/>
          <w:highlight w:val="none"/>
          <w:lang w:val="zh-CN"/>
        </w:rPr>
      </w:pPr>
    </w:p>
    <w:p w14:paraId="06F4FF4B">
      <w:pPr>
        <w:autoSpaceDE w:val="0"/>
        <w:autoSpaceDN w:val="0"/>
        <w:spacing w:line="360" w:lineRule="auto"/>
        <w:rPr>
          <w:rFonts w:ascii="宋体" w:hAnsi="宋体" w:cs="宋体"/>
          <w:color w:val="auto"/>
          <w:kern w:val="0"/>
          <w:sz w:val="24"/>
          <w:highlight w:val="none"/>
          <w:lang w:val="zh-CN"/>
        </w:rPr>
      </w:pPr>
    </w:p>
    <w:p w14:paraId="1E247063">
      <w:pPr>
        <w:snapToGrid w:val="0"/>
        <w:spacing w:line="360" w:lineRule="auto"/>
        <w:ind w:firstLine="602" w:firstLineChars="200"/>
        <w:rPr>
          <w:rFonts w:ascii="宋体" w:hAnsi="宋体" w:cs="宋体"/>
          <w:color w:val="auto"/>
          <w:kern w:val="0"/>
          <w:sz w:val="24"/>
          <w:highlight w:val="none"/>
        </w:rPr>
      </w:pPr>
      <w:r>
        <w:rPr>
          <w:rFonts w:hint="eastAsia" w:ascii="宋体" w:hAnsi="宋体" w:cs="宋体"/>
          <w:b/>
          <w:color w:val="auto"/>
          <w:sz w:val="30"/>
          <w:szCs w:val="30"/>
          <w:highlight w:val="none"/>
        </w:rPr>
        <w:t>十</w:t>
      </w:r>
      <w:r>
        <w:rPr>
          <w:rFonts w:hint="eastAsia" w:ascii="宋体" w:hAnsi="宋体" w:cs="宋体"/>
          <w:b/>
          <w:color w:val="auto"/>
          <w:sz w:val="30"/>
          <w:szCs w:val="30"/>
          <w:highlight w:val="none"/>
          <w:lang w:val="en-US" w:eastAsia="zh-CN"/>
        </w:rPr>
        <w:t>一</w:t>
      </w:r>
      <w:r>
        <w:rPr>
          <w:rFonts w:hint="eastAsia" w:ascii="宋体" w:hAnsi="宋体" w:cs="宋体"/>
          <w:b/>
          <w:color w:val="auto"/>
          <w:sz w:val="30"/>
          <w:szCs w:val="30"/>
          <w:highlight w:val="none"/>
        </w:rPr>
        <w:t>、服务需求、商务条款要求提供的其他材料</w:t>
      </w:r>
    </w:p>
    <w:p w14:paraId="4A79F23E">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1AA7D4D0">
      <w:pPr>
        <w:autoSpaceDE w:val="0"/>
        <w:autoSpaceDN w:val="0"/>
        <w:spacing w:line="360" w:lineRule="auto"/>
        <w:ind w:firstLine="6480" w:firstLineChars="27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329836AC">
      <w:pPr>
        <w:autoSpaceDE w:val="0"/>
        <w:autoSpaceDN w:val="0"/>
        <w:spacing w:line="360" w:lineRule="auto"/>
        <w:ind w:firstLine="6505" w:firstLineChars="2700"/>
        <w:rPr>
          <w:rFonts w:ascii="宋体" w:hAnsi="宋体" w:cs="宋体"/>
          <w:b/>
          <w:bCs/>
          <w:color w:val="auto"/>
          <w:sz w:val="24"/>
          <w:highlight w:val="none"/>
        </w:rPr>
        <w:sectPr>
          <w:pgSz w:w="11910" w:h="16840"/>
          <w:pgMar w:top="1340" w:right="1500" w:bottom="280" w:left="1680" w:header="720" w:footer="720" w:gutter="0"/>
          <w:cols w:space="720" w:num="1"/>
        </w:sectPr>
      </w:pPr>
    </w:p>
    <w:p w14:paraId="2A37B782">
      <w:pPr>
        <w:autoSpaceDE w:val="0"/>
        <w:autoSpaceDN w:val="0"/>
        <w:spacing w:line="360" w:lineRule="auto"/>
        <w:ind w:firstLine="6505" w:firstLineChars="2700"/>
        <w:rPr>
          <w:rFonts w:ascii="宋体" w:hAnsi="宋体" w:cs="宋体"/>
          <w:b/>
          <w:bCs/>
          <w:color w:val="auto"/>
          <w:sz w:val="24"/>
          <w:highlight w:val="none"/>
        </w:rPr>
      </w:pPr>
    </w:p>
    <w:p w14:paraId="73D98988">
      <w:pPr>
        <w:pStyle w:val="4"/>
        <w:jc w:val="center"/>
        <w:rPr>
          <w:rFonts w:ascii="宋体" w:hAnsi="宋体" w:cs="宋体"/>
          <w:color w:val="auto"/>
          <w:highlight w:val="none"/>
        </w:rPr>
      </w:pPr>
      <w:bookmarkStart w:id="103" w:name="_Toc80205941"/>
      <w:bookmarkStart w:id="104" w:name="_Toc28810"/>
      <w:bookmarkStart w:id="105" w:name="_Toc97909570"/>
      <w:bookmarkStart w:id="106" w:name="_Toc80886945"/>
      <w:bookmarkStart w:id="107" w:name="_Toc19721"/>
      <w:r>
        <w:rPr>
          <w:rFonts w:hint="eastAsia" w:ascii="宋体" w:hAnsi="宋体" w:cs="宋体"/>
          <w:color w:val="auto"/>
          <w:highlight w:val="none"/>
        </w:rPr>
        <w:t>第四节 报价文件格式</w:t>
      </w:r>
      <w:bookmarkEnd w:id="103"/>
      <w:bookmarkEnd w:id="104"/>
      <w:bookmarkEnd w:id="105"/>
      <w:bookmarkEnd w:id="106"/>
      <w:bookmarkEnd w:id="107"/>
    </w:p>
    <w:p w14:paraId="45FB3049">
      <w:pPr>
        <w:snapToGrid w:val="0"/>
        <w:spacing w:before="120" w:beforeLines="50" w:after="50"/>
        <w:rPr>
          <w:rFonts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全流程电子文件</w:t>
      </w:r>
    </w:p>
    <w:p w14:paraId="78965F2A">
      <w:pPr>
        <w:snapToGrid w:val="0"/>
        <w:spacing w:before="120" w:beforeLines="50" w:after="50"/>
        <w:rPr>
          <w:rFonts w:ascii="宋体" w:hAnsi="宋体" w:cs="宋体"/>
          <w:color w:val="auto"/>
          <w:sz w:val="24"/>
          <w:szCs w:val="20"/>
          <w:highlight w:val="none"/>
        </w:rPr>
      </w:pPr>
    </w:p>
    <w:p w14:paraId="0F1CA665">
      <w:pPr>
        <w:snapToGrid w:val="0"/>
        <w:spacing w:before="120" w:beforeLines="50" w:after="50"/>
        <w:rPr>
          <w:rFonts w:ascii="宋体" w:hAnsi="宋体" w:cs="宋体"/>
          <w:color w:val="auto"/>
          <w:sz w:val="24"/>
          <w:szCs w:val="20"/>
          <w:highlight w:val="none"/>
        </w:rPr>
      </w:pPr>
    </w:p>
    <w:p w14:paraId="6E69417D">
      <w:pPr>
        <w:snapToGrid w:val="0"/>
        <w:spacing w:before="120" w:beforeLines="50" w:after="50"/>
        <w:rPr>
          <w:rFonts w:ascii="宋体" w:hAnsi="宋体" w:cs="宋体"/>
          <w:color w:val="auto"/>
          <w:sz w:val="24"/>
          <w:szCs w:val="20"/>
          <w:highlight w:val="none"/>
        </w:rPr>
      </w:pPr>
    </w:p>
    <w:p w14:paraId="13DC7DB9">
      <w:pPr>
        <w:snapToGrid w:val="0"/>
        <w:spacing w:before="120"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报  价  文  件（封面）</w:t>
      </w:r>
    </w:p>
    <w:p w14:paraId="6F25FE95">
      <w:pPr>
        <w:snapToGrid w:val="0"/>
        <w:spacing w:before="120" w:beforeLines="50" w:after="50"/>
        <w:rPr>
          <w:rFonts w:ascii="宋体" w:hAnsi="宋体" w:cs="宋体"/>
          <w:bCs/>
          <w:color w:val="auto"/>
          <w:sz w:val="24"/>
          <w:szCs w:val="20"/>
          <w:highlight w:val="none"/>
        </w:rPr>
      </w:pPr>
    </w:p>
    <w:p w14:paraId="756B41A2">
      <w:pPr>
        <w:snapToGrid w:val="0"/>
        <w:spacing w:before="120" w:beforeLines="50" w:after="50"/>
        <w:rPr>
          <w:rFonts w:ascii="宋体" w:hAnsi="宋体" w:cs="宋体"/>
          <w:bCs/>
          <w:color w:val="auto"/>
          <w:sz w:val="24"/>
          <w:szCs w:val="20"/>
          <w:highlight w:val="none"/>
        </w:rPr>
      </w:pPr>
    </w:p>
    <w:p w14:paraId="1835298D">
      <w:pPr>
        <w:snapToGrid w:val="0"/>
        <w:spacing w:before="120" w:beforeLines="50" w:after="50"/>
        <w:rPr>
          <w:rFonts w:ascii="宋体" w:hAnsi="宋体" w:cs="宋体"/>
          <w:bCs/>
          <w:color w:val="auto"/>
          <w:sz w:val="24"/>
          <w:szCs w:val="20"/>
          <w:highlight w:val="none"/>
        </w:rPr>
      </w:pPr>
    </w:p>
    <w:p w14:paraId="664A8515">
      <w:pPr>
        <w:snapToGrid w:val="0"/>
        <w:spacing w:before="120" w:beforeLines="50" w:after="50"/>
        <w:rPr>
          <w:rFonts w:ascii="宋体" w:hAnsi="宋体" w:cs="宋体"/>
          <w:bCs/>
          <w:color w:val="auto"/>
          <w:sz w:val="24"/>
          <w:szCs w:val="20"/>
          <w:highlight w:val="none"/>
        </w:rPr>
      </w:pPr>
    </w:p>
    <w:p w14:paraId="7E0D8B94">
      <w:pPr>
        <w:snapToGrid w:val="0"/>
        <w:spacing w:before="120" w:beforeLines="50" w:after="50"/>
        <w:rPr>
          <w:rFonts w:ascii="宋体" w:hAnsi="宋体" w:cs="宋体"/>
          <w:bCs/>
          <w:color w:val="auto"/>
          <w:sz w:val="24"/>
          <w:szCs w:val="20"/>
          <w:highlight w:val="none"/>
        </w:rPr>
      </w:pPr>
    </w:p>
    <w:p w14:paraId="2C96DB00">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项目名称： </w:t>
      </w:r>
    </w:p>
    <w:p w14:paraId="40E877E3">
      <w:pPr>
        <w:snapToGrid w:val="0"/>
        <w:spacing w:before="120" w:beforeLines="50" w:after="50"/>
        <w:ind w:firstLine="720" w:firstLineChars="225"/>
        <w:rPr>
          <w:rFonts w:ascii="宋体" w:hAnsi="宋体" w:cs="宋体"/>
          <w:bCs/>
          <w:color w:val="auto"/>
          <w:sz w:val="32"/>
          <w:szCs w:val="32"/>
          <w:highlight w:val="none"/>
        </w:rPr>
      </w:pPr>
    </w:p>
    <w:p w14:paraId="27B3D9B0">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项目编号： </w:t>
      </w:r>
    </w:p>
    <w:p w14:paraId="4C1096DA">
      <w:pPr>
        <w:snapToGrid w:val="0"/>
        <w:spacing w:before="120"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67E07A67">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26BD64CD">
      <w:pPr>
        <w:snapToGrid w:val="0"/>
        <w:spacing w:before="120" w:beforeLines="50" w:after="50"/>
        <w:ind w:firstLine="720" w:firstLineChars="225"/>
        <w:rPr>
          <w:rFonts w:ascii="宋体" w:hAnsi="宋体" w:cs="宋体"/>
          <w:bCs/>
          <w:color w:val="auto"/>
          <w:sz w:val="32"/>
          <w:szCs w:val="32"/>
          <w:highlight w:val="none"/>
        </w:rPr>
      </w:pPr>
    </w:p>
    <w:p w14:paraId="217F0EAD">
      <w:pPr>
        <w:pStyle w:val="8"/>
        <w:snapToGrid w:val="0"/>
        <w:spacing w:before="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43116541">
      <w:pPr>
        <w:pStyle w:val="8"/>
        <w:snapToGrid w:val="0"/>
        <w:spacing w:before="50" w:after="50"/>
        <w:ind w:firstLine="720" w:firstLineChars="225"/>
        <w:rPr>
          <w:rFonts w:ascii="宋体" w:hAnsi="宋体" w:cs="宋体"/>
          <w:bCs/>
          <w:color w:val="auto"/>
          <w:sz w:val="32"/>
          <w:szCs w:val="32"/>
          <w:highlight w:val="none"/>
        </w:rPr>
      </w:pPr>
    </w:p>
    <w:p w14:paraId="5E0B1303">
      <w:pPr>
        <w:pStyle w:val="8"/>
        <w:snapToGrid w:val="0"/>
        <w:spacing w:before="50" w:after="50"/>
        <w:ind w:firstLine="720" w:firstLineChars="225"/>
        <w:rPr>
          <w:rFonts w:ascii="宋体" w:hAnsi="宋体" w:cs="宋体"/>
          <w:bCs/>
          <w:color w:val="auto"/>
          <w:sz w:val="32"/>
          <w:szCs w:val="32"/>
          <w:highlight w:val="none"/>
        </w:rPr>
      </w:pPr>
    </w:p>
    <w:p w14:paraId="4860C773">
      <w:pPr>
        <w:pStyle w:val="8"/>
        <w:snapToGrid w:val="0"/>
        <w:spacing w:before="50" w:after="50"/>
        <w:ind w:firstLine="1280" w:firstLineChars="400"/>
        <w:rPr>
          <w:rFonts w:ascii="宋体" w:hAnsi="宋体" w:cs="宋体"/>
          <w:bCs/>
          <w:color w:val="auto"/>
          <w:sz w:val="32"/>
          <w:szCs w:val="32"/>
          <w:highlight w:val="none"/>
        </w:rPr>
      </w:pPr>
    </w:p>
    <w:p w14:paraId="3FD5C57D">
      <w:pPr>
        <w:snapToGrid w:val="0"/>
        <w:spacing w:before="120"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088C01F5">
      <w:pPr>
        <w:snapToGrid w:val="0"/>
        <w:spacing w:before="120" w:beforeLines="50" w:after="50" w:line="400" w:lineRule="exact"/>
        <w:jc w:val="center"/>
        <w:rPr>
          <w:rFonts w:ascii="宋体" w:hAnsi="宋体" w:cs="宋体"/>
          <w:b/>
          <w:bCs/>
          <w:color w:val="auto"/>
          <w:sz w:val="32"/>
          <w:szCs w:val="32"/>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报价文件目录</w:t>
      </w:r>
    </w:p>
    <w:p w14:paraId="366CE3E3">
      <w:pPr>
        <w:spacing w:line="560" w:lineRule="exact"/>
        <w:rPr>
          <w:rFonts w:ascii="宋体" w:hAnsi="宋体" w:cs="宋体"/>
          <w:color w:val="auto"/>
          <w:highlight w:val="none"/>
        </w:rPr>
      </w:pPr>
    </w:p>
    <w:p w14:paraId="5EDCFEEE">
      <w:pPr>
        <w:spacing w:line="560" w:lineRule="exact"/>
        <w:rPr>
          <w:rFonts w:ascii="宋体" w:hAnsi="宋体" w:cs="宋体"/>
          <w:color w:val="auto"/>
          <w:kern w:val="0"/>
          <w:sz w:val="24"/>
          <w:highlight w:val="none"/>
        </w:rPr>
      </w:pPr>
      <w:r>
        <w:rPr>
          <w:rFonts w:hint="eastAsia" w:ascii="宋体" w:hAnsi="宋体" w:cs="宋体"/>
          <w:color w:val="auto"/>
          <w:kern w:val="0"/>
          <w:sz w:val="24"/>
          <w:highlight w:val="none"/>
        </w:rPr>
        <w:t>一、响应函………………………………………………………（页码）</w:t>
      </w:r>
    </w:p>
    <w:p w14:paraId="0C1D8132">
      <w:pPr>
        <w:spacing w:line="560" w:lineRule="exact"/>
        <w:rPr>
          <w:rFonts w:ascii="宋体" w:hAnsi="宋体" w:cs="宋体"/>
          <w:color w:val="auto"/>
          <w:kern w:val="0"/>
          <w:sz w:val="24"/>
          <w:highlight w:val="none"/>
        </w:rPr>
      </w:pPr>
      <w:r>
        <w:rPr>
          <w:rFonts w:hint="eastAsia" w:ascii="宋体" w:hAnsi="宋体" w:cs="宋体"/>
          <w:color w:val="auto"/>
          <w:kern w:val="0"/>
          <w:sz w:val="24"/>
          <w:highlight w:val="none"/>
        </w:rPr>
        <w:t>二、响应报价表…………………………………………………（页码）</w:t>
      </w:r>
    </w:p>
    <w:p w14:paraId="15256800">
      <w:pPr>
        <w:spacing w:line="560" w:lineRule="exact"/>
        <w:rPr>
          <w:rFonts w:ascii="宋体" w:hAnsi="宋体" w:cs="宋体"/>
          <w:color w:val="auto"/>
          <w:sz w:val="24"/>
          <w:highlight w:val="none"/>
        </w:rPr>
      </w:pPr>
      <w:r>
        <w:rPr>
          <w:rFonts w:hint="eastAsia" w:ascii="宋体" w:hAnsi="宋体" w:cs="宋体"/>
          <w:color w:val="auto"/>
          <w:kern w:val="0"/>
          <w:sz w:val="24"/>
          <w:highlight w:val="none"/>
        </w:rPr>
        <w:t>三、中小企业声明函……………………………………………（页码）</w:t>
      </w:r>
    </w:p>
    <w:p w14:paraId="4257875A">
      <w:pPr>
        <w:snapToGrid w:val="0"/>
        <w:spacing w:before="120" w:beforeLines="50" w:after="50" w:line="360" w:lineRule="auto"/>
        <w:ind w:left="142" w:firstLine="640" w:firstLineChars="200"/>
        <w:jc w:val="left"/>
        <w:rPr>
          <w:rFonts w:ascii="宋体" w:hAnsi="宋体" w:cs="宋体"/>
          <w:color w:val="auto"/>
          <w:sz w:val="32"/>
          <w:szCs w:val="32"/>
          <w:highlight w:val="none"/>
        </w:rPr>
      </w:pPr>
    </w:p>
    <w:p w14:paraId="6D091C03">
      <w:pPr>
        <w:snapToGrid w:val="0"/>
        <w:spacing w:before="120" w:beforeLines="50" w:after="50" w:line="360" w:lineRule="auto"/>
        <w:ind w:left="142" w:firstLine="480" w:firstLineChars="200"/>
        <w:jc w:val="left"/>
        <w:rPr>
          <w:rFonts w:ascii="宋体" w:hAnsi="宋体" w:cs="宋体"/>
          <w:color w:val="auto"/>
          <w:sz w:val="24"/>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一、响应函</w:t>
      </w:r>
    </w:p>
    <w:p w14:paraId="463B4B5B">
      <w:pPr>
        <w:pStyle w:val="19"/>
        <w:spacing w:line="500" w:lineRule="exact"/>
        <w:jc w:val="center"/>
        <w:rPr>
          <w:rFonts w:hAnsi="宋体" w:cs="宋体"/>
          <w:b/>
          <w:bCs/>
          <w:color w:val="auto"/>
          <w:sz w:val="30"/>
          <w:szCs w:val="30"/>
          <w:highlight w:val="none"/>
        </w:rPr>
      </w:pPr>
      <w:r>
        <w:rPr>
          <w:rFonts w:hint="eastAsia" w:hAnsi="宋体" w:cs="宋体"/>
          <w:b/>
          <w:bCs/>
          <w:color w:val="auto"/>
          <w:sz w:val="30"/>
          <w:szCs w:val="30"/>
          <w:highlight w:val="none"/>
        </w:rPr>
        <w:t>响应函</w:t>
      </w:r>
    </w:p>
    <w:p w14:paraId="260DA6AA">
      <w:pPr>
        <w:pStyle w:val="19"/>
        <w:spacing w:line="360" w:lineRule="auto"/>
        <w:rPr>
          <w:rFonts w:hAnsi="宋体" w:cs="宋体"/>
          <w:color w:val="auto"/>
          <w:sz w:val="24"/>
          <w:szCs w:val="24"/>
          <w:highlight w:val="none"/>
        </w:rPr>
      </w:pPr>
      <w:r>
        <w:rPr>
          <w:rFonts w:hint="eastAsia" w:hAnsi="宋体" w:cs="宋体"/>
          <w:color w:val="auto"/>
          <w:sz w:val="24"/>
          <w:szCs w:val="24"/>
          <w:highlight w:val="none"/>
        </w:rPr>
        <w:t>致：</w:t>
      </w:r>
      <w:r>
        <w:rPr>
          <w:rFonts w:hint="eastAsia" w:hAnsi="宋体" w:cs="宋体"/>
          <w:color w:val="auto"/>
          <w:sz w:val="24"/>
          <w:szCs w:val="24"/>
          <w:highlight w:val="none"/>
          <w:u w:val="single"/>
        </w:rPr>
        <w:t xml:space="preserve"> 采购单位  </w:t>
      </w:r>
    </w:p>
    <w:p w14:paraId="2EE1D77B">
      <w:pPr>
        <w:pStyle w:val="19"/>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我方已仔细阅读了贵方组织的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项目（项目编号：</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）的竞争性磋商采购文件的全部内容，现正式递交下述文件参加贵方组织的本次政府采购活动： </w:t>
      </w:r>
    </w:p>
    <w:p w14:paraId="0055D13C">
      <w:pPr>
        <w:pStyle w:val="19"/>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一、首次报价文件电子版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份（包含按“第三章 供应商须知”提交的全部文件）；</w:t>
      </w:r>
    </w:p>
    <w:p w14:paraId="7046434A">
      <w:pPr>
        <w:pStyle w:val="19"/>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二、技术文件电子版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份（包含按“第三章 供应商须知”提交的全部文件）；商务文件电子版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份（包含按“第三章 供应商须知”提交的全部文件）；（商务技术文件已合并装订成册）</w:t>
      </w:r>
    </w:p>
    <w:p w14:paraId="779F434E">
      <w:pPr>
        <w:pStyle w:val="19"/>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据此函，签字人兹宣布：</w:t>
      </w:r>
    </w:p>
    <w:p w14:paraId="196B4B6A">
      <w:pPr>
        <w:pStyle w:val="19"/>
        <w:spacing w:line="360" w:lineRule="auto"/>
        <w:ind w:firstLine="482"/>
        <w:rPr>
          <w:rFonts w:hAnsi="宋体" w:cs="宋体"/>
          <w:color w:val="auto"/>
          <w:sz w:val="24"/>
          <w:szCs w:val="24"/>
          <w:highlight w:val="none"/>
        </w:rPr>
      </w:pPr>
      <w:r>
        <w:rPr>
          <w:rFonts w:hint="eastAsia" w:hAnsi="宋体" w:cs="宋体"/>
          <w:color w:val="auto"/>
          <w:sz w:val="24"/>
          <w:szCs w:val="24"/>
          <w:highlight w:val="none"/>
        </w:rPr>
        <w:t>1、我方愿意以（大写）人民币</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w:t>
      </w:r>
      <w:r>
        <w:rPr>
          <w:rFonts w:hint="default" w:ascii="Arial" w:hAnsi="Arial" w:cs="Arial"/>
          <w:color w:val="auto"/>
          <w:sz w:val="24"/>
          <w:szCs w:val="24"/>
          <w:highlight w:val="none"/>
        </w:rPr>
        <w:t>¥</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元）的竞标总报价，提供服务期（无分标时填写）：</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，提供本项目竞争性磋商采购文件第二章“服务需求一览表”中相应的采购内容。</w:t>
      </w:r>
    </w:p>
    <w:p w14:paraId="69E88D0F">
      <w:pPr>
        <w:pStyle w:val="19"/>
        <w:spacing w:line="360" w:lineRule="auto"/>
        <w:ind w:firstLine="482"/>
        <w:rPr>
          <w:rFonts w:hAnsi="宋体" w:cs="宋体"/>
          <w:color w:val="auto"/>
          <w:sz w:val="24"/>
          <w:szCs w:val="24"/>
          <w:highlight w:val="none"/>
        </w:rPr>
      </w:pPr>
      <w:r>
        <w:rPr>
          <w:rFonts w:hint="eastAsia" w:hAnsi="宋体" w:cs="宋体"/>
          <w:color w:val="auto"/>
          <w:sz w:val="24"/>
          <w:szCs w:val="24"/>
          <w:highlight w:val="none"/>
        </w:rPr>
        <w:t>其中（有分标时填写）：</w:t>
      </w:r>
    </w:p>
    <w:p w14:paraId="4E4C0049">
      <w:pPr>
        <w:pStyle w:val="19"/>
        <w:spacing w:line="360" w:lineRule="auto"/>
        <w:ind w:firstLine="482"/>
        <w:rPr>
          <w:rFonts w:hAnsi="宋体" w:cs="宋体"/>
          <w:color w:val="auto"/>
          <w:sz w:val="24"/>
          <w:szCs w:val="24"/>
          <w:highlight w:val="none"/>
        </w:rPr>
      </w:pP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分标报价为（大写）人民币</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r>
        <w:rPr>
          <w:rFonts w:hint="default" w:ascii="Arial" w:hAnsi="Arial" w:cs="Arial"/>
          <w:color w:val="auto"/>
          <w:sz w:val="24"/>
          <w:szCs w:val="24"/>
          <w:highlight w:val="none"/>
        </w:rPr>
        <w:t>¥</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元），服务期：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w:t>
      </w:r>
    </w:p>
    <w:p w14:paraId="52284F16">
      <w:pPr>
        <w:pStyle w:val="19"/>
        <w:spacing w:line="360" w:lineRule="auto"/>
        <w:ind w:firstLine="482"/>
        <w:rPr>
          <w:rFonts w:hAnsi="宋体" w:cs="宋体"/>
          <w:color w:val="auto"/>
          <w:sz w:val="24"/>
          <w:szCs w:val="24"/>
          <w:highlight w:val="none"/>
        </w:rPr>
      </w:pP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分标报价为（大写）人民币</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r>
        <w:rPr>
          <w:rFonts w:hint="default" w:ascii="Arial" w:hAnsi="Arial" w:cs="Arial"/>
          <w:color w:val="auto"/>
          <w:sz w:val="24"/>
          <w:szCs w:val="24"/>
          <w:highlight w:val="none"/>
        </w:rPr>
        <w:t>¥</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元），服务期：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w:t>
      </w:r>
    </w:p>
    <w:p w14:paraId="2FC20BEC">
      <w:pPr>
        <w:pStyle w:val="19"/>
        <w:spacing w:line="360" w:lineRule="auto"/>
        <w:ind w:firstLine="482"/>
        <w:rPr>
          <w:rFonts w:hAnsi="宋体" w:cs="宋体"/>
          <w:color w:val="auto"/>
          <w:sz w:val="24"/>
          <w:szCs w:val="24"/>
          <w:highlight w:val="none"/>
        </w:rPr>
      </w:pPr>
      <w:r>
        <w:rPr>
          <w:rFonts w:hint="eastAsia" w:hAnsi="宋体" w:cs="宋体"/>
          <w:color w:val="auto"/>
          <w:sz w:val="24"/>
          <w:szCs w:val="24"/>
          <w:highlight w:val="none"/>
        </w:rPr>
        <w:t>......</w:t>
      </w:r>
    </w:p>
    <w:p w14:paraId="4C2C6DF6">
      <w:pPr>
        <w:pStyle w:val="19"/>
        <w:spacing w:line="360" w:lineRule="auto"/>
        <w:ind w:firstLine="482"/>
        <w:rPr>
          <w:rFonts w:hAnsi="宋体" w:cs="宋体"/>
          <w:color w:val="auto"/>
          <w:sz w:val="24"/>
          <w:szCs w:val="24"/>
          <w:highlight w:val="none"/>
        </w:rPr>
      </w:pPr>
      <w:r>
        <w:rPr>
          <w:rFonts w:hint="eastAsia" w:hAnsi="宋体" w:cs="宋体"/>
          <w:color w:val="auto"/>
          <w:sz w:val="24"/>
          <w:szCs w:val="24"/>
          <w:highlight w:val="none"/>
        </w:rPr>
        <w:t>2、我方同意自本项目竞争性磋商采购文件采购公告规定的递交响应文件截止时间起遵循本响应函，并承诺在“第三章 供应商须知”规定的响应有效期内不修改、撤销响应文件。</w:t>
      </w:r>
    </w:p>
    <w:p w14:paraId="2728AEA7">
      <w:pPr>
        <w:pStyle w:val="19"/>
        <w:spacing w:line="360" w:lineRule="auto"/>
        <w:ind w:firstLine="482"/>
        <w:rPr>
          <w:rFonts w:hAnsi="宋体" w:cs="宋体"/>
          <w:color w:val="auto"/>
          <w:sz w:val="24"/>
          <w:szCs w:val="24"/>
          <w:highlight w:val="none"/>
        </w:rPr>
      </w:pPr>
      <w:r>
        <w:rPr>
          <w:rFonts w:hint="eastAsia" w:hAnsi="宋体" w:cs="宋体"/>
          <w:color w:val="auto"/>
          <w:sz w:val="24"/>
          <w:szCs w:val="24"/>
          <w:highlight w:val="none"/>
        </w:rPr>
        <w:t>3、我方在此声明，所递交的响应文件及有关资料内容完整、真实和准确。</w:t>
      </w:r>
    </w:p>
    <w:p w14:paraId="65FA5C3B">
      <w:pPr>
        <w:pStyle w:val="19"/>
        <w:spacing w:line="360" w:lineRule="auto"/>
        <w:ind w:firstLine="482"/>
        <w:rPr>
          <w:rFonts w:hAnsi="宋体" w:cs="宋体"/>
          <w:color w:val="auto"/>
          <w:sz w:val="24"/>
          <w:szCs w:val="24"/>
          <w:highlight w:val="none"/>
        </w:rPr>
      </w:pPr>
      <w:r>
        <w:rPr>
          <w:rFonts w:hint="eastAsia" w:hAnsi="宋体" w:cs="宋体"/>
          <w:color w:val="auto"/>
          <w:sz w:val="24"/>
          <w:szCs w:val="24"/>
          <w:highlight w:val="none"/>
        </w:rPr>
        <w:t>4、如本项目采购内容涉及须符合国家强制规定的，我方承诺我方本次竞标均符合国家有关强制规定。</w:t>
      </w:r>
    </w:p>
    <w:p w14:paraId="5454528A">
      <w:pPr>
        <w:pStyle w:val="19"/>
        <w:spacing w:line="360" w:lineRule="auto"/>
        <w:ind w:firstLine="482"/>
        <w:rPr>
          <w:rFonts w:hAnsi="宋体" w:cs="宋体"/>
          <w:color w:val="auto"/>
          <w:sz w:val="24"/>
          <w:szCs w:val="24"/>
          <w:highlight w:val="none"/>
        </w:rPr>
      </w:pPr>
      <w:r>
        <w:rPr>
          <w:rFonts w:hint="eastAsia" w:hAnsi="宋体" w:cs="宋体"/>
          <w:color w:val="auto"/>
          <w:sz w:val="24"/>
          <w:szCs w:val="24"/>
          <w:highlight w:val="none"/>
        </w:rPr>
        <w:t>5、如我方成交，我方承诺在收到成交通知书后，在成交通知书规定的期限内，根据竞争性磋商采购文件、我方的响应文件及有关澄清承诺书的要求按第六章“合同文本”与采购人订立书面合同，并按照合同约定承担完成合同的责任和义务。</w:t>
      </w:r>
    </w:p>
    <w:p w14:paraId="1BC17ECF">
      <w:pPr>
        <w:pStyle w:val="19"/>
        <w:spacing w:line="360" w:lineRule="auto"/>
        <w:ind w:firstLine="482"/>
        <w:rPr>
          <w:rFonts w:hAnsi="宋体" w:cs="宋体"/>
          <w:color w:val="auto"/>
          <w:sz w:val="24"/>
          <w:szCs w:val="24"/>
          <w:highlight w:val="none"/>
        </w:rPr>
      </w:pPr>
      <w:r>
        <w:rPr>
          <w:rFonts w:hint="eastAsia" w:hAnsi="宋体" w:cs="宋体"/>
          <w:color w:val="auto"/>
          <w:sz w:val="24"/>
          <w:szCs w:val="24"/>
          <w:highlight w:val="none"/>
        </w:rPr>
        <w:t>6、我方已详细审核竞争性磋商采购文件，我方知道必须放弃提出含糊不清或误解问题的权利。</w:t>
      </w:r>
    </w:p>
    <w:p w14:paraId="6C737B27">
      <w:pPr>
        <w:pStyle w:val="19"/>
        <w:spacing w:line="360" w:lineRule="auto"/>
        <w:ind w:firstLine="482"/>
        <w:rPr>
          <w:rFonts w:hAnsi="宋体" w:cs="宋体"/>
          <w:color w:val="auto"/>
          <w:sz w:val="24"/>
          <w:szCs w:val="24"/>
          <w:highlight w:val="none"/>
        </w:rPr>
      </w:pPr>
      <w:r>
        <w:rPr>
          <w:rFonts w:hint="eastAsia" w:hAnsi="宋体" w:cs="宋体"/>
          <w:color w:val="auto"/>
          <w:sz w:val="24"/>
          <w:szCs w:val="24"/>
          <w:highlight w:val="none"/>
        </w:rPr>
        <w:t>7、我方承诺满足竞争性磋商采购文件第六章“合同文本”的条款，承担完成合同的责任和义务。</w:t>
      </w:r>
    </w:p>
    <w:p w14:paraId="24109137">
      <w:pPr>
        <w:pStyle w:val="19"/>
        <w:spacing w:line="360" w:lineRule="auto"/>
        <w:ind w:firstLine="482"/>
        <w:rPr>
          <w:rFonts w:hAnsi="宋体" w:cs="宋体"/>
          <w:color w:val="auto"/>
          <w:sz w:val="24"/>
          <w:szCs w:val="24"/>
          <w:highlight w:val="none"/>
        </w:rPr>
      </w:pPr>
      <w:r>
        <w:rPr>
          <w:rFonts w:hint="eastAsia" w:hAnsi="宋体" w:cs="宋体"/>
          <w:color w:val="auto"/>
          <w:sz w:val="24"/>
          <w:szCs w:val="24"/>
          <w:highlight w:val="none"/>
        </w:rPr>
        <w:t>8、我方同意应贵方要求提供与本竞标有关的任何数据或资料。若贵方需要，我方愿意提供我方作出的一切承诺的证明材料。</w:t>
      </w:r>
    </w:p>
    <w:p w14:paraId="2E0FD9DF">
      <w:pPr>
        <w:pStyle w:val="19"/>
        <w:spacing w:line="360" w:lineRule="auto"/>
        <w:ind w:firstLine="482"/>
        <w:rPr>
          <w:rFonts w:hAnsi="宋体" w:cs="宋体"/>
          <w:color w:val="auto"/>
          <w:sz w:val="24"/>
          <w:szCs w:val="24"/>
          <w:highlight w:val="none"/>
        </w:rPr>
      </w:pPr>
      <w:r>
        <w:rPr>
          <w:rFonts w:hint="eastAsia" w:hAnsi="宋体" w:cs="宋体"/>
          <w:color w:val="auto"/>
          <w:sz w:val="24"/>
          <w:szCs w:val="24"/>
          <w:highlight w:val="none"/>
        </w:rPr>
        <w:t>9、我方完全理解贵方不一定接受响应报价最低的竞标人为成交供应商的行为。</w:t>
      </w:r>
    </w:p>
    <w:p w14:paraId="069C647C">
      <w:pPr>
        <w:pStyle w:val="19"/>
        <w:spacing w:line="360" w:lineRule="auto"/>
        <w:ind w:firstLine="482"/>
        <w:rPr>
          <w:rFonts w:hAnsi="宋体" w:cs="宋体"/>
          <w:color w:val="auto"/>
          <w:sz w:val="24"/>
          <w:szCs w:val="24"/>
          <w:highlight w:val="none"/>
        </w:rPr>
      </w:pPr>
      <w:r>
        <w:rPr>
          <w:rFonts w:hint="eastAsia" w:hAnsi="宋体" w:cs="宋体"/>
          <w:color w:val="auto"/>
          <w:sz w:val="24"/>
          <w:szCs w:val="24"/>
          <w:highlight w:val="none"/>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3BFEE901">
      <w:pPr>
        <w:pStyle w:val="19"/>
        <w:numPr>
          <w:ilvl w:val="0"/>
          <w:numId w:val="1"/>
        </w:numPr>
        <w:tabs>
          <w:tab w:val="left" w:pos="945"/>
        </w:tabs>
        <w:spacing w:line="360" w:lineRule="auto"/>
        <w:rPr>
          <w:rFonts w:hAnsi="宋体" w:cs="宋体"/>
          <w:color w:val="auto"/>
          <w:sz w:val="24"/>
          <w:szCs w:val="24"/>
          <w:highlight w:val="none"/>
        </w:rPr>
      </w:pPr>
      <w:r>
        <w:rPr>
          <w:rFonts w:hint="eastAsia" w:hAnsi="宋体" w:cs="宋体"/>
          <w:color w:val="auto"/>
          <w:sz w:val="24"/>
          <w:szCs w:val="24"/>
          <w:highlight w:val="none"/>
        </w:rPr>
        <w:t>提供虚假材料谋取中标、成交的；</w:t>
      </w:r>
    </w:p>
    <w:p w14:paraId="4BE4489C">
      <w:pPr>
        <w:pStyle w:val="19"/>
        <w:numPr>
          <w:ilvl w:val="0"/>
          <w:numId w:val="1"/>
        </w:numPr>
        <w:tabs>
          <w:tab w:val="left" w:pos="945"/>
        </w:tabs>
        <w:spacing w:line="360" w:lineRule="auto"/>
        <w:rPr>
          <w:rFonts w:hAnsi="宋体" w:cs="宋体"/>
          <w:color w:val="auto"/>
          <w:sz w:val="24"/>
          <w:szCs w:val="24"/>
          <w:highlight w:val="none"/>
        </w:rPr>
      </w:pPr>
      <w:r>
        <w:rPr>
          <w:rFonts w:hint="eastAsia" w:hAnsi="宋体" w:cs="宋体"/>
          <w:color w:val="auto"/>
          <w:sz w:val="24"/>
          <w:szCs w:val="24"/>
          <w:highlight w:val="none"/>
        </w:rPr>
        <w:t>采取不正当手段诋毁、排挤其他供应商的；</w:t>
      </w:r>
    </w:p>
    <w:p w14:paraId="24F90B3B">
      <w:pPr>
        <w:pStyle w:val="19"/>
        <w:numPr>
          <w:ilvl w:val="0"/>
          <w:numId w:val="1"/>
        </w:numPr>
        <w:tabs>
          <w:tab w:val="left" w:pos="945"/>
        </w:tabs>
        <w:spacing w:line="360" w:lineRule="auto"/>
        <w:rPr>
          <w:rFonts w:hAnsi="宋体" w:cs="宋体"/>
          <w:color w:val="auto"/>
          <w:sz w:val="24"/>
          <w:szCs w:val="24"/>
          <w:highlight w:val="none"/>
        </w:rPr>
      </w:pPr>
      <w:r>
        <w:rPr>
          <w:rFonts w:hint="eastAsia" w:hAnsi="宋体" w:cs="宋体"/>
          <w:color w:val="auto"/>
          <w:sz w:val="24"/>
          <w:szCs w:val="24"/>
          <w:highlight w:val="none"/>
        </w:rPr>
        <w:t>与采购人、其他供应商或者采购代理机构恶意串通的；</w:t>
      </w:r>
    </w:p>
    <w:p w14:paraId="7502F627">
      <w:pPr>
        <w:pStyle w:val="19"/>
        <w:numPr>
          <w:ilvl w:val="0"/>
          <w:numId w:val="1"/>
        </w:numPr>
        <w:tabs>
          <w:tab w:val="left" w:pos="945"/>
        </w:tabs>
        <w:spacing w:line="360" w:lineRule="auto"/>
        <w:rPr>
          <w:rFonts w:hAnsi="宋体" w:cs="宋体"/>
          <w:color w:val="auto"/>
          <w:sz w:val="24"/>
          <w:szCs w:val="24"/>
          <w:highlight w:val="none"/>
        </w:rPr>
      </w:pPr>
      <w:r>
        <w:rPr>
          <w:rFonts w:hint="eastAsia" w:hAnsi="宋体" w:cs="宋体"/>
          <w:color w:val="auto"/>
          <w:sz w:val="24"/>
          <w:szCs w:val="24"/>
          <w:highlight w:val="none"/>
        </w:rPr>
        <w:t>向采购人、采购代理机构行贿或者提供其他不正当利益的；</w:t>
      </w:r>
    </w:p>
    <w:p w14:paraId="615556C0">
      <w:pPr>
        <w:pStyle w:val="19"/>
        <w:numPr>
          <w:ilvl w:val="0"/>
          <w:numId w:val="1"/>
        </w:numPr>
        <w:tabs>
          <w:tab w:val="left" w:pos="945"/>
        </w:tabs>
        <w:spacing w:line="360" w:lineRule="auto"/>
        <w:rPr>
          <w:rFonts w:hAnsi="宋体" w:cs="宋体"/>
          <w:color w:val="auto"/>
          <w:sz w:val="24"/>
          <w:szCs w:val="24"/>
          <w:highlight w:val="none"/>
        </w:rPr>
      </w:pPr>
      <w:r>
        <w:rPr>
          <w:rFonts w:hint="eastAsia" w:hAnsi="宋体" w:cs="宋体"/>
          <w:color w:val="auto"/>
          <w:sz w:val="24"/>
          <w:szCs w:val="24"/>
          <w:highlight w:val="none"/>
        </w:rPr>
        <w:t>在采购过程中与采购人进行协商谈判的；</w:t>
      </w:r>
    </w:p>
    <w:p w14:paraId="623BA324">
      <w:pPr>
        <w:pStyle w:val="19"/>
        <w:numPr>
          <w:ilvl w:val="0"/>
          <w:numId w:val="1"/>
        </w:numPr>
        <w:tabs>
          <w:tab w:val="left" w:pos="945"/>
        </w:tabs>
        <w:spacing w:line="360" w:lineRule="auto"/>
        <w:rPr>
          <w:rFonts w:hAnsi="宋体" w:cs="宋体"/>
          <w:color w:val="auto"/>
          <w:sz w:val="24"/>
          <w:szCs w:val="24"/>
          <w:highlight w:val="none"/>
        </w:rPr>
      </w:pPr>
      <w:r>
        <w:rPr>
          <w:rFonts w:hint="eastAsia" w:hAnsi="宋体" w:cs="宋体"/>
          <w:color w:val="auto"/>
          <w:sz w:val="24"/>
          <w:szCs w:val="24"/>
          <w:highlight w:val="none"/>
        </w:rPr>
        <w:t>拒绝有关部门监督检查或提供虚假情况的。</w:t>
      </w:r>
    </w:p>
    <w:p w14:paraId="09A2B676">
      <w:pPr>
        <w:pStyle w:val="19"/>
        <w:spacing w:line="360" w:lineRule="auto"/>
        <w:ind w:firstLine="420"/>
        <w:rPr>
          <w:rFonts w:hAnsi="宋体" w:cs="宋体"/>
          <w:color w:val="auto"/>
          <w:sz w:val="24"/>
          <w:szCs w:val="24"/>
          <w:highlight w:val="none"/>
        </w:rPr>
      </w:pPr>
      <w:r>
        <w:rPr>
          <w:rFonts w:hint="eastAsia" w:hAnsi="宋体" w:cs="宋体"/>
          <w:color w:val="auto"/>
          <w:sz w:val="24"/>
          <w:szCs w:val="24"/>
          <w:highlight w:val="none"/>
        </w:rPr>
        <w:t>11.与本磋商有关的一切正式往来信函请寄：</w:t>
      </w:r>
    </w:p>
    <w:p w14:paraId="11141000">
      <w:pPr>
        <w:pStyle w:val="19"/>
        <w:spacing w:line="360" w:lineRule="auto"/>
        <w:ind w:firstLine="420"/>
        <w:rPr>
          <w:rFonts w:hAnsi="宋体" w:cs="宋体"/>
          <w:color w:val="auto"/>
          <w:sz w:val="24"/>
          <w:szCs w:val="24"/>
          <w:highlight w:val="none"/>
        </w:rPr>
      </w:pPr>
      <w:r>
        <w:rPr>
          <w:rFonts w:hint="eastAsia" w:hAnsi="宋体" w:cs="宋体"/>
          <w:color w:val="auto"/>
          <w:sz w:val="24"/>
          <w:szCs w:val="24"/>
          <w:highlight w:val="none"/>
        </w:rPr>
        <w:t>地址：</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23C491AA">
      <w:pPr>
        <w:pStyle w:val="19"/>
        <w:spacing w:line="360" w:lineRule="auto"/>
        <w:ind w:firstLine="420"/>
        <w:rPr>
          <w:rFonts w:hAnsi="宋体" w:cs="宋体"/>
          <w:color w:val="auto"/>
          <w:sz w:val="24"/>
          <w:szCs w:val="24"/>
          <w:highlight w:val="none"/>
          <w:u w:val="single"/>
        </w:rPr>
      </w:pPr>
      <w:r>
        <w:rPr>
          <w:rFonts w:hint="eastAsia" w:hAnsi="宋体" w:cs="宋体"/>
          <w:color w:val="auto"/>
          <w:sz w:val="24"/>
          <w:szCs w:val="24"/>
          <w:highlight w:val="none"/>
        </w:rPr>
        <w:t>电话：</w:t>
      </w:r>
      <w:r>
        <w:rPr>
          <w:rFonts w:hint="eastAsia" w:hAnsi="宋体" w:cs="宋体"/>
          <w:color w:val="auto"/>
          <w:sz w:val="24"/>
          <w:szCs w:val="24"/>
          <w:highlight w:val="none"/>
          <w:u w:val="single"/>
        </w:rPr>
        <w:t xml:space="preserve">                                      　　　　　　　　　</w:t>
      </w:r>
    </w:p>
    <w:p w14:paraId="68B96D40">
      <w:pPr>
        <w:pStyle w:val="19"/>
        <w:spacing w:line="360" w:lineRule="auto"/>
        <w:ind w:firstLine="420"/>
        <w:rPr>
          <w:rFonts w:hAnsi="宋体" w:cs="宋体"/>
          <w:color w:val="auto"/>
          <w:sz w:val="24"/>
          <w:szCs w:val="24"/>
          <w:highlight w:val="none"/>
        </w:rPr>
      </w:pPr>
      <w:r>
        <w:rPr>
          <w:rFonts w:hint="eastAsia" w:hAnsi="宋体" w:cs="宋体"/>
          <w:color w:val="auto"/>
          <w:sz w:val="24"/>
          <w:szCs w:val="24"/>
          <w:highlight w:val="none"/>
        </w:rPr>
        <w:t>传真：</w:t>
      </w:r>
      <w:r>
        <w:rPr>
          <w:rFonts w:hint="eastAsia" w:hAnsi="宋体" w:cs="宋体"/>
          <w:color w:val="auto"/>
          <w:sz w:val="24"/>
          <w:szCs w:val="24"/>
          <w:highlight w:val="none"/>
          <w:u w:val="single"/>
        </w:rPr>
        <w:t>　　　　　　　　　　　　　　　　　　　　　　　　　　　　</w:t>
      </w:r>
    </w:p>
    <w:p w14:paraId="73412202">
      <w:pPr>
        <w:pStyle w:val="19"/>
        <w:spacing w:line="360" w:lineRule="auto"/>
        <w:ind w:firstLine="420"/>
        <w:rPr>
          <w:rFonts w:hAnsi="宋体" w:cs="宋体"/>
          <w:color w:val="auto"/>
          <w:sz w:val="24"/>
          <w:szCs w:val="24"/>
          <w:highlight w:val="none"/>
          <w:u w:val="single"/>
        </w:rPr>
      </w:pPr>
      <w:r>
        <w:rPr>
          <w:rFonts w:hint="eastAsia" w:hAnsi="宋体" w:cs="宋体"/>
          <w:color w:val="auto"/>
          <w:sz w:val="24"/>
          <w:szCs w:val="24"/>
          <w:highlight w:val="none"/>
        </w:rPr>
        <w:t>邮政编码：</w:t>
      </w:r>
      <w:r>
        <w:rPr>
          <w:rFonts w:hint="eastAsia" w:hAnsi="宋体" w:cs="宋体"/>
          <w:color w:val="auto"/>
          <w:sz w:val="24"/>
          <w:szCs w:val="24"/>
          <w:highlight w:val="none"/>
          <w:u w:val="single"/>
        </w:rPr>
        <w:t xml:space="preserve">                                                    </w:t>
      </w:r>
    </w:p>
    <w:p w14:paraId="519A1473">
      <w:pPr>
        <w:pStyle w:val="19"/>
        <w:spacing w:line="360" w:lineRule="auto"/>
        <w:ind w:firstLine="420"/>
        <w:rPr>
          <w:rFonts w:hAnsi="宋体" w:cs="宋体"/>
          <w:color w:val="auto"/>
          <w:sz w:val="24"/>
          <w:szCs w:val="24"/>
          <w:highlight w:val="none"/>
          <w:u w:val="single"/>
        </w:rPr>
      </w:pPr>
      <w:r>
        <w:rPr>
          <w:rFonts w:hint="eastAsia" w:hAnsi="宋体" w:cs="宋体"/>
          <w:color w:val="auto"/>
          <w:sz w:val="24"/>
          <w:szCs w:val="24"/>
          <w:highlight w:val="none"/>
        </w:rPr>
        <w:t>开户名称：</w:t>
      </w:r>
      <w:r>
        <w:rPr>
          <w:rFonts w:hint="eastAsia" w:hAnsi="宋体" w:cs="宋体"/>
          <w:color w:val="auto"/>
          <w:sz w:val="24"/>
          <w:szCs w:val="24"/>
          <w:highlight w:val="none"/>
          <w:u w:val="single"/>
        </w:rPr>
        <w:t xml:space="preserve">                                                    </w:t>
      </w:r>
    </w:p>
    <w:p w14:paraId="5C0F70C7">
      <w:pPr>
        <w:pStyle w:val="19"/>
        <w:spacing w:line="360" w:lineRule="auto"/>
        <w:ind w:firstLine="420"/>
        <w:rPr>
          <w:rFonts w:hAnsi="宋体" w:cs="宋体"/>
          <w:color w:val="auto"/>
          <w:sz w:val="24"/>
          <w:szCs w:val="24"/>
          <w:highlight w:val="none"/>
          <w:u w:val="single"/>
        </w:rPr>
      </w:pPr>
      <w:r>
        <w:rPr>
          <w:rFonts w:hint="eastAsia" w:hAnsi="宋体" w:cs="宋体"/>
          <w:color w:val="auto"/>
          <w:sz w:val="24"/>
          <w:szCs w:val="24"/>
          <w:highlight w:val="none"/>
        </w:rPr>
        <w:t>开户银行：</w:t>
      </w:r>
      <w:r>
        <w:rPr>
          <w:rFonts w:hint="eastAsia" w:hAnsi="宋体" w:cs="宋体"/>
          <w:color w:val="auto"/>
          <w:sz w:val="24"/>
          <w:szCs w:val="24"/>
          <w:highlight w:val="none"/>
          <w:u w:val="single"/>
        </w:rPr>
        <w:t xml:space="preserve">                                                    </w:t>
      </w:r>
    </w:p>
    <w:p w14:paraId="1CA8E6A6">
      <w:pPr>
        <w:pStyle w:val="19"/>
        <w:spacing w:line="360" w:lineRule="auto"/>
        <w:ind w:firstLine="420"/>
        <w:rPr>
          <w:rFonts w:hAnsi="宋体" w:cs="宋体"/>
          <w:color w:val="auto"/>
          <w:sz w:val="24"/>
          <w:szCs w:val="24"/>
          <w:highlight w:val="none"/>
          <w:u w:val="single"/>
        </w:rPr>
      </w:pPr>
      <w:r>
        <w:rPr>
          <w:rFonts w:hint="eastAsia" w:hAnsi="宋体" w:cs="宋体"/>
          <w:color w:val="auto"/>
          <w:sz w:val="24"/>
          <w:szCs w:val="24"/>
          <w:highlight w:val="none"/>
        </w:rPr>
        <w:t>银行账号：</w:t>
      </w:r>
      <w:r>
        <w:rPr>
          <w:rFonts w:hint="eastAsia" w:hAnsi="宋体" w:cs="宋体"/>
          <w:color w:val="auto"/>
          <w:sz w:val="24"/>
          <w:szCs w:val="24"/>
          <w:highlight w:val="none"/>
          <w:u w:val="single"/>
        </w:rPr>
        <w:t xml:space="preserve">                                                    </w:t>
      </w:r>
    </w:p>
    <w:p w14:paraId="59378A7B">
      <w:pPr>
        <w:pStyle w:val="16"/>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特此承诺。</w:t>
      </w:r>
    </w:p>
    <w:p w14:paraId="719AA17B">
      <w:pPr>
        <w:spacing w:line="360" w:lineRule="auto"/>
        <w:contextualSpacing/>
        <w:jc w:val="left"/>
        <w:rPr>
          <w:rFonts w:ascii="宋体" w:hAnsi="宋体" w:cs="宋体"/>
          <w:color w:val="auto"/>
          <w:sz w:val="24"/>
          <w:highlight w:val="none"/>
        </w:rPr>
      </w:pPr>
    </w:p>
    <w:p w14:paraId="48ED0510">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6FBD18F8">
      <w:pPr>
        <w:autoSpaceDE w:val="0"/>
        <w:autoSpaceDN w:val="0"/>
        <w:spacing w:line="360" w:lineRule="auto"/>
        <w:ind w:firstLine="6480" w:firstLineChars="2700"/>
        <w:rPr>
          <w:rFonts w:ascii="宋体" w:hAnsi="宋体" w:cs="宋体"/>
          <w:color w:val="auto"/>
          <w:kern w:val="0"/>
          <w:sz w:val="24"/>
          <w:highlight w:val="none"/>
          <w:lang w:val="zh-CN"/>
        </w:rPr>
        <w:sectPr>
          <w:pgSz w:w="11910" w:h="16840"/>
          <w:pgMar w:top="1340" w:right="1500" w:bottom="280" w:left="1680" w:header="720" w:footer="720" w:gutter="0"/>
          <w:cols w:space="720" w:num="1"/>
        </w:sectPr>
      </w:pPr>
      <w:r>
        <w:rPr>
          <w:rFonts w:hint="eastAsia" w:ascii="宋体" w:hAnsi="宋体" w:cs="宋体"/>
          <w:color w:val="auto"/>
          <w:kern w:val="0"/>
          <w:sz w:val="24"/>
          <w:highlight w:val="none"/>
          <w:lang w:val="zh-CN"/>
        </w:rPr>
        <w:t>日期：  年  月   日</w:t>
      </w:r>
    </w:p>
    <w:p w14:paraId="14D52170">
      <w:pPr>
        <w:pStyle w:val="77"/>
        <w:spacing w:line="480" w:lineRule="exact"/>
        <w:ind w:left="0" w:leftChars="0" w:firstLine="0" w:firstLineChars="0"/>
        <w:rPr>
          <w:rFonts w:ascii="宋体" w:hAnsi="宋体" w:cs="宋体"/>
          <w:color w:val="auto"/>
          <w:sz w:val="24"/>
          <w:highlight w:val="none"/>
          <w:shd w:val="clear" w:color="auto" w:fill="FFFFFF"/>
        </w:rPr>
      </w:pPr>
    </w:p>
    <w:p w14:paraId="1FF6C35F">
      <w:pPr>
        <w:snapToGrid w:val="0"/>
        <w:spacing w:before="120" w:beforeLines="50" w:after="50" w:line="360" w:lineRule="auto"/>
        <w:ind w:left="142" w:firstLine="643" w:firstLineChars="200"/>
        <w:jc w:val="left"/>
        <w:rPr>
          <w:rFonts w:ascii="宋体" w:hAnsi="宋体" w:cs="宋体"/>
          <w:b/>
          <w:bCs/>
          <w:color w:val="auto"/>
          <w:sz w:val="32"/>
          <w:szCs w:val="32"/>
          <w:highlight w:val="none"/>
        </w:rPr>
      </w:pPr>
      <w:r>
        <w:rPr>
          <w:rFonts w:hint="eastAsia" w:ascii="宋体" w:hAnsi="宋体" w:cs="宋体"/>
          <w:b/>
          <w:bCs/>
          <w:color w:val="auto"/>
          <w:sz w:val="32"/>
          <w:szCs w:val="32"/>
          <w:highlight w:val="none"/>
        </w:rPr>
        <w:t>二、响应报价表</w:t>
      </w:r>
    </w:p>
    <w:p w14:paraId="457084BB">
      <w:pPr>
        <w:snapToGrid w:val="0"/>
        <w:spacing w:before="50" w:after="50" w:line="360" w:lineRule="auto"/>
        <w:rPr>
          <w:rFonts w:ascii="宋体" w:hAnsi="宋体" w:cs="宋体"/>
          <w:color w:val="auto"/>
          <w:sz w:val="24"/>
          <w:highlight w:val="none"/>
          <w:u w:val="singl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分标：</w:t>
      </w:r>
      <w:r>
        <w:rPr>
          <w:rFonts w:hint="eastAsia" w:ascii="宋体" w:hAnsi="宋体" w:cs="宋体"/>
          <w:color w:val="auto"/>
          <w:sz w:val="24"/>
          <w:highlight w:val="none"/>
          <w:u w:val="single"/>
        </w:rPr>
        <w:t xml:space="preserve">           </w:t>
      </w:r>
    </w:p>
    <w:p w14:paraId="47DA3FDE">
      <w:pPr>
        <w:snapToGrid w:val="0"/>
        <w:spacing w:before="50" w:after="50" w:line="360" w:lineRule="auto"/>
        <w:rPr>
          <w:rFonts w:ascii="宋体" w:hAnsi="宋体" w:cs="宋体"/>
          <w:color w:val="auto"/>
          <w:sz w:val="24"/>
          <w:highlight w:val="none"/>
          <w:u w:val="singl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tbl>
      <w:tblPr>
        <w:tblStyle w:val="33"/>
        <w:tblW w:w="9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8"/>
        <w:gridCol w:w="1632"/>
        <w:gridCol w:w="1618"/>
        <w:gridCol w:w="1500"/>
        <w:gridCol w:w="2088"/>
        <w:gridCol w:w="1625"/>
      </w:tblGrid>
      <w:tr w14:paraId="49C62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6" w:hRule="atLeast"/>
        </w:trPr>
        <w:tc>
          <w:tcPr>
            <w:tcW w:w="608" w:type="dxa"/>
            <w:tcBorders>
              <w:top w:val="single" w:color="auto" w:sz="4" w:space="0"/>
              <w:left w:val="single" w:color="auto" w:sz="4" w:space="0"/>
              <w:bottom w:val="single" w:color="auto" w:sz="4" w:space="0"/>
              <w:right w:val="single" w:color="auto" w:sz="4" w:space="0"/>
            </w:tcBorders>
            <w:vAlign w:val="center"/>
          </w:tcPr>
          <w:p w14:paraId="2585051A">
            <w:pPr>
              <w:jc w:val="center"/>
              <w:rPr>
                <w:rFonts w:hint="eastAsia" w:ascii="宋体" w:hAnsi="宋体" w:cs="宋体"/>
                <w:b/>
                <w:bCs/>
                <w:color w:val="auto"/>
                <w:sz w:val="24"/>
                <w:highlight w:val="none"/>
                <w:lang w:val="en-US" w:eastAsia="zh-CN"/>
              </w:rPr>
            </w:pPr>
            <w:r>
              <w:rPr>
                <w:rFonts w:hint="eastAsia" w:ascii="宋体" w:hAnsi="宋体" w:cs="宋体"/>
                <w:b/>
                <w:bCs/>
                <w:color w:val="auto"/>
                <w:sz w:val="24"/>
                <w:highlight w:val="none"/>
                <w:lang w:val="en-US" w:eastAsia="zh-CN"/>
              </w:rPr>
              <w:t>序号</w:t>
            </w:r>
          </w:p>
        </w:tc>
        <w:tc>
          <w:tcPr>
            <w:tcW w:w="1632" w:type="dxa"/>
            <w:tcBorders>
              <w:top w:val="single" w:color="auto" w:sz="4" w:space="0"/>
              <w:left w:val="single" w:color="auto" w:sz="4" w:space="0"/>
              <w:bottom w:val="single" w:color="auto" w:sz="4" w:space="0"/>
              <w:right w:val="single" w:color="auto" w:sz="4" w:space="0"/>
            </w:tcBorders>
            <w:vAlign w:val="center"/>
          </w:tcPr>
          <w:p w14:paraId="7204C218">
            <w:pPr>
              <w:jc w:val="center"/>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服务内容</w:t>
            </w:r>
          </w:p>
        </w:tc>
        <w:tc>
          <w:tcPr>
            <w:tcW w:w="1618" w:type="dxa"/>
            <w:tcBorders>
              <w:top w:val="single" w:color="auto" w:sz="4" w:space="0"/>
              <w:left w:val="single" w:color="auto" w:sz="4" w:space="0"/>
              <w:bottom w:val="single" w:color="auto" w:sz="4" w:space="0"/>
              <w:right w:val="single" w:color="auto" w:sz="4" w:space="0"/>
            </w:tcBorders>
            <w:vAlign w:val="center"/>
          </w:tcPr>
          <w:p w14:paraId="0FF609D7">
            <w:pPr>
              <w:jc w:val="center"/>
              <w:rPr>
                <w:rFonts w:hint="eastAsia" w:ascii="宋体" w:hAnsi="宋体" w:eastAsia="宋体" w:cs="宋体"/>
                <w:b/>
                <w:bCs/>
                <w:color w:val="auto"/>
                <w:sz w:val="24"/>
                <w:highlight w:val="none"/>
                <w:lang w:val="en-US" w:eastAsia="zh-CN"/>
              </w:rPr>
            </w:pPr>
            <w:r>
              <w:rPr>
                <w:rFonts w:hint="eastAsia" w:ascii="宋体" w:hAnsi="宋体" w:cs="宋体"/>
                <w:b/>
                <w:bCs/>
                <w:color w:val="auto"/>
                <w:sz w:val="24"/>
                <w:highlight w:val="none"/>
                <w:lang w:val="en-US" w:eastAsia="zh-CN"/>
              </w:rPr>
              <w:t>数量</w:t>
            </w:r>
          </w:p>
        </w:tc>
        <w:tc>
          <w:tcPr>
            <w:tcW w:w="1500" w:type="dxa"/>
            <w:tcBorders>
              <w:top w:val="single" w:color="auto" w:sz="4" w:space="0"/>
              <w:left w:val="single" w:color="auto" w:sz="4" w:space="0"/>
              <w:bottom w:val="single" w:color="auto" w:sz="4" w:space="0"/>
              <w:right w:val="single" w:color="auto" w:sz="4" w:space="0"/>
            </w:tcBorders>
            <w:vAlign w:val="center"/>
          </w:tcPr>
          <w:p w14:paraId="49EDA614">
            <w:pPr>
              <w:jc w:val="center"/>
              <w:rPr>
                <w:rFonts w:hint="eastAsia" w:ascii="宋体" w:hAnsi="宋体" w:eastAsia="宋体" w:cs="宋体"/>
                <w:b/>
                <w:bCs/>
                <w:color w:val="auto"/>
                <w:sz w:val="24"/>
                <w:highlight w:val="none"/>
                <w:lang w:val="en-US" w:eastAsia="zh-CN"/>
              </w:rPr>
            </w:pPr>
            <w:r>
              <w:rPr>
                <w:rFonts w:hint="eastAsia" w:ascii="宋体" w:hAnsi="宋体" w:cs="宋体"/>
                <w:b/>
                <w:bCs/>
                <w:color w:val="auto"/>
                <w:sz w:val="24"/>
                <w:highlight w:val="none"/>
                <w:lang w:val="en-US" w:eastAsia="zh-CN"/>
              </w:rPr>
              <w:t>单位</w:t>
            </w:r>
          </w:p>
        </w:tc>
        <w:tc>
          <w:tcPr>
            <w:tcW w:w="2088" w:type="dxa"/>
            <w:tcBorders>
              <w:top w:val="single" w:color="auto" w:sz="4" w:space="0"/>
              <w:left w:val="single" w:color="auto" w:sz="4" w:space="0"/>
              <w:bottom w:val="single" w:color="auto" w:sz="4" w:space="0"/>
              <w:right w:val="single" w:color="auto" w:sz="4" w:space="0"/>
            </w:tcBorders>
            <w:vAlign w:val="center"/>
          </w:tcPr>
          <w:p w14:paraId="55E82A57">
            <w:pPr>
              <w:jc w:val="center"/>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单价</w:t>
            </w:r>
            <w:r>
              <w:rPr>
                <w:rFonts w:hint="eastAsia" w:ascii="宋体" w:hAnsi="宋体" w:cs="宋体"/>
                <w:b/>
                <w:bCs/>
                <w:color w:val="auto"/>
                <w:sz w:val="24"/>
                <w:highlight w:val="none"/>
                <w:lang w:val="en-US" w:eastAsia="zh-CN"/>
              </w:rPr>
              <w:t>（元）</w:t>
            </w:r>
          </w:p>
        </w:tc>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14:paraId="60037298">
            <w:pPr>
              <w:jc w:val="center"/>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合计（元）</w:t>
            </w:r>
          </w:p>
        </w:tc>
      </w:tr>
      <w:tr w14:paraId="45FB6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608" w:type="dxa"/>
            <w:tcBorders>
              <w:top w:val="single" w:color="auto" w:sz="4" w:space="0"/>
              <w:left w:val="single" w:color="auto" w:sz="4" w:space="0"/>
              <w:bottom w:val="single" w:color="auto" w:sz="4" w:space="0"/>
              <w:right w:val="single" w:color="auto" w:sz="4" w:space="0"/>
            </w:tcBorders>
            <w:vAlign w:val="center"/>
          </w:tcPr>
          <w:p w14:paraId="61252E6C">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632" w:type="dxa"/>
            <w:tcBorders>
              <w:top w:val="single" w:color="auto" w:sz="4" w:space="0"/>
              <w:left w:val="single" w:color="auto" w:sz="4" w:space="0"/>
              <w:bottom w:val="single" w:color="auto" w:sz="4" w:space="0"/>
              <w:right w:val="single" w:color="auto" w:sz="4" w:space="0"/>
            </w:tcBorders>
            <w:vAlign w:val="center"/>
          </w:tcPr>
          <w:p w14:paraId="6A5D17A6">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医疗废弃物处置</w:t>
            </w:r>
          </w:p>
        </w:tc>
        <w:tc>
          <w:tcPr>
            <w:tcW w:w="1618" w:type="dxa"/>
            <w:tcBorders>
              <w:top w:val="single" w:color="auto" w:sz="4" w:space="0"/>
              <w:left w:val="single" w:color="auto" w:sz="4" w:space="0"/>
              <w:bottom w:val="single" w:color="auto" w:sz="4" w:space="0"/>
              <w:right w:val="single" w:color="auto" w:sz="4" w:space="0"/>
            </w:tcBorders>
            <w:vAlign w:val="center"/>
          </w:tcPr>
          <w:p w14:paraId="0309A0EE">
            <w:pPr>
              <w:jc w:val="center"/>
              <w:rPr>
                <w:rFonts w:hint="default" w:ascii="宋体" w:hAnsi="宋体" w:eastAsia="宋体" w:cs="宋体"/>
                <w:b/>
                <w:bCs/>
                <w:color w:val="auto"/>
                <w:sz w:val="24"/>
                <w:highlight w:val="none"/>
                <w:lang w:val="en-US" w:eastAsia="zh-CN"/>
              </w:rPr>
            </w:pPr>
            <w:r>
              <w:rPr>
                <w:rFonts w:hint="eastAsia" w:ascii="宋体" w:hAnsi="宋体" w:cs="宋体"/>
                <w:b/>
                <w:bCs/>
                <w:color w:val="auto"/>
                <w:sz w:val="24"/>
                <w:highlight w:val="none"/>
                <w:lang w:val="en-US" w:eastAsia="zh-CN"/>
              </w:rPr>
              <w:t>24</w:t>
            </w:r>
          </w:p>
        </w:tc>
        <w:tc>
          <w:tcPr>
            <w:tcW w:w="1500" w:type="dxa"/>
            <w:tcBorders>
              <w:top w:val="single" w:color="auto" w:sz="4" w:space="0"/>
              <w:left w:val="single" w:color="auto" w:sz="4" w:space="0"/>
              <w:bottom w:val="single" w:color="auto" w:sz="4" w:space="0"/>
              <w:right w:val="single" w:color="auto" w:sz="4" w:space="0"/>
            </w:tcBorders>
            <w:vAlign w:val="center"/>
          </w:tcPr>
          <w:p w14:paraId="7C2A92BC">
            <w:pPr>
              <w:jc w:val="center"/>
              <w:rPr>
                <w:rFonts w:hint="default" w:ascii="宋体" w:hAnsi="宋体" w:eastAsia="宋体" w:cs="宋体"/>
                <w:b/>
                <w:bCs/>
                <w:color w:val="auto"/>
                <w:sz w:val="24"/>
                <w:highlight w:val="none"/>
                <w:lang w:val="en-US" w:eastAsia="zh-CN"/>
              </w:rPr>
            </w:pPr>
            <w:r>
              <w:rPr>
                <w:rFonts w:hint="eastAsia" w:ascii="宋体" w:hAnsi="宋体" w:cs="宋体"/>
                <w:b/>
                <w:bCs/>
                <w:color w:val="auto"/>
                <w:sz w:val="24"/>
                <w:highlight w:val="none"/>
                <w:lang w:val="en-US" w:eastAsia="zh-CN"/>
              </w:rPr>
              <w:t>月</w:t>
            </w:r>
          </w:p>
        </w:tc>
        <w:tc>
          <w:tcPr>
            <w:tcW w:w="2088" w:type="dxa"/>
            <w:tcBorders>
              <w:top w:val="single" w:color="auto" w:sz="4" w:space="0"/>
              <w:left w:val="single" w:color="auto" w:sz="4" w:space="0"/>
              <w:bottom w:val="single" w:color="auto" w:sz="4" w:space="0"/>
              <w:right w:val="single" w:color="auto" w:sz="4" w:space="0"/>
            </w:tcBorders>
            <w:vAlign w:val="center"/>
          </w:tcPr>
          <w:p w14:paraId="70FE3F16">
            <w:pPr>
              <w:jc w:val="center"/>
              <w:rPr>
                <w:rFonts w:hint="eastAsia" w:ascii="宋体" w:hAnsi="宋体" w:eastAsia="宋体" w:cs="宋体"/>
                <w:b/>
                <w:bCs/>
                <w:color w:val="auto"/>
                <w:sz w:val="24"/>
                <w:highlight w:val="none"/>
                <w:lang w:val="en-US" w:eastAsia="zh-CN"/>
              </w:rPr>
            </w:pPr>
          </w:p>
        </w:tc>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14:paraId="788992AF">
            <w:pPr>
              <w:jc w:val="center"/>
              <w:rPr>
                <w:rFonts w:hint="eastAsia" w:ascii="宋体" w:hAnsi="宋体" w:eastAsia="宋体" w:cs="宋体"/>
                <w:b/>
                <w:bCs/>
                <w:color w:val="auto"/>
                <w:sz w:val="24"/>
                <w:highlight w:val="none"/>
                <w:lang w:val="en-US" w:eastAsia="zh-CN"/>
              </w:rPr>
            </w:pPr>
          </w:p>
        </w:tc>
      </w:tr>
      <w:tr w14:paraId="5BF57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08" w:type="dxa"/>
            <w:tcBorders>
              <w:top w:val="single" w:color="auto" w:sz="4" w:space="0"/>
              <w:left w:val="single" w:color="auto" w:sz="4" w:space="0"/>
              <w:bottom w:val="single" w:color="auto" w:sz="4" w:space="0"/>
              <w:right w:val="single" w:color="auto" w:sz="4" w:space="0"/>
            </w:tcBorders>
            <w:vAlign w:val="center"/>
          </w:tcPr>
          <w:p w14:paraId="75235EC7">
            <w:pPr>
              <w:jc w:val="center"/>
              <w:rPr>
                <w:rFonts w:ascii="宋体" w:hAnsi="宋体" w:cs="宋体"/>
                <w:color w:val="auto"/>
                <w:sz w:val="24"/>
                <w:highlight w:val="none"/>
              </w:rPr>
            </w:pPr>
            <w:r>
              <w:rPr>
                <w:rFonts w:hint="eastAsia" w:ascii="宋体" w:hAnsi="宋体" w:cs="宋体"/>
                <w:color w:val="auto"/>
                <w:sz w:val="24"/>
                <w:highlight w:val="none"/>
              </w:rPr>
              <w:t>2</w:t>
            </w:r>
          </w:p>
        </w:tc>
        <w:tc>
          <w:tcPr>
            <w:tcW w:w="1632" w:type="dxa"/>
            <w:tcBorders>
              <w:top w:val="single" w:color="auto" w:sz="4" w:space="0"/>
              <w:left w:val="single" w:color="auto" w:sz="4" w:space="0"/>
              <w:bottom w:val="single" w:color="auto" w:sz="4" w:space="0"/>
              <w:right w:val="single" w:color="auto" w:sz="4" w:space="0"/>
            </w:tcBorders>
            <w:vAlign w:val="center"/>
          </w:tcPr>
          <w:p w14:paraId="103109C2">
            <w:pPr>
              <w:wordWrap w:val="0"/>
              <w:jc w:val="center"/>
              <w:rPr>
                <w:rFonts w:ascii="宋体" w:hAnsi="宋体" w:cs="宋体"/>
                <w:color w:val="auto"/>
                <w:sz w:val="24"/>
                <w:highlight w:val="none"/>
              </w:rPr>
            </w:pPr>
          </w:p>
        </w:tc>
        <w:tc>
          <w:tcPr>
            <w:tcW w:w="1618" w:type="dxa"/>
            <w:tcBorders>
              <w:top w:val="single" w:color="auto" w:sz="4" w:space="0"/>
              <w:left w:val="single" w:color="auto" w:sz="4" w:space="0"/>
              <w:bottom w:val="single" w:color="auto" w:sz="4" w:space="0"/>
              <w:right w:val="single" w:color="auto" w:sz="4" w:space="0"/>
            </w:tcBorders>
            <w:vAlign w:val="center"/>
          </w:tcPr>
          <w:p w14:paraId="5EE82C1C">
            <w:pPr>
              <w:rPr>
                <w:rFonts w:ascii="宋体" w:hAnsi="宋体" w:cs="宋体"/>
                <w:color w:val="auto"/>
                <w:sz w:val="24"/>
                <w:highlight w:val="none"/>
              </w:rPr>
            </w:pPr>
          </w:p>
        </w:tc>
        <w:tc>
          <w:tcPr>
            <w:tcW w:w="1500" w:type="dxa"/>
            <w:tcBorders>
              <w:top w:val="single" w:color="auto" w:sz="4" w:space="0"/>
              <w:left w:val="single" w:color="auto" w:sz="4" w:space="0"/>
              <w:bottom w:val="single" w:color="auto" w:sz="4" w:space="0"/>
              <w:right w:val="single" w:color="auto" w:sz="4" w:space="0"/>
            </w:tcBorders>
            <w:vAlign w:val="center"/>
          </w:tcPr>
          <w:p w14:paraId="649FFF84">
            <w:pPr>
              <w:rPr>
                <w:rFonts w:ascii="宋体" w:hAnsi="宋体" w:cs="宋体"/>
                <w:color w:val="auto"/>
                <w:sz w:val="24"/>
                <w:highlight w:val="none"/>
              </w:rPr>
            </w:pPr>
          </w:p>
        </w:tc>
        <w:tc>
          <w:tcPr>
            <w:tcW w:w="2088" w:type="dxa"/>
            <w:tcBorders>
              <w:top w:val="single" w:color="auto" w:sz="4" w:space="0"/>
              <w:left w:val="single" w:color="auto" w:sz="4" w:space="0"/>
              <w:bottom w:val="single" w:color="auto" w:sz="4" w:space="0"/>
              <w:right w:val="single" w:color="auto" w:sz="4" w:space="0"/>
            </w:tcBorders>
            <w:vAlign w:val="center"/>
          </w:tcPr>
          <w:p w14:paraId="62A84386">
            <w:pPr>
              <w:rPr>
                <w:rFonts w:ascii="宋体" w:hAnsi="宋体" w:cs="宋体"/>
                <w:color w:val="auto"/>
                <w:sz w:val="24"/>
                <w:highlight w:val="none"/>
              </w:rPr>
            </w:pPr>
          </w:p>
        </w:tc>
        <w:tc>
          <w:tcPr>
            <w:tcW w:w="1625" w:type="dxa"/>
            <w:tcBorders>
              <w:top w:val="single" w:color="auto" w:sz="4" w:space="0"/>
              <w:left w:val="single" w:color="auto" w:sz="4" w:space="0"/>
              <w:bottom w:val="single" w:color="auto" w:sz="4" w:space="0"/>
              <w:right w:val="single" w:color="auto" w:sz="4" w:space="0"/>
            </w:tcBorders>
          </w:tcPr>
          <w:p w14:paraId="298A3475">
            <w:pPr>
              <w:rPr>
                <w:rFonts w:ascii="宋体" w:hAnsi="宋体" w:cs="宋体"/>
                <w:color w:val="auto"/>
                <w:sz w:val="24"/>
                <w:highlight w:val="none"/>
              </w:rPr>
            </w:pPr>
          </w:p>
        </w:tc>
      </w:tr>
      <w:tr w14:paraId="2669E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08" w:type="dxa"/>
            <w:tcBorders>
              <w:top w:val="single" w:color="auto" w:sz="4" w:space="0"/>
              <w:left w:val="single" w:color="auto" w:sz="4" w:space="0"/>
              <w:bottom w:val="single" w:color="auto" w:sz="4" w:space="0"/>
              <w:right w:val="single" w:color="auto" w:sz="4" w:space="0"/>
            </w:tcBorders>
            <w:vAlign w:val="center"/>
          </w:tcPr>
          <w:p w14:paraId="51B00580">
            <w:pPr>
              <w:rPr>
                <w:rFonts w:ascii="宋体" w:hAnsi="宋体" w:cs="宋体"/>
                <w:color w:val="auto"/>
                <w:sz w:val="24"/>
                <w:highlight w:val="none"/>
              </w:rPr>
            </w:pPr>
            <w:r>
              <w:rPr>
                <w:rFonts w:hint="eastAsia" w:ascii="宋体" w:hAnsi="宋体" w:cs="宋体"/>
                <w:color w:val="auto"/>
                <w:sz w:val="24"/>
                <w:highlight w:val="none"/>
              </w:rPr>
              <w:t>...</w:t>
            </w:r>
          </w:p>
        </w:tc>
        <w:tc>
          <w:tcPr>
            <w:tcW w:w="1632" w:type="dxa"/>
            <w:tcBorders>
              <w:top w:val="single" w:color="auto" w:sz="4" w:space="0"/>
              <w:left w:val="single" w:color="auto" w:sz="4" w:space="0"/>
              <w:bottom w:val="single" w:color="auto" w:sz="4" w:space="0"/>
              <w:right w:val="single" w:color="auto" w:sz="4" w:space="0"/>
            </w:tcBorders>
            <w:vAlign w:val="center"/>
          </w:tcPr>
          <w:p w14:paraId="6CC22128">
            <w:pPr>
              <w:rPr>
                <w:rFonts w:ascii="宋体" w:hAnsi="宋体" w:cs="宋体"/>
                <w:color w:val="auto"/>
                <w:sz w:val="24"/>
                <w:highlight w:val="none"/>
              </w:rPr>
            </w:pPr>
          </w:p>
        </w:tc>
        <w:tc>
          <w:tcPr>
            <w:tcW w:w="1618" w:type="dxa"/>
            <w:tcBorders>
              <w:top w:val="single" w:color="auto" w:sz="4" w:space="0"/>
              <w:left w:val="single" w:color="auto" w:sz="4" w:space="0"/>
              <w:bottom w:val="single" w:color="auto" w:sz="4" w:space="0"/>
              <w:right w:val="single" w:color="auto" w:sz="4" w:space="0"/>
            </w:tcBorders>
            <w:vAlign w:val="center"/>
          </w:tcPr>
          <w:p w14:paraId="50D232FA">
            <w:pPr>
              <w:rPr>
                <w:rFonts w:ascii="宋体" w:hAnsi="宋体" w:cs="宋体"/>
                <w:color w:val="auto"/>
                <w:sz w:val="24"/>
                <w:highlight w:val="none"/>
              </w:rPr>
            </w:pPr>
          </w:p>
        </w:tc>
        <w:tc>
          <w:tcPr>
            <w:tcW w:w="1500" w:type="dxa"/>
            <w:tcBorders>
              <w:top w:val="single" w:color="auto" w:sz="4" w:space="0"/>
              <w:left w:val="single" w:color="auto" w:sz="4" w:space="0"/>
              <w:bottom w:val="single" w:color="auto" w:sz="4" w:space="0"/>
              <w:right w:val="single" w:color="auto" w:sz="4" w:space="0"/>
            </w:tcBorders>
            <w:vAlign w:val="center"/>
          </w:tcPr>
          <w:p w14:paraId="5AD784C3">
            <w:pPr>
              <w:rPr>
                <w:rFonts w:ascii="宋体" w:hAnsi="宋体" w:cs="宋体"/>
                <w:color w:val="auto"/>
                <w:sz w:val="24"/>
                <w:highlight w:val="none"/>
              </w:rPr>
            </w:pPr>
          </w:p>
        </w:tc>
        <w:tc>
          <w:tcPr>
            <w:tcW w:w="2088" w:type="dxa"/>
            <w:tcBorders>
              <w:top w:val="single" w:color="auto" w:sz="4" w:space="0"/>
              <w:left w:val="single" w:color="auto" w:sz="4" w:space="0"/>
              <w:bottom w:val="single" w:color="auto" w:sz="4" w:space="0"/>
              <w:right w:val="single" w:color="auto" w:sz="4" w:space="0"/>
            </w:tcBorders>
            <w:vAlign w:val="center"/>
          </w:tcPr>
          <w:p w14:paraId="13AF21EE">
            <w:pPr>
              <w:rPr>
                <w:rFonts w:ascii="宋体" w:hAnsi="宋体" w:cs="宋体"/>
                <w:color w:val="auto"/>
                <w:sz w:val="24"/>
                <w:highlight w:val="none"/>
              </w:rPr>
            </w:pPr>
          </w:p>
        </w:tc>
        <w:tc>
          <w:tcPr>
            <w:tcW w:w="1625" w:type="dxa"/>
            <w:tcBorders>
              <w:top w:val="single" w:color="auto" w:sz="4" w:space="0"/>
              <w:left w:val="single" w:color="auto" w:sz="4" w:space="0"/>
              <w:bottom w:val="single" w:color="auto" w:sz="4" w:space="0"/>
              <w:right w:val="single" w:color="auto" w:sz="4" w:space="0"/>
            </w:tcBorders>
          </w:tcPr>
          <w:p w14:paraId="72272AA2">
            <w:pPr>
              <w:rPr>
                <w:rFonts w:ascii="宋体" w:hAnsi="宋体" w:cs="宋体"/>
                <w:color w:val="auto"/>
                <w:sz w:val="24"/>
                <w:highlight w:val="none"/>
              </w:rPr>
            </w:pPr>
          </w:p>
        </w:tc>
      </w:tr>
      <w:tr w14:paraId="11540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071" w:type="dxa"/>
            <w:gridSpan w:val="6"/>
            <w:tcBorders>
              <w:top w:val="single" w:color="auto" w:sz="4" w:space="0"/>
              <w:left w:val="single" w:color="auto" w:sz="4" w:space="0"/>
              <w:bottom w:val="single" w:color="auto" w:sz="4" w:space="0"/>
              <w:right w:val="single" w:color="auto" w:sz="4" w:space="0"/>
            </w:tcBorders>
          </w:tcPr>
          <w:p w14:paraId="3E84CB40">
            <w:pPr>
              <w:rPr>
                <w:rFonts w:hint="eastAsia" w:ascii="宋体" w:hAnsi="宋体" w:cs="宋体"/>
                <w:color w:val="auto"/>
                <w:sz w:val="24"/>
                <w:highlight w:val="none"/>
              </w:rPr>
            </w:pPr>
            <w:r>
              <w:rPr>
                <w:rFonts w:hint="eastAsia" w:ascii="宋体" w:hAnsi="宋体" w:cs="宋体"/>
                <w:color w:val="auto"/>
                <w:sz w:val="24"/>
                <w:highlight w:val="none"/>
              </w:rPr>
              <w:t>报价合计（包含税费等所有费用）：</w:t>
            </w:r>
          </w:p>
          <w:p w14:paraId="548CDD70">
            <w:pPr>
              <w:rPr>
                <w:rFonts w:ascii="宋体" w:hAnsi="宋体" w:cs="宋体"/>
                <w:color w:val="auto"/>
                <w:sz w:val="24"/>
                <w:highlight w:val="none"/>
              </w:rPr>
            </w:pPr>
            <w:r>
              <w:rPr>
                <w:rFonts w:hint="eastAsia" w:ascii="宋体" w:hAnsi="宋体" w:cs="宋体"/>
                <w:color w:val="auto"/>
                <w:sz w:val="24"/>
                <w:highlight w:val="none"/>
              </w:rPr>
              <w:t xml:space="preserve">（大写）人民币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default" w:ascii="Arial" w:hAnsi="Arial" w:cs="Arial"/>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w:t>
            </w:r>
          </w:p>
        </w:tc>
      </w:tr>
      <w:tr w14:paraId="401C2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071" w:type="dxa"/>
            <w:gridSpan w:val="6"/>
            <w:tcBorders>
              <w:top w:val="single" w:color="auto" w:sz="4" w:space="0"/>
              <w:left w:val="single" w:color="auto" w:sz="4" w:space="0"/>
              <w:bottom w:val="single" w:color="auto" w:sz="4" w:space="0"/>
              <w:right w:val="single" w:color="auto" w:sz="4" w:space="0"/>
            </w:tcBorders>
          </w:tcPr>
          <w:p w14:paraId="3849EA7B">
            <w:pPr>
              <w:rPr>
                <w:rFonts w:hint="eastAsia" w:ascii="宋体" w:hAnsi="宋体" w:cs="宋体"/>
                <w:color w:val="auto"/>
                <w:sz w:val="24"/>
                <w:highlight w:val="none"/>
                <w:u w:val="single"/>
              </w:rPr>
            </w:pPr>
          </w:p>
          <w:p w14:paraId="298C37A1">
            <w:pPr>
              <w:rPr>
                <w:rFonts w:ascii="宋体" w:hAnsi="宋体" w:cs="宋体"/>
                <w:color w:val="auto"/>
                <w:sz w:val="24"/>
                <w:highlight w:val="none"/>
              </w:rPr>
            </w:pPr>
            <w:r>
              <w:rPr>
                <w:rFonts w:hint="eastAsia" w:ascii="宋体" w:hAnsi="宋体" w:cs="宋体"/>
                <w:color w:val="auto"/>
                <w:sz w:val="24"/>
                <w:highlight w:val="none"/>
                <w:u w:val="single"/>
              </w:rPr>
              <w:t>　　</w:t>
            </w:r>
            <w:r>
              <w:rPr>
                <w:rFonts w:hint="eastAsia" w:ascii="宋体" w:hAnsi="宋体" w:cs="宋体"/>
                <w:color w:val="auto"/>
                <w:sz w:val="24"/>
                <w:highlight w:val="none"/>
              </w:rPr>
              <w:t>分标（此处有分标时填写具体分标号，无分标时填写“无”）</w:t>
            </w:r>
          </w:p>
        </w:tc>
      </w:tr>
      <w:tr w14:paraId="1B8C1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071" w:type="dxa"/>
            <w:gridSpan w:val="6"/>
            <w:tcBorders>
              <w:top w:val="single" w:color="auto" w:sz="4" w:space="0"/>
              <w:left w:val="single" w:color="auto" w:sz="4" w:space="0"/>
              <w:bottom w:val="single" w:color="auto" w:sz="4" w:space="0"/>
              <w:right w:val="single" w:color="auto" w:sz="4" w:space="0"/>
            </w:tcBorders>
          </w:tcPr>
          <w:p w14:paraId="025C0156">
            <w:pPr>
              <w:rPr>
                <w:rFonts w:ascii="宋体" w:hAnsi="宋体" w:cs="宋体"/>
                <w:color w:val="auto"/>
                <w:sz w:val="24"/>
                <w:highlight w:val="none"/>
              </w:rPr>
            </w:pPr>
            <w:r>
              <w:rPr>
                <w:rFonts w:hint="eastAsia" w:ascii="宋体" w:hAnsi="宋体" w:cs="宋体"/>
                <w:color w:val="auto"/>
                <w:sz w:val="24"/>
                <w:highlight w:val="none"/>
              </w:rPr>
              <w:t>验收标准：</w:t>
            </w:r>
          </w:p>
        </w:tc>
      </w:tr>
      <w:tr w14:paraId="0CE50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071" w:type="dxa"/>
            <w:gridSpan w:val="6"/>
            <w:tcBorders>
              <w:top w:val="single" w:color="auto" w:sz="4" w:space="0"/>
              <w:left w:val="single" w:color="auto" w:sz="4" w:space="0"/>
              <w:bottom w:val="single" w:color="auto" w:sz="4" w:space="0"/>
              <w:right w:val="single" w:color="auto" w:sz="4" w:space="0"/>
            </w:tcBorders>
          </w:tcPr>
          <w:p w14:paraId="6D52F155">
            <w:pPr>
              <w:rPr>
                <w:rFonts w:ascii="宋体" w:hAnsi="宋体" w:cs="宋体"/>
                <w:color w:val="auto"/>
                <w:sz w:val="24"/>
                <w:highlight w:val="none"/>
              </w:rPr>
            </w:pPr>
            <w:r>
              <w:rPr>
                <w:rFonts w:hint="eastAsia" w:ascii="宋体" w:hAnsi="宋体" w:cs="宋体"/>
                <w:color w:val="auto"/>
                <w:sz w:val="24"/>
                <w:highlight w:val="none"/>
              </w:rPr>
              <w:t>优惠及其它：</w:t>
            </w:r>
          </w:p>
        </w:tc>
      </w:tr>
    </w:tbl>
    <w:p w14:paraId="0D2A9424">
      <w:pPr>
        <w:keepNext w:val="0"/>
        <w:keepLines w:val="0"/>
        <w:pageBreakBefore w:val="0"/>
        <w:widowControl w:val="0"/>
        <w:kinsoku/>
        <w:wordWrap/>
        <w:overflowPunct/>
        <w:topLinePunct w:val="0"/>
        <w:bidi w:val="0"/>
        <w:adjustRightInd/>
        <w:snapToGrid w:val="0"/>
        <w:spacing w:before="50" w:after="50" w:line="400" w:lineRule="exact"/>
        <w:jc w:val="left"/>
        <w:textAlignment w:val="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注： </w:t>
      </w:r>
    </w:p>
    <w:p w14:paraId="05A4EF15">
      <w:pPr>
        <w:keepNext w:val="0"/>
        <w:keepLines w:val="0"/>
        <w:pageBreakBefore w:val="0"/>
        <w:widowControl w:val="0"/>
        <w:kinsoku/>
        <w:wordWrap/>
        <w:overflowPunct/>
        <w:topLinePunct w:val="0"/>
        <w:bidi w:val="0"/>
        <w:adjustRightInd/>
        <w:snapToGrid w:val="0"/>
        <w:spacing w:before="50" w:after="50" w:line="400" w:lineRule="exact"/>
        <w:ind w:firstLine="482" w:firstLineChars="200"/>
        <w:jc w:val="left"/>
        <w:textAlignment w:val="auto"/>
        <w:rPr>
          <w:rFonts w:ascii="宋体" w:hAnsi="宋体" w:cs="宋体"/>
          <w:b/>
          <w:bCs/>
          <w:color w:val="auto"/>
          <w:kern w:val="0"/>
          <w:sz w:val="24"/>
          <w:highlight w:val="none"/>
          <w:lang w:val="zh-CN"/>
        </w:rPr>
      </w:pPr>
      <w:r>
        <w:rPr>
          <w:rFonts w:hint="eastAsia" w:ascii="宋体" w:hAnsi="宋体" w:cs="宋体"/>
          <w:b/>
          <w:bCs/>
          <w:color w:val="auto"/>
          <w:kern w:val="0"/>
          <w:sz w:val="24"/>
          <w:highlight w:val="none"/>
          <w:lang w:val="zh-CN"/>
        </w:rPr>
        <w:t>1、本表如与广西政府采购云平台不一致的，以广西政府采购云平台为准。</w:t>
      </w:r>
    </w:p>
    <w:p w14:paraId="4F8AA0F8">
      <w:pPr>
        <w:keepNext w:val="0"/>
        <w:keepLines w:val="0"/>
        <w:pageBreakBefore w:val="0"/>
        <w:widowControl w:val="0"/>
        <w:kinsoku/>
        <w:wordWrap/>
        <w:overflowPunct/>
        <w:topLinePunct w:val="0"/>
        <w:bidi w:val="0"/>
        <w:adjustRightInd/>
        <w:snapToGrid w:val="0"/>
        <w:spacing w:before="50" w:after="50" w:line="400" w:lineRule="exact"/>
        <w:ind w:firstLine="480" w:firstLineChars="200"/>
        <w:jc w:val="left"/>
        <w:textAlignment w:val="auto"/>
        <w:rPr>
          <w:rFonts w:ascii="宋体" w:hAnsi="宋体" w:cs="宋体"/>
          <w:b/>
          <w:color w:val="auto"/>
          <w:kern w:val="0"/>
          <w:sz w:val="24"/>
          <w:highlight w:val="none"/>
          <w:lang w:val="zh-CN"/>
        </w:rPr>
      </w:pPr>
      <w:r>
        <w:rPr>
          <w:rFonts w:hint="eastAsia" w:ascii="宋体" w:hAnsi="宋体" w:cs="宋体"/>
          <w:color w:val="auto"/>
          <w:kern w:val="0"/>
          <w:sz w:val="24"/>
          <w:highlight w:val="none"/>
          <w:lang w:val="zh-CN"/>
        </w:rPr>
        <w:t>2、如为联合体响应的，“供应商名称”处必须列明联合体各方名称，并标注联合体牵头人名称，且盖章处须加盖联合体各方公章，</w:t>
      </w:r>
      <w:r>
        <w:rPr>
          <w:rFonts w:hint="eastAsia" w:ascii="宋体" w:hAnsi="宋体" w:cs="宋体"/>
          <w:b/>
          <w:color w:val="auto"/>
          <w:kern w:val="0"/>
          <w:sz w:val="24"/>
          <w:highlight w:val="none"/>
          <w:lang w:val="zh-CN"/>
        </w:rPr>
        <w:t>否则其响应作无效响应处理。</w:t>
      </w:r>
    </w:p>
    <w:p w14:paraId="449749F2">
      <w:pPr>
        <w:keepNext w:val="0"/>
        <w:keepLines w:val="0"/>
        <w:pageBreakBefore w:val="0"/>
        <w:widowControl w:val="0"/>
        <w:kinsoku/>
        <w:wordWrap/>
        <w:overflowPunct/>
        <w:topLinePunct w:val="0"/>
        <w:bidi w:val="0"/>
        <w:adjustRightInd/>
        <w:snapToGrid w:val="0"/>
        <w:spacing w:before="50" w:after="50" w:line="400" w:lineRule="exact"/>
        <w:ind w:firstLine="480" w:firstLineChars="200"/>
        <w:jc w:val="left"/>
        <w:textAlignment w:val="auto"/>
        <w:rPr>
          <w:rFonts w:ascii="宋体" w:hAnsi="宋体" w:cs="宋体"/>
          <w:b/>
          <w:color w:val="auto"/>
          <w:kern w:val="0"/>
          <w:sz w:val="24"/>
          <w:highlight w:val="none"/>
          <w:lang w:val="zh-CN"/>
        </w:rPr>
      </w:pPr>
      <w:r>
        <w:rPr>
          <w:rFonts w:hint="eastAsia" w:ascii="宋体" w:hAnsi="宋体" w:cs="宋体"/>
          <w:color w:val="auto"/>
          <w:kern w:val="0"/>
          <w:sz w:val="24"/>
          <w:highlight w:val="none"/>
          <w:lang w:val="zh-CN"/>
        </w:rPr>
        <w:t>3、以上表格要求细分项目及报价，在“具体服务内容”一栏中，填写具体服务，，</w:t>
      </w:r>
      <w:r>
        <w:rPr>
          <w:rFonts w:hint="eastAsia" w:ascii="宋体" w:hAnsi="宋体" w:cs="宋体"/>
          <w:b/>
          <w:color w:val="auto"/>
          <w:kern w:val="0"/>
          <w:sz w:val="24"/>
          <w:highlight w:val="none"/>
          <w:lang w:val="zh-CN"/>
        </w:rPr>
        <w:t>否则其响应作无效响应处理。</w:t>
      </w:r>
    </w:p>
    <w:p w14:paraId="68BBBA95">
      <w:pPr>
        <w:keepNext w:val="0"/>
        <w:keepLines w:val="0"/>
        <w:pageBreakBefore w:val="0"/>
        <w:widowControl w:val="0"/>
        <w:kinsoku/>
        <w:wordWrap/>
        <w:overflowPunct/>
        <w:topLinePunct w:val="0"/>
        <w:bidi w:val="0"/>
        <w:adjustRightInd/>
        <w:snapToGrid w:val="0"/>
        <w:spacing w:line="400" w:lineRule="exact"/>
        <w:ind w:firstLine="480" w:firstLineChars="200"/>
        <w:jc w:val="left"/>
        <w:textAlignment w:val="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4、特别提示：采购机构将对项目名称和项目编号，成交供应商名称、地址和成交金额，主要成交标的的名称、规格型号、数量、单价、服务要求等予以公示。</w:t>
      </w:r>
    </w:p>
    <w:p w14:paraId="39E56210">
      <w:pPr>
        <w:keepNext w:val="0"/>
        <w:keepLines w:val="0"/>
        <w:pageBreakBefore w:val="0"/>
        <w:widowControl w:val="0"/>
        <w:kinsoku/>
        <w:wordWrap/>
        <w:overflowPunct/>
        <w:topLinePunct w:val="0"/>
        <w:bidi w:val="0"/>
        <w:adjustRightInd/>
        <w:snapToGrid w:val="0"/>
        <w:spacing w:line="400" w:lineRule="exact"/>
        <w:ind w:firstLine="480" w:firstLineChars="200"/>
        <w:jc w:val="left"/>
        <w:textAlignment w:val="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5、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25AE2397">
      <w:pPr>
        <w:keepNext w:val="0"/>
        <w:keepLines w:val="0"/>
        <w:pageBreakBefore w:val="0"/>
        <w:widowControl w:val="0"/>
        <w:kinsoku/>
        <w:wordWrap/>
        <w:overflowPunct/>
        <w:topLinePunct w:val="0"/>
        <w:autoSpaceDE w:val="0"/>
        <w:autoSpaceDN w:val="0"/>
        <w:bidi w:val="0"/>
        <w:adjustRightInd/>
        <w:spacing w:line="400" w:lineRule="exact"/>
        <w:ind w:left="4334" w:leftChars="2064" w:firstLine="720" w:firstLineChars="300"/>
        <w:textAlignment w:val="auto"/>
        <w:rPr>
          <w:rFonts w:hint="eastAsia" w:ascii="宋体" w:hAnsi="宋体" w:cs="宋体"/>
          <w:color w:val="auto"/>
          <w:kern w:val="0"/>
          <w:sz w:val="24"/>
          <w:highlight w:val="none"/>
        </w:rPr>
      </w:pPr>
    </w:p>
    <w:p w14:paraId="58B7FB8D">
      <w:pPr>
        <w:keepNext w:val="0"/>
        <w:keepLines w:val="0"/>
        <w:pageBreakBefore w:val="0"/>
        <w:widowControl w:val="0"/>
        <w:kinsoku/>
        <w:wordWrap/>
        <w:overflowPunct/>
        <w:topLinePunct w:val="0"/>
        <w:autoSpaceDE w:val="0"/>
        <w:autoSpaceDN w:val="0"/>
        <w:bidi w:val="0"/>
        <w:adjustRightInd/>
        <w:spacing w:line="400" w:lineRule="exact"/>
        <w:ind w:left="4334" w:leftChars="2064" w:firstLine="720" w:firstLineChars="300"/>
        <w:textAlignment w:val="auto"/>
        <w:rPr>
          <w:rFonts w:hint="eastAsia" w:ascii="宋体" w:hAnsi="宋体" w:cs="宋体"/>
          <w:color w:val="auto"/>
          <w:kern w:val="0"/>
          <w:sz w:val="24"/>
          <w:highlight w:val="none"/>
        </w:rPr>
      </w:pPr>
    </w:p>
    <w:p w14:paraId="41D7301F">
      <w:pPr>
        <w:keepNext w:val="0"/>
        <w:keepLines w:val="0"/>
        <w:pageBreakBefore w:val="0"/>
        <w:widowControl w:val="0"/>
        <w:kinsoku/>
        <w:wordWrap/>
        <w:overflowPunct/>
        <w:topLinePunct w:val="0"/>
        <w:autoSpaceDE w:val="0"/>
        <w:autoSpaceDN w:val="0"/>
        <w:bidi w:val="0"/>
        <w:adjustRightInd/>
        <w:spacing w:line="400" w:lineRule="exact"/>
        <w:ind w:left="4334" w:leftChars="2064" w:firstLine="720" w:firstLineChars="300"/>
        <w:textAlignment w:val="auto"/>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67F9358B">
      <w:pPr>
        <w:pStyle w:val="19"/>
        <w:keepNext w:val="0"/>
        <w:keepLines w:val="0"/>
        <w:pageBreakBefore w:val="0"/>
        <w:widowControl w:val="0"/>
        <w:kinsoku/>
        <w:wordWrap/>
        <w:overflowPunct/>
        <w:topLinePunct w:val="0"/>
        <w:bidi w:val="0"/>
        <w:adjustRightInd/>
        <w:spacing w:line="400" w:lineRule="exact"/>
        <w:ind w:firstLine="6360" w:firstLineChars="2650"/>
        <w:textAlignment w:val="auto"/>
        <w:rPr>
          <w:rFonts w:hAnsi="宋体" w:cs="宋体"/>
          <w:color w:val="auto"/>
          <w:sz w:val="24"/>
          <w:highlight w:val="none"/>
          <w:lang w:val="zh-CN"/>
        </w:rPr>
        <w:sectPr>
          <w:pgSz w:w="11910" w:h="16840"/>
          <w:pgMar w:top="1340" w:right="1500" w:bottom="280" w:left="1680" w:header="720" w:footer="720" w:gutter="0"/>
          <w:cols w:space="720" w:num="1"/>
        </w:sectPr>
      </w:pPr>
      <w:r>
        <w:rPr>
          <w:rFonts w:hint="eastAsia" w:hAnsi="宋体" w:cs="宋体"/>
          <w:color w:val="auto"/>
          <w:sz w:val="24"/>
          <w:highlight w:val="none"/>
          <w:lang w:val="zh-CN"/>
        </w:rPr>
        <w:t>日期：  年  月   日</w:t>
      </w:r>
    </w:p>
    <w:p w14:paraId="6F927AFC">
      <w:pPr>
        <w:pStyle w:val="19"/>
        <w:spacing w:line="500" w:lineRule="exact"/>
        <w:ind w:firstLine="6360" w:firstLineChars="2650"/>
        <w:rPr>
          <w:rFonts w:hAnsi="宋体" w:cs="宋体"/>
          <w:color w:val="auto"/>
          <w:sz w:val="24"/>
          <w:highlight w:val="none"/>
          <w:lang w:val="zh-CN"/>
        </w:rPr>
      </w:pPr>
    </w:p>
    <w:p w14:paraId="77A0E6E7">
      <w:pPr>
        <w:snapToGrid w:val="0"/>
        <w:spacing w:before="120" w:beforeLines="50" w:after="50" w:line="360" w:lineRule="auto"/>
        <w:ind w:left="142" w:firstLine="643" w:firstLineChars="200"/>
        <w:jc w:val="left"/>
        <w:rPr>
          <w:rFonts w:ascii="宋体" w:hAnsi="宋体" w:cs="宋体"/>
          <w:b/>
          <w:bCs/>
          <w:color w:val="auto"/>
          <w:sz w:val="32"/>
          <w:szCs w:val="32"/>
          <w:highlight w:val="none"/>
        </w:rPr>
      </w:pPr>
      <w:r>
        <w:rPr>
          <w:rFonts w:hint="eastAsia" w:ascii="宋体" w:hAnsi="宋体" w:cs="宋体"/>
          <w:b/>
          <w:bCs/>
          <w:color w:val="auto"/>
          <w:sz w:val="32"/>
          <w:szCs w:val="32"/>
          <w:highlight w:val="none"/>
        </w:rPr>
        <w:t>三、中小企业声明函</w:t>
      </w:r>
    </w:p>
    <w:p w14:paraId="0CF8DD97">
      <w:pPr>
        <w:jc w:val="center"/>
        <w:rPr>
          <w:rFonts w:ascii="宋体" w:hAnsi="宋体" w:cs="宋体"/>
          <w:b/>
          <w:bCs/>
          <w:color w:val="auto"/>
          <w:sz w:val="32"/>
          <w:szCs w:val="32"/>
          <w:highlight w:val="none"/>
          <w:lang w:val="en"/>
        </w:rPr>
      </w:pPr>
      <w:r>
        <w:rPr>
          <w:rFonts w:hint="eastAsia" w:ascii="宋体" w:hAnsi="宋体" w:cs="宋体"/>
          <w:b/>
          <w:bCs/>
          <w:color w:val="auto"/>
          <w:sz w:val="32"/>
          <w:szCs w:val="32"/>
          <w:highlight w:val="none"/>
          <w:lang w:val="en"/>
        </w:rPr>
        <w:t>中小企业声明函（服务）</w:t>
      </w:r>
    </w:p>
    <w:p w14:paraId="36317917">
      <w:pPr>
        <w:rPr>
          <w:rFonts w:hint="eastAsia" w:ascii="宋体" w:hAnsi="宋体" w:cs="宋体"/>
          <w:color w:val="auto"/>
          <w:spacing w:val="-4"/>
          <w:sz w:val="24"/>
          <w:highlight w:val="none"/>
        </w:rPr>
      </w:pPr>
      <w:r>
        <w:rPr>
          <w:rFonts w:hint="eastAsia" w:ascii="宋体" w:hAnsi="宋体" w:cs="宋体"/>
          <w:color w:val="auto"/>
          <w:spacing w:val="-4"/>
          <w:sz w:val="24"/>
          <w:highlight w:val="none"/>
        </w:rPr>
        <w:t>说明：</w:t>
      </w:r>
    </w:p>
    <w:p w14:paraId="490335FB">
      <w:pPr>
        <w:ind w:firstLine="464" w:firstLineChars="200"/>
        <w:rPr>
          <w:rFonts w:hint="eastAsia" w:ascii="宋体" w:hAnsi="宋体" w:cs="宋体"/>
          <w:color w:val="auto"/>
          <w:spacing w:val="-4"/>
          <w:sz w:val="24"/>
          <w:highlight w:val="none"/>
        </w:rPr>
      </w:pPr>
      <w:r>
        <w:rPr>
          <w:rFonts w:hint="eastAsia" w:ascii="宋体" w:hAnsi="宋体" w:cs="宋体"/>
          <w:color w:val="auto"/>
          <w:spacing w:val="-4"/>
          <w:sz w:val="24"/>
          <w:highlight w:val="none"/>
        </w:rPr>
        <w:t>1、本声明函主要供参加政府采购活动的中小企业填写，非中小企业无需填写。</w:t>
      </w:r>
    </w:p>
    <w:p w14:paraId="512D82AE">
      <w:pPr>
        <w:ind w:firstLine="464" w:firstLineChars="200"/>
        <w:rPr>
          <w:rFonts w:hint="eastAsia" w:ascii="宋体" w:hAnsi="宋体" w:cs="宋体"/>
          <w:color w:val="auto"/>
          <w:spacing w:val="-4"/>
          <w:sz w:val="24"/>
          <w:highlight w:val="none"/>
        </w:rPr>
      </w:pPr>
      <w:r>
        <w:rPr>
          <w:rFonts w:hint="eastAsia" w:ascii="宋体" w:hAnsi="宋体" w:cs="宋体"/>
          <w:color w:val="auto"/>
          <w:spacing w:val="-4"/>
          <w:sz w:val="24"/>
          <w:highlight w:val="none"/>
        </w:rPr>
        <w:t>2、小型、微型企业提供中型企业提供的服务的，视同为中型企业。</w:t>
      </w:r>
    </w:p>
    <w:p w14:paraId="3A423574">
      <w:pPr>
        <w:ind w:firstLine="464" w:firstLineChars="200"/>
        <w:rPr>
          <w:rFonts w:hint="eastAsia" w:ascii="宋体" w:hAnsi="宋体" w:cs="宋体"/>
          <w:color w:val="auto"/>
          <w:spacing w:val="-4"/>
          <w:sz w:val="24"/>
          <w:highlight w:val="none"/>
        </w:rPr>
      </w:pPr>
    </w:p>
    <w:p w14:paraId="1F92D583">
      <w:pPr>
        <w:spacing w:after="120" w:line="500" w:lineRule="exact"/>
        <w:ind w:right="142" w:firstLine="480" w:firstLineChars="200"/>
        <w:rPr>
          <w:rFonts w:hint="eastAsia" w:ascii="宋体" w:hAnsi="宋体" w:cs="宋体"/>
          <w:color w:val="auto"/>
          <w:sz w:val="24"/>
          <w:highlight w:val="none"/>
        </w:rPr>
      </w:pPr>
      <w:r>
        <w:rPr>
          <w:rFonts w:hint="eastAsia" w:ascii="宋体" w:hAnsi="宋体" w:cs="宋体"/>
          <w:color w:val="auto"/>
          <w:sz w:val="24"/>
          <w:highlight w:val="none"/>
        </w:rPr>
        <w:t>本公司（联合体）郑重声明，根据《政府采购促进中小企业发展管理办法》（财库﹝2020﹞46号）及《广西壮族自治区财政厅关于进一步发挥政府采购政策功能促进企业发展的通知》（桂财采〔2022〕30号）的规定，本公司（联合体）参加</w:t>
      </w:r>
      <w:r>
        <w:rPr>
          <w:rFonts w:hint="eastAsia" w:ascii="宋体" w:hAnsi="宋体" w:cs="宋体"/>
          <w:color w:val="auto"/>
          <w:sz w:val="24"/>
          <w:highlight w:val="none"/>
          <w:u w:val="single"/>
        </w:rPr>
        <w:t>（单位名称）</w:t>
      </w:r>
      <w:r>
        <w:rPr>
          <w:rFonts w:hint="eastAsia" w:ascii="宋体" w:hAnsi="宋体" w:cs="宋体"/>
          <w:color w:val="auto"/>
          <w:sz w:val="24"/>
          <w:highlight w:val="none"/>
        </w:rPr>
        <w:t>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采购活动，服务全部由符合政策要求的中小企业承接。相关企业（含联合体中的中小企业、签订分包意向协议的中小企业）的具体情况如下：</w:t>
      </w:r>
    </w:p>
    <w:p w14:paraId="095D2F08">
      <w:pPr>
        <w:tabs>
          <w:tab w:val="left" w:pos="1384"/>
          <w:tab w:val="left" w:pos="4562"/>
          <w:tab w:val="left" w:pos="6803"/>
        </w:tabs>
        <w:spacing w:before="13" w:line="500" w:lineRule="exact"/>
        <w:ind w:right="142" w:firstLine="686" w:firstLineChars="286"/>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；承接企业为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74CA2F65">
      <w:pPr>
        <w:tabs>
          <w:tab w:val="left" w:pos="1065"/>
          <w:tab w:val="left" w:pos="4262"/>
          <w:tab w:val="left" w:pos="6477"/>
        </w:tabs>
        <w:spacing w:before="20" w:line="500" w:lineRule="exact"/>
        <w:ind w:right="84" w:firstLine="686" w:firstLineChars="286"/>
        <w:rPr>
          <w:rFonts w:hint="eastAsia" w:ascii="宋体" w:hAnsi="宋体" w:cs="宋体"/>
          <w:color w:val="auto"/>
          <w:sz w:val="24"/>
          <w:highlight w:val="none"/>
          <w:u w:val="single"/>
        </w:rPr>
      </w:pPr>
      <w:r>
        <w:rPr>
          <w:rFonts w:hint="eastAsia" w:ascii="宋体" w:hAnsi="宋体" w:cs="宋体"/>
          <w:color w:val="auto"/>
          <w:sz w:val="24"/>
          <w:highlight w:val="none"/>
        </w:rPr>
        <w:t>2.</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；承接企业为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6CE9DB7D">
      <w:pPr>
        <w:spacing w:before="34" w:after="120" w:line="500" w:lineRule="exact"/>
        <w:ind w:left="765" w:right="142" w:hanging="5"/>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201E0758">
      <w:pPr>
        <w:spacing w:before="34" w:after="120" w:line="500" w:lineRule="exact"/>
        <w:ind w:right="142" w:firstLine="480" w:firstLineChars="200"/>
        <w:rPr>
          <w:rFonts w:hint="eastAsia"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6AF6DC4B">
      <w:pPr>
        <w:spacing w:before="34" w:after="120" w:line="500" w:lineRule="exact"/>
        <w:ind w:right="142" w:firstLine="480" w:firstLineChars="200"/>
        <w:rPr>
          <w:rFonts w:hint="eastAsia"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009B7033">
      <w:pPr>
        <w:spacing w:line="360" w:lineRule="auto"/>
        <w:ind w:firstLine="0" w:firstLineChars="0"/>
        <w:rPr>
          <w:rFonts w:hint="eastAsia" w:ascii="宋体" w:hAnsi="宋体" w:cs="宋体"/>
          <w:color w:val="auto"/>
          <w:sz w:val="24"/>
          <w:highlight w:val="none"/>
        </w:rPr>
      </w:pPr>
    </w:p>
    <w:p w14:paraId="22A19A28">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58F9F244">
      <w:pPr>
        <w:snapToGrid w:val="0"/>
        <w:spacing w:line="360" w:lineRule="auto"/>
        <w:ind w:firstLine="5160" w:firstLineChars="2150"/>
        <w:rPr>
          <w:rFonts w:hint="eastAsia" w:ascii="宋体" w:hAnsi="宋体" w:cs="宋体"/>
          <w:color w:val="auto"/>
          <w:kern w:val="0"/>
          <w:sz w:val="24"/>
          <w:highlight w:val="none"/>
          <w:lang w:val="zh-CN"/>
        </w:rPr>
      </w:pPr>
    </w:p>
    <w:p w14:paraId="719F2397">
      <w:pPr>
        <w:snapToGrid w:val="0"/>
        <w:spacing w:line="360" w:lineRule="auto"/>
        <w:ind w:firstLine="4560" w:firstLineChars="1900"/>
        <w:rPr>
          <w:rFonts w:ascii="宋体" w:hAnsi="宋体" w:cs="Times New Roman"/>
          <w:color w:val="auto"/>
          <w:szCs w:val="21"/>
          <w:highlight w:val="none"/>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7A999B54">
      <w:pPr>
        <w:snapToGrid w:val="0"/>
        <w:spacing w:before="50" w:after="165" w:afterLines="50" w:line="280" w:lineRule="exact"/>
        <w:jc w:val="left"/>
        <w:rPr>
          <w:rFonts w:ascii="Times New Roman" w:hAnsi="宋体" w:cs="宋体"/>
          <w:color w:val="auto"/>
          <w:sz w:val="20"/>
          <w:highlight w:val="none"/>
        </w:rPr>
      </w:pPr>
      <w:r>
        <w:rPr>
          <w:rFonts w:hint="eastAsia" w:ascii="Times New Roman" w:hAnsi="宋体" w:cs="宋体"/>
          <w:color w:val="auto"/>
          <w:sz w:val="20"/>
          <w:highlight w:val="none"/>
        </w:rPr>
        <w:t>注：</w:t>
      </w:r>
    </w:p>
    <w:p w14:paraId="7C074DD1">
      <w:pPr>
        <w:numPr>
          <w:ilvl w:val="0"/>
          <w:numId w:val="2"/>
        </w:numPr>
        <w:snapToGrid w:val="0"/>
        <w:spacing w:before="50" w:after="165" w:afterLines="50" w:line="280" w:lineRule="exact"/>
        <w:ind w:left="660" w:hanging="360"/>
        <w:jc w:val="left"/>
        <w:rPr>
          <w:rFonts w:ascii="Times New Roman" w:hAnsi="Times New Roman" w:cs="Times New Roman"/>
          <w:color w:val="auto"/>
          <w:sz w:val="20"/>
          <w:highlight w:val="none"/>
        </w:rPr>
      </w:pPr>
      <w:r>
        <w:rPr>
          <w:rFonts w:hint="eastAsia" w:ascii="Times New Roman" w:hAnsi="Times New Roman" w:cs="Times New Roman"/>
          <w:color w:val="auto"/>
          <w:sz w:val="20"/>
          <w:highlight w:val="none"/>
        </w:rPr>
        <w:t>从业人员、营业收入、资产总额填报上一年度数据，无上一年度数据的新成立企业可不填报。</w:t>
      </w:r>
    </w:p>
    <w:p w14:paraId="25018A93">
      <w:pPr>
        <w:snapToGrid w:val="0"/>
        <w:spacing w:before="50" w:beforeLines="-2147483648" w:after="165" w:afterLines="50" w:line="280" w:lineRule="exact"/>
        <w:ind w:firstLine="300" w:firstLineChars="150"/>
        <w:jc w:val="left"/>
        <w:outlineLvl w:val="9"/>
        <w:rPr>
          <w:rFonts w:ascii="宋体" w:hAnsi="宋体" w:cs="宋体"/>
          <w:b/>
          <w:bCs/>
          <w:color w:val="auto"/>
          <w:sz w:val="32"/>
          <w:szCs w:val="32"/>
          <w:highlight w:val="none"/>
        </w:rPr>
        <w:sectPr>
          <w:pgSz w:w="11910" w:h="16840"/>
          <w:pgMar w:top="1340" w:right="1500" w:bottom="280" w:left="1680" w:header="720" w:footer="720" w:gutter="0"/>
          <w:cols w:space="720" w:num="1"/>
        </w:sectPr>
      </w:pPr>
      <w:r>
        <w:rPr>
          <w:rFonts w:hint="eastAsia" w:ascii="Times New Roman" w:hAnsi="Times New Roman" w:cs="Times New Roman"/>
          <w:color w:val="auto"/>
          <w:sz w:val="20"/>
          <w:highlight w:val="none"/>
        </w:rPr>
        <w:t>2、请根据自己的真实情况出具《中小企业声明函》。依法享受中小企业优惠政策的，采购人或者采购代理机构在公告中标结果时，同时公告其《中小企业声明函》，接受社会监督。</w:t>
      </w:r>
    </w:p>
    <w:p w14:paraId="2713DE41">
      <w:pPr>
        <w:pStyle w:val="4"/>
        <w:jc w:val="center"/>
        <w:rPr>
          <w:rFonts w:ascii="宋体" w:hAnsi="宋体" w:cs="宋体"/>
          <w:b w:val="0"/>
          <w:color w:val="auto"/>
          <w:highlight w:val="none"/>
        </w:rPr>
      </w:pPr>
      <w:bookmarkStart w:id="108" w:name="_Toc27305"/>
      <w:bookmarkStart w:id="109" w:name="_Toc32211"/>
      <w:bookmarkStart w:id="110" w:name="_Toc97909571"/>
      <w:bookmarkStart w:id="111" w:name="_Toc80205942"/>
      <w:bookmarkStart w:id="112" w:name="_Toc80886946"/>
      <w:r>
        <w:rPr>
          <w:rFonts w:hint="eastAsia" w:ascii="宋体" w:hAnsi="宋体" w:cs="宋体"/>
          <w:color w:val="auto"/>
          <w:highlight w:val="none"/>
        </w:rPr>
        <w:t>第五节 其他文书、文件格式</w:t>
      </w:r>
      <w:bookmarkEnd w:id="108"/>
      <w:bookmarkEnd w:id="109"/>
      <w:bookmarkEnd w:id="110"/>
      <w:bookmarkEnd w:id="111"/>
      <w:bookmarkEnd w:id="112"/>
    </w:p>
    <w:p w14:paraId="39FB8050">
      <w:pPr>
        <w:jc w:val="center"/>
        <w:rPr>
          <w:rFonts w:ascii="宋体" w:hAnsi="宋体" w:cs="宋体"/>
          <w:b/>
          <w:bCs/>
          <w:color w:val="auto"/>
          <w:sz w:val="32"/>
          <w:szCs w:val="32"/>
          <w:highlight w:val="none"/>
          <w:lang w:val="en"/>
        </w:rPr>
      </w:pPr>
      <w:r>
        <w:rPr>
          <w:rFonts w:hint="eastAsia" w:ascii="宋体" w:hAnsi="宋体" w:cs="宋体"/>
          <w:b/>
          <w:bCs/>
          <w:color w:val="auto"/>
          <w:sz w:val="32"/>
          <w:szCs w:val="32"/>
          <w:highlight w:val="none"/>
          <w:lang w:val="en"/>
        </w:rPr>
        <w:t>知识产权合规性声明</w:t>
      </w:r>
    </w:p>
    <w:p w14:paraId="2DDB2C64">
      <w:pPr>
        <w:rPr>
          <w:rFonts w:ascii="宋体" w:hAnsi="宋体" w:cs="宋体"/>
          <w:color w:val="auto"/>
          <w:sz w:val="30"/>
          <w:szCs w:val="30"/>
          <w:highlight w:val="none"/>
        </w:rPr>
      </w:pPr>
      <w:r>
        <w:rPr>
          <w:rFonts w:hint="eastAsia" w:ascii="宋体" w:hAnsi="宋体" w:cs="宋体"/>
          <w:color w:val="auto"/>
          <w:sz w:val="30"/>
          <w:szCs w:val="30"/>
          <w:highlight w:val="none"/>
        </w:rPr>
        <w:t xml:space="preserve">    </w:t>
      </w:r>
    </w:p>
    <w:p w14:paraId="619581A0">
      <w:pPr>
        <w:spacing w:line="480" w:lineRule="exact"/>
        <w:rPr>
          <w:rFonts w:ascii="宋体" w:hAnsi="宋体" w:cs="宋体"/>
          <w:color w:val="auto"/>
          <w:sz w:val="30"/>
          <w:szCs w:val="30"/>
          <w:highlight w:val="none"/>
          <w:lang w:val="en"/>
        </w:rPr>
      </w:pPr>
      <w:r>
        <w:rPr>
          <w:rFonts w:hint="eastAsia" w:ascii="宋体" w:hAnsi="宋体" w:cs="宋体"/>
          <w:color w:val="auto"/>
          <w:sz w:val="30"/>
          <w:szCs w:val="30"/>
          <w:highlight w:val="none"/>
        </w:rPr>
        <w:t xml:space="preserve">   </w:t>
      </w:r>
      <w:r>
        <w:rPr>
          <w:rFonts w:hint="eastAsia" w:ascii="宋体" w:hAnsi="宋体" w:cs="宋体"/>
          <w:color w:val="auto"/>
          <w:sz w:val="24"/>
          <w:highlight w:val="none"/>
        </w:rPr>
        <w:t xml:space="preserve"> 本</w:t>
      </w:r>
      <w:r>
        <w:rPr>
          <w:rFonts w:hint="eastAsia" w:ascii="宋体" w:hAnsi="宋体" w:cs="宋体"/>
          <w:color w:val="auto"/>
          <w:sz w:val="24"/>
          <w:highlight w:val="none"/>
          <w:lang w:val="en"/>
        </w:rPr>
        <w:t>企业（单位）自愿参与政府投资政府采购的</w:t>
      </w:r>
      <w:r>
        <w:rPr>
          <w:rFonts w:hint="eastAsia" w:ascii="宋体" w:hAnsi="宋体" w:cs="宋体"/>
          <w:color w:val="auto"/>
          <w:sz w:val="24"/>
          <w:highlight w:val="none"/>
          <w:u w:val="single"/>
          <w:lang w:val="en"/>
        </w:rPr>
        <w:t xml:space="preserve">               </w:t>
      </w:r>
      <w:r>
        <w:rPr>
          <w:rFonts w:hint="eastAsia" w:ascii="宋体" w:hAnsi="宋体" w:cs="宋体"/>
          <w:color w:val="auto"/>
          <w:sz w:val="24"/>
          <w:highlight w:val="none"/>
          <w:lang w:val="en"/>
        </w:rPr>
        <w:t>，</w:t>
      </w:r>
      <w:r>
        <w:rPr>
          <w:rFonts w:hint="eastAsia" w:ascii="宋体" w:hAnsi="宋体" w:cs="宋体"/>
          <w:b/>
          <w:bCs/>
          <w:color w:val="auto"/>
          <w:sz w:val="24"/>
          <w:highlight w:val="none"/>
          <w:lang w:val="en"/>
        </w:rPr>
        <w:t>在此郑重承诺：</w:t>
      </w:r>
      <w:r>
        <w:rPr>
          <w:rFonts w:hint="eastAsia" w:ascii="宋体" w:hAnsi="宋体" w:cs="宋体"/>
          <w:color w:val="auto"/>
          <w:sz w:val="24"/>
          <w:highlight w:val="none"/>
          <w:lang w:val="en"/>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w:t>
      </w:r>
      <w:r>
        <w:rPr>
          <w:rFonts w:hint="eastAsia" w:ascii="宋体" w:hAnsi="宋体" w:cs="宋体"/>
          <w:color w:val="auto"/>
          <w:sz w:val="24"/>
          <w:highlight w:val="none"/>
          <w:lang w:val="en-US" w:eastAsia="zh-CN"/>
        </w:rPr>
        <w:t>单位</w:t>
      </w:r>
      <w:r>
        <w:rPr>
          <w:rFonts w:hint="eastAsia" w:ascii="宋体" w:hAnsi="宋体" w:cs="宋体"/>
          <w:color w:val="auto"/>
          <w:sz w:val="24"/>
          <w:highlight w:val="none"/>
          <w:lang w:val="en"/>
        </w:rPr>
        <w:t>）将承担由此产生的全部责任。</w:t>
      </w:r>
    </w:p>
    <w:p w14:paraId="2FA173A6">
      <w:pPr>
        <w:snapToGrid w:val="0"/>
        <w:spacing w:line="360" w:lineRule="auto"/>
        <w:ind w:left="5137" w:leftChars="1736" w:hanging="1491" w:hangingChars="825"/>
        <w:rPr>
          <w:rFonts w:ascii="宋体" w:hAnsi="宋体" w:cs="宋体"/>
          <w:b/>
          <w:color w:val="auto"/>
          <w:sz w:val="18"/>
          <w:szCs w:val="18"/>
          <w:highlight w:val="none"/>
        </w:rPr>
      </w:pPr>
      <w:r>
        <w:rPr>
          <w:rFonts w:hint="eastAsia" w:ascii="宋体" w:hAnsi="宋体" w:cs="宋体"/>
          <w:b/>
          <w:color w:val="auto"/>
          <w:sz w:val="18"/>
          <w:szCs w:val="18"/>
          <w:highlight w:val="none"/>
        </w:rPr>
        <w:t xml:space="preserve">           </w:t>
      </w:r>
    </w:p>
    <w:p w14:paraId="1274CE6B">
      <w:pPr>
        <w:snapToGrid w:val="0"/>
        <w:spacing w:line="360" w:lineRule="auto"/>
        <w:ind w:left="5137" w:leftChars="1736" w:hanging="1491" w:hangingChars="825"/>
        <w:rPr>
          <w:rFonts w:ascii="宋体" w:hAnsi="宋体" w:cs="宋体"/>
          <w:b/>
          <w:color w:val="auto"/>
          <w:sz w:val="18"/>
          <w:szCs w:val="18"/>
          <w:highlight w:val="none"/>
        </w:rPr>
      </w:pPr>
    </w:p>
    <w:p w14:paraId="6C33966A">
      <w:pPr>
        <w:snapToGrid w:val="0"/>
        <w:spacing w:line="360" w:lineRule="auto"/>
        <w:ind w:left="5137" w:leftChars="1736" w:hanging="1491" w:hangingChars="825"/>
        <w:rPr>
          <w:rFonts w:ascii="宋体" w:hAnsi="宋体" w:cs="宋体"/>
          <w:b/>
          <w:color w:val="auto"/>
          <w:sz w:val="18"/>
          <w:szCs w:val="18"/>
          <w:highlight w:val="none"/>
        </w:rPr>
      </w:pPr>
    </w:p>
    <w:p w14:paraId="46F42CDF">
      <w:pPr>
        <w:snapToGrid w:val="0"/>
        <w:spacing w:line="360" w:lineRule="auto"/>
        <w:ind w:left="5137" w:leftChars="1736" w:hanging="1491" w:hangingChars="825"/>
        <w:rPr>
          <w:rFonts w:ascii="宋体" w:hAnsi="宋体" w:cs="宋体"/>
          <w:b/>
          <w:color w:val="auto"/>
          <w:sz w:val="18"/>
          <w:szCs w:val="18"/>
          <w:highlight w:val="none"/>
        </w:rPr>
      </w:pPr>
    </w:p>
    <w:p w14:paraId="405C3D89">
      <w:pPr>
        <w:snapToGrid w:val="0"/>
        <w:spacing w:line="360" w:lineRule="auto"/>
        <w:ind w:left="5137" w:leftChars="1736" w:hanging="1491" w:hangingChars="825"/>
        <w:rPr>
          <w:rFonts w:ascii="宋体" w:hAnsi="宋体" w:cs="宋体"/>
          <w:color w:val="auto"/>
          <w:kern w:val="0"/>
          <w:sz w:val="24"/>
          <w:highlight w:val="none"/>
        </w:rPr>
      </w:pPr>
      <w:r>
        <w:rPr>
          <w:rFonts w:hint="eastAsia" w:ascii="宋体" w:hAnsi="宋体" w:cs="宋体"/>
          <w:b/>
          <w:color w:val="auto"/>
          <w:sz w:val="18"/>
          <w:szCs w:val="18"/>
          <w:highlight w:val="none"/>
        </w:rPr>
        <w:t xml:space="preserve">      </w:t>
      </w:r>
      <w:r>
        <w:rPr>
          <w:rFonts w:hint="eastAsia" w:ascii="宋体" w:hAnsi="宋体" w:cs="宋体"/>
          <w:color w:val="auto"/>
          <w:kern w:val="0"/>
          <w:sz w:val="24"/>
          <w:highlight w:val="none"/>
        </w:rPr>
        <w:t>供应商名称</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zh-CN"/>
        </w:rPr>
        <w:t>电子签章）：</w:t>
      </w:r>
    </w:p>
    <w:p w14:paraId="6D596B6C">
      <w:pPr>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26AFCCA2">
      <w:pPr>
        <w:spacing w:line="520" w:lineRule="exact"/>
        <w:rPr>
          <w:rFonts w:ascii="宋体" w:hAnsi="宋体" w:cs="宋体"/>
          <w:color w:val="auto"/>
          <w:sz w:val="24"/>
          <w:highlight w:val="none"/>
        </w:rPr>
        <w:sectPr>
          <w:pgSz w:w="11906" w:h="16838"/>
          <w:pgMar w:top="1134" w:right="1134" w:bottom="1134" w:left="1134" w:header="720" w:footer="720" w:gutter="0"/>
          <w:cols w:space="720" w:num="1"/>
          <w:docGrid w:type="lines" w:linePitch="331" w:charSpace="0"/>
        </w:sectPr>
      </w:pPr>
    </w:p>
    <w:p w14:paraId="576F01D2">
      <w:pPr>
        <w:spacing w:line="520" w:lineRule="exact"/>
        <w:rPr>
          <w:rFonts w:ascii="宋体" w:hAnsi="宋体" w:cs="宋体"/>
          <w:color w:val="auto"/>
          <w:sz w:val="24"/>
          <w:highlight w:val="none"/>
        </w:rPr>
      </w:pPr>
    </w:p>
    <w:p w14:paraId="3AE6F3AC">
      <w:pPr>
        <w:jc w:val="center"/>
        <w:rPr>
          <w:rFonts w:ascii="宋体" w:hAnsi="宋体" w:cs="宋体"/>
          <w:b/>
          <w:bCs/>
          <w:color w:val="auto"/>
          <w:sz w:val="32"/>
          <w:szCs w:val="32"/>
          <w:highlight w:val="none"/>
          <w:lang w:val="en"/>
        </w:rPr>
      </w:pPr>
      <w:r>
        <w:rPr>
          <w:rFonts w:hint="eastAsia" w:ascii="宋体" w:hAnsi="宋体" w:cs="宋体"/>
          <w:b/>
          <w:bCs/>
          <w:color w:val="auto"/>
          <w:sz w:val="32"/>
          <w:szCs w:val="32"/>
          <w:highlight w:val="none"/>
          <w:lang w:val="en"/>
        </w:rPr>
        <w:t>残疾人福利性单位声明函</w:t>
      </w:r>
    </w:p>
    <w:p w14:paraId="5319836C">
      <w:pPr>
        <w:spacing w:line="520" w:lineRule="exact"/>
        <w:rPr>
          <w:rFonts w:ascii="宋体" w:hAnsi="宋体" w:cs="宋体"/>
          <w:color w:val="auto"/>
          <w:sz w:val="32"/>
          <w:szCs w:val="32"/>
          <w:highlight w:val="none"/>
        </w:rPr>
      </w:pPr>
    </w:p>
    <w:p w14:paraId="7F6A549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单位的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项目采购活动由本单位提供服务。</w:t>
      </w:r>
    </w:p>
    <w:p w14:paraId="36CF1C2C">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5886D650">
      <w:pPr>
        <w:spacing w:line="360" w:lineRule="auto"/>
        <w:contextualSpacing/>
        <w:rPr>
          <w:rFonts w:ascii="宋体" w:hAnsi="宋体" w:cs="宋体"/>
          <w:color w:val="auto"/>
          <w:sz w:val="24"/>
          <w:highlight w:val="none"/>
        </w:rPr>
      </w:pPr>
    </w:p>
    <w:p w14:paraId="63F79E71">
      <w:pPr>
        <w:spacing w:line="360" w:lineRule="auto"/>
        <w:contextualSpacing/>
        <w:rPr>
          <w:rFonts w:ascii="宋体" w:hAnsi="宋体" w:cs="宋体"/>
          <w:color w:val="auto"/>
          <w:sz w:val="24"/>
          <w:highlight w:val="none"/>
        </w:rPr>
      </w:pPr>
    </w:p>
    <w:p w14:paraId="5F5C34EE">
      <w:pPr>
        <w:spacing w:line="360" w:lineRule="auto"/>
        <w:contextualSpacing/>
        <w:rPr>
          <w:rFonts w:ascii="宋体" w:hAnsi="宋体" w:cs="宋体"/>
          <w:color w:val="auto"/>
          <w:sz w:val="24"/>
          <w:highlight w:val="none"/>
        </w:rPr>
      </w:pPr>
    </w:p>
    <w:p w14:paraId="2E6F5DEE">
      <w:pPr>
        <w:spacing w:line="360" w:lineRule="auto"/>
        <w:ind w:firstLine="2400" w:firstLineChars="1000"/>
        <w:contextualSpacing/>
        <w:rPr>
          <w:rFonts w:ascii="宋体" w:hAnsi="宋体" w:cs="宋体"/>
          <w:color w:val="auto"/>
          <w:sz w:val="24"/>
          <w:highlight w:val="none"/>
        </w:rPr>
      </w:pPr>
      <w:r>
        <w:rPr>
          <w:rFonts w:hint="eastAsia" w:ascii="宋体" w:hAnsi="宋体" w:cs="宋体"/>
          <w:color w:val="auto"/>
          <w:sz w:val="24"/>
          <w:highlight w:val="none"/>
        </w:rPr>
        <w:t>供应商名称（电子签章）：</w:t>
      </w:r>
    </w:p>
    <w:p w14:paraId="6AC875ED">
      <w:pPr>
        <w:spacing w:line="360" w:lineRule="auto"/>
        <w:ind w:firstLine="4320" w:firstLineChars="1800"/>
        <w:contextualSpacing/>
        <w:rPr>
          <w:rFonts w:ascii="宋体" w:hAnsi="宋体" w:cs="宋体"/>
          <w:color w:val="auto"/>
          <w:sz w:val="24"/>
          <w:highlight w:val="none"/>
        </w:rPr>
      </w:pPr>
      <w:r>
        <w:rPr>
          <w:rFonts w:hint="eastAsia" w:ascii="宋体" w:hAnsi="宋体" w:cs="宋体"/>
          <w:color w:val="auto"/>
          <w:sz w:val="24"/>
          <w:highlight w:val="none"/>
        </w:rPr>
        <w:t>日  期：     年   月   日</w:t>
      </w:r>
    </w:p>
    <w:p w14:paraId="2FD72AF0">
      <w:pPr>
        <w:spacing w:line="360" w:lineRule="auto"/>
        <w:contextualSpacing/>
        <w:rPr>
          <w:rFonts w:ascii="宋体" w:hAnsi="宋体" w:cs="宋体"/>
          <w:color w:val="auto"/>
          <w:sz w:val="24"/>
          <w:highlight w:val="none"/>
        </w:rPr>
      </w:pPr>
    </w:p>
    <w:p w14:paraId="79096729">
      <w:pPr>
        <w:spacing w:line="360" w:lineRule="auto"/>
        <w:contextualSpacing/>
        <w:rPr>
          <w:rFonts w:ascii="宋体" w:hAnsi="宋体" w:cs="宋体"/>
          <w:color w:val="auto"/>
          <w:sz w:val="24"/>
          <w:highlight w:val="none"/>
        </w:rPr>
      </w:pPr>
    </w:p>
    <w:p w14:paraId="743B88BD">
      <w:pPr>
        <w:spacing w:line="360" w:lineRule="auto"/>
        <w:contextualSpacing/>
        <w:rPr>
          <w:rFonts w:ascii="宋体" w:hAnsi="宋体" w:cs="宋体"/>
          <w:color w:val="auto"/>
          <w:sz w:val="24"/>
          <w:highlight w:val="none"/>
        </w:rPr>
      </w:pPr>
    </w:p>
    <w:p w14:paraId="719AB54B">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2229B8F2">
      <w:pPr>
        <w:spacing w:line="520" w:lineRule="exact"/>
        <w:jc w:val="center"/>
        <w:rPr>
          <w:rFonts w:ascii="宋体" w:hAnsi="宋体" w:cs="宋体"/>
          <w:color w:val="auto"/>
          <w:sz w:val="24"/>
          <w:highlight w:val="none"/>
        </w:rPr>
      </w:pPr>
    </w:p>
    <w:p w14:paraId="61BBB474">
      <w:pPr>
        <w:spacing w:line="520" w:lineRule="exact"/>
        <w:jc w:val="center"/>
        <w:rPr>
          <w:rFonts w:ascii="宋体" w:hAnsi="宋体" w:cs="宋体"/>
          <w:color w:val="auto"/>
          <w:sz w:val="24"/>
          <w:highlight w:val="none"/>
        </w:rPr>
      </w:pPr>
    </w:p>
    <w:p w14:paraId="44E78E97">
      <w:pPr>
        <w:spacing w:line="520" w:lineRule="exact"/>
        <w:jc w:val="center"/>
        <w:rPr>
          <w:rFonts w:ascii="宋体" w:hAnsi="宋体" w:cs="宋体"/>
          <w:color w:val="auto"/>
          <w:sz w:val="24"/>
          <w:highlight w:val="none"/>
        </w:rPr>
      </w:pPr>
    </w:p>
    <w:p w14:paraId="43CE8D00">
      <w:pPr>
        <w:spacing w:line="520" w:lineRule="exact"/>
        <w:jc w:val="center"/>
        <w:rPr>
          <w:rFonts w:ascii="宋体" w:hAnsi="宋体" w:cs="宋体"/>
          <w:color w:val="auto"/>
          <w:sz w:val="24"/>
          <w:highlight w:val="none"/>
        </w:rPr>
      </w:pPr>
    </w:p>
    <w:p w14:paraId="7582E61F">
      <w:pPr>
        <w:spacing w:line="520" w:lineRule="exact"/>
        <w:jc w:val="center"/>
        <w:rPr>
          <w:rFonts w:ascii="宋体" w:hAnsi="宋体" w:cs="宋体"/>
          <w:color w:val="auto"/>
          <w:sz w:val="24"/>
          <w:highlight w:val="none"/>
        </w:rPr>
      </w:pPr>
    </w:p>
    <w:p w14:paraId="21AF9894">
      <w:pPr>
        <w:spacing w:line="520" w:lineRule="exact"/>
        <w:jc w:val="center"/>
        <w:rPr>
          <w:rFonts w:ascii="宋体" w:hAnsi="宋体" w:cs="宋体"/>
          <w:color w:val="auto"/>
          <w:sz w:val="24"/>
          <w:highlight w:val="none"/>
        </w:rPr>
      </w:pPr>
    </w:p>
    <w:p w14:paraId="1C317DF0">
      <w:pPr>
        <w:spacing w:line="520" w:lineRule="exact"/>
        <w:jc w:val="center"/>
        <w:rPr>
          <w:rFonts w:ascii="宋体" w:hAnsi="宋体" w:cs="宋体"/>
          <w:color w:val="auto"/>
          <w:sz w:val="24"/>
          <w:highlight w:val="none"/>
        </w:rPr>
      </w:pPr>
    </w:p>
    <w:p w14:paraId="72064F2E">
      <w:pPr>
        <w:spacing w:line="520" w:lineRule="exact"/>
        <w:jc w:val="center"/>
        <w:rPr>
          <w:rFonts w:ascii="宋体" w:hAnsi="宋体" w:cs="宋体"/>
          <w:color w:val="auto"/>
          <w:sz w:val="24"/>
          <w:highlight w:val="none"/>
        </w:rPr>
      </w:pPr>
    </w:p>
    <w:p w14:paraId="51556A1D">
      <w:pPr>
        <w:spacing w:line="520" w:lineRule="exact"/>
        <w:jc w:val="center"/>
        <w:rPr>
          <w:rFonts w:ascii="宋体" w:hAnsi="宋体" w:cs="宋体"/>
          <w:color w:val="auto"/>
          <w:sz w:val="24"/>
          <w:highlight w:val="none"/>
        </w:rPr>
      </w:pPr>
    </w:p>
    <w:p w14:paraId="6C96BBBD">
      <w:pPr>
        <w:spacing w:line="520" w:lineRule="exact"/>
        <w:jc w:val="center"/>
        <w:rPr>
          <w:rFonts w:ascii="宋体" w:hAnsi="宋体" w:cs="宋体"/>
          <w:color w:val="auto"/>
          <w:sz w:val="24"/>
          <w:highlight w:val="none"/>
        </w:rPr>
      </w:pPr>
    </w:p>
    <w:p w14:paraId="17F6536B">
      <w:pPr>
        <w:keepNext/>
        <w:keepLines/>
        <w:numPr>
          <w:ilvl w:val="-1"/>
          <w:numId w:val="0"/>
        </w:numPr>
        <w:spacing w:before="340" w:after="330" w:line="480" w:lineRule="exact"/>
        <w:jc w:val="center"/>
        <w:outlineLvl w:val="0"/>
        <w:rPr>
          <w:rFonts w:hint="default" w:ascii="宋体" w:hAnsi="宋体" w:cs="宋体"/>
          <w:b/>
          <w:bCs/>
          <w:color w:val="auto"/>
          <w:kern w:val="44"/>
          <w:sz w:val="44"/>
          <w:szCs w:val="44"/>
          <w:highlight w:val="none"/>
        </w:rPr>
      </w:pPr>
      <w:bookmarkStart w:id="113" w:name="_Toc4168"/>
      <w:bookmarkStart w:id="114" w:name="_Toc97909572"/>
      <w:r>
        <w:rPr>
          <w:rFonts w:hint="eastAsia" w:ascii="宋体" w:hAnsi="宋体" w:cs="宋体"/>
          <w:b/>
          <w:bCs/>
          <w:color w:val="auto"/>
          <w:kern w:val="44"/>
          <w:sz w:val="44"/>
          <w:szCs w:val="44"/>
          <w:highlight w:val="none"/>
          <w:lang w:val="en-US" w:eastAsia="zh-CN"/>
        </w:rPr>
        <w:t xml:space="preserve">第六章 </w:t>
      </w:r>
      <w:r>
        <w:rPr>
          <w:rFonts w:hint="default" w:ascii="宋体" w:hAnsi="宋体" w:cs="宋体"/>
          <w:b/>
          <w:bCs/>
          <w:color w:val="auto"/>
          <w:kern w:val="44"/>
          <w:sz w:val="44"/>
          <w:szCs w:val="44"/>
          <w:highlight w:val="none"/>
        </w:rPr>
        <w:t>合同文本</w:t>
      </w:r>
      <w:bookmarkEnd w:id="113"/>
    </w:p>
    <w:bookmarkEnd w:id="114"/>
    <w:p w14:paraId="47E15FB7">
      <w:pPr>
        <w:spacing w:line="360" w:lineRule="auto"/>
        <w:rPr>
          <w:rFonts w:hint="eastAsia" w:ascii="宋体" w:hAnsi="宋体" w:cs="宋体"/>
          <w:color w:val="auto"/>
          <w:sz w:val="24"/>
          <w:highlight w:val="none"/>
        </w:rPr>
      </w:pPr>
    </w:p>
    <w:p w14:paraId="32466726">
      <w:pPr>
        <w:spacing w:line="360" w:lineRule="auto"/>
        <w:rPr>
          <w:rFonts w:hint="eastAsia" w:ascii="宋体" w:hAnsi="宋体" w:cs="宋体"/>
          <w:color w:val="auto"/>
          <w:sz w:val="24"/>
          <w:highlight w:val="none"/>
          <w:u w:val="single"/>
        </w:rPr>
      </w:pPr>
      <w:bookmarkStart w:id="115" w:name="_GoBack"/>
      <w:r>
        <w:rPr>
          <w:rFonts w:hint="eastAsia" w:ascii="宋体" w:hAnsi="宋体" w:cs="宋体"/>
          <w:color w:val="auto"/>
          <w:sz w:val="24"/>
          <w:highlight w:val="none"/>
        </w:rPr>
        <w:t>“政采云”平台合同编号：</w:t>
      </w:r>
      <w:r>
        <w:rPr>
          <w:rFonts w:hint="eastAsia" w:ascii="宋体" w:hAnsi="宋体" w:cs="宋体"/>
          <w:color w:val="auto"/>
          <w:sz w:val="24"/>
          <w:highlight w:val="none"/>
          <w:u w:val="single"/>
        </w:rPr>
        <w:t xml:space="preserve">           </w:t>
      </w:r>
    </w:p>
    <w:p w14:paraId="55F60376">
      <w:pPr>
        <w:spacing w:line="360" w:lineRule="auto"/>
        <w:rPr>
          <w:rFonts w:hint="eastAsia" w:ascii="宋体"/>
          <w:b/>
          <w:bCs/>
          <w:color w:val="auto"/>
          <w:sz w:val="52"/>
          <w:highlight w:val="none"/>
        </w:rPr>
      </w:pPr>
    </w:p>
    <w:p w14:paraId="0322DF62">
      <w:pPr>
        <w:spacing w:line="360" w:lineRule="auto"/>
        <w:jc w:val="center"/>
        <w:rPr>
          <w:rFonts w:hint="eastAsia" w:ascii="宋体"/>
          <w:b/>
          <w:bCs/>
          <w:color w:val="auto"/>
          <w:sz w:val="52"/>
          <w:highlight w:val="none"/>
        </w:rPr>
      </w:pPr>
      <w:r>
        <w:rPr>
          <w:rFonts w:hint="eastAsia" w:ascii="宋体"/>
          <w:b/>
          <w:bCs/>
          <w:color w:val="auto"/>
          <w:sz w:val="52"/>
          <w:highlight w:val="none"/>
        </w:rPr>
        <w:t xml:space="preserve"> 政 府 采 购</w:t>
      </w:r>
    </w:p>
    <w:p w14:paraId="6C086775">
      <w:pPr>
        <w:spacing w:line="360" w:lineRule="auto"/>
        <w:ind w:firstLine="420" w:firstLineChars="200"/>
        <w:rPr>
          <w:rFonts w:hint="eastAsia" w:ascii="宋体"/>
          <w:color w:val="auto"/>
          <w:highlight w:val="none"/>
        </w:rPr>
      </w:pPr>
    </w:p>
    <w:p w14:paraId="38F2A155">
      <w:pPr>
        <w:spacing w:line="360" w:lineRule="auto"/>
        <w:ind w:firstLine="420" w:firstLineChars="200"/>
        <w:rPr>
          <w:rFonts w:ascii="宋体" w:hAnsi="宋体" w:eastAsia="宋体" w:cs="宋体"/>
          <w:b/>
          <w:bCs/>
          <w:color w:val="auto"/>
          <w:sz w:val="44"/>
          <w:szCs w:val="44"/>
          <w:highlight w:val="none"/>
        </w:rPr>
      </w:pPr>
      <w:r>
        <w:rPr>
          <w:rFonts w:hint="eastAsia" w:ascii="宋体"/>
          <w:color w:val="auto"/>
          <w:highlight w:val="none"/>
        </w:rPr>
        <w:t xml:space="preserve">     </w:t>
      </w:r>
    </w:p>
    <w:p w14:paraId="269E354D">
      <w:pPr>
        <w:snapToGrid w:val="0"/>
        <w:spacing w:line="360" w:lineRule="exact"/>
        <w:ind w:right="480" w:firstLine="9120" w:firstLineChars="2850"/>
        <w:rPr>
          <w:rFonts w:ascii="宋体" w:hAnsi="宋体" w:eastAsia="宋体" w:cs="宋体"/>
          <w:bCs/>
          <w:color w:val="auto"/>
          <w:sz w:val="32"/>
          <w:szCs w:val="32"/>
          <w:highlight w:val="none"/>
        </w:rPr>
      </w:pPr>
    </w:p>
    <w:tbl>
      <w:tblPr>
        <w:tblStyle w:val="33"/>
        <w:tblW w:w="0" w:type="auto"/>
        <w:tblInd w:w="0" w:type="dxa"/>
        <w:tblLayout w:type="fixed"/>
        <w:tblCellMar>
          <w:top w:w="0" w:type="dxa"/>
          <w:left w:w="108" w:type="dxa"/>
          <w:bottom w:w="0" w:type="dxa"/>
          <w:right w:w="108" w:type="dxa"/>
        </w:tblCellMar>
      </w:tblPr>
      <w:tblGrid>
        <w:gridCol w:w="4170"/>
        <w:gridCol w:w="4302"/>
      </w:tblGrid>
      <w:tr w14:paraId="5B66D398">
        <w:trPr>
          <w:trHeight w:val="3330" w:hRule="atLeast"/>
        </w:trPr>
        <w:tc>
          <w:tcPr>
            <w:tcW w:w="8472" w:type="dxa"/>
            <w:gridSpan w:val="2"/>
            <w:vAlign w:val="center"/>
          </w:tcPr>
          <w:p w14:paraId="76266F18">
            <w:pPr>
              <w:wordWrap w:val="0"/>
              <w:autoSpaceDE w:val="0"/>
              <w:autoSpaceDN w:val="0"/>
              <w:adjustRightInd w:val="0"/>
              <w:ind w:firstLine="1440" w:firstLineChars="450"/>
              <w:rPr>
                <w:rFonts w:ascii="宋体" w:hAnsi="宋体" w:eastAsia="宋体" w:cs="宋体"/>
                <w:color w:val="auto"/>
                <w:kern w:val="0"/>
                <w:sz w:val="32"/>
                <w:szCs w:val="32"/>
                <w:highlight w:val="none"/>
              </w:rPr>
            </w:pPr>
          </w:p>
          <w:p w14:paraId="213086D3">
            <w:pPr>
              <w:wordWrap w:val="0"/>
              <w:autoSpaceDE w:val="0"/>
              <w:autoSpaceDN w:val="0"/>
              <w:adjustRightInd w:val="0"/>
              <w:ind w:firstLine="1440" w:firstLineChars="450"/>
              <w:rPr>
                <w:rFonts w:hint="default" w:ascii="宋体" w:hAnsi="宋体" w:eastAsia="宋体" w:cs="宋体"/>
                <w:color w:val="auto"/>
                <w:kern w:val="0"/>
                <w:sz w:val="32"/>
                <w:szCs w:val="32"/>
                <w:highlight w:val="none"/>
                <w:lang w:val="en-US"/>
              </w:rPr>
            </w:pPr>
            <w:r>
              <w:rPr>
                <w:rFonts w:hint="eastAsia" w:ascii="宋体" w:hAnsi="宋体" w:eastAsia="宋体" w:cs="宋体"/>
                <w:color w:val="auto"/>
                <w:kern w:val="0"/>
                <w:sz w:val="32"/>
                <w:szCs w:val="32"/>
                <w:highlight w:val="none"/>
              </w:rPr>
              <w:t>合同名称：</w:t>
            </w:r>
            <w:r>
              <w:rPr>
                <w:rFonts w:hint="eastAsia" w:ascii="宋体" w:hAnsi="宋体"/>
                <w:b/>
                <w:bCs/>
                <w:color w:val="auto"/>
                <w:kern w:val="0"/>
                <w:sz w:val="30"/>
                <w:szCs w:val="30"/>
                <w:highlight w:val="none"/>
                <w:lang w:eastAsia="zh-CN"/>
              </w:rPr>
              <w:t>医疗废弃物处置服务采购项目</w:t>
            </w:r>
          </w:p>
          <w:p w14:paraId="781D5FB6">
            <w:pPr>
              <w:wordWrap w:val="0"/>
              <w:autoSpaceDE w:val="0"/>
              <w:autoSpaceDN w:val="0"/>
              <w:adjustRightInd w:val="0"/>
              <w:ind w:firstLine="1440" w:firstLineChars="450"/>
              <w:rPr>
                <w:rFonts w:ascii="宋体" w:hAnsi="宋体" w:eastAsia="宋体" w:cs="宋体"/>
                <w:color w:val="auto"/>
                <w:kern w:val="0"/>
                <w:sz w:val="32"/>
                <w:szCs w:val="32"/>
                <w:highlight w:val="none"/>
              </w:rPr>
            </w:pPr>
          </w:p>
          <w:p w14:paraId="55AA7FFD">
            <w:pPr>
              <w:wordWrap w:val="0"/>
              <w:autoSpaceDE w:val="0"/>
              <w:autoSpaceDN w:val="0"/>
              <w:adjustRightInd w:val="0"/>
              <w:ind w:firstLine="1440" w:firstLineChars="450"/>
              <w:rPr>
                <w:rFonts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项目编号：</w:t>
            </w:r>
          </w:p>
          <w:p w14:paraId="1D1E4C4E">
            <w:pPr>
              <w:wordWrap w:val="0"/>
              <w:autoSpaceDE w:val="0"/>
              <w:autoSpaceDN w:val="0"/>
              <w:adjustRightInd w:val="0"/>
              <w:ind w:firstLine="1440" w:firstLineChars="450"/>
              <w:rPr>
                <w:rFonts w:ascii="宋体" w:hAnsi="宋体" w:eastAsia="宋体" w:cs="宋体"/>
                <w:color w:val="auto"/>
                <w:kern w:val="0"/>
                <w:sz w:val="32"/>
                <w:szCs w:val="32"/>
                <w:highlight w:val="none"/>
              </w:rPr>
            </w:pPr>
          </w:p>
        </w:tc>
      </w:tr>
      <w:tr w14:paraId="5A518EF9">
        <w:tblPrEx>
          <w:tblCellMar>
            <w:top w:w="0" w:type="dxa"/>
            <w:left w:w="108" w:type="dxa"/>
            <w:bottom w:w="0" w:type="dxa"/>
            <w:right w:w="108" w:type="dxa"/>
          </w:tblCellMar>
        </w:tblPrEx>
        <w:trPr>
          <w:trHeight w:val="505" w:hRule="atLeast"/>
        </w:trPr>
        <w:tc>
          <w:tcPr>
            <w:tcW w:w="8472" w:type="dxa"/>
            <w:gridSpan w:val="2"/>
            <w:vAlign w:val="center"/>
          </w:tcPr>
          <w:p w14:paraId="2E672018">
            <w:pPr>
              <w:wordWrap w:val="0"/>
              <w:autoSpaceDE w:val="0"/>
              <w:autoSpaceDN w:val="0"/>
              <w:adjustRightInd w:val="0"/>
              <w:ind w:firstLine="1440" w:firstLineChars="450"/>
              <w:rPr>
                <w:rFonts w:ascii="宋体" w:hAnsi="宋体" w:eastAsia="宋体" w:cs="宋体"/>
                <w:color w:val="auto"/>
                <w:kern w:val="0"/>
                <w:sz w:val="32"/>
                <w:szCs w:val="32"/>
                <w:highlight w:val="none"/>
              </w:rPr>
            </w:pPr>
          </w:p>
          <w:p w14:paraId="6E791362">
            <w:pPr>
              <w:wordWrap w:val="0"/>
              <w:autoSpaceDE w:val="0"/>
              <w:autoSpaceDN w:val="0"/>
              <w:adjustRightInd w:val="0"/>
              <w:ind w:firstLine="1440" w:firstLineChars="450"/>
              <w:rPr>
                <w:rFonts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采购单位：广西医科大学附属武鸣医院</w:t>
            </w:r>
          </w:p>
          <w:p w14:paraId="22E1882E">
            <w:pPr>
              <w:wordWrap w:val="0"/>
              <w:autoSpaceDE w:val="0"/>
              <w:autoSpaceDN w:val="0"/>
              <w:adjustRightInd w:val="0"/>
              <w:ind w:firstLine="1440" w:firstLineChars="450"/>
              <w:rPr>
                <w:rFonts w:ascii="宋体" w:hAnsi="宋体" w:eastAsia="宋体" w:cs="宋体"/>
                <w:color w:val="auto"/>
                <w:kern w:val="0"/>
                <w:sz w:val="32"/>
                <w:szCs w:val="32"/>
                <w:highlight w:val="none"/>
              </w:rPr>
            </w:pPr>
          </w:p>
        </w:tc>
      </w:tr>
      <w:tr w14:paraId="79258443">
        <w:tblPrEx>
          <w:tblCellMar>
            <w:top w:w="0" w:type="dxa"/>
            <w:left w:w="108" w:type="dxa"/>
            <w:bottom w:w="0" w:type="dxa"/>
            <w:right w:w="108" w:type="dxa"/>
          </w:tblCellMar>
        </w:tblPrEx>
        <w:trPr>
          <w:trHeight w:val="890" w:hRule="atLeast"/>
        </w:trPr>
        <w:tc>
          <w:tcPr>
            <w:tcW w:w="8472" w:type="dxa"/>
            <w:gridSpan w:val="2"/>
            <w:vAlign w:val="center"/>
          </w:tcPr>
          <w:p w14:paraId="5818ED2A">
            <w:pPr>
              <w:wordWrap w:val="0"/>
              <w:autoSpaceDE w:val="0"/>
              <w:autoSpaceDN w:val="0"/>
              <w:adjustRightInd w:val="0"/>
              <w:ind w:firstLine="1440" w:firstLineChars="450"/>
              <w:rPr>
                <w:rFonts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供 应 商：</w:t>
            </w:r>
          </w:p>
        </w:tc>
      </w:tr>
      <w:tr w14:paraId="65AAF1EF">
        <w:tblPrEx>
          <w:tblCellMar>
            <w:top w:w="0" w:type="dxa"/>
            <w:left w:w="108" w:type="dxa"/>
            <w:bottom w:w="0" w:type="dxa"/>
            <w:right w:w="108" w:type="dxa"/>
          </w:tblCellMar>
        </w:tblPrEx>
        <w:trPr>
          <w:trHeight w:val="894" w:hRule="atLeast"/>
        </w:trPr>
        <w:tc>
          <w:tcPr>
            <w:tcW w:w="4170" w:type="dxa"/>
            <w:vAlign w:val="center"/>
          </w:tcPr>
          <w:p w14:paraId="5AB8A5D1">
            <w:pPr>
              <w:wordWrap w:val="0"/>
              <w:autoSpaceDE w:val="0"/>
              <w:autoSpaceDN w:val="0"/>
              <w:adjustRightInd w:val="0"/>
              <w:ind w:firstLine="1440" w:firstLineChars="450"/>
              <w:rPr>
                <w:rFonts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签订时间：</w:t>
            </w:r>
          </w:p>
        </w:tc>
        <w:tc>
          <w:tcPr>
            <w:tcW w:w="4302" w:type="dxa"/>
            <w:vAlign w:val="center"/>
          </w:tcPr>
          <w:p w14:paraId="4CD1403E">
            <w:pPr>
              <w:wordWrap w:val="0"/>
              <w:autoSpaceDE w:val="0"/>
              <w:autoSpaceDN w:val="0"/>
              <w:adjustRightInd w:val="0"/>
              <w:rPr>
                <w:rFonts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年    月    日</w:t>
            </w:r>
          </w:p>
        </w:tc>
      </w:tr>
    </w:tbl>
    <w:p w14:paraId="674934D6">
      <w:pPr>
        <w:snapToGrid w:val="0"/>
        <w:spacing w:line="360" w:lineRule="exact"/>
        <w:jc w:val="center"/>
        <w:rPr>
          <w:rFonts w:ascii="宋体" w:hAnsi="宋体" w:eastAsia="宋体" w:cs="宋体"/>
          <w:b/>
          <w:bCs/>
          <w:color w:val="auto"/>
          <w:sz w:val="18"/>
          <w:szCs w:val="18"/>
          <w:highlight w:val="none"/>
        </w:rPr>
      </w:pPr>
    </w:p>
    <w:p w14:paraId="765D8DE9">
      <w:pPr>
        <w:snapToGrid w:val="0"/>
        <w:spacing w:line="360" w:lineRule="exact"/>
        <w:jc w:val="center"/>
        <w:rPr>
          <w:rFonts w:ascii="宋体" w:hAnsi="宋体" w:eastAsia="宋体" w:cs="宋体"/>
          <w:b/>
          <w:bCs/>
          <w:color w:val="auto"/>
          <w:sz w:val="18"/>
          <w:szCs w:val="18"/>
          <w:highlight w:val="none"/>
        </w:rPr>
      </w:pPr>
    </w:p>
    <w:p w14:paraId="34B61464">
      <w:pPr>
        <w:snapToGrid w:val="0"/>
        <w:spacing w:line="360" w:lineRule="exact"/>
        <w:jc w:val="center"/>
        <w:rPr>
          <w:rFonts w:ascii="宋体" w:hAnsi="宋体" w:eastAsia="宋体" w:cs="宋体"/>
          <w:b/>
          <w:bCs/>
          <w:color w:val="auto"/>
          <w:sz w:val="18"/>
          <w:szCs w:val="18"/>
          <w:highlight w:val="none"/>
        </w:rPr>
      </w:pPr>
    </w:p>
    <w:p w14:paraId="2297A82F">
      <w:pPr>
        <w:spacing w:line="600" w:lineRule="exact"/>
        <w:ind w:firstLine="420" w:firstLineChars="200"/>
        <w:jc w:val="left"/>
        <w:rPr>
          <w:rFonts w:ascii="宋体" w:hAnsi="宋体" w:eastAsia="宋体" w:cs="宋体"/>
          <w:color w:val="auto"/>
          <w:szCs w:val="21"/>
          <w:highlight w:val="none"/>
        </w:rPr>
      </w:pPr>
    </w:p>
    <w:p w14:paraId="2853C585">
      <w:pPr>
        <w:rPr>
          <w:rFonts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68E7853E">
      <w:pPr>
        <w:keepNext w:val="0"/>
        <w:keepLines w:val="0"/>
        <w:pageBreakBefore w:val="0"/>
        <w:widowControl w:val="0"/>
        <w:kinsoku/>
        <w:wordWrap/>
        <w:autoSpaceDE/>
        <w:autoSpaceDN/>
        <w:bidi w:val="0"/>
        <w:adjustRightInd/>
        <w:snapToGrid w:val="0"/>
        <w:spacing w:line="460" w:lineRule="exact"/>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合同编号：</w:t>
      </w:r>
      <w:r>
        <w:rPr>
          <w:rFonts w:hint="eastAsia" w:ascii="宋体" w:hAnsi="宋体" w:eastAsia="宋体" w:cs="宋体"/>
          <w:bCs/>
          <w:color w:val="auto"/>
          <w:sz w:val="24"/>
          <w:szCs w:val="24"/>
          <w:highlight w:val="none"/>
          <w:u w:val="single"/>
        </w:rPr>
        <w:t xml:space="preserve">                         </w:t>
      </w:r>
    </w:p>
    <w:p w14:paraId="6E1B42F9">
      <w:pPr>
        <w:keepNext w:val="0"/>
        <w:keepLines w:val="0"/>
        <w:pageBreakBefore w:val="0"/>
        <w:widowControl w:val="0"/>
        <w:kinsoku/>
        <w:wordWrap/>
        <w:autoSpaceDE/>
        <w:autoSpaceDN/>
        <w:bidi w:val="0"/>
        <w:adjustRightInd/>
        <w:snapToGrid w:val="0"/>
        <w:spacing w:line="460" w:lineRule="exac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采购人（甲方）：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0"/>
          <w:sz w:val="24"/>
          <w:szCs w:val="24"/>
          <w:highlight w:val="none"/>
        </w:rPr>
        <w:t>采 购 计 划 号：</w:t>
      </w:r>
      <w:r>
        <w:rPr>
          <w:rFonts w:hint="eastAsia" w:ascii="宋体" w:hAnsi="宋体" w:eastAsia="宋体" w:cs="宋体"/>
          <w:color w:val="auto"/>
          <w:sz w:val="24"/>
          <w:szCs w:val="24"/>
          <w:highlight w:val="none"/>
          <w:u w:val="single"/>
        </w:rPr>
        <w:t xml:space="preserve">                         </w:t>
      </w:r>
    </w:p>
    <w:p w14:paraId="4C4F4974">
      <w:pPr>
        <w:keepNext w:val="0"/>
        <w:keepLines w:val="0"/>
        <w:pageBreakBefore w:val="0"/>
        <w:widowControl w:val="0"/>
        <w:kinsoku/>
        <w:wordWrap/>
        <w:autoSpaceDE/>
        <w:autoSpaceDN/>
        <w:bidi w:val="0"/>
        <w:adjustRightInd/>
        <w:snapToGrid w:val="0"/>
        <w:spacing w:line="460" w:lineRule="exac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供应商（乙方）：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采购项目名称和</w:t>
      </w:r>
      <w:r>
        <w:rPr>
          <w:rFonts w:hint="eastAsia" w:ascii="宋体" w:hAnsi="宋体" w:eastAsia="宋体" w:cs="宋体"/>
          <w:color w:val="auto"/>
          <w:spacing w:val="-20"/>
          <w:sz w:val="24"/>
          <w:szCs w:val="24"/>
          <w:highlight w:val="none"/>
        </w:rPr>
        <w:t>编号：</w:t>
      </w:r>
      <w:r>
        <w:rPr>
          <w:rFonts w:hint="eastAsia" w:ascii="宋体" w:hAnsi="宋体" w:eastAsia="宋体" w:cs="宋体"/>
          <w:color w:val="auto"/>
          <w:sz w:val="24"/>
          <w:szCs w:val="24"/>
          <w:highlight w:val="none"/>
          <w:u w:val="single"/>
        </w:rPr>
        <w:t xml:space="preserve">                       </w:t>
      </w:r>
    </w:p>
    <w:p w14:paraId="7E9A131B">
      <w:pPr>
        <w:keepNext w:val="0"/>
        <w:keepLines w:val="0"/>
        <w:pageBreakBefore w:val="0"/>
        <w:widowControl w:val="0"/>
        <w:tabs>
          <w:tab w:val="left" w:pos="720"/>
        </w:tabs>
        <w:kinsoku/>
        <w:wordWrap/>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中华人民共和国民法典》、《中华人民共和国政府采购法》及广西壮族自治区关于政府采购的相关文件等规范性文件的规定、《中华人民共和国固体废物污染环境防治法》、《医疗废物管理条例》、《医疗废物集中处理技术规范》、《医疗卫生机构医疗废物管理办法》等法律法规及相关标准和技术规范，按照采购文件规定条款和成交供应商承诺，甲乙双方签订本合同。</w:t>
      </w:r>
    </w:p>
    <w:p w14:paraId="77DBFE2C">
      <w:pPr>
        <w:keepNext w:val="0"/>
        <w:keepLines w:val="0"/>
        <w:pageBreakBefore w:val="0"/>
        <w:widowControl w:val="0"/>
        <w:kinsoku/>
        <w:wordWrap/>
        <w:autoSpaceDE/>
        <w:autoSpaceDN/>
        <w:bidi w:val="0"/>
        <w:adjustRightInd/>
        <w:spacing w:line="440" w:lineRule="exact"/>
        <w:ind w:firstLine="482" w:firstLineChars="200"/>
        <w:jc w:val="left"/>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第一条 服务内容</w:t>
      </w:r>
    </w:p>
    <w:p w14:paraId="4DB2D87E">
      <w:pPr>
        <w:keepNext w:val="0"/>
        <w:keepLines w:val="0"/>
        <w:pageBreakBefore w:val="0"/>
        <w:widowControl w:val="0"/>
        <w:tabs>
          <w:tab w:val="left" w:pos="720"/>
        </w:tabs>
        <w:kinsoku/>
        <w:wordWrap/>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1.甲方所产生的医疗废物，由乙方负责装卸、运输、鉴别、处置及周转箱清洗等服务，具体包括:感染性废物</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损伤性废物</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病理性废物</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药物性废物</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化学性废物等</w:t>
      </w:r>
      <w:r>
        <w:rPr>
          <w:rFonts w:hint="eastAsia" w:ascii="宋体" w:hAnsi="宋体" w:eastAsia="宋体" w:cs="宋体"/>
          <w:color w:val="auto"/>
          <w:sz w:val="24"/>
          <w:szCs w:val="24"/>
          <w:highlight w:val="none"/>
          <w:lang w:eastAsia="zh-CN"/>
        </w:rPr>
        <w:t>。</w:t>
      </w:r>
    </w:p>
    <w:p w14:paraId="53EF7ABF">
      <w:pPr>
        <w:keepNext w:val="0"/>
        <w:keepLines w:val="0"/>
        <w:pageBreakBefore w:val="0"/>
        <w:widowControl w:val="0"/>
        <w:tabs>
          <w:tab w:val="left" w:pos="720"/>
        </w:tabs>
        <w:kinsoku/>
        <w:wordWrap/>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2.乙方负责到甲方医疗废物暂存间</w:t>
      </w:r>
      <w:r>
        <w:rPr>
          <w:rFonts w:hint="eastAsia" w:ascii="宋体" w:hAnsi="宋体" w:cs="宋体"/>
          <w:color w:val="auto"/>
          <w:sz w:val="24"/>
          <w:szCs w:val="24"/>
          <w:highlight w:val="none"/>
          <w:lang w:eastAsia="zh-CN"/>
        </w:rPr>
        <w:t>（广西医科大学附属武鸣医院、广西医科大学附属武鸣医院临床医学研究中心）</w:t>
      </w:r>
      <w:r>
        <w:rPr>
          <w:rFonts w:hint="eastAsia" w:ascii="宋体" w:hAnsi="宋体" w:eastAsia="宋体" w:cs="宋体"/>
          <w:color w:val="auto"/>
          <w:sz w:val="24"/>
          <w:szCs w:val="24"/>
          <w:highlight w:val="none"/>
        </w:rPr>
        <w:t>接收并运输至乙方处置场所</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收运频率为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院本部每天一次；广西医科大学附属武鸣医院临床医学研究中心一周两次。如遇突发情况，双方协商后可临时调整。</w:t>
      </w:r>
    </w:p>
    <w:p w14:paraId="162CE7EE">
      <w:pPr>
        <w:pStyle w:val="2"/>
        <w:spacing w:line="440" w:lineRule="exact"/>
        <w:rPr>
          <w:rFonts w:hint="default"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3.按要求及时转运处置产生的医疗废弃物，日产日清，确保48小时暂存清零；每天至少转运处置一次，如甲方需增加清运次数，则需满足要求，当日任务当日完成。</w:t>
      </w:r>
    </w:p>
    <w:p w14:paraId="6403E1EB">
      <w:pPr>
        <w:keepNext w:val="0"/>
        <w:keepLines w:val="0"/>
        <w:pageBreakBefore w:val="0"/>
        <w:widowControl w:val="0"/>
        <w:kinsoku/>
        <w:wordWrap/>
        <w:autoSpaceDE/>
        <w:autoSpaceDN/>
        <w:bidi w:val="0"/>
        <w:adjustRightInd/>
        <w:spacing w:line="440" w:lineRule="exact"/>
        <w:ind w:firstLine="482" w:firstLineChars="200"/>
        <w:jc w:val="left"/>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第二条 合同期限</w:t>
      </w:r>
    </w:p>
    <w:p w14:paraId="55E4E1AF">
      <w:pPr>
        <w:keepNext w:val="0"/>
        <w:keepLines w:val="0"/>
        <w:pageBreakBefore w:val="0"/>
        <w:widowControl w:val="0"/>
        <w:tabs>
          <w:tab w:val="left" w:pos="720"/>
        </w:tabs>
        <w:kinsoku/>
        <w:wordWrap/>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合同期</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年，自</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日起至</w:t>
      </w:r>
      <w:r>
        <w:rPr>
          <w:rFonts w:hint="eastAsia" w:ascii="宋体" w:hAnsi="宋体" w:eastAsia="宋体" w:cs="宋体"/>
          <w:color w:val="auto"/>
          <w:sz w:val="24"/>
          <w:szCs w:val="24"/>
          <w:highlight w:val="none"/>
          <w:u w:val="single"/>
          <w:lang w:val="en-US" w:eastAsia="zh-CN"/>
        </w:rPr>
        <w:t>2028</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日止。</w:t>
      </w:r>
    </w:p>
    <w:p w14:paraId="669D8136">
      <w:pPr>
        <w:keepNext w:val="0"/>
        <w:keepLines w:val="0"/>
        <w:pageBreakBefore w:val="0"/>
        <w:widowControl w:val="0"/>
        <w:kinsoku/>
        <w:wordWrap/>
        <w:autoSpaceDE/>
        <w:autoSpaceDN/>
        <w:bidi w:val="0"/>
        <w:adjustRightInd/>
        <w:spacing w:line="440" w:lineRule="exact"/>
        <w:ind w:firstLine="482" w:firstLineChars="200"/>
        <w:jc w:val="left"/>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 xml:space="preserve">第三条 </w:t>
      </w:r>
      <w:r>
        <w:rPr>
          <w:rFonts w:hint="eastAsia" w:ascii="宋体" w:hAnsi="宋体" w:cs="宋体"/>
          <w:b/>
          <w:color w:val="auto"/>
          <w:kern w:val="2"/>
          <w:sz w:val="24"/>
          <w:szCs w:val="24"/>
          <w:highlight w:val="none"/>
          <w:lang w:val="en-US" w:eastAsia="zh-CN" w:bidi="ar-SA"/>
        </w:rPr>
        <w:t>金额</w:t>
      </w:r>
      <w:r>
        <w:rPr>
          <w:rFonts w:hint="eastAsia" w:ascii="宋体" w:hAnsi="宋体" w:eastAsia="宋体" w:cs="宋体"/>
          <w:b/>
          <w:color w:val="auto"/>
          <w:kern w:val="2"/>
          <w:sz w:val="24"/>
          <w:szCs w:val="24"/>
          <w:highlight w:val="none"/>
          <w:lang w:val="en-US" w:eastAsia="zh-CN" w:bidi="ar-SA"/>
        </w:rPr>
        <w:t>和付款方式</w:t>
      </w:r>
    </w:p>
    <w:p w14:paraId="4372DECA">
      <w:pPr>
        <w:keepNext w:val="0"/>
        <w:keepLines w:val="0"/>
        <w:pageBreakBefore w:val="0"/>
        <w:widowControl w:val="0"/>
        <w:tabs>
          <w:tab w:val="left" w:pos="720"/>
        </w:tabs>
        <w:kinsoku/>
        <w:wordWrap/>
        <w:autoSpaceDE/>
        <w:autoSpaceDN/>
        <w:bidi w:val="0"/>
        <w:adjustRightInd/>
        <w:spacing w:line="440" w:lineRule="exact"/>
        <w:ind w:firstLine="482" w:firstLineChars="200"/>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1.</w:t>
      </w:r>
      <w:r>
        <w:rPr>
          <w:rFonts w:hint="eastAsia" w:ascii="宋体" w:hAnsi="宋体" w:cs="宋体"/>
          <w:b/>
          <w:bCs/>
          <w:color w:val="auto"/>
          <w:sz w:val="24"/>
          <w:szCs w:val="24"/>
          <w:highlight w:val="none"/>
          <w:lang w:val="en-US" w:eastAsia="zh-CN"/>
        </w:rPr>
        <w:t>项目一览表</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
        <w:gridCol w:w="1135"/>
        <w:gridCol w:w="3773"/>
        <w:gridCol w:w="700"/>
        <w:gridCol w:w="700"/>
        <w:gridCol w:w="1267"/>
        <w:gridCol w:w="1116"/>
      </w:tblGrid>
      <w:tr w14:paraId="64C1F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Align w:val="center"/>
          </w:tcPr>
          <w:p w14:paraId="75F957B6">
            <w:pPr>
              <w:spacing w:line="440" w:lineRule="exact"/>
              <w:jc w:val="center"/>
              <w:rPr>
                <w:rFonts w:hint="eastAsia" w:eastAsiaTheme="minorEastAsia"/>
                <w:color w:val="auto"/>
                <w:sz w:val="24"/>
                <w:highlight w:val="none"/>
                <w:vertAlign w:val="baseline"/>
                <w:lang w:val="en-US" w:eastAsia="zh-CN"/>
              </w:rPr>
            </w:pPr>
            <w:r>
              <w:rPr>
                <w:rFonts w:hint="eastAsia"/>
                <w:color w:val="auto"/>
                <w:sz w:val="24"/>
                <w:highlight w:val="none"/>
                <w:vertAlign w:val="baseline"/>
                <w:lang w:val="en-US" w:eastAsia="zh-CN"/>
              </w:rPr>
              <w:t>序号</w:t>
            </w:r>
          </w:p>
        </w:tc>
        <w:tc>
          <w:tcPr>
            <w:tcW w:w="1135" w:type="dxa"/>
            <w:vAlign w:val="center"/>
          </w:tcPr>
          <w:p w14:paraId="403FCB31">
            <w:pPr>
              <w:spacing w:line="440" w:lineRule="exact"/>
              <w:jc w:val="center"/>
              <w:rPr>
                <w:rFonts w:hint="eastAsia" w:eastAsiaTheme="minorEastAsia"/>
                <w:color w:val="auto"/>
                <w:sz w:val="24"/>
                <w:highlight w:val="none"/>
                <w:vertAlign w:val="baseline"/>
                <w:lang w:val="en-US" w:eastAsia="zh-CN"/>
              </w:rPr>
            </w:pPr>
            <w:r>
              <w:rPr>
                <w:rFonts w:hint="eastAsia"/>
                <w:color w:val="auto"/>
                <w:sz w:val="24"/>
                <w:highlight w:val="none"/>
                <w:vertAlign w:val="baseline"/>
                <w:lang w:val="en-US" w:eastAsia="zh-CN"/>
              </w:rPr>
              <w:t>名称</w:t>
            </w:r>
          </w:p>
        </w:tc>
        <w:tc>
          <w:tcPr>
            <w:tcW w:w="3773" w:type="dxa"/>
            <w:vAlign w:val="center"/>
          </w:tcPr>
          <w:p w14:paraId="46C99901">
            <w:pPr>
              <w:spacing w:line="440" w:lineRule="exact"/>
              <w:jc w:val="center"/>
              <w:rPr>
                <w:rFonts w:hint="default" w:eastAsiaTheme="minorEastAsia"/>
                <w:color w:val="auto"/>
                <w:sz w:val="24"/>
                <w:highlight w:val="none"/>
                <w:vertAlign w:val="baseline"/>
                <w:lang w:val="en-US" w:eastAsia="zh-CN"/>
              </w:rPr>
            </w:pPr>
            <w:r>
              <w:rPr>
                <w:rFonts w:hint="eastAsia"/>
                <w:color w:val="auto"/>
                <w:sz w:val="24"/>
                <w:highlight w:val="none"/>
                <w:vertAlign w:val="baseline"/>
                <w:lang w:val="en-US" w:eastAsia="zh-CN"/>
              </w:rPr>
              <w:t>服务内容</w:t>
            </w:r>
          </w:p>
        </w:tc>
        <w:tc>
          <w:tcPr>
            <w:tcW w:w="700" w:type="dxa"/>
            <w:vAlign w:val="center"/>
          </w:tcPr>
          <w:p w14:paraId="19BBBEAD">
            <w:pPr>
              <w:spacing w:line="440" w:lineRule="exact"/>
              <w:jc w:val="center"/>
              <w:rPr>
                <w:rFonts w:hint="eastAsia" w:eastAsiaTheme="minorEastAsia"/>
                <w:color w:val="auto"/>
                <w:sz w:val="24"/>
                <w:highlight w:val="none"/>
                <w:vertAlign w:val="baseline"/>
                <w:lang w:val="en-US" w:eastAsia="zh-CN"/>
              </w:rPr>
            </w:pPr>
            <w:r>
              <w:rPr>
                <w:rFonts w:hint="eastAsia"/>
                <w:color w:val="auto"/>
                <w:sz w:val="24"/>
                <w:highlight w:val="none"/>
                <w:vertAlign w:val="baseline"/>
                <w:lang w:val="en-US" w:eastAsia="zh-CN"/>
              </w:rPr>
              <w:t>数量</w:t>
            </w:r>
          </w:p>
        </w:tc>
        <w:tc>
          <w:tcPr>
            <w:tcW w:w="700" w:type="dxa"/>
            <w:vAlign w:val="center"/>
          </w:tcPr>
          <w:p w14:paraId="5392F3E6">
            <w:pPr>
              <w:spacing w:line="440" w:lineRule="exact"/>
              <w:jc w:val="center"/>
              <w:rPr>
                <w:rFonts w:hint="eastAsia" w:eastAsiaTheme="minorEastAsia"/>
                <w:color w:val="auto"/>
                <w:sz w:val="24"/>
                <w:highlight w:val="none"/>
                <w:vertAlign w:val="baseline"/>
                <w:lang w:val="en-US" w:eastAsia="zh-CN"/>
              </w:rPr>
            </w:pPr>
            <w:r>
              <w:rPr>
                <w:rFonts w:hint="eastAsia"/>
                <w:color w:val="auto"/>
                <w:sz w:val="24"/>
                <w:highlight w:val="none"/>
                <w:vertAlign w:val="baseline"/>
                <w:lang w:val="en-US" w:eastAsia="zh-CN"/>
              </w:rPr>
              <w:t>单位</w:t>
            </w:r>
          </w:p>
        </w:tc>
        <w:tc>
          <w:tcPr>
            <w:tcW w:w="1267" w:type="dxa"/>
            <w:vAlign w:val="center"/>
          </w:tcPr>
          <w:p w14:paraId="4F68D3EE">
            <w:pPr>
              <w:spacing w:line="440" w:lineRule="exact"/>
              <w:jc w:val="center"/>
              <w:rPr>
                <w:rFonts w:hint="default" w:eastAsiaTheme="minorEastAsia"/>
                <w:color w:val="auto"/>
                <w:sz w:val="24"/>
                <w:highlight w:val="none"/>
                <w:vertAlign w:val="baseline"/>
                <w:lang w:val="en-US" w:eastAsia="zh-CN"/>
              </w:rPr>
            </w:pPr>
            <w:r>
              <w:rPr>
                <w:rFonts w:hint="eastAsia"/>
                <w:color w:val="auto"/>
                <w:sz w:val="24"/>
                <w:highlight w:val="none"/>
                <w:vertAlign w:val="baseline"/>
                <w:lang w:val="en-US" w:eastAsia="zh-CN"/>
              </w:rPr>
              <w:t>单价（元）</w:t>
            </w:r>
          </w:p>
        </w:tc>
        <w:tc>
          <w:tcPr>
            <w:tcW w:w="1116" w:type="dxa"/>
            <w:vAlign w:val="center"/>
          </w:tcPr>
          <w:p w14:paraId="551A1273">
            <w:pPr>
              <w:spacing w:line="440" w:lineRule="exact"/>
              <w:jc w:val="center"/>
              <w:rPr>
                <w:rFonts w:hint="eastAsia" w:eastAsiaTheme="minorEastAsia"/>
                <w:color w:val="auto"/>
                <w:sz w:val="24"/>
                <w:highlight w:val="none"/>
                <w:vertAlign w:val="baseline"/>
                <w:lang w:val="en-US" w:eastAsia="zh-CN"/>
              </w:rPr>
            </w:pPr>
            <w:r>
              <w:rPr>
                <w:rFonts w:hint="eastAsia"/>
                <w:color w:val="auto"/>
                <w:sz w:val="24"/>
                <w:highlight w:val="none"/>
                <w:vertAlign w:val="baseline"/>
                <w:lang w:val="en-US" w:eastAsia="zh-CN"/>
              </w:rPr>
              <w:t>总价</w:t>
            </w:r>
          </w:p>
        </w:tc>
      </w:tr>
      <w:tr w14:paraId="4BE97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dxa"/>
            <w:vAlign w:val="center"/>
          </w:tcPr>
          <w:p w14:paraId="64054BE6">
            <w:pPr>
              <w:spacing w:line="440" w:lineRule="exact"/>
              <w:jc w:val="center"/>
              <w:rPr>
                <w:rFonts w:hint="eastAsia" w:eastAsiaTheme="minorEastAsia"/>
                <w:color w:val="auto"/>
                <w:sz w:val="24"/>
                <w:highlight w:val="none"/>
                <w:vertAlign w:val="baseline"/>
                <w:lang w:val="en-US" w:eastAsia="zh-CN"/>
              </w:rPr>
            </w:pPr>
            <w:r>
              <w:rPr>
                <w:rFonts w:hint="eastAsia"/>
                <w:color w:val="auto"/>
                <w:sz w:val="24"/>
                <w:highlight w:val="none"/>
                <w:vertAlign w:val="baseline"/>
                <w:lang w:val="en-US" w:eastAsia="zh-CN"/>
              </w:rPr>
              <w:t>1</w:t>
            </w:r>
          </w:p>
        </w:tc>
        <w:tc>
          <w:tcPr>
            <w:tcW w:w="1135" w:type="dxa"/>
            <w:vAlign w:val="center"/>
          </w:tcPr>
          <w:p w14:paraId="5994470F">
            <w:pPr>
              <w:spacing w:line="440" w:lineRule="exact"/>
              <w:jc w:val="center"/>
              <w:rPr>
                <w:rFonts w:hint="default" w:eastAsiaTheme="minorEastAsia"/>
                <w:color w:val="auto"/>
                <w:sz w:val="24"/>
                <w:highlight w:val="none"/>
                <w:vertAlign w:val="baseline"/>
                <w:lang w:val="en-US" w:eastAsia="zh-CN"/>
              </w:rPr>
            </w:pPr>
            <w:r>
              <w:rPr>
                <w:rFonts w:hint="eastAsia"/>
                <w:color w:val="auto"/>
                <w:sz w:val="24"/>
                <w:highlight w:val="none"/>
                <w:vertAlign w:val="baseline"/>
                <w:lang w:val="en-US" w:eastAsia="zh-CN"/>
              </w:rPr>
              <w:t>医疗废弃物处置服务</w:t>
            </w:r>
          </w:p>
        </w:tc>
        <w:tc>
          <w:tcPr>
            <w:tcW w:w="3773" w:type="dxa"/>
            <w:vAlign w:val="center"/>
          </w:tcPr>
          <w:p w14:paraId="112A81C5">
            <w:pPr>
              <w:numPr>
                <w:ilvl w:val="0"/>
                <w:numId w:val="0"/>
              </w:numPr>
              <w:snapToGrid w:val="0"/>
              <w:spacing w:line="440" w:lineRule="exact"/>
              <w:jc w:val="center"/>
              <w:rPr>
                <w:color w:val="auto"/>
                <w:sz w:val="24"/>
                <w:highlight w:val="none"/>
                <w:vertAlign w:val="baseline"/>
              </w:rPr>
            </w:pPr>
            <w:r>
              <w:rPr>
                <w:rFonts w:hint="eastAsia" w:ascii="宋体" w:hAnsi="Times New Roman" w:eastAsia="宋体" w:cs="宋体"/>
                <w:color w:val="auto"/>
                <w:sz w:val="24"/>
                <w:szCs w:val="24"/>
                <w:highlight w:val="none"/>
                <w:lang w:val="en-US" w:eastAsia="zh-CN" w:bidi="ar"/>
              </w:rPr>
              <w:t>甲方</w:t>
            </w:r>
            <w:r>
              <w:rPr>
                <w:rFonts w:hint="eastAsia" w:ascii="宋体" w:hAnsi="Times New Roman" w:eastAsia="宋体" w:cs="宋体"/>
                <w:color w:val="auto"/>
                <w:sz w:val="24"/>
                <w:szCs w:val="24"/>
                <w:highlight w:val="none"/>
                <w:lang w:bidi="ar"/>
              </w:rPr>
              <w:t>在经营活动中产生的医疗废物，由</w:t>
            </w:r>
            <w:r>
              <w:rPr>
                <w:rFonts w:hint="eastAsia" w:ascii="宋体" w:cs="宋体"/>
                <w:color w:val="auto"/>
                <w:sz w:val="24"/>
                <w:szCs w:val="24"/>
                <w:highlight w:val="none"/>
                <w:lang w:val="en-US" w:eastAsia="zh-CN" w:bidi="ar"/>
              </w:rPr>
              <w:t>乙方</w:t>
            </w:r>
            <w:r>
              <w:rPr>
                <w:rFonts w:hint="eastAsia" w:ascii="宋体" w:hAnsi="Times New Roman" w:eastAsia="宋体" w:cs="宋体"/>
                <w:color w:val="auto"/>
                <w:sz w:val="24"/>
                <w:szCs w:val="24"/>
                <w:highlight w:val="none"/>
                <w:lang w:bidi="ar"/>
              </w:rPr>
              <w:t>负责装卸、运输、鉴别、处置及周转箱清洗等服务。处置医疗废物种类及特性详见</w:t>
            </w:r>
            <w:r>
              <w:rPr>
                <w:rFonts w:hint="eastAsia" w:ascii="宋体" w:hAnsi="Times New Roman" w:eastAsia="宋体" w:cs="宋体"/>
                <w:color w:val="auto"/>
                <w:sz w:val="24"/>
                <w:szCs w:val="24"/>
                <w:highlight w:val="none"/>
                <w:lang w:val="en-US" w:eastAsia="zh-CN" w:bidi="ar"/>
              </w:rPr>
              <w:t>合同</w:t>
            </w:r>
            <w:r>
              <w:rPr>
                <w:rFonts w:hint="eastAsia" w:ascii="宋体" w:hAnsi="Times New Roman" w:eastAsia="宋体" w:cs="宋体"/>
                <w:color w:val="auto"/>
                <w:sz w:val="24"/>
                <w:szCs w:val="24"/>
                <w:highlight w:val="none"/>
                <w:lang w:bidi="ar"/>
              </w:rPr>
              <w:t>附件</w:t>
            </w:r>
            <w:r>
              <w:rPr>
                <w:rFonts w:hint="eastAsia" w:ascii="宋体" w:cs="宋体"/>
                <w:color w:val="auto"/>
                <w:sz w:val="24"/>
                <w:szCs w:val="24"/>
                <w:highlight w:val="none"/>
                <w:lang w:val="en-US" w:eastAsia="zh-CN" w:bidi="ar"/>
              </w:rPr>
              <w:t>1</w:t>
            </w:r>
            <w:r>
              <w:rPr>
                <w:rFonts w:hint="eastAsia" w:ascii="宋体" w:hAnsi="Times New Roman" w:eastAsia="宋体" w:cs="宋体"/>
                <w:color w:val="auto"/>
                <w:sz w:val="24"/>
                <w:szCs w:val="24"/>
                <w:highlight w:val="none"/>
                <w:lang w:bidi="ar"/>
              </w:rPr>
              <w:t>：《医疗废物种类及特性分析表》。</w:t>
            </w:r>
          </w:p>
        </w:tc>
        <w:tc>
          <w:tcPr>
            <w:tcW w:w="700" w:type="dxa"/>
            <w:vAlign w:val="center"/>
          </w:tcPr>
          <w:p w14:paraId="69853046">
            <w:pPr>
              <w:spacing w:line="440" w:lineRule="exact"/>
              <w:jc w:val="center"/>
              <w:rPr>
                <w:rFonts w:hint="default" w:eastAsiaTheme="minorEastAsia"/>
                <w:color w:val="auto"/>
                <w:sz w:val="24"/>
                <w:highlight w:val="none"/>
                <w:vertAlign w:val="baseline"/>
                <w:lang w:val="en-US" w:eastAsia="zh-CN"/>
              </w:rPr>
            </w:pPr>
            <w:r>
              <w:rPr>
                <w:rFonts w:hint="eastAsia"/>
                <w:color w:val="auto"/>
                <w:sz w:val="24"/>
                <w:highlight w:val="none"/>
                <w:vertAlign w:val="baseline"/>
                <w:lang w:val="en-US" w:eastAsia="zh-CN"/>
              </w:rPr>
              <w:t>24</w:t>
            </w:r>
          </w:p>
        </w:tc>
        <w:tc>
          <w:tcPr>
            <w:tcW w:w="700" w:type="dxa"/>
            <w:vAlign w:val="center"/>
          </w:tcPr>
          <w:p w14:paraId="55F4D753">
            <w:pPr>
              <w:spacing w:line="440" w:lineRule="exact"/>
              <w:jc w:val="center"/>
              <w:rPr>
                <w:rFonts w:hint="eastAsia" w:eastAsiaTheme="minorEastAsia"/>
                <w:color w:val="auto"/>
                <w:sz w:val="24"/>
                <w:highlight w:val="none"/>
                <w:vertAlign w:val="baseline"/>
                <w:lang w:val="en-US" w:eastAsia="zh-CN"/>
              </w:rPr>
            </w:pPr>
            <w:r>
              <w:rPr>
                <w:rFonts w:hint="eastAsia"/>
                <w:color w:val="auto"/>
                <w:sz w:val="24"/>
                <w:highlight w:val="none"/>
                <w:vertAlign w:val="baseline"/>
                <w:lang w:val="en-US" w:eastAsia="zh-CN"/>
              </w:rPr>
              <w:t>月</w:t>
            </w:r>
          </w:p>
        </w:tc>
        <w:tc>
          <w:tcPr>
            <w:tcW w:w="1267" w:type="dxa"/>
            <w:vAlign w:val="center"/>
          </w:tcPr>
          <w:p w14:paraId="7281AFFF">
            <w:pPr>
              <w:spacing w:line="440" w:lineRule="exact"/>
              <w:jc w:val="center"/>
              <w:rPr>
                <w:color w:val="auto"/>
                <w:sz w:val="24"/>
                <w:highlight w:val="none"/>
                <w:vertAlign w:val="baseline"/>
              </w:rPr>
            </w:pPr>
          </w:p>
        </w:tc>
        <w:tc>
          <w:tcPr>
            <w:tcW w:w="1116" w:type="dxa"/>
            <w:vAlign w:val="center"/>
          </w:tcPr>
          <w:p w14:paraId="452C4DD9">
            <w:pPr>
              <w:spacing w:line="440" w:lineRule="exact"/>
              <w:jc w:val="center"/>
              <w:rPr>
                <w:color w:val="auto"/>
                <w:sz w:val="24"/>
                <w:highlight w:val="none"/>
                <w:vertAlign w:val="baseline"/>
              </w:rPr>
            </w:pPr>
          </w:p>
        </w:tc>
      </w:tr>
      <w:tr w14:paraId="47821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3" w:type="dxa"/>
            <w:gridSpan w:val="7"/>
          </w:tcPr>
          <w:p w14:paraId="02BA95FC">
            <w:pPr>
              <w:spacing w:line="440" w:lineRule="exact"/>
              <w:rPr>
                <w:rFonts w:hint="default" w:eastAsiaTheme="minorEastAsia"/>
                <w:color w:val="auto"/>
                <w:sz w:val="24"/>
                <w:highlight w:val="none"/>
                <w:vertAlign w:val="baseline"/>
                <w:lang w:val="en-US" w:eastAsia="zh-CN"/>
              </w:rPr>
            </w:pPr>
            <w:r>
              <w:rPr>
                <w:rFonts w:hint="eastAsia"/>
                <w:color w:val="auto"/>
                <w:sz w:val="24"/>
                <w:highlight w:val="none"/>
                <w:vertAlign w:val="baseline"/>
                <w:lang w:val="en-US" w:eastAsia="zh-CN"/>
              </w:rPr>
              <w:t>人民币合计金额（大写）：</w:t>
            </w:r>
          </w:p>
        </w:tc>
      </w:tr>
      <w:tr w14:paraId="17DA7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3" w:type="dxa"/>
            <w:gridSpan w:val="7"/>
          </w:tcPr>
          <w:p w14:paraId="181D8C89">
            <w:pPr>
              <w:spacing w:line="440" w:lineRule="exact"/>
              <w:rPr>
                <w:rFonts w:hint="default" w:eastAsiaTheme="minorEastAsia"/>
                <w:color w:val="auto"/>
                <w:sz w:val="24"/>
                <w:highlight w:val="none"/>
                <w:vertAlign w:val="baseline"/>
                <w:lang w:val="en-US" w:eastAsia="zh-CN"/>
              </w:rPr>
            </w:pPr>
            <w:r>
              <w:rPr>
                <w:rFonts w:hint="eastAsia"/>
                <w:color w:val="auto"/>
                <w:sz w:val="24"/>
                <w:highlight w:val="none"/>
                <w:vertAlign w:val="baseline"/>
                <w:lang w:val="en-US" w:eastAsia="zh-CN"/>
              </w:rPr>
              <w:t>合同合计金额包括完成本项目服务所需人工、设备配置、运输、管理、利润和税金等所有费用。</w:t>
            </w:r>
          </w:p>
        </w:tc>
      </w:tr>
    </w:tbl>
    <w:p w14:paraId="47A633E7">
      <w:pPr>
        <w:keepNext w:val="0"/>
        <w:keepLines w:val="0"/>
        <w:pageBreakBefore w:val="0"/>
        <w:widowControl w:val="0"/>
        <w:tabs>
          <w:tab w:val="left" w:pos="720"/>
        </w:tabs>
        <w:kinsoku/>
        <w:wordWrap/>
        <w:autoSpaceDE/>
        <w:autoSpaceDN/>
        <w:bidi w:val="0"/>
        <w:adjustRightInd/>
        <w:spacing w:line="440" w:lineRule="exact"/>
        <w:ind w:firstLine="482" w:firstLineChars="20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2.付款方式</w:t>
      </w:r>
    </w:p>
    <w:p w14:paraId="433F52D0">
      <w:pPr>
        <w:widowControl w:val="0"/>
        <w:spacing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kern w:val="2"/>
          <w:sz w:val="24"/>
          <w:szCs w:val="24"/>
          <w:highlight w:val="none"/>
          <w:lang w:val="en-US" w:eastAsia="zh-CN" w:bidi="ar-SA"/>
        </w:rPr>
        <w:t>费用计算：每月按固定服务费进行计算</w:t>
      </w:r>
      <w:r>
        <w:rPr>
          <w:rFonts w:hint="eastAsia" w:ascii="宋体" w:hAnsi="宋体" w:cs="宋体"/>
          <w:color w:val="auto"/>
          <w:kern w:val="2"/>
          <w:sz w:val="24"/>
          <w:szCs w:val="24"/>
          <w:highlight w:val="none"/>
          <w:lang w:val="en-US" w:eastAsia="zh-CN" w:bidi="ar-SA"/>
        </w:rPr>
        <w:t>。</w:t>
      </w:r>
    </w:p>
    <w:p w14:paraId="0D00705B">
      <w:pPr>
        <w:widowControl w:val="0"/>
        <w:spacing w:line="44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（2）</w:t>
      </w:r>
      <w:r>
        <w:rPr>
          <w:rFonts w:hint="eastAsia" w:ascii="宋体" w:hAnsi="宋体" w:eastAsia="宋体" w:cs="宋体"/>
          <w:color w:val="auto"/>
          <w:kern w:val="2"/>
          <w:sz w:val="24"/>
          <w:szCs w:val="24"/>
          <w:highlight w:val="none"/>
          <w:lang w:val="en-US" w:eastAsia="zh-CN" w:bidi="ar-SA"/>
        </w:rPr>
        <w:t>结算费用：在每月固定服务费的基础上，</w:t>
      </w:r>
      <w:r>
        <w:rPr>
          <w:rFonts w:hint="eastAsia" w:ascii="宋体" w:hAnsi="宋体" w:eastAsia="宋体" w:cs="宋体"/>
          <w:color w:val="auto"/>
          <w:kern w:val="2"/>
          <w:sz w:val="24"/>
          <w:szCs w:val="24"/>
          <w:highlight w:val="none"/>
          <w:u w:val="single"/>
          <w:lang w:val="en-US" w:eastAsia="zh-CN" w:bidi="ar-SA"/>
        </w:rPr>
        <w:t>扣减当</w:t>
      </w:r>
      <w:r>
        <w:rPr>
          <w:rFonts w:hint="eastAsia" w:ascii="宋体" w:hAnsi="宋体" w:eastAsia="宋体" w:cs="宋体"/>
          <w:color w:val="auto"/>
          <w:kern w:val="2"/>
          <w:sz w:val="24"/>
          <w:szCs w:val="24"/>
          <w:highlight w:val="none"/>
          <w:lang w:val="en-US" w:eastAsia="zh-CN" w:bidi="ar-SA"/>
        </w:rPr>
        <w:t>月应扣金额、违约金等进行结算，即：实际结算金额=月固定服务费-当月应扣金额、违约金等。</w:t>
      </w:r>
      <w:r>
        <w:rPr>
          <w:rFonts w:hint="eastAsia" w:ascii="宋体" w:hAnsi="宋体" w:cs="宋体"/>
          <w:color w:val="auto"/>
          <w:sz w:val="24"/>
          <w:szCs w:val="24"/>
          <w:highlight w:val="none"/>
        </w:rPr>
        <w:t>当月应扣金额包括但不限于：因乙方服务不达标、违反甲方管理规定、有效投诉、或未按约定时间完成工作等情形产生的扣款。</w:t>
      </w:r>
    </w:p>
    <w:p w14:paraId="27B13BE0">
      <w:pPr>
        <w:widowControl/>
        <w:spacing w:line="440" w:lineRule="exact"/>
        <w:ind w:firstLine="480" w:firstLineChars="200"/>
        <w:jc w:val="left"/>
        <w:rPr>
          <w:rFonts w:hint="eastAsia" w:ascii="宋体" w:hAnsi="宋体" w:eastAsia="宋体" w:cs="宋体"/>
          <w:color w:val="auto"/>
          <w:kern w:val="2"/>
          <w:sz w:val="24"/>
          <w:szCs w:val="24"/>
          <w:highlight w:val="none"/>
          <w:u w:val="single"/>
          <w:lang w:val="en-US" w:eastAsia="zh-CN" w:bidi="ar-SA"/>
        </w:rPr>
      </w:pPr>
      <w:r>
        <w:rPr>
          <w:rFonts w:hint="eastAsia"/>
          <w:color w:val="auto"/>
          <w:sz w:val="24"/>
          <w:highlight w:val="none"/>
          <w:lang w:eastAsia="zh-CN"/>
        </w:rPr>
        <w:t>（</w:t>
      </w:r>
      <w:r>
        <w:rPr>
          <w:rFonts w:hint="eastAsia" w:ascii="宋体" w:hAnsi="宋体" w:eastAsia="宋体" w:cs="宋体"/>
          <w:color w:val="auto"/>
          <w:kern w:val="2"/>
          <w:sz w:val="24"/>
          <w:szCs w:val="24"/>
          <w:highlight w:val="none"/>
          <w:lang w:val="en-US" w:eastAsia="zh-CN" w:bidi="ar-SA"/>
        </w:rPr>
        <w:t>3.</w:t>
      </w:r>
      <w:r>
        <w:rPr>
          <w:rFonts w:hint="eastAsia"/>
          <w:color w:val="auto"/>
          <w:sz w:val="24"/>
          <w:highlight w:val="none"/>
          <w:lang w:eastAsia="zh-CN"/>
        </w:rPr>
        <w:t>）</w:t>
      </w:r>
      <w:r>
        <w:rPr>
          <w:rFonts w:hint="eastAsia" w:ascii="宋体" w:hAnsi="宋体" w:eastAsia="宋体" w:cs="宋体"/>
          <w:color w:val="auto"/>
          <w:kern w:val="2"/>
          <w:sz w:val="24"/>
          <w:szCs w:val="24"/>
          <w:highlight w:val="none"/>
          <w:lang w:val="en-US" w:eastAsia="zh-CN" w:bidi="ar-SA"/>
        </w:rPr>
        <w:t>费用按月结</w:t>
      </w:r>
      <w:r>
        <w:rPr>
          <w:rFonts w:hint="eastAsia" w:ascii="宋体" w:hAnsi="宋体" w:eastAsia="宋体" w:cs="宋体"/>
          <w:color w:val="auto"/>
          <w:kern w:val="2"/>
          <w:sz w:val="24"/>
          <w:szCs w:val="24"/>
          <w:highlight w:val="none"/>
          <w:u w:val="single"/>
          <w:lang w:val="en-US" w:eastAsia="zh-CN" w:bidi="ar-SA"/>
        </w:rPr>
        <w:t>算。</w:t>
      </w:r>
      <w:r>
        <w:rPr>
          <w:rFonts w:hint="eastAsia" w:ascii="宋体" w:hAnsi="宋体" w:cs="宋体"/>
          <w:color w:val="auto"/>
          <w:kern w:val="2"/>
          <w:sz w:val="24"/>
          <w:szCs w:val="24"/>
          <w:highlight w:val="none"/>
          <w:u w:val="single"/>
          <w:lang w:val="en-US" w:eastAsia="zh-CN" w:bidi="ar-SA"/>
        </w:rPr>
        <w:t>乙方</w:t>
      </w:r>
      <w:r>
        <w:rPr>
          <w:rFonts w:hint="eastAsia" w:ascii="宋体" w:hAnsi="宋体" w:eastAsia="宋体" w:cs="宋体"/>
          <w:color w:val="auto"/>
          <w:kern w:val="2"/>
          <w:sz w:val="24"/>
          <w:szCs w:val="24"/>
          <w:highlight w:val="none"/>
          <w:u w:val="single"/>
          <w:lang w:val="en-US" w:eastAsia="zh-CN" w:bidi="ar-SA"/>
        </w:rPr>
        <w:t>于次月 10 日前向</w:t>
      </w:r>
      <w:r>
        <w:rPr>
          <w:rFonts w:hint="eastAsia" w:ascii="宋体" w:hAnsi="宋体" w:cs="宋体"/>
          <w:color w:val="auto"/>
          <w:kern w:val="2"/>
          <w:sz w:val="24"/>
          <w:szCs w:val="24"/>
          <w:highlight w:val="none"/>
          <w:u w:val="single"/>
          <w:lang w:val="en-US" w:eastAsia="zh-CN" w:bidi="ar-SA"/>
        </w:rPr>
        <w:t>甲方</w:t>
      </w:r>
      <w:r>
        <w:rPr>
          <w:rFonts w:hint="eastAsia" w:ascii="宋体" w:hAnsi="宋体" w:eastAsia="宋体" w:cs="宋体"/>
          <w:color w:val="auto"/>
          <w:kern w:val="2"/>
          <w:sz w:val="24"/>
          <w:szCs w:val="24"/>
          <w:highlight w:val="none"/>
          <w:u w:val="single"/>
          <w:lang w:val="en-US" w:eastAsia="zh-CN" w:bidi="ar-SA"/>
        </w:rPr>
        <w:t>提供上月付款申请，待</w:t>
      </w:r>
      <w:r>
        <w:rPr>
          <w:rFonts w:hint="eastAsia" w:ascii="宋体" w:hAnsi="宋体" w:cs="宋体"/>
          <w:color w:val="auto"/>
          <w:kern w:val="2"/>
          <w:sz w:val="24"/>
          <w:szCs w:val="24"/>
          <w:highlight w:val="none"/>
          <w:u w:val="single"/>
          <w:lang w:val="en-US" w:eastAsia="zh-CN" w:bidi="ar-SA"/>
        </w:rPr>
        <w:t>甲方</w:t>
      </w:r>
      <w:r>
        <w:rPr>
          <w:rFonts w:hint="eastAsia" w:ascii="宋体" w:hAnsi="宋体" w:eastAsia="宋体" w:cs="宋体"/>
          <w:color w:val="auto"/>
          <w:kern w:val="2"/>
          <w:sz w:val="24"/>
          <w:szCs w:val="24"/>
          <w:highlight w:val="none"/>
          <w:u w:val="single"/>
          <w:lang w:val="en-US" w:eastAsia="zh-CN" w:bidi="ar-SA"/>
        </w:rPr>
        <w:t>审核无误后由</w:t>
      </w:r>
      <w:r>
        <w:rPr>
          <w:rFonts w:hint="eastAsia" w:ascii="宋体" w:hAnsi="宋体" w:cs="宋体"/>
          <w:color w:val="auto"/>
          <w:kern w:val="2"/>
          <w:sz w:val="24"/>
          <w:szCs w:val="24"/>
          <w:highlight w:val="none"/>
          <w:u w:val="single"/>
          <w:lang w:val="en-US" w:eastAsia="zh-CN" w:bidi="ar-SA"/>
        </w:rPr>
        <w:t>乙方按实际结算金额</w:t>
      </w:r>
      <w:r>
        <w:rPr>
          <w:rFonts w:hint="eastAsia" w:ascii="宋体" w:hAnsi="宋体" w:eastAsia="宋体" w:cs="宋体"/>
          <w:color w:val="auto"/>
          <w:kern w:val="2"/>
          <w:sz w:val="24"/>
          <w:szCs w:val="24"/>
          <w:highlight w:val="none"/>
          <w:u w:val="single"/>
          <w:lang w:val="en-US" w:eastAsia="zh-CN" w:bidi="ar-SA"/>
        </w:rPr>
        <w:t>出具正规发票；</w:t>
      </w:r>
      <w:r>
        <w:rPr>
          <w:rFonts w:hint="eastAsia" w:ascii="宋体" w:hAnsi="宋体" w:cs="宋体"/>
          <w:color w:val="auto"/>
          <w:kern w:val="2"/>
          <w:sz w:val="24"/>
          <w:szCs w:val="24"/>
          <w:highlight w:val="none"/>
          <w:u w:val="single"/>
          <w:lang w:val="en-US" w:eastAsia="zh-CN" w:bidi="ar-SA"/>
        </w:rPr>
        <w:t>甲方</w:t>
      </w:r>
      <w:r>
        <w:rPr>
          <w:rFonts w:hint="eastAsia" w:ascii="宋体" w:hAnsi="宋体" w:eastAsia="宋体" w:cs="宋体"/>
          <w:color w:val="auto"/>
          <w:kern w:val="2"/>
          <w:sz w:val="24"/>
          <w:szCs w:val="24"/>
          <w:highlight w:val="none"/>
          <w:u w:val="single"/>
          <w:lang w:val="en-US" w:eastAsia="zh-CN" w:bidi="ar-SA"/>
        </w:rPr>
        <w:t>收到付款申请单及发票审核无误后</w:t>
      </w:r>
      <w:r>
        <w:rPr>
          <w:rFonts w:hint="eastAsia" w:ascii="宋体" w:hAnsi="宋体" w:cs="宋体"/>
          <w:color w:val="auto"/>
          <w:kern w:val="2"/>
          <w:sz w:val="24"/>
          <w:szCs w:val="24"/>
          <w:highlight w:val="none"/>
          <w:u w:val="single"/>
          <w:lang w:val="en-US" w:eastAsia="zh-CN" w:bidi="ar-SA"/>
        </w:rPr>
        <w:t>30日内付款</w:t>
      </w:r>
      <w:r>
        <w:rPr>
          <w:rFonts w:hint="eastAsia" w:ascii="宋体" w:hAnsi="宋体" w:eastAsia="宋体" w:cs="宋体"/>
          <w:color w:val="auto"/>
          <w:kern w:val="2"/>
          <w:sz w:val="24"/>
          <w:szCs w:val="24"/>
          <w:highlight w:val="none"/>
          <w:u w:val="single"/>
          <w:lang w:val="en-US" w:eastAsia="zh-CN" w:bidi="ar-SA"/>
        </w:rPr>
        <w:t>。</w:t>
      </w:r>
      <w:r>
        <w:rPr>
          <w:rFonts w:hint="eastAsia" w:ascii="宋体" w:hAnsi="宋体" w:cs="宋体"/>
          <w:color w:val="auto"/>
          <w:kern w:val="2"/>
          <w:sz w:val="24"/>
          <w:szCs w:val="24"/>
          <w:highlight w:val="none"/>
          <w:u w:val="single"/>
          <w:lang w:val="en-US" w:eastAsia="zh-CN" w:bidi="ar-SA"/>
        </w:rPr>
        <w:t>如乙方未按约提供发票的，甲方有权拒绝付款，并不视为违约。</w:t>
      </w:r>
    </w:p>
    <w:p w14:paraId="4B371279">
      <w:pPr>
        <w:keepNext w:val="0"/>
        <w:keepLines w:val="0"/>
        <w:pageBreakBefore w:val="0"/>
        <w:widowControl w:val="0"/>
        <w:kinsoku/>
        <w:wordWrap/>
        <w:autoSpaceDE/>
        <w:autoSpaceDN/>
        <w:bidi w:val="0"/>
        <w:adjustRightInd/>
        <w:spacing w:line="440" w:lineRule="exact"/>
        <w:ind w:firstLine="482" w:firstLineChars="200"/>
        <w:jc w:val="left"/>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第</w:t>
      </w:r>
      <w:r>
        <w:rPr>
          <w:rFonts w:hint="eastAsia" w:ascii="宋体" w:hAnsi="宋体" w:cs="宋体"/>
          <w:b/>
          <w:color w:val="auto"/>
          <w:kern w:val="2"/>
          <w:sz w:val="24"/>
          <w:szCs w:val="24"/>
          <w:highlight w:val="none"/>
          <w:lang w:val="en-US" w:eastAsia="zh-CN" w:bidi="ar-SA"/>
        </w:rPr>
        <w:t>四</w:t>
      </w:r>
      <w:r>
        <w:rPr>
          <w:rFonts w:hint="eastAsia" w:ascii="宋体" w:hAnsi="宋体" w:eastAsia="宋体" w:cs="宋体"/>
          <w:b/>
          <w:color w:val="auto"/>
          <w:kern w:val="2"/>
          <w:sz w:val="24"/>
          <w:szCs w:val="24"/>
          <w:highlight w:val="none"/>
          <w:lang w:val="en-US" w:eastAsia="zh-CN" w:bidi="ar-SA"/>
        </w:rPr>
        <w:t>条  税费</w:t>
      </w:r>
    </w:p>
    <w:p w14:paraId="21DC2F71">
      <w:pPr>
        <w:keepNext w:val="0"/>
        <w:keepLines w:val="0"/>
        <w:pageBreakBefore w:val="0"/>
        <w:widowControl w:val="0"/>
        <w:kinsoku/>
        <w:wordWrap/>
        <w:autoSpaceDE/>
        <w:autoSpaceDN/>
        <w:bidi w:val="0"/>
        <w:adjustRightInd/>
        <w:snapToGrid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本合同执行中相关的一切税费均由乙方负担（印花税按国家有关规定执行）。</w:t>
      </w:r>
    </w:p>
    <w:p w14:paraId="11D69209">
      <w:pPr>
        <w:keepNext w:val="0"/>
        <w:keepLines w:val="0"/>
        <w:pageBreakBefore w:val="0"/>
        <w:widowControl w:val="0"/>
        <w:kinsoku/>
        <w:wordWrap/>
        <w:overflowPunct w:val="0"/>
        <w:topLinePunct/>
        <w:autoSpaceDE/>
        <w:autoSpaceDN/>
        <w:bidi w:val="0"/>
        <w:adjustRightInd/>
        <w:snapToGrid w:val="0"/>
        <w:spacing w:line="440" w:lineRule="exact"/>
        <w:ind w:left="-61" w:leftChars="-29" w:firstLine="590" w:firstLineChars="245"/>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w:t>
      </w:r>
      <w:r>
        <w:rPr>
          <w:rFonts w:hint="eastAsia" w:ascii="宋体" w:hAnsi="宋体" w:cs="宋体"/>
          <w:b/>
          <w:color w:val="auto"/>
          <w:sz w:val="24"/>
          <w:szCs w:val="24"/>
          <w:highlight w:val="none"/>
          <w:lang w:val="en-US" w:eastAsia="zh-CN"/>
        </w:rPr>
        <w:t>五</w:t>
      </w:r>
      <w:r>
        <w:rPr>
          <w:rFonts w:hint="eastAsia" w:ascii="宋体" w:hAnsi="宋体" w:eastAsia="宋体" w:cs="宋体"/>
          <w:b/>
          <w:color w:val="auto"/>
          <w:sz w:val="24"/>
          <w:szCs w:val="24"/>
          <w:highlight w:val="none"/>
        </w:rPr>
        <w:t>条　履约保证金</w:t>
      </w:r>
    </w:p>
    <w:p w14:paraId="7CDDAE8A">
      <w:pPr>
        <w:spacing w:after="96" w:afterLines="40" w:line="440" w:lineRule="exact"/>
        <w:ind w:firstLine="480" w:firstLineChars="200"/>
        <w:rPr>
          <w:rFonts w:hint="eastAsia" w:ascii="宋体" w:hAnsi="宋体" w:eastAsia="宋体" w:cs="宋体"/>
          <w:color w:val="auto"/>
          <w:kern w:val="1"/>
          <w:sz w:val="24"/>
          <w:szCs w:val="24"/>
          <w:highlight w:val="none"/>
          <w:lang w:val="en-US" w:eastAsia="zh-CN"/>
        </w:rPr>
      </w:pPr>
      <w:r>
        <w:rPr>
          <w:rFonts w:hint="eastAsia" w:ascii="宋体" w:hAnsi="宋体" w:eastAsia="宋体" w:cs="宋体"/>
          <w:color w:val="auto"/>
          <w:kern w:val="1"/>
          <w:sz w:val="24"/>
          <w:szCs w:val="24"/>
          <w:highlight w:val="none"/>
          <w:lang w:val="en-US" w:eastAsia="zh-CN"/>
        </w:rPr>
        <w:t>履约保证金金额：本项目</w:t>
      </w:r>
      <w:r>
        <w:rPr>
          <w:rFonts w:hint="eastAsia" w:ascii="宋体" w:hAnsi="宋体" w:cs="宋体"/>
          <w:color w:val="auto"/>
          <w:kern w:val="1"/>
          <w:sz w:val="24"/>
          <w:szCs w:val="24"/>
          <w:highlight w:val="none"/>
          <w:lang w:val="en-US" w:eastAsia="zh-CN"/>
        </w:rPr>
        <w:t>采购预算金额</w:t>
      </w:r>
      <w:r>
        <w:rPr>
          <w:rFonts w:hint="eastAsia" w:ascii="宋体" w:hAnsi="宋体" w:eastAsia="宋体" w:cs="宋体"/>
          <w:color w:val="auto"/>
          <w:kern w:val="1"/>
          <w:sz w:val="24"/>
          <w:szCs w:val="24"/>
          <w:highlight w:val="none"/>
          <w:lang w:val="en-US" w:eastAsia="zh-CN"/>
        </w:rPr>
        <w:t>的2%。</w:t>
      </w:r>
    </w:p>
    <w:p w14:paraId="109B6635">
      <w:pPr>
        <w:spacing w:after="96" w:afterLines="40" w:line="440" w:lineRule="exact"/>
        <w:ind w:firstLine="480" w:firstLineChars="200"/>
        <w:rPr>
          <w:rFonts w:hint="eastAsia" w:ascii="宋体" w:hAnsi="宋体" w:eastAsia="宋体" w:cs="宋体"/>
          <w:color w:val="auto"/>
          <w:kern w:val="1"/>
          <w:sz w:val="24"/>
          <w:szCs w:val="24"/>
          <w:highlight w:val="none"/>
          <w:lang w:val="en-US" w:eastAsia="zh-CN"/>
        </w:rPr>
      </w:pPr>
      <w:r>
        <w:rPr>
          <w:rFonts w:hint="eastAsia" w:ascii="宋体" w:hAnsi="宋体" w:eastAsia="宋体" w:cs="宋体"/>
          <w:color w:val="auto"/>
          <w:kern w:val="1"/>
          <w:sz w:val="24"/>
          <w:szCs w:val="24"/>
          <w:highlight w:val="none"/>
          <w:lang w:val="en-US" w:eastAsia="zh-CN"/>
        </w:rPr>
        <w:t>履约保证金提交方式：支票、汇票、本票、银行转账或者金融机构、担保机构出具的保函等非现金形式。乙方在签订合同前足额提交履约保证金至甲方以下指定账户。</w:t>
      </w:r>
    </w:p>
    <w:p w14:paraId="3E6ED543">
      <w:pPr>
        <w:spacing w:after="96" w:afterLines="40" w:line="440" w:lineRule="exact"/>
        <w:ind w:firstLine="480" w:firstLineChars="200"/>
        <w:rPr>
          <w:rFonts w:hint="eastAsia" w:ascii="宋体" w:hAnsi="宋体" w:eastAsia="宋体" w:cs="宋体"/>
          <w:color w:val="auto"/>
          <w:kern w:val="1"/>
          <w:sz w:val="24"/>
          <w:szCs w:val="24"/>
          <w:highlight w:val="none"/>
          <w:lang w:val="en-US" w:eastAsia="zh-CN"/>
        </w:rPr>
      </w:pPr>
      <w:r>
        <w:rPr>
          <w:rFonts w:hint="eastAsia" w:ascii="宋体" w:hAnsi="宋体" w:eastAsia="宋体" w:cs="宋体"/>
          <w:color w:val="auto"/>
          <w:kern w:val="1"/>
          <w:sz w:val="24"/>
          <w:szCs w:val="24"/>
          <w:highlight w:val="none"/>
          <w:lang w:val="en-US" w:eastAsia="zh-CN"/>
        </w:rPr>
        <w:t>履约保证金指定账户：</w:t>
      </w:r>
    </w:p>
    <w:p w14:paraId="28DE9F88">
      <w:pPr>
        <w:spacing w:after="96" w:afterLines="40" w:line="440" w:lineRule="exact"/>
        <w:ind w:firstLine="482" w:firstLineChars="200"/>
        <w:rPr>
          <w:rFonts w:hint="eastAsia" w:ascii="宋体" w:hAnsi="宋体" w:eastAsia="宋体" w:cs="宋体"/>
          <w:b/>
          <w:bCs/>
          <w:color w:val="auto"/>
          <w:kern w:val="1"/>
          <w:sz w:val="24"/>
          <w:szCs w:val="24"/>
          <w:highlight w:val="none"/>
          <w:lang w:val="en-US" w:eastAsia="zh-CN"/>
        </w:rPr>
      </w:pPr>
      <w:r>
        <w:rPr>
          <w:rFonts w:hint="eastAsia" w:ascii="宋体" w:hAnsi="宋体" w:eastAsia="宋体" w:cs="宋体"/>
          <w:b/>
          <w:bCs/>
          <w:color w:val="auto"/>
          <w:kern w:val="1"/>
          <w:sz w:val="24"/>
          <w:szCs w:val="24"/>
          <w:highlight w:val="none"/>
          <w:lang w:val="en-US" w:eastAsia="zh-CN"/>
        </w:rPr>
        <w:t xml:space="preserve">开户名：广西医科大学附属武鸣医院 </w:t>
      </w:r>
    </w:p>
    <w:p w14:paraId="474F3C27">
      <w:pPr>
        <w:spacing w:after="96" w:afterLines="40" w:line="440" w:lineRule="exact"/>
        <w:ind w:firstLine="482" w:firstLineChars="200"/>
        <w:rPr>
          <w:rFonts w:hint="eastAsia" w:ascii="宋体" w:hAnsi="宋体" w:eastAsia="宋体" w:cs="宋体"/>
          <w:b/>
          <w:bCs/>
          <w:color w:val="auto"/>
          <w:kern w:val="1"/>
          <w:sz w:val="24"/>
          <w:szCs w:val="24"/>
          <w:highlight w:val="none"/>
          <w:lang w:val="en-US" w:eastAsia="zh-CN"/>
        </w:rPr>
      </w:pPr>
      <w:r>
        <w:rPr>
          <w:rFonts w:hint="eastAsia" w:ascii="宋体" w:hAnsi="宋体" w:eastAsia="宋体" w:cs="宋体"/>
          <w:b/>
          <w:bCs/>
          <w:color w:val="auto"/>
          <w:kern w:val="1"/>
          <w:sz w:val="24"/>
          <w:szCs w:val="24"/>
          <w:highlight w:val="none"/>
          <w:lang w:val="en-US" w:eastAsia="zh-CN"/>
        </w:rPr>
        <w:t>开户行：</w:t>
      </w:r>
      <w:r>
        <w:rPr>
          <w:rFonts w:hint="eastAsia" w:ascii="宋体" w:hAnsi="宋体" w:cs="宋体"/>
          <w:b/>
          <w:bCs/>
          <w:color w:val="auto"/>
          <w:kern w:val="1"/>
          <w:sz w:val="24"/>
          <w:szCs w:val="24"/>
          <w:highlight w:val="none"/>
          <w:lang w:val="en-US" w:eastAsia="zh-CN"/>
        </w:rPr>
        <w:t>中国工商银行股份有限公司南宁市武鸣支行</w:t>
      </w:r>
      <w:r>
        <w:rPr>
          <w:rFonts w:hint="eastAsia" w:ascii="宋体" w:hAnsi="宋体" w:eastAsia="宋体" w:cs="宋体"/>
          <w:b/>
          <w:bCs/>
          <w:color w:val="auto"/>
          <w:kern w:val="1"/>
          <w:sz w:val="24"/>
          <w:szCs w:val="24"/>
          <w:highlight w:val="none"/>
          <w:lang w:val="en-US" w:eastAsia="zh-CN"/>
        </w:rPr>
        <w:t xml:space="preserve"> </w:t>
      </w:r>
    </w:p>
    <w:p w14:paraId="72885F05">
      <w:pPr>
        <w:spacing w:after="96" w:afterLines="40" w:line="440" w:lineRule="exact"/>
        <w:ind w:firstLine="482" w:firstLineChars="200"/>
        <w:rPr>
          <w:rFonts w:hint="eastAsia" w:ascii="宋体" w:hAnsi="宋体" w:cs="宋体"/>
          <w:b/>
          <w:bCs/>
          <w:color w:val="auto"/>
          <w:kern w:val="1"/>
          <w:sz w:val="24"/>
          <w:szCs w:val="24"/>
          <w:highlight w:val="none"/>
          <w:lang w:val="en-US" w:eastAsia="zh-CN"/>
        </w:rPr>
      </w:pPr>
      <w:r>
        <w:rPr>
          <w:rFonts w:hint="eastAsia" w:ascii="宋体" w:hAnsi="宋体" w:eastAsia="宋体" w:cs="宋体"/>
          <w:b/>
          <w:bCs/>
          <w:color w:val="auto"/>
          <w:kern w:val="1"/>
          <w:sz w:val="24"/>
          <w:szCs w:val="24"/>
          <w:highlight w:val="none"/>
          <w:lang w:val="en-US" w:eastAsia="zh-CN"/>
        </w:rPr>
        <w:t>账  号：</w:t>
      </w:r>
      <w:r>
        <w:rPr>
          <w:rFonts w:hint="eastAsia" w:ascii="宋体" w:hAnsi="宋体" w:cs="宋体"/>
          <w:b/>
          <w:bCs/>
          <w:color w:val="auto"/>
          <w:kern w:val="1"/>
          <w:sz w:val="24"/>
          <w:szCs w:val="24"/>
          <w:highlight w:val="none"/>
          <w:lang w:val="en-US" w:eastAsia="zh-CN"/>
        </w:rPr>
        <w:t>2102117009300236704</w:t>
      </w:r>
    </w:p>
    <w:p w14:paraId="2907DC32">
      <w:pPr>
        <w:spacing w:after="96" w:afterLines="40" w:line="440" w:lineRule="exact"/>
        <w:ind w:firstLine="480" w:firstLineChars="200"/>
        <w:rPr>
          <w:rFonts w:hint="eastAsia" w:ascii="宋体" w:hAnsi="宋体" w:eastAsia="宋体" w:cs="宋体"/>
          <w:color w:val="auto"/>
          <w:kern w:val="1"/>
          <w:sz w:val="24"/>
          <w:szCs w:val="24"/>
          <w:highlight w:val="none"/>
          <w:lang w:val="en-US" w:eastAsia="zh-CN"/>
        </w:rPr>
      </w:pPr>
      <w:r>
        <w:rPr>
          <w:rFonts w:hint="eastAsia" w:ascii="宋体" w:hAnsi="宋体" w:eastAsia="宋体" w:cs="宋体"/>
          <w:color w:val="auto"/>
          <w:kern w:val="1"/>
          <w:sz w:val="24"/>
          <w:szCs w:val="24"/>
          <w:highlight w:val="none"/>
          <w:lang w:val="en-US" w:eastAsia="zh-CN"/>
        </w:rPr>
        <w:t>履约保证金退付方式、时间及条件：服务期结束后乙方无违约问题的，由乙方向甲方提供项目履约保证金退付申请，甲方在收到合格材料（包括履约保证金退付意见书、验收报告、退付申请函、合同、履约保证金缴纳凭证等）后进行核对，如有违约或赔偿的，涉及违约的违约金和损失赔偿从履约保证金中扣减后，甲方审核后30日内转账退还（无息）</w:t>
      </w:r>
    </w:p>
    <w:p w14:paraId="4202E902">
      <w:pPr>
        <w:keepNext w:val="0"/>
        <w:keepLines w:val="0"/>
        <w:pageBreakBefore w:val="0"/>
        <w:widowControl w:val="0"/>
        <w:kinsoku/>
        <w:wordWrap/>
        <w:overflowPunct w:val="0"/>
        <w:topLinePunct/>
        <w:autoSpaceDE/>
        <w:autoSpaceDN/>
        <w:bidi w:val="0"/>
        <w:adjustRightInd/>
        <w:snapToGrid w:val="0"/>
        <w:spacing w:line="440" w:lineRule="exact"/>
        <w:ind w:left="-61" w:leftChars="-29" w:firstLine="590" w:firstLineChars="245"/>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第六条 双方权利和义务</w:t>
      </w:r>
    </w:p>
    <w:p w14:paraId="04B1D96E">
      <w:pPr>
        <w:keepNext w:val="0"/>
        <w:keepLines w:val="0"/>
        <w:pageBreakBefore w:val="0"/>
        <w:widowControl w:val="0"/>
        <w:kinsoku/>
        <w:wordWrap/>
        <w:autoSpaceDE/>
        <w:autoSpaceDN/>
        <w:bidi w:val="0"/>
        <w:adjustRightInd/>
        <w:snapToGrid w:val="0"/>
        <w:spacing w:line="440" w:lineRule="exact"/>
        <w:ind w:firstLine="482" w:firstLineChars="20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1.甲方权利和义务</w:t>
      </w:r>
    </w:p>
    <w:p w14:paraId="35EF136C">
      <w:pPr>
        <w:keepNext w:val="0"/>
        <w:keepLines w:val="0"/>
        <w:pageBreakBefore w:val="0"/>
        <w:widowControl w:val="0"/>
        <w:tabs>
          <w:tab w:val="left" w:pos="720"/>
        </w:tabs>
        <w:kinsoku/>
        <w:wordWrap/>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（1）甲方有权要求乙方按照环保法律法规处置其医疗废物，有权监督乙方依法进行的管理和处置活动。</w:t>
      </w:r>
    </w:p>
    <w:p w14:paraId="46E83FEF">
      <w:pPr>
        <w:keepNext w:val="0"/>
        <w:keepLines w:val="0"/>
        <w:pageBreakBefore w:val="0"/>
        <w:widowControl w:val="0"/>
        <w:tabs>
          <w:tab w:val="left" w:pos="720"/>
        </w:tabs>
        <w:kinsoku/>
        <w:wordWrap/>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）甲方医疗废物暂存间必须满足有关规定，乙方应充分考虑甲方废物暂存间情况，配备可以出入转运暂存点的运输车辆，并无条件配合甲方的场地调整需求。</w:t>
      </w:r>
    </w:p>
    <w:p w14:paraId="56E995FB">
      <w:pPr>
        <w:keepNext w:val="0"/>
        <w:keepLines w:val="0"/>
        <w:pageBreakBefore w:val="0"/>
        <w:widowControl w:val="0"/>
        <w:tabs>
          <w:tab w:val="left" w:pos="720"/>
        </w:tabs>
        <w:kinsoku/>
        <w:wordWrap/>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）甲方有权要求乙方及其所属人员按甲方规定开展医疗废物收集、转运工作，乙方应服从甲方的现场指挥调度。</w:t>
      </w:r>
    </w:p>
    <w:p w14:paraId="5A2B9613">
      <w:pPr>
        <w:keepNext w:val="0"/>
        <w:keepLines w:val="0"/>
        <w:pageBreakBefore w:val="0"/>
        <w:widowControl w:val="0"/>
        <w:tabs>
          <w:tab w:val="left" w:pos="720"/>
        </w:tabs>
        <w:kinsoku/>
        <w:wordWrap/>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）在装车时为乙方提供通行手续办理等便利，并监督乙方做好暂存点医疗废物装卸安全保障工作。</w:t>
      </w:r>
    </w:p>
    <w:p w14:paraId="561A5B3E">
      <w:pPr>
        <w:keepNext w:val="0"/>
        <w:keepLines w:val="0"/>
        <w:pageBreakBefore w:val="0"/>
        <w:widowControl w:val="0"/>
        <w:kinsoku/>
        <w:wordWrap/>
        <w:autoSpaceDE/>
        <w:autoSpaceDN/>
        <w:bidi w:val="0"/>
        <w:adjustRightInd/>
        <w:snapToGrid w:val="0"/>
        <w:spacing w:line="440" w:lineRule="exact"/>
        <w:ind w:firstLine="482" w:firstLineChars="20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2.乙方权利和义务</w:t>
      </w:r>
    </w:p>
    <w:p w14:paraId="4C2B4D23">
      <w:pPr>
        <w:keepNext w:val="0"/>
        <w:keepLines w:val="0"/>
        <w:pageBreakBefore w:val="0"/>
        <w:widowControl w:val="0"/>
        <w:tabs>
          <w:tab w:val="left" w:pos="720"/>
        </w:tabs>
        <w:kinsoku/>
        <w:wordWrap/>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（1）乙方需向甲方提供合法有效的、与甲方医疗废物相关的运输、处置、服务资质证明，乙方确保安全收运和处置医疗废物。</w:t>
      </w:r>
    </w:p>
    <w:p w14:paraId="343B1BF8">
      <w:pPr>
        <w:keepNext w:val="0"/>
        <w:keepLines w:val="0"/>
        <w:pageBreakBefore w:val="0"/>
        <w:widowControl w:val="0"/>
        <w:tabs>
          <w:tab w:val="left" w:pos="720"/>
        </w:tabs>
        <w:kinsoku/>
        <w:wordWrap/>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（2）负责周转箱用后清洗和消毒处理工作。</w:t>
      </w:r>
    </w:p>
    <w:p w14:paraId="5AACD448">
      <w:pPr>
        <w:keepNext w:val="0"/>
        <w:keepLines w:val="0"/>
        <w:pageBreakBefore w:val="0"/>
        <w:widowControl w:val="0"/>
        <w:tabs>
          <w:tab w:val="left" w:pos="720"/>
        </w:tabs>
        <w:kinsoku/>
        <w:wordWrap/>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（3）乙方负责到双方协商确定的医疗废物暂存场地，接收医疗废物并运输至乙方处置场所。</w:t>
      </w:r>
    </w:p>
    <w:p w14:paraId="3358AA2B">
      <w:pPr>
        <w:keepNext w:val="0"/>
        <w:keepLines w:val="0"/>
        <w:pageBreakBefore w:val="0"/>
        <w:widowControl w:val="0"/>
        <w:tabs>
          <w:tab w:val="left" w:pos="720"/>
        </w:tabs>
        <w:kinsoku/>
        <w:wordWrap/>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（4）乙方确保在运输甲方废物过程中遵守相关规范，使医疗废物处置符合国家相关技术要求。</w:t>
      </w:r>
    </w:p>
    <w:p w14:paraId="6B850F8E">
      <w:pPr>
        <w:keepNext w:val="0"/>
        <w:keepLines w:val="0"/>
        <w:pageBreakBefore w:val="0"/>
        <w:widowControl w:val="0"/>
        <w:tabs>
          <w:tab w:val="left" w:pos="720"/>
        </w:tabs>
        <w:kinsoku/>
        <w:wordWrap/>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（5）乙方在处置甲方医疗废物时，应接受环保和卫生等主管部门的监督和指导，并接受甲方的监督。</w:t>
      </w:r>
    </w:p>
    <w:p w14:paraId="6AB2B5EA">
      <w:pPr>
        <w:keepNext w:val="0"/>
        <w:keepLines w:val="0"/>
        <w:pageBreakBefore w:val="0"/>
        <w:widowControl w:val="0"/>
        <w:tabs>
          <w:tab w:val="left" w:pos="720"/>
        </w:tabs>
        <w:kinsoku/>
        <w:wordWrap/>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（6）收集、运输过程中，医疗废物处置所需要的周转箱等一切工具由乙方负责，乙方应按甲方医疗废物的实际使用量配备足够的周转箱。</w:t>
      </w:r>
    </w:p>
    <w:p w14:paraId="64F9D19C">
      <w:pPr>
        <w:keepNext w:val="0"/>
        <w:keepLines w:val="0"/>
        <w:pageBreakBefore w:val="0"/>
        <w:widowControl w:val="0"/>
        <w:tabs>
          <w:tab w:val="left" w:pos="720"/>
        </w:tabs>
        <w:kinsoku/>
        <w:wordWrap/>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（7）乙方在运输、处置医疗废物过程中造成的不良后果、环境污染、事故等，由乙方负全部责任。</w:t>
      </w:r>
    </w:p>
    <w:p w14:paraId="78B5397E">
      <w:pPr>
        <w:keepNext w:val="0"/>
        <w:keepLines w:val="0"/>
        <w:pageBreakBefore w:val="0"/>
        <w:widowControl w:val="0"/>
        <w:tabs>
          <w:tab w:val="left" w:pos="720"/>
        </w:tabs>
        <w:kinsoku/>
        <w:wordWrap/>
        <w:autoSpaceDE/>
        <w:autoSpaceDN/>
        <w:bidi w:val="0"/>
        <w:adjustRightInd/>
        <w:spacing w:line="440" w:lineRule="exact"/>
        <w:ind w:firstLine="480" w:firstLineChars="200"/>
        <w:textAlignment w:val="auto"/>
        <w:rPr>
          <w:rFonts w:hint="eastAsia" w:ascii="宋体" w:hAnsi="宋体" w:cs="宋体"/>
          <w:color w:val="auto"/>
          <w:kern w:val="0"/>
          <w:sz w:val="24"/>
          <w:szCs w:val="24"/>
          <w:highlight w:val="none"/>
          <w:lang w:val="en-US" w:eastAsia="zh-CN"/>
        </w:rPr>
      </w:pPr>
      <w:r>
        <w:rPr>
          <w:rFonts w:hint="eastAsia" w:ascii="宋体" w:hAnsi="宋体" w:eastAsia="宋体" w:cs="宋体"/>
          <w:color w:val="auto"/>
          <w:sz w:val="24"/>
          <w:szCs w:val="24"/>
          <w:highlight w:val="none"/>
          <w:lang w:eastAsia="zh-CN"/>
        </w:rPr>
        <w:t>（8）当遇到疫情、患者数量剧增等特殊情况时，乙方应当按甲方要求，增加转运次数并及时进行医疗废物收运处置。</w:t>
      </w:r>
    </w:p>
    <w:p w14:paraId="00432827">
      <w:pPr>
        <w:keepNext w:val="0"/>
        <w:keepLines w:val="0"/>
        <w:pageBreakBefore w:val="0"/>
        <w:widowControl w:val="0"/>
        <w:kinsoku/>
        <w:wordWrap/>
        <w:overflowPunct w:val="0"/>
        <w:topLinePunct/>
        <w:autoSpaceDE/>
        <w:autoSpaceDN/>
        <w:bidi w:val="0"/>
        <w:adjustRightInd/>
        <w:snapToGrid w:val="0"/>
        <w:spacing w:line="440" w:lineRule="exact"/>
        <w:ind w:left="-61" w:leftChars="-29" w:firstLine="590" w:firstLineChars="245"/>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第七条 医疗废物转移交接及联单的管理</w:t>
      </w:r>
    </w:p>
    <w:p w14:paraId="2B680509">
      <w:pPr>
        <w:keepNext w:val="0"/>
        <w:keepLines w:val="0"/>
        <w:pageBreakBefore w:val="0"/>
        <w:widowControl w:val="0"/>
        <w:tabs>
          <w:tab w:val="left" w:pos="720"/>
        </w:tabs>
        <w:kinsoku/>
        <w:wordWrap/>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医疗废物转移由双方交接确认，如乙方在交接过程中发现医疗废物出现标识不规范或者错误，包装破损或者密封不严；或其他违反国家医疗废物包装及本合同约定的异常情况，乙方应当现场拒收，否则视为合格。</w:t>
      </w:r>
    </w:p>
    <w:p w14:paraId="5095EBD5">
      <w:pPr>
        <w:keepNext w:val="0"/>
        <w:keepLines w:val="0"/>
        <w:pageBreakBefore w:val="0"/>
        <w:widowControl w:val="0"/>
        <w:tabs>
          <w:tab w:val="left" w:pos="720"/>
        </w:tabs>
        <w:kinsoku/>
        <w:wordWrap/>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医疗废物转移执行二联单，联单由乙方负责提供，双方交接时应按规定填写《危险废物转移联单》（医疗废物专用），医疗废物称重后，经甲乙双方确认后由乙方收集人员在联单上填写箱数、重量，每种医疗废物的箱数、重量应填写清楚，由甲方确认无误后在医疗卫生机构交接人员栏签字，确认后的联单甲乙双方不得随意篡改，如发现一方有篡改行为将报告当地主管部门，次月月中将甲乙双方盖章的医疗废物转移联单第一联交由甲方留存，第二联由乙方留存。</w:t>
      </w:r>
    </w:p>
    <w:p w14:paraId="22853022">
      <w:pPr>
        <w:keepNext w:val="0"/>
        <w:keepLines w:val="0"/>
        <w:pageBreakBefore w:val="0"/>
        <w:widowControl w:val="0"/>
        <w:kinsoku/>
        <w:wordWrap/>
        <w:overflowPunct w:val="0"/>
        <w:topLinePunct/>
        <w:autoSpaceDE/>
        <w:autoSpaceDN/>
        <w:bidi w:val="0"/>
        <w:adjustRightInd/>
        <w:snapToGrid w:val="0"/>
        <w:spacing w:line="440" w:lineRule="exact"/>
        <w:ind w:left="-61" w:leftChars="-29" w:firstLine="590" w:firstLineChars="245"/>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第</w:t>
      </w:r>
      <w:r>
        <w:rPr>
          <w:rFonts w:hint="eastAsia" w:ascii="宋体" w:hAnsi="宋体" w:cs="宋体"/>
          <w:b/>
          <w:color w:val="auto"/>
          <w:sz w:val="24"/>
          <w:szCs w:val="24"/>
          <w:highlight w:val="none"/>
          <w:lang w:val="en-US" w:eastAsia="zh-CN"/>
        </w:rPr>
        <w:t>八</w:t>
      </w:r>
      <w:r>
        <w:rPr>
          <w:rFonts w:hint="eastAsia" w:ascii="宋体" w:hAnsi="宋体" w:eastAsia="宋体" w:cs="宋体"/>
          <w:b/>
          <w:color w:val="auto"/>
          <w:sz w:val="24"/>
          <w:szCs w:val="24"/>
          <w:highlight w:val="none"/>
          <w:lang w:val="en-US" w:eastAsia="zh-CN"/>
        </w:rPr>
        <w:t>条 违约责任</w:t>
      </w:r>
    </w:p>
    <w:p w14:paraId="6A945573">
      <w:pPr>
        <w:keepNext w:val="0"/>
        <w:keepLines w:val="0"/>
        <w:pageBreakBefore w:val="0"/>
        <w:widowControl w:val="0"/>
        <w:tabs>
          <w:tab w:val="left" w:pos="720"/>
        </w:tabs>
        <w:kinsoku/>
        <w:wordWrap/>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1.合同双方中任何一方违反本合同的约定，守约方有权要求违约方停止违约行为，并承担相应违约责任。若造成经济损失，受损方有权向违约方索赔。</w:t>
      </w:r>
    </w:p>
    <w:p w14:paraId="320B0E16">
      <w:pPr>
        <w:keepNext w:val="0"/>
        <w:keepLines w:val="0"/>
        <w:pageBreakBefore w:val="0"/>
        <w:widowControl w:val="0"/>
        <w:tabs>
          <w:tab w:val="left" w:pos="720"/>
        </w:tabs>
        <w:kinsoku/>
        <w:wordWrap/>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.乙方在医疗废物收运过程中，须严格采取密封措施、规范操作、安全驾驶。如因乙方操作不当导致医疗废物泄露，进而造成院区环境污染、引发院内感染或发生其他事故，所有相关责任及损失均由乙方承担。</w:t>
      </w:r>
    </w:p>
    <w:p w14:paraId="5DECEC34">
      <w:pPr>
        <w:keepNext w:val="0"/>
        <w:keepLines w:val="0"/>
        <w:pageBreakBefore w:val="0"/>
        <w:widowControl w:val="0"/>
        <w:tabs>
          <w:tab w:val="left" w:pos="720"/>
        </w:tabs>
        <w:kinsoku/>
        <w:wordWrap/>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.乙方因相关业务资质或操作人员或车辆资质过期或设备、人员不满足收运要求以及其他任何原因不能按时收运、处置的，</w:t>
      </w:r>
      <w:r>
        <w:rPr>
          <w:rFonts w:hint="eastAsia" w:ascii="宋体" w:hAnsi="宋体" w:cs="宋体"/>
          <w:color w:val="auto"/>
          <w:sz w:val="24"/>
          <w:highlight w:val="none"/>
          <w:lang w:val="en-US" w:eastAsia="zh-CN"/>
        </w:rPr>
        <w:t>逾期一天支付甲方每天处置费总额的0.05%</w:t>
      </w:r>
      <w:r>
        <w:rPr>
          <w:rFonts w:hint="eastAsia" w:ascii="宋体" w:hAnsi="宋体" w:eastAsia="宋体" w:cs="宋体"/>
          <w:color w:val="auto"/>
          <w:sz w:val="24"/>
          <w:szCs w:val="24"/>
          <w:highlight w:val="none"/>
          <w:lang w:eastAsia="zh-CN"/>
        </w:rPr>
        <w:t>，并指派第三方机构进行收运、处置，由此产生的全部费用由乙方承担</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超过5日的，甲方有权解除本合同，乙方还应向甲方支付上月结算服务费的2倍标准作为违约金</w:t>
      </w:r>
      <w:r>
        <w:rPr>
          <w:rFonts w:hint="eastAsia" w:ascii="宋体" w:hAnsi="宋体" w:eastAsia="宋体" w:cs="宋体"/>
          <w:color w:val="auto"/>
          <w:sz w:val="24"/>
          <w:szCs w:val="24"/>
          <w:highlight w:val="none"/>
          <w:lang w:eastAsia="zh-CN"/>
        </w:rPr>
        <w:t>。</w:t>
      </w:r>
    </w:p>
    <w:p w14:paraId="3EA21F91">
      <w:pPr>
        <w:keepNext w:val="0"/>
        <w:keepLines w:val="0"/>
        <w:pageBreakBefore w:val="0"/>
        <w:widowControl w:val="0"/>
        <w:tabs>
          <w:tab w:val="left" w:pos="720"/>
        </w:tabs>
        <w:kinsoku/>
        <w:wordWrap/>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乙方违反本合同约定的任何义务，除本合同另有约定外，甲方有权要求乙方按</w:t>
      </w:r>
      <w:r>
        <w:rPr>
          <w:rFonts w:hint="eastAsia" w:ascii="宋体" w:hAnsi="宋体" w:cs="宋体"/>
          <w:color w:val="auto"/>
          <w:sz w:val="24"/>
          <w:szCs w:val="24"/>
          <w:highlight w:val="none"/>
          <w:lang w:val="en-US" w:eastAsia="zh-CN"/>
        </w:rPr>
        <w:t>上月结算服务费的2倍标准</w:t>
      </w:r>
      <w:r>
        <w:rPr>
          <w:rFonts w:hint="eastAsia" w:ascii="宋体" w:hAnsi="宋体" w:eastAsia="宋体" w:cs="宋体"/>
          <w:color w:val="auto"/>
          <w:sz w:val="24"/>
          <w:szCs w:val="24"/>
          <w:highlight w:val="none"/>
          <w:lang w:eastAsia="zh-CN"/>
        </w:rPr>
        <w:t>支付违约金。违约金不足以弥补甲方损失的，甲方有权继续追偿。同时，甲方视违约情形有权单方选择中止或终止本合同的履行，并没收履约保证金。</w:t>
      </w:r>
    </w:p>
    <w:p w14:paraId="77C5D4C5">
      <w:pPr>
        <w:keepNext w:val="0"/>
        <w:keepLines w:val="0"/>
        <w:pageBreakBefore w:val="0"/>
        <w:widowControl w:val="0"/>
        <w:tabs>
          <w:tab w:val="left" w:pos="720"/>
        </w:tabs>
        <w:kinsoku/>
        <w:wordWrap/>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.本合同执行期间，如遇不可抗力因素（如地震、战争、洪灾等），致使合同无法履行时，甲、乙双方均不承担违约责任，并按有关法规政策及时协商处理。</w:t>
      </w:r>
    </w:p>
    <w:p w14:paraId="0C8E43C3">
      <w:pPr>
        <w:keepNext w:val="0"/>
        <w:keepLines w:val="0"/>
        <w:pageBreakBefore w:val="0"/>
        <w:widowControl w:val="0"/>
        <w:tabs>
          <w:tab w:val="left" w:pos="720"/>
        </w:tabs>
        <w:kinsoku/>
        <w:wordWrap/>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合同协商、订立、履行期间，双方对所获得的对方任何资料、信息数据等文件均负有保密义务。未经一方书面同意，另一方不得在协商、合同期内或合同履行完毕以后以任何方式泄露或用于与本合同无关的其他任何事项。</w:t>
      </w:r>
    </w:p>
    <w:p w14:paraId="179CBED9">
      <w:pPr>
        <w:pStyle w:val="2"/>
        <w:numPr>
          <w:ilvl w:val="0"/>
          <w:numId w:val="0"/>
        </w:numPr>
        <w:spacing w:line="440" w:lineRule="exact"/>
        <w:ind w:left="0" w:leftChars="0" w:firstLine="482" w:firstLineChars="200"/>
        <w:rPr>
          <w:rFonts w:hint="eastAsia" w:ascii="宋体" w:hAnsi="宋体" w:cs="宋体"/>
          <w:color w:val="auto"/>
          <w:sz w:val="24"/>
          <w:szCs w:val="24"/>
          <w:highlight w:val="none"/>
          <w:lang w:val="en-US" w:eastAsia="zh-CN"/>
        </w:rPr>
      </w:pPr>
      <w:r>
        <w:rPr>
          <w:rFonts w:hint="eastAsia" w:ascii="宋体" w:hAnsi="宋体" w:eastAsia="宋体" w:cs="宋体"/>
          <w:b/>
          <w:color w:val="auto"/>
          <w:kern w:val="2"/>
          <w:sz w:val="24"/>
          <w:szCs w:val="24"/>
          <w:highlight w:val="none"/>
          <w:lang w:val="en-US" w:eastAsia="zh-CN" w:bidi="ar-SA"/>
        </w:rPr>
        <w:t>第</w:t>
      </w:r>
      <w:r>
        <w:rPr>
          <w:rFonts w:hint="eastAsia" w:hAnsi="宋体" w:cs="宋体"/>
          <w:b/>
          <w:color w:val="auto"/>
          <w:kern w:val="2"/>
          <w:sz w:val="24"/>
          <w:szCs w:val="24"/>
          <w:highlight w:val="none"/>
          <w:lang w:val="en-US" w:eastAsia="zh-CN" w:bidi="ar-SA"/>
        </w:rPr>
        <w:t>九</w:t>
      </w:r>
      <w:r>
        <w:rPr>
          <w:rFonts w:hint="eastAsia" w:ascii="宋体" w:hAnsi="宋体" w:eastAsia="宋体" w:cs="宋体"/>
          <w:b/>
          <w:color w:val="auto"/>
          <w:kern w:val="2"/>
          <w:sz w:val="24"/>
          <w:szCs w:val="24"/>
          <w:highlight w:val="none"/>
          <w:lang w:val="en-US" w:eastAsia="zh-CN" w:bidi="ar-SA"/>
        </w:rPr>
        <w:t>条</w:t>
      </w:r>
      <w:r>
        <w:rPr>
          <w:rFonts w:hint="eastAsia" w:hAnsi="宋体" w:cs="宋体"/>
          <w:b/>
          <w:color w:val="auto"/>
          <w:kern w:val="2"/>
          <w:sz w:val="24"/>
          <w:szCs w:val="24"/>
          <w:highlight w:val="none"/>
          <w:lang w:val="en-US" w:eastAsia="zh-CN" w:bidi="ar-SA"/>
        </w:rPr>
        <w:t xml:space="preserve"> </w:t>
      </w:r>
      <w:r>
        <w:rPr>
          <w:rFonts w:hint="eastAsia" w:ascii="宋体" w:hAnsi="宋体" w:cs="宋体"/>
          <w:color w:val="auto"/>
          <w:sz w:val="24"/>
          <w:szCs w:val="24"/>
          <w:highlight w:val="none"/>
          <w:lang w:val="en-US" w:eastAsia="zh-CN"/>
        </w:rPr>
        <w:t>售后服务</w:t>
      </w:r>
    </w:p>
    <w:p w14:paraId="0B07B42E">
      <w:pPr>
        <w:snapToGrid w:val="0"/>
        <w:spacing w:after="0" w:afterLines="-2147483648"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kern w:val="2"/>
          <w:sz w:val="24"/>
          <w:szCs w:val="24"/>
          <w:highlight w:val="none"/>
        </w:rPr>
        <w:t>.</w:t>
      </w:r>
      <w:r>
        <w:rPr>
          <w:rFonts w:hint="eastAsia" w:ascii="宋体" w:hAnsi="宋体" w:eastAsia="宋体" w:cs="宋体"/>
          <w:color w:val="auto"/>
          <w:sz w:val="24"/>
          <w:szCs w:val="24"/>
          <w:highlight w:val="none"/>
        </w:rPr>
        <w:t>乙方应按照国家有关法律法规和“三包”规定以及公告、采购文件、投标文件和本合同所附的《服务承诺》，为甲方提供售后服务。</w:t>
      </w:r>
    </w:p>
    <w:p w14:paraId="43762FDB">
      <w:pPr>
        <w:snapToGrid w:val="0"/>
        <w:spacing w:after="0" w:afterLines="-2147483648"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kern w:val="2"/>
          <w:sz w:val="24"/>
          <w:szCs w:val="24"/>
          <w:highlight w:val="none"/>
        </w:rPr>
        <w:t>.</w:t>
      </w:r>
      <w:r>
        <w:rPr>
          <w:rFonts w:hint="eastAsia" w:ascii="宋体" w:hAnsi="宋体" w:eastAsia="宋体" w:cs="宋体"/>
          <w:color w:val="auto"/>
          <w:sz w:val="24"/>
          <w:szCs w:val="24"/>
          <w:highlight w:val="none"/>
        </w:rPr>
        <w:t>乙方提供的服务承诺等其它具体约定事项（见合同附件)。</w:t>
      </w:r>
    </w:p>
    <w:p w14:paraId="057F2335">
      <w:pPr>
        <w:keepNext w:val="0"/>
        <w:keepLines w:val="0"/>
        <w:pageBreakBefore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3.乙方</w:t>
      </w:r>
      <w:r>
        <w:rPr>
          <w:rFonts w:hint="eastAsia" w:ascii="宋体" w:hAnsi="宋体" w:eastAsia="宋体" w:cs="宋体"/>
          <w:color w:val="auto"/>
          <w:sz w:val="24"/>
          <w:szCs w:val="24"/>
          <w:highlight w:val="none"/>
        </w:rPr>
        <w:t>若因突发事件或不可抗力不能及时清运医疗废物时，应在出现突发事件后马上电话通知</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应于突发事件发生后24小时内启动应急响应预案恢复清运</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的医疗废物。如因</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原因需临时调整收运时间及频次的，需提前至少24小时与</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沟通。</w:t>
      </w:r>
    </w:p>
    <w:p w14:paraId="0F104ADF">
      <w:pPr>
        <w:numPr>
          <w:ilvl w:val="-1"/>
          <w:numId w:val="0"/>
        </w:numPr>
        <w:snapToGrid w:val="0"/>
        <w:spacing w:line="440" w:lineRule="exact"/>
        <w:ind w:firstLine="480" w:firstLineChars="200"/>
        <w:rPr>
          <w:rFonts w:hint="default" w:eastAsia="宋体"/>
          <w:color w:val="auto"/>
          <w:sz w:val="24"/>
          <w:highlight w:val="none"/>
          <w:lang w:val="en-US"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发生医疗废物泄漏、丢失等突发事件时，</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应在2小时内到达现场处置，并提供书面应急处理方案且按方案执行。</w:t>
      </w:r>
    </w:p>
    <w:p w14:paraId="48CA5599">
      <w:pPr>
        <w:keepNext w:val="0"/>
        <w:keepLines w:val="0"/>
        <w:pageBreakBefore w:val="0"/>
        <w:widowControl w:val="0"/>
        <w:kinsoku/>
        <w:wordWrap/>
        <w:overflowPunct w:val="0"/>
        <w:topLinePunct/>
        <w:autoSpaceDE/>
        <w:autoSpaceDN/>
        <w:bidi w:val="0"/>
        <w:adjustRightInd/>
        <w:snapToGrid w:val="0"/>
        <w:spacing w:line="440" w:lineRule="exact"/>
        <w:ind w:left="-61" w:leftChars="-29" w:firstLine="590" w:firstLineChars="245"/>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第</w:t>
      </w:r>
      <w:r>
        <w:rPr>
          <w:rFonts w:hint="eastAsia" w:ascii="宋体" w:hAnsi="宋体" w:cs="宋体"/>
          <w:b/>
          <w:color w:val="auto"/>
          <w:sz w:val="24"/>
          <w:szCs w:val="24"/>
          <w:highlight w:val="none"/>
          <w:lang w:val="en-US" w:eastAsia="zh-CN"/>
        </w:rPr>
        <w:t>十</w:t>
      </w:r>
      <w:r>
        <w:rPr>
          <w:rFonts w:hint="eastAsia" w:ascii="宋体" w:hAnsi="宋体" w:eastAsia="宋体" w:cs="宋体"/>
          <w:b/>
          <w:color w:val="auto"/>
          <w:sz w:val="24"/>
          <w:szCs w:val="24"/>
          <w:highlight w:val="none"/>
          <w:lang w:val="en-US" w:eastAsia="zh-CN"/>
        </w:rPr>
        <w:t>条 联络</w:t>
      </w:r>
    </w:p>
    <w:p w14:paraId="1542AC8C">
      <w:pPr>
        <w:spacing w:line="440" w:lineRule="exact"/>
        <w:ind w:firstLine="562" w:firstLineChars="200"/>
        <w:jc w:val="left"/>
        <w:outlineLvl w:val="0"/>
        <w:rPr>
          <w:rFonts w:hint="eastAsia" w:ascii="宋体" w:hAnsi="宋体" w:eastAsia="宋体" w:cs="宋体"/>
          <w:b/>
          <w:color w:val="auto"/>
          <w:spacing w:val="20"/>
          <w:sz w:val="24"/>
          <w:szCs w:val="24"/>
          <w:highlight w:val="none"/>
        </w:rPr>
      </w:pPr>
      <w:r>
        <w:rPr>
          <w:rFonts w:hint="eastAsia" w:ascii="宋体" w:hAnsi="宋体" w:eastAsia="宋体" w:cs="宋体"/>
          <w:b/>
          <w:color w:val="auto"/>
          <w:spacing w:val="20"/>
          <w:sz w:val="24"/>
          <w:szCs w:val="24"/>
          <w:highlight w:val="none"/>
        </w:rPr>
        <w:t>1.联系人</w:t>
      </w:r>
    </w:p>
    <w:p w14:paraId="39E221CB">
      <w:pPr>
        <w:keepNext w:val="0"/>
        <w:keepLines w:val="0"/>
        <w:pageBreakBefore w:val="0"/>
        <w:widowControl w:val="0"/>
        <w:tabs>
          <w:tab w:val="left" w:pos="720"/>
        </w:tabs>
        <w:kinsoku/>
        <w:wordWrap/>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本合同有效期内，甲方指定</w:t>
      </w:r>
      <w:r>
        <w:rPr>
          <w:rFonts w:hint="eastAsia" w:ascii="宋体" w:hAnsi="宋体" w:eastAsia="宋体" w:cs="宋体"/>
          <w:i w:val="0"/>
          <w:iCs w:val="0"/>
          <w:color w:val="auto"/>
          <w:sz w:val="24"/>
          <w:szCs w:val="24"/>
          <w:highlight w:val="none"/>
          <w:u w:val="single"/>
          <w:lang w:eastAsia="zh-CN"/>
        </w:rPr>
        <w:t xml:space="preserve">  </w:t>
      </w:r>
      <w:r>
        <w:rPr>
          <w:rFonts w:hint="eastAsia" w:ascii="宋体" w:hAnsi="宋体" w:cs="宋体"/>
          <w:i w:val="0"/>
          <w:iCs w:val="0"/>
          <w:color w:val="auto"/>
          <w:sz w:val="24"/>
          <w:szCs w:val="24"/>
          <w:highlight w:val="none"/>
          <w:u w:val="single"/>
          <w:lang w:val="en-US" w:eastAsia="zh-CN"/>
        </w:rPr>
        <w:t xml:space="preserve">  </w:t>
      </w:r>
      <w:r>
        <w:rPr>
          <w:rFonts w:hint="eastAsia" w:ascii="宋体" w:hAnsi="宋体" w:eastAsia="宋体" w:cs="宋体"/>
          <w:i w:val="0"/>
          <w:iCs w:val="0"/>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（联系电话：</w:t>
      </w:r>
      <w:r>
        <w:rPr>
          <w:rFonts w:hint="eastAsia" w:ascii="宋体" w:hAnsi="宋体" w:eastAsia="宋体" w:cs="宋体"/>
          <w:color w:val="auto"/>
          <w:sz w:val="24"/>
          <w:szCs w:val="24"/>
          <w:highlight w:val="none"/>
          <w:u w:val="single"/>
          <w:lang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）为甲方联系人；乙方指定</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（联系电话：</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）为乙方联系人。</w:t>
      </w:r>
    </w:p>
    <w:p w14:paraId="732190D7">
      <w:pPr>
        <w:keepNext w:val="0"/>
        <w:keepLines w:val="0"/>
        <w:pageBreakBefore w:val="0"/>
        <w:widowControl w:val="0"/>
        <w:tabs>
          <w:tab w:val="left" w:pos="720"/>
        </w:tabs>
        <w:kinsoku/>
        <w:wordWrap/>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联系人承担合同履行期间的医废收运信息沟通。一方变更合同联系人的，应当及时告知另一方，因一方变更联系人未及时通知而造成损失的，由其自行承担。                   </w:t>
      </w:r>
    </w:p>
    <w:p w14:paraId="4C7C3C73">
      <w:pPr>
        <w:keepNext w:val="0"/>
        <w:keepLines w:val="0"/>
        <w:pageBreakBefore w:val="0"/>
        <w:widowControl w:val="0"/>
        <w:kinsoku/>
        <w:wordWrap/>
        <w:overflowPunct w:val="0"/>
        <w:topLinePunct/>
        <w:autoSpaceDE/>
        <w:autoSpaceDN/>
        <w:bidi w:val="0"/>
        <w:adjustRightInd/>
        <w:snapToGrid w:val="0"/>
        <w:spacing w:line="440" w:lineRule="exact"/>
        <w:ind w:left="-61" w:leftChars="-29" w:firstLine="590" w:firstLineChars="245"/>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第</w:t>
      </w:r>
      <w:r>
        <w:rPr>
          <w:rFonts w:hint="eastAsia" w:ascii="宋体" w:hAnsi="宋体" w:cs="宋体"/>
          <w:b/>
          <w:color w:val="auto"/>
          <w:sz w:val="24"/>
          <w:szCs w:val="24"/>
          <w:highlight w:val="none"/>
          <w:lang w:val="en-US" w:eastAsia="zh-CN"/>
        </w:rPr>
        <w:t>十一</w:t>
      </w:r>
      <w:r>
        <w:rPr>
          <w:rFonts w:hint="eastAsia" w:ascii="宋体" w:hAnsi="宋体" w:eastAsia="宋体" w:cs="宋体"/>
          <w:b/>
          <w:color w:val="auto"/>
          <w:sz w:val="24"/>
          <w:szCs w:val="24"/>
          <w:highlight w:val="none"/>
          <w:lang w:val="en-US" w:eastAsia="zh-CN"/>
        </w:rPr>
        <w:t>条 不可抗力事件处理</w:t>
      </w:r>
    </w:p>
    <w:p w14:paraId="591B720A">
      <w:pPr>
        <w:suppressAutoHyphens/>
        <w:snapToGrid w:val="0"/>
        <w:spacing w:line="440" w:lineRule="exact"/>
        <w:ind w:firstLine="480" w:firstLineChars="200"/>
        <w:rPr>
          <w:rFonts w:hint="eastAsia" w:ascii="宋体" w:hAnsi="宋体" w:eastAsia="宋体" w:cs="宋体"/>
          <w:color w:val="auto"/>
          <w:kern w:val="1"/>
          <w:sz w:val="24"/>
          <w:szCs w:val="24"/>
          <w:highlight w:val="none"/>
        </w:rPr>
      </w:pPr>
      <w:r>
        <w:rPr>
          <w:rFonts w:hint="eastAsia" w:ascii="宋体" w:hAnsi="宋体" w:eastAsia="宋体" w:cs="宋体"/>
          <w:color w:val="auto"/>
          <w:kern w:val="1"/>
          <w:sz w:val="24"/>
          <w:szCs w:val="24"/>
          <w:highlight w:val="none"/>
        </w:rPr>
        <w:t>1. 在合同有效期内，任何一方因不可抗力事件导致不能履行合同，则合同履行期可延长，其延长期与不可抗力影响期相同。</w:t>
      </w:r>
    </w:p>
    <w:p w14:paraId="7D1EA14C">
      <w:pPr>
        <w:suppressAutoHyphens/>
        <w:snapToGrid w:val="0"/>
        <w:spacing w:line="440" w:lineRule="exact"/>
        <w:ind w:firstLine="480" w:firstLineChars="200"/>
        <w:rPr>
          <w:rFonts w:hint="eastAsia" w:ascii="宋体" w:hAnsi="宋体" w:eastAsia="宋体" w:cs="宋体"/>
          <w:color w:val="auto"/>
          <w:kern w:val="1"/>
          <w:sz w:val="24"/>
          <w:szCs w:val="24"/>
          <w:highlight w:val="none"/>
        </w:rPr>
      </w:pPr>
      <w:r>
        <w:rPr>
          <w:rFonts w:hint="eastAsia" w:ascii="宋体" w:hAnsi="宋体" w:eastAsia="宋体" w:cs="宋体"/>
          <w:color w:val="auto"/>
          <w:kern w:val="1"/>
          <w:sz w:val="24"/>
          <w:szCs w:val="24"/>
          <w:highlight w:val="none"/>
        </w:rPr>
        <w:t>2. 不可抗力事件发生后，应立即通知对方，并寄送有关权威机构出具的证明。</w:t>
      </w:r>
    </w:p>
    <w:p w14:paraId="30E9299A">
      <w:pPr>
        <w:suppressAutoHyphens/>
        <w:snapToGrid w:val="0"/>
        <w:spacing w:line="440" w:lineRule="exact"/>
        <w:ind w:firstLine="480" w:firstLineChars="200"/>
        <w:rPr>
          <w:rFonts w:hint="eastAsia" w:ascii="宋体" w:hAnsi="宋体" w:eastAsia="宋体" w:cs="宋体"/>
          <w:color w:val="auto"/>
          <w:kern w:val="1"/>
          <w:sz w:val="24"/>
          <w:szCs w:val="24"/>
          <w:highlight w:val="none"/>
        </w:rPr>
      </w:pPr>
      <w:r>
        <w:rPr>
          <w:rFonts w:hint="eastAsia" w:ascii="宋体" w:hAnsi="宋体" w:eastAsia="宋体" w:cs="宋体"/>
          <w:color w:val="auto"/>
          <w:kern w:val="1"/>
          <w:sz w:val="24"/>
          <w:szCs w:val="24"/>
          <w:highlight w:val="none"/>
        </w:rPr>
        <w:t>3. 不可抗力事件延续一百二十天以上，双方应通过友好协商，确定是否继续履行合同。</w:t>
      </w:r>
    </w:p>
    <w:p w14:paraId="37CCE346">
      <w:pPr>
        <w:keepNext w:val="0"/>
        <w:keepLines w:val="0"/>
        <w:pageBreakBefore w:val="0"/>
        <w:kinsoku/>
        <w:overflowPunct/>
        <w:topLinePunct w:val="0"/>
        <w:autoSpaceDE/>
        <w:autoSpaceDN/>
        <w:bidi w:val="0"/>
        <w:adjustRightInd/>
        <w:snapToGrid w:val="0"/>
        <w:spacing w:line="440" w:lineRule="exact"/>
        <w:ind w:firstLine="480" w:firstLineChars="200"/>
        <w:textAlignment w:val="auto"/>
        <w:rPr>
          <w:rFonts w:hint="eastAsia" w:ascii="宋体" w:hAnsi="宋体" w:eastAsia="宋体" w:cs="宋体"/>
          <w:color w:val="auto"/>
          <w:kern w:val="1"/>
          <w:sz w:val="24"/>
          <w:szCs w:val="24"/>
          <w:highlight w:val="none"/>
        </w:rPr>
      </w:pPr>
      <w:r>
        <w:rPr>
          <w:rFonts w:hint="eastAsia" w:ascii="宋体" w:hAnsi="宋体" w:eastAsia="宋体" w:cs="宋体"/>
          <w:color w:val="auto"/>
          <w:kern w:val="1"/>
          <w:sz w:val="24"/>
          <w:szCs w:val="24"/>
          <w:highlight w:val="none"/>
        </w:rPr>
        <w:t>4、不可抗力是指合同生效后，发生甲乙双方无法预见、无法预防、无法避免和无法控制的事件，致使无法履行或不能按约定履行合同。主要包括台风、冰雹、地震、海啸、洪水、火山爆发、山体滑坡、政府征收、政府征用、战争、武装冲突、罢工、骚乱、暴动、突发公共卫生事件等情形。</w:t>
      </w:r>
    </w:p>
    <w:p w14:paraId="2EC55FB7">
      <w:pPr>
        <w:keepNext w:val="0"/>
        <w:keepLines w:val="0"/>
        <w:pageBreakBefore w:val="0"/>
        <w:widowControl w:val="0"/>
        <w:kinsoku/>
        <w:wordWrap/>
        <w:overflowPunct w:val="0"/>
        <w:topLinePunct/>
        <w:autoSpaceDE/>
        <w:autoSpaceDN/>
        <w:bidi w:val="0"/>
        <w:adjustRightInd/>
        <w:snapToGrid w:val="0"/>
        <w:spacing w:line="440" w:lineRule="exact"/>
        <w:ind w:left="-61" w:leftChars="-29" w:firstLine="590" w:firstLineChars="245"/>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第十</w:t>
      </w:r>
      <w:r>
        <w:rPr>
          <w:rFonts w:hint="eastAsia" w:ascii="宋体" w:hAnsi="宋体" w:cs="宋体"/>
          <w:b/>
          <w:color w:val="auto"/>
          <w:sz w:val="24"/>
          <w:szCs w:val="24"/>
          <w:highlight w:val="none"/>
          <w:lang w:val="en-US" w:eastAsia="zh-CN"/>
        </w:rPr>
        <w:t>二</w:t>
      </w:r>
      <w:r>
        <w:rPr>
          <w:rFonts w:hint="eastAsia" w:ascii="宋体" w:hAnsi="宋体" w:eastAsia="宋体" w:cs="宋体"/>
          <w:b/>
          <w:color w:val="auto"/>
          <w:sz w:val="24"/>
          <w:szCs w:val="24"/>
          <w:highlight w:val="none"/>
          <w:lang w:val="en-US" w:eastAsia="zh-CN"/>
        </w:rPr>
        <w:t>条  合同争议解决和诉讼</w:t>
      </w:r>
    </w:p>
    <w:p w14:paraId="7050B337">
      <w:pPr>
        <w:suppressAutoHyphens/>
        <w:snapToGrid w:val="0"/>
        <w:spacing w:line="440" w:lineRule="exact"/>
        <w:ind w:firstLine="480" w:firstLineChars="200"/>
        <w:rPr>
          <w:rFonts w:hint="eastAsia" w:ascii="宋体" w:hAnsi="宋体" w:eastAsia="宋体" w:cs="宋体"/>
          <w:color w:val="auto"/>
          <w:kern w:val="1"/>
          <w:sz w:val="24"/>
          <w:szCs w:val="24"/>
          <w:highlight w:val="none"/>
        </w:rPr>
      </w:pPr>
      <w:r>
        <w:rPr>
          <w:rFonts w:hint="eastAsia" w:ascii="宋体" w:hAnsi="宋体" w:eastAsia="宋体" w:cs="宋体"/>
          <w:color w:val="auto"/>
          <w:kern w:val="1"/>
          <w:sz w:val="24"/>
          <w:szCs w:val="24"/>
          <w:highlight w:val="none"/>
        </w:rPr>
        <w:t>1. 因服务成果质量问题发生争议的，应邀请国家认可的质量检测机构按照国家标准对</w:t>
      </w:r>
      <w:r>
        <w:rPr>
          <w:rFonts w:hint="eastAsia" w:ascii="宋体" w:hAnsi="宋体" w:eastAsia="宋体" w:cs="宋体"/>
          <w:color w:val="auto"/>
          <w:kern w:val="1"/>
          <w:sz w:val="24"/>
          <w:szCs w:val="24"/>
          <w:highlight w:val="none"/>
          <w:lang w:val="en-US" w:eastAsia="zh-CN"/>
        </w:rPr>
        <w:t>服务成果</w:t>
      </w:r>
      <w:r>
        <w:rPr>
          <w:rFonts w:hint="eastAsia" w:ascii="宋体" w:hAnsi="宋体" w:eastAsia="宋体" w:cs="宋体"/>
          <w:color w:val="auto"/>
          <w:kern w:val="1"/>
          <w:sz w:val="24"/>
          <w:szCs w:val="24"/>
          <w:highlight w:val="none"/>
        </w:rPr>
        <w:t>质量进行</w:t>
      </w:r>
      <w:r>
        <w:rPr>
          <w:rFonts w:hint="eastAsia" w:ascii="宋体" w:hAnsi="宋体" w:eastAsia="宋体" w:cs="宋体"/>
          <w:color w:val="auto"/>
          <w:kern w:val="1"/>
          <w:sz w:val="24"/>
          <w:szCs w:val="24"/>
          <w:highlight w:val="none"/>
          <w:lang w:eastAsia="zh-Hans"/>
        </w:rPr>
        <w:t>鉴定</w:t>
      </w:r>
      <w:r>
        <w:rPr>
          <w:rFonts w:hint="eastAsia" w:ascii="宋体" w:hAnsi="宋体" w:eastAsia="宋体" w:cs="宋体"/>
          <w:color w:val="auto"/>
          <w:kern w:val="1"/>
          <w:sz w:val="24"/>
          <w:szCs w:val="24"/>
          <w:highlight w:val="none"/>
        </w:rPr>
        <w:t>。服务成果符合国家标准的，鉴定费由甲方承担；服务成果不符合国家标准的，鉴定费由乙方承担。</w:t>
      </w:r>
    </w:p>
    <w:p w14:paraId="4966F69B">
      <w:pPr>
        <w:suppressAutoHyphens/>
        <w:snapToGrid w:val="0"/>
        <w:spacing w:line="440" w:lineRule="exact"/>
        <w:ind w:firstLine="480" w:firstLineChars="200"/>
        <w:rPr>
          <w:rFonts w:hint="eastAsia" w:ascii="宋体" w:hAnsi="宋体" w:eastAsia="宋体" w:cs="宋体"/>
          <w:color w:val="auto"/>
          <w:kern w:val="1"/>
          <w:sz w:val="24"/>
          <w:szCs w:val="24"/>
          <w:highlight w:val="none"/>
        </w:rPr>
      </w:pPr>
      <w:r>
        <w:rPr>
          <w:rFonts w:hint="eastAsia" w:ascii="宋体" w:hAnsi="宋体" w:eastAsia="宋体" w:cs="宋体"/>
          <w:color w:val="auto"/>
          <w:kern w:val="1"/>
          <w:sz w:val="24"/>
          <w:szCs w:val="24"/>
          <w:highlight w:val="none"/>
        </w:rPr>
        <w:t>2. 因履行本合同引起的或与本合同有关的争议，甲乙双方应首先通过友好协商解决，如果协商不能解决，可向甲方所在地人民法院提起诉讼。</w:t>
      </w:r>
    </w:p>
    <w:p w14:paraId="52462C30">
      <w:pPr>
        <w:suppressAutoHyphens/>
        <w:snapToGrid w:val="0"/>
        <w:spacing w:line="440" w:lineRule="exact"/>
        <w:ind w:firstLine="480" w:firstLineChars="200"/>
        <w:rPr>
          <w:rFonts w:hint="eastAsia" w:ascii="宋体" w:hAnsi="宋体" w:eastAsia="宋体" w:cs="宋体"/>
          <w:color w:val="auto"/>
          <w:kern w:val="1"/>
          <w:sz w:val="24"/>
          <w:szCs w:val="24"/>
          <w:highlight w:val="none"/>
        </w:rPr>
      </w:pPr>
      <w:r>
        <w:rPr>
          <w:rFonts w:hint="eastAsia" w:ascii="宋体" w:hAnsi="宋体" w:eastAsia="宋体" w:cs="宋体"/>
          <w:color w:val="auto"/>
          <w:kern w:val="1"/>
          <w:sz w:val="24"/>
          <w:szCs w:val="24"/>
          <w:highlight w:val="none"/>
        </w:rPr>
        <w:t>3. 诉讼期间，本合同是否继续履行，由甲方决定。甲方因诉讼支付的律师费、差旅费、交通费、鉴定费、保全担保费等费用均由乙方承担。</w:t>
      </w:r>
    </w:p>
    <w:p w14:paraId="75402745">
      <w:pPr>
        <w:keepNext w:val="0"/>
        <w:keepLines w:val="0"/>
        <w:pageBreakBefore w:val="0"/>
        <w:kinsoku/>
        <w:overflowPunct/>
        <w:topLinePunct w:val="0"/>
        <w:autoSpaceDE w:val="0"/>
        <w:autoSpaceDN/>
        <w:bidi w:val="0"/>
        <w:adjustRightInd/>
        <w:snapToGrid w:val="0"/>
        <w:spacing w:line="440" w:lineRule="exact"/>
        <w:ind w:firstLine="480" w:firstLineChars="200"/>
        <w:textAlignment w:val="auto"/>
        <w:rPr>
          <w:rFonts w:hint="eastAsia"/>
          <w:color w:val="auto"/>
          <w:sz w:val="24"/>
          <w:highlight w:val="none"/>
        </w:rPr>
      </w:pPr>
      <w:r>
        <w:rPr>
          <w:rFonts w:hint="eastAsia"/>
          <w:color w:val="auto"/>
          <w:sz w:val="24"/>
          <w:highlight w:val="none"/>
          <w:lang w:val="en-US" w:eastAsia="zh-CN"/>
        </w:rPr>
        <w:t>4.</w:t>
      </w:r>
      <w:r>
        <w:rPr>
          <w:rFonts w:hint="eastAsia" w:ascii="宋体" w:hAnsi="宋体" w:eastAsia="宋体" w:cs="宋体"/>
          <w:color w:val="auto"/>
          <w:sz w:val="24"/>
          <w:szCs w:val="24"/>
          <w:highlight w:val="none"/>
        </w:rPr>
        <w:t>本合同项下联系方式同时作为有效的司法送达地址。邮寄送达的，以签收日或寄出后第 5 日（先到的时间为准）为送达日；传真或电子邮件送达的，以成功发送之日为送达日。任何一方变更送达地址的，应提前 3 日书面通知对方，否则由此导致的送达不能后果由该方自行承担。</w:t>
      </w:r>
    </w:p>
    <w:p w14:paraId="3343645D">
      <w:pPr>
        <w:keepNext w:val="0"/>
        <w:keepLines w:val="0"/>
        <w:pageBreakBefore w:val="0"/>
        <w:widowControl w:val="0"/>
        <w:kinsoku/>
        <w:wordWrap/>
        <w:overflowPunct w:val="0"/>
        <w:topLinePunct/>
        <w:autoSpaceDE/>
        <w:autoSpaceDN/>
        <w:bidi w:val="0"/>
        <w:adjustRightInd/>
        <w:snapToGrid w:val="0"/>
        <w:spacing w:line="440" w:lineRule="exact"/>
        <w:ind w:left="-61" w:leftChars="-29" w:firstLine="590" w:firstLineChars="245"/>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第十</w:t>
      </w:r>
      <w:r>
        <w:rPr>
          <w:rFonts w:hint="eastAsia" w:ascii="宋体" w:hAnsi="宋体" w:cs="宋体"/>
          <w:b/>
          <w:color w:val="auto"/>
          <w:sz w:val="24"/>
          <w:szCs w:val="24"/>
          <w:highlight w:val="none"/>
          <w:lang w:val="en-US" w:eastAsia="zh-CN"/>
        </w:rPr>
        <w:t>三</w:t>
      </w:r>
      <w:r>
        <w:rPr>
          <w:rFonts w:hint="eastAsia" w:ascii="宋体" w:hAnsi="宋体" w:eastAsia="宋体" w:cs="宋体"/>
          <w:b/>
          <w:color w:val="auto"/>
          <w:sz w:val="24"/>
          <w:szCs w:val="24"/>
          <w:highlight w:val="none"/>
          <w:lang w:val="en-US" w:eastAsia="zh-CN"/>
        </w:rPr>
        <w:t>条  合同生效及其它</w:t>
      </w:r>
    </w:p>
    <w:p w14:paraId="77957751">
      <w:pPr>
        <w:keepNext w:val="0"/>
        <w:keepLines w:val="0"/>
        <w:pageBreakBefore w:val="0"/>
        <w:widowControl w:val="0"/>
        <w:kinsoku/>
        <w:wordWrap/>
        <w:autoSpaceDE/>
        <w:autoSpaceDN/>
        <w:bidi w:val="0"/>
        <w:adjustRightInd/>
        <w:snapToGrid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本合同自双方法定代表人或委托代理人签字或盖章并加盖单位公章或合同章之日起生效。</w:t>
      </w:r>
    </w:p>
    <w:p w14:paraId="2E32DD8E">
      <w:pPr>
        <w:keepNext w:val="0"/>
        <w:keepLines w:val="0"/>
        <w:pageBreakBefore w:val="0"/>
        <w:widowControl w:val="0"/>
        <w:kinsoku/>
        <w:wordWrap/>
        <w:autoSpaceDE/>
        <w:autoSpaceDN/>
        <w:bidi w:val="0"/>
        <w:adjustRightInd/>
        <w:snapToGrid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合同执行中涉及采购资金和采购内容修改或补充的，须经双方协商确认，方可作为主合同不可分割的一部分。</w:t>
      </w:r>
    </w:p>
    <w:p w14:paraId="3DE113C9">
      <w:pPr>
        <w:keepNext w:val="0"/>
        <w:keepLines w:val="0"/>
        <w:pageBreakBefore w:val="0"/>
        <w:widowControl w:val="0"/>
        <w:kinsoku/>
        <w:wordWrap/>
        <w:autoSpaceDE/>
        <w:autoSpaceDN/>
        <w:bidi w:val="0"/>
        <w:adjustRightInd/>
        <w:snapToGrid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双方的权力和义务以本合同打印内容为准，除签名和日期以外，任何以手写、口头或者其他形式对本合同进行的修改或者补充均视为无效，双方经友好协商共同签订的补充协议除外。</w:t>
      </w:r>
    </w:p>
    <w:p w14:paraId="40A63295">
      <w:pPr>
        <w:keepNext w:val="0"/>
        <w:keepLines w:val="0"/>
        <w:pageBreakBefore w:val="0"/>
        <w:widowControl w:val="0"/>
        <w:kinsoku/>
        <w:wordWrap/>
        <w:autoSpaceDE/>
        <w:autoSpaceDN/>
        <w:bidi w:val="0"/>
        <w:adjustRightInd/>
        <w:snapToGrid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本合同未尽事宜，遵照《中华人民共和国民法典》有关条文执行。</w:t>
      </w:r>
    </w:p>
    <w:p w14:paraId="3AE3D6CE">
      <w:pPr>
        <w:keepNext w:val="0"/>
        <w:keepLines w:val="0"/>
        <w:pageBreakBefore w:val="0"/>
        <w:widowControl w:val="0"/>
        <w:kinsoku/>
        <w:wordWrap/>
        <w:autoSpaceDE/>
        <w:autoSpaceDN/>
        <w:bidi w:val="0"/>
        <w:adjustRightInd/>
        <w:snapToGrid w:val="0"/>
        <w:spacing w:line="440" w:lineRule="exact"/>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第十</w:t>
      </w:r>
      <w:r>
        <w:rPr>
          <w:rFonts w:hint="eastAsia" w:ascii="宋体" w:hAnsi="宋体" w:cs="宋体"/>
          <w:b/>
          <w:color w:val="auto"/>
          <w:sz w:val="24"/>
          <w:szCs w:val="24"/>
          <w:highlight w:val="none"/>
          <w:lang w:val="en-US" w:eastAsia="zh-CN"/>
        </w:rPr>
        <w:t>四</w:t>
      </w:r>
      <w:r>
        <w:rPr>
          <w:rFonts w:hint="eastAsia" w:ascii="宋体" w:hAnsi="宋体" w:eastAsia="宋体" w:cs="宋体"/>
          <w:b/>
          <w:color w:val="auto"/>
          <w:sz w:val="24"/>
          <w:szCs w:val="24"/>
          <w:highlight w:val="none"/>
        </w:rPr>
        <w:t>条　合同的变更、终止与转让</w:t>
      </w:r>
    </w:p>
    <w:p w14:paraId="58A6536C">
      <w:pPr>
        <w:keepNext w:val="0"/>
        <w:keepLines w:val="0"/>
        <w:pageBreakBefore w:val="0"/>
        <w:kinsoku/>
        <w:overflowPunct/>
        <w:topLinePunct w:val="0"/>
        <w:autoSpaceDE w:val="0"/>
        <w:autoSpaceDN/>
        <w:bidi w:val="0"/>
        <w:adjustRightInd/>
        <w:snapToGrid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1、除《中华人民共和国政府采购法》第五十条规定的情形外，本合同一经签订，甲乙双方不得擅自变更、中止或终止。</w:t>
      </w:r>
    </w:p>
    <w:p w14:paraId="6A83D095">
      <w:pPr>
        <w:keepNext w:val="0"/>
        <w:keepLines w:val="0"/>
        <w:pageBreakBefore w:val="0"/>
        <w:kinsoku/>
        <w:overflowPunct/>
        <w:topLinePunct w:val="0"/>
        <w:autoSpaceDE w:val="0"/>
        <w:autoSpaceDN/>
        <w:bidi w:val="0"/>
        <w:adjustRightInd/>
        <w:snapToGrid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2、乙方不得擅自转让其应履行的合同义务。</w:t>
      </w:r>
    </w:p>
    <w:p w14:paraId="03B7E91E">
      <w:pPr>
        <w:keepNext w:val="0"/>
        <w:keepLines w:val="0"/>
        <w:pageBreakBefore w:val="0"/>
        <w:widowControl w:val="0"/>
        <w:kinsoku/>
        <w:wordWrap/>
        <w:overflowPunct/>
        <w:topLinePunct w:val="0"/>
        <w:autoSpaceDE/>
        <w:autoSpaceDN/>
        <w:bidi w:val="0"/>
        <w:adjustRightInd/>
        <w:snapToGrid w:val="0"/>
        <w:spacing w:line="440" w:lineRule="exact"/>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第十</w:t>
      </w:r>
      <w:r>
        <w:rPr>
          <w:rFonts w:hint="eastAsia" w:ascii="宋体" w:hAnsi="宋体" w:cs="宋体"/>
          <w:b/>
          <w:color w:val="auto"/>
          <w:sz w:val="24"/>
          <w:szCs w:val="24"/>
          <w:highlight w:val="none"/>
          <w:lang w:val="en-US" w:eastAsia="zh-CN"/>
        </w:rPr>
        <w:t>五</w:t>
      </w:r>
      <w:r>
        <w:rPr>
          <w:rFonts w:hint="eastAsia" w:ascii="宋体" w:hAnsi="宋体" w:eastAsia="宋体" w:cs="宋体"/>
          <w:b/>
          <w:color w:val="auto"/>
          <w:sz w:val="24"/>
          <w:szCs w:val="24"/>
          <w:highlight w:val="none"/>
        </w:rPr>
        <w:t>条　以下文件作为本合同重要组成部分</w:t>
      </w:r>
    </w:p>
    <w:p w14:paraId="63B6B3DE">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成交</w:t>
      </w:r>
      <w:r>
        <w:rPr>
          <w:rFonts w:hint="eastAsia" w:ascii="宋体" w:hAnsi="宋体" w:eastAsia="宋体" w:cs="宋体"/>
          <w:color w:val="auto"/>
          <w:sz w:val="24"/>
          <w:szCs w:val="24"/>
          <w:highlight w:val="none"/>
        </w:rPr>
        <w:t>通知书；</w:t>
      </w:r>
    </w:p>
    <w:p w14:paraId="22E3C040">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项目采购需求；</w:t>
      </w:r>
    </w:p>
    <w:p w14:paraId="0D0F67A4">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竞争性磋商</w:t>
      </w:r>
      <w:r>
        <w:rPr>
          <w:rFonts w:hint="eastAsia" w:ascii="宋体" w:hAnsi="宋体" w:eastAsia="宋体" w:cs="宋体"/>
          <w:color w:val="auto"/>
          <w:sz w:val="24"/>
          <w:szCs w:val="24"/>
          <w:highlight w:val="none"/>
        </w:rPr>
        <w:t>文件的澄清和修改（如有）；</w:t>
      </w:r>
    </w:p>
    <w:p w14:paraId="576EFB65">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响应报价表；</w:t>
      </w:r>
    </w:p>
    <w:p w14:paraId="152875DD">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商务、技术偏离表；</w:t>
      </w:r>
    </w:p>
    <w:p w14:paraId="60D42F29">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成交</w:t>
      </w:r>
      <w:r>
        <w:rPr>
          <w:rFonts w:hint="eastAsia" w:ascii="宋体" w:hAnsi="宋体" w:eastAsia="宋体" w:cs="宋体"/>
          <w:color w:val="auto"/>
          <w:sz w:val="24"/>
          <w:szCs w:val="24"/>
          <w:highlight w:val="none"/>
        </w:rPr>
        <w:t>供应商澄清函（如有）；</w:t>
      </w:r>
    </w:p>
    <w:p w14:paraId="22C8A99C">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7</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其他与本合同相关的资料</w:t>
      </w:r>
      <w:r>
        <w:rPr>
          <w:rFonts w:hint="eastAsia" w:ascii="宋体" w:hAnsi="宋体" w:eastAsia="宋体" w:cs="宋体"/>
          <w:color w:val="auto"/>
          <w:sz w:val="24"/>
          <w:szCs w:val="24"/>
          <w:highlight w:val="none"/>
          <w:lang w:eastAsia="zh-CN"/>
        </w:rPr>
        <w:t>；</w:t>
      </w:r>
    </w:p>
    <w:p w14:paraId="21E32AC9">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廉洁协议</w:t>
      </w:r>
      <w:r>
        <w:rPr>
          <w:rFonts w:hint="eastAsia" w:ascii="宋体" w:hAnsi="宋体" w:cs="宋体"/>
          <w:color w:val="auto"/>
          <w:sz w:val="24"/>
          <w:szCs w:val="24"/>
          <w:highlight w:val="none"/>
          <w:lang w:val="en-US" w:eastAsia="zh-CN"/>
        </w:rPr>
        <w:t>书</w:t>
      </w:r>
      <w:r>
        <w:rPr>
          <w:rFonts w:hint="eastAsia" w:ascii="宋体" w:hAnsi="宋体" w:eastAsia="宋体" w:cs="宋体"/>
          <w:color w:val="auto"/>
          <w:sz w:val="24"/>
          <w:szCs w:val="24"/>
          <w:highlight w:val="none"/>
          <w:lang w:eastAsia="zh-CN"/>
        </w:rPr>
        <w:t>；</w:t>
      </w:r>
    </w:p>
    <w:p w14:paraId="6B0CDED7">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竞争性磋商文件及乙方提供的响应文件。</w:t>
      </w:r>
    </w:p>
    <w:p w14:paraId="0F7D3C9D">
      <w:pPr>
        <w:keepNext w:val="0"/>
        <w:keepLines w:val="0"/>
        <w:pageBreakBefore w:val="0"/>
        <w:widowControl w:val="0"/>
        <w:kinsoku/>
        <w:wordWrap/>
        <w:overflowPunct/>
        <w:topLinePunct w:val="0"/>
        <w:autoSpaceDE/>
        <w:autoSpaceDN/>
        <w:bidi w:val="0"/>
        <w:adjustRightInd/>
        <w:snapToGrid w:val="0"/>
        <w:spacing w:line="440" w:lineRule="exact"/>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第十</w:t>
      </w:r>
      <w:r>
        <w:rPr>
          <w:rFonts w:hint="eastAsia" w:ascii="宋体" w:hAnsi="宋体" w:cs="宋体"/>
          <w:b/>
          <w:color w:val="auto"/>
          <w:sz w:val="24"/>
          <w:szCs w:val="24"/>
          <w:highlight w:val="none"/>
          <w:lang w:val="en-US" w:eastAsia="zh-CN"/>
        </w:rPr>
        <w:t>六</w:t>
      </w:r>
      <w:r>
        <w:rPr>
          <w:rFonts w:hint="eastAsia" w:ascii="宋体" w:hAnsi="宋体" w:eastAsia="宋体" w:cs="宋体"/>
          <w:b/>
          <w:color w:val="auto"/>
          <w:sz w:val="24"/>
          <w:szCs w:val="24"/>
          <w:highlight w:val="none"/>
        </w:rPr>
        <w:t>条　</w:t>
      </w:r>
      <w:r>
        <w:rPr>
          <w:rFonts w:hint="eastAsia" w:ascii="宋体" w:hAnsi="宋体" w:eastAsia="宋体" w:cs="宋体"/>
          <w:color w:val="auto"/>
          <w:sz w:val="24"/>
          <w:szCs w:val="24"/>
          <w:highlight w:val="none"/>
        </w:rPr>
        <w:t>本合同一式四份，具有同等法律效力，甲方执二份，乙方执一份，</w:t>
      </w:r>
      <w:r>
        <w:rPr>
          <w:rFonts w:hint="eastAsia" w:ascii="宋体" w:hAnsi="宋体" w:eastAsia="宋体" w:cs="宋体"/>
          <w:color w:val="auto"/>
          <w:spacing w:val="4"/>
          <w:sz w:val="24"/>
          <w:szCs w:val="24"/>
          <w:highlight w:val="none"/>
        </w:rPr>
        <w:t>采购代理机构</w:t>
      </w:r>
      <w:r>
        <w:rPr>
          <w:rFonts w:hint="eastAsia" w:ascii="宋体" w:hAnsi="宋体" w:eastAsia="宋体" w:cs="宋体"/>
          <w:color w:val="auto"/>
          <w:sz w:val="24"/>
          <w:szCs w:val="24"/>
          <w:highlight w:val="none"/>
        </w:rPr>
        <w:t>执一份。</w:t>
      </w:r>
    </w:p>
    <w:tbl>
      <w:tblPr>
        <w:tblStyle w:val="33"/>
        <w:tblW w:w="94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4842"/>
      </w:tblGrid>
      <w:tr w14:paraId="12D4C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3" w:hRule="atLeast"/>
          <w:jc w:val="center"/>
        </w:trPr>
        <w:tc>
          <w:tcPr>
            <w:tcW w:w="4582" w:type="dxa"/>
          </w:tcPr>
          <w:p w14:paraId="5E0D543B">
            <w:pPr>
              <w:snapToGrid w:val="0"/>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甲方（章） 广西医科大学附属武鸣医院          </w:t>
            </w:r>
          </w:p>
          <w:p w14:paraId="25E48C5E">
            <w:pPr>
              <w:snapToGrid w:val="0"/>
              <w:spacing w:line="380" w:lineRule="exact"/>
              <w:rPr>
                <w:rFonts w:hint="eastAsia" w:ascii="宋体" w:hAnsi="宋体" w:eastAsia="宋体" w:cs="宋体"/>
                <w:color w:val="auto"/>
                <w:sz w:val="24"/>
                <w:szCs w:val="24"/>
                <w:highlight w:val="none"/>
              </w:rPr>
            </w:pPr>
          </w:p>
          <w:p w14:paraId="08D187AE">
            <w:pPr>
              <w:snapToGrid w:val="0"/>
              <w:spacing w:line="380" w:lineRule="exact"/>
              <w:rPr>
                <w:rFonts w:hint="eastAsia" w:ascii="宋体" w:hAnsi="宋体" w:eastAsia="宋体" w:cs="宋体"/>
                <w:color w:val="auto"/>
                <w:sz w:val="24"/>
                <w:szCs w:val="24"/>
                <w:highlight w:val="none"/>
              </w:rPr>
            </w:pPr>
          </w:p>
          <w:p w14:paraId="4696349F">
            <w:pPr>
              <w:snapToGrid w:val="0"/>
              <w:spacing w:line="380" w:lineRule="exact"/>
              <w:ind w:firstLine="1080" w:firstLineChars="4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年   月   日</w:t>
            </w:r>
          </w:p>
        </w:tc>
        <w:tc>
          <w:tcPr>
            <w:tcW w:w="4842" w:type="dxa"/>
          </w:tcPr>
          <w:p w14:paraId="011D52D1">
            <w:pPr>
              <w:snapToGrid w:val="0"/>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乙方（章）              </w:t>
            </w:r>
          </w:p>
          <w:p w14:paraId="7A5741EA">
            <w:pPr>
              <w:snapToGrid w:val="0"/>
              <w:spacing w:line="380" w:lineRule="exact"/>
              <w:rPr>
                <w:rFonts w:hint="eastAsia" w:ascii="宋体" w:hAnsi="宋体" w:eastAsia="宋体" w:cs="宋体"/>
                <w:color w:val="auto"/>
                <w:sz w:val="24"/>
                <w:szCs w:val="24"/>
                <w:highlight w:val="none"/>
              </w:rPr>
            </w:pPr>
          </w:p>
          <w:p w14:paraId="6260831E">
            <w:pPr>
              <w:snapToGrid w:val="0"/>
              <w:spacing w:line="380" w:lineRule="exact"/>
              <w:rPr>
                <w:rFonts w:hint="eastAsia" w:ascii="宋体" w:hAnsi="宋体" w:eastAsia="宋体" w:cs="宋体"/>
                <w:color w:val="auto"/>
                <w:sz w:val="24"/>
                <w:szCs w:val="24"/>
                <w:highlight w:val="none"/>
              </w:rPr>
            </w:pPr>
          </w:p>
          <w:p w14:paraId="31032671">
            <w:pPr>
              <w:snapToGrid w:val="0"/>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年   月   日</w:t>
            </w:r>
          </w:p>
        </w:tc>
      </w:tr>
      <w:tr w14:paraId="22B95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4" w:hRule="atLeast"/>
          <w:jc w:val="center"/>
        </w:trPr>
        <w:tc>
          <w:tcPr>
            <w:tcW w:w="4582" w:type="dxa"/>
          </w:tcPr>
          <w:p w14:paraId="4B16C67C">
            <w:pPr>
              <w:snapToGrid w:val="0"/>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单位地址：广西南宁市武鸣区永宁路26号</w:t>
            </w:r>
          </w:p>
        </w:tc>
        <w:tc>
          <w:tcPr>
            <w:tcW w:w="4842" w:type="dxa"/>
          </w:tcPr>
          <w:p w14:paraId="2C60C9C8">
            <w:pPr>
              <w:snapToGrid w:val="0"/>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单位地址：</w:t>
            </w:r>
          </w:p>
        </w:tc>
      </w:tr>
      <w:tr w14:paraId="79B53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9" w:hRule="atLeast"/>
          <w:jc w:val="center"/>
        </w:trPr>
        <w:tc>
          <w:tcPr>
            <w:tcW w:w="4582" w:type="dxa"/>
          </w:tcPr>
          <w:p w14:paraId="7038F650">
            <w:pPr>
              <w:snapToGrid w:val="0"/>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法定代表人（签字或盖章）：</w:t>
            </w:r>
          </w:p>
        </w:tc>
        <w:tc>
          <w:tcPr>
            <w:tcW w:w="4842" w:type="dxa"/>
          </w:tcPr>
          <w:p w14:paraId="0C48177A">
            <w:pPr>
              <w:snapToGrid w:val="0"/>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法定代表人（签字或盖章）：</w:t>
            </w:r>
          </w:p>
        </w:tc>
      </w:tr>
      <w:tr w14:paraId="2047E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8" w:hRule="atLeast"/>
          <w:jc w:val="center"/>
        </w:trPr>
        <w:tc>
          <w:tcPr>
            <w:tcW w:w="4582" w:type="dxa"/>
          </w:tcPr>
          <w:p w14:paraId="5B39BE31">
            <w:pPr>
              <w:snapToGrid w:val="0"/>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（或）委托代理人（签字或盖章）：</w:t>
            </w:r>
          </w:p>
        </w:tc>
        <w:tc>
          <w:tcPr>
            <w:tcW w:w="4842" w:type="dxa"/>
          </w:tcPr>
          <w:p w14:paraId="27594CF5">
            <w:pPr>
              <w:snapToGrid w:val="0"/>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（或）委托代理人（签字或盖章）：</w:t>
            </w:r>
          </w:p>
        </w:tc>
      </w:tr>
      <w:tr w14:paraId="5FD3D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jc w:val="center"/>
        </w:trPr>
        <w:tc>
          <w:tcPr>
            <w:tcW w:w="4582" w:type="dxa"/>
          </w:tcPr>
          <w:p w14:paraId="691A9703">
            <w:pPr>
              <w:snapToGrid w:val="0"/>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电话：0771-6222411</w:t>
            </w:r>
          </w:p>
        </w:tc>
        <w:tc>
          <w:tcPr>
            <w:tcW w:w="4842" w:type="dxa"/>
          </w:tcPr>
          <w:p w14:paraId="35EDCC2C">
            <w:pPr>
              <w:snapToGrid w:val="0"/>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w:t>
            </w:r>
          </w:p>
        </w:tc>
      </w:tr>
      <w:tr w14:paraId="1C927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4582" w:type="dxa"/>
          </w:tcPr>
          <w:p w14:paraId="1EB5C9F6">
            <w:pPr>
              <w:snapToGrid w:val="0"/>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电子邮箱：gxmuwmfy@163.com</w:t>
            </w:r>
          </w:p>
        </w:tc>
        <w:tc>
          <w:tcPr>
            <w:tcW w:w="4842" w:type="dxa"/>
          </w:tcPr>
          <w:p w14:paraId="1EF3F1C7">
            <w:pPr>
              <w:snapToGrid w:val="0"/>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电子邮箱：</w:t>
            </w:r>
          </w:p>
        </w:tc>
      </w:tr>
      <w:tr w14:paraId="1438F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4" w:hRule="atLeast"/>
          <w:jc w:val="center"/>
        </w:trPr>
        <w:tc>
          <w:tcPr>
            <w:tcW w:w="4582" w:type="dxa"/>
          </w:tcPr>
          <w:p w14:paraId="2EBC64D8">
            <w:pPr>
              <w:snapToGrid w:val="0"/>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开户银行：中国工商银行股份有限公司南宁市武鸣支行</w:t>
            </w:r>
          </w:p>
        </w:tc>
        <w:tc>
          <w:tcPr>
            <w:tcW w:w="4842" w:type="dxa"/>
          </w:tcPr>
          <w:p w14:paraId="5D3E13D8">
            <w:pPr>
              <w:snapToGrid w:val="0"/>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p>
        </w:tc>
      </w:tr>
      <w:tr w14:paraId="0CFB5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4582" w:type="dxa"/>
          </w:tcPr>
          <w:p w14:paraId="10BE9150">
            <w:pPr>
              <w:snapToGrid w:val="0"/>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账号：2102117009300236704</w:t>
            </w:r>
          </w:p>
        </w:tc>
        <w:tc>
          <w:tcPr>
            <w:tcW w:w="4842" w:type="dxa"/>
          </w:tcPr>
          <w:p w14:paraId="5DA766E3">
            <w:pPr>
              <w:snapToGrid w:val="0"/>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账号：</w:t>
            </w:r>
          </w:p>
        </w:tc>
      </w:tr>
      <w:tr w14:paraId="113C9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582" w:type="dxa"/>
          </w:tcPr>
          <w:p w14:paraId="0F6B1728">
            <w:pPr>
              <w:snapToGrid w:val="0"/>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纳税人识别号或统一社会信用代码：1245011049858978X4</w:t>
            </w:r>
          </w:p>
        </w:tc>
        <w:tc>
          <w:tcPr>
            <w:tcW w:w="4842" w:type="dxa"/>
          </w:tcPr>
          <w:p w14:paraId="47805622">
            <w:pPr>
              <w:snapToGrid w:val="0"/>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纳税人识别号或统一社会信用代码：</w:t>
            </w:r>
          </w:p>
        </w:tc>
      </w:tr>
      <w:tr w14:paraId="055B3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4582" w:type="dxa"/>
          </w:tcPr>
          <w:p w14:paraId="71F1D123">
            <w:pPr>
              <w:snapToGrid w:val="0"/>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邮政编码：530199</w:t>
            </w:r>
          </w:p>
        </w:tc>
        <w:tc>
          <w:tcPr>
            <w:tcW w:w="4842" w:type="dxa"/>
          </w:tcPr>
          <w:p w14:paraId="3BE6953F">
            <w:pPr>
              <w:snapToGrid w:val="0"/>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p>
        </w:tc>
      </w:tr>
    </w:tbl>
    <w:p w14:paraId="61751CCF">
      <w:pPr>
        <w:keepNext w:val="0"/>
        <w:keepLines w:val="0"/>
        <w:pageBreakBefore/>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color w:val="auto"/>
          <w:sz w:val="44"/>
          <w:szCs w:val="44"/>
          <w:highlight w:val="none"/>
          <w:lang w:val="en-US" w:eastAsia="zh-CN"/>
        </w:rPr>
      </w:pPr>
      <w:r>
        <w:rPr>
          <w:rFonts w:hint="eastAsia" w:ascii="宋体" w:hAnsi="宋体" w:eastAsia="宋体"/>
          <w:b/>
          <w:color w:val="auto"/>
          <w:sz w:val="44"/>
          <w:szCs w:val="44"/>
          <w:highlight w:val="none"/>
        </w:rPr>
        <w:t>廉洁协议</w:t>
      </w:r>
      <w:r>
        <w:rPr>
          <w:rFonts w:hint="eastAsia" w:ascii="宋体" w:hAnsi="宋体"/>
          <w:b/>
          <w:color w:val="auto"/>
          <w:sz w:val="44"/>
          <w:szCs w:val="44"/>
          <w:highlight w:val="none"/>
          <w:lang w:val="en-US" w:eastAsia="zh-CN"/>
        </w:rPr>
        <w:t>书</w:t>
      </w:r>
    </w:p>
    <w:p w14:paraId="578A8D95">
      <w:pPr>
        <w:keepNext w:val="0"/>
        <w:keepLines w:val="0"/>
        <w:pageBreakBefore w:val="0"/>
        <w:widowControl w:val="0"/>
        <w:shd w:val="clear" w:color="auto" w:fill="auto"/>
        <w:kinsoku/>
        <w:wordWrap/>
        <w:overflowPunct/>
        <w:topLinePunct w:val="0"/>
        <w:autoSpaceDE/>
        <w:autoSpaceDN/>
        <w:bidi w:val="0"/>
        <w:adjustRightInd/>
        <w:snapToGrid/>
        <w:spacing w:line="380" w:lineRule="exact"/>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甲方：广西医科大学附属武鸣医院</w:t>
      </w:r>
    </w:p>
    <w:p w14:paraId="671BDB48">
      <w:pPr>
        <w:keepNext w:val="0"/>
        <w:keepLines w:val="0"/>
        <w:pageBreakBefore w:val="0"/>
        <w:widowControl w:val="0"/>
        <w:shd w:val="clear" w:color="auto" w:fill="auto"/>
        <w:kinsoku/>
        <w:wordWrap/>
        <w:overflowPunct/>
        <w:topLinePunct w:val="0"/>
        <w:autoSpaceDE/>
        <w:autoSpaceDN/>
        <w:bidi w:val="0"/>
        <w:adjustRightInd/>
        <w:snapToGrid/>
        <w:spacing w:line="380" w:lineRule="exact"/>
        <w:textAlignment w:val="auto"/>
        <w:rPr>
          <w:rFonts w:ascii="宋体" w:hAnsi="宋体"/>
          <w:color w:val="auto"/>
          <w:sz w:val="24"/>
          <w:szCs w:val="24"/>
          <w:highlight w:val="none"/>
        </w:rPr>
      </w:pPr>
      <w:r>
        <w:rPr>
          <w:rFonts w:hint="eastAsia" w:ascii="宋体" w:hAnsi="宋体" w:eastAsia="宋体" w:cs="Times New Roman"/>
          <w:color w:val="auto"/>
          <w:sz w:val="24"/>
          <w:szCs w:val="24"/>
          <w:highlight w:val="none"/>
        </w:rPr>
        <w:t>乙方：</w:t>
      </w:r>
      <w:r>
        <w:rPr>
          <w:rFonts w:hint="eastAsia" w:ascii="宋体" w:hAnsi="宋体"/>
          <w:b w:val="0"/>
          <w:bCs/>
          <w:color w:val="auto"/>
          <w:sz w:val="24"/>
          <w:szCs w:val="24"/>
          <w:highlight w:val="none"/>
        </w:rPr>
        <w:t xml:space="preserve">   </w:t>
      </w:r>
      <w:r>
        <w:rPr>
          <w:rFonts w:hint="eastAsia" w:ascii="宋体" w:hAnsi="宋体"/>
          <w:b/>
          <w:color w:val="auto"/>
          <w:sz w:val="24"/>
          <w:szCs w:val="24"/>
          <w:highlight w:val="none"/>
        </w:rPr>
        <w:t xml:space="preserve"> </w:t>
      </w:r>
    </w:p>
    <w:p w14:paraId="19C9895E">
      <w:pPr>
        <w:pStyle w:val="14"/>
        <w:keepNext w:val="0"/>
        <w:keepLines w:val="0"/>
        <w:pageBreakBefore w:val="0"/>
        <w:widowControl w:val="0"/>
        <w:shd w:val="clear" w:color="auto" w:fill="auto"/>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为规范医院</w:t>
      </w:r>
      <w:r>
        <w:rPr>
          <w:rFonts w:hint="eastAsia" w:ascii="宋体" w:hAnsi="宋体" w:cs="Times New Roman"/>
          <w:color w:val="auto"/>
          <w:kern w:val="2"/>
          <w:sz w:val="24"/>
          <w:szCs w:val="24"/>
          <w:highlight w:val="none"/>
          <w:lang w:val="en-US" w:eastAsia="zh-CN" w:bidi="ar-SA"/>
        </w:rPr>
        <w:t>采购</w:t>
      </w:r>
      <w:r>
        <w:rPr>
          <w:rFonts w:hint="eastAsia" w:ascii="宋体" w:hAnsi="宋体" w:eastAsia="宋体" w:cs="Times New Roman"/>
          <w:color w:val="auto"/>
          <w:kern w:val="2"/>
          <w:sz w:val="24"/>
          <w:szCs w:val="24"/>
          <w:highlight w:val="none"/>
          <w:lang w:val="en-US" w:eastAsia="zh-CN" w:bidi="ar-SA"/>
        </w:rPr>
        <w:t>活动中的行为，防止商业贿赂和不正当竞争，确保合作公平、透明，维护患者、医院和经营企业的利益，经甲、乙双方友好协商，签订本廉洁协议书并共同遵守：</w:t>
      </w:r>
    </w:p>
    <w:p w14:paraId="2BF36743">
      <w:pPr>
        <w:keepNext w:val="0"/>
        <w:keepLines w:val="0"/>
        <w:pageBreakBefore w:val="0"/>
        <w:widowControl w:val="0"/>
        <w:shd w:val="clear" w:color="auto" w:fill="auto"/>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一、甲方购进乙方服务，不得以任何方式向乙方索取回扣，或者索要、收受乙方产品发票价外的赞助，不得要求乙方代支付任何费用开支。</w:t>
      </w:r>
    </w:p>
    <w:p w14:paraId="53E06073">
      <w:pPr>
        <w:keepNext w:val="0"/>
        <w:keepLines w:val="0"/>
        <w:pageBreakBefore w:val="0"/>
        <w:widowControl w:val="0"/>
        <w:shd w:val="clear" w:color="auto" w:fill="auto"/>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二、甲方工作人员不得以暗示或其他任何形式索要回扣、提成、有价证券、现金等。如甲方工作人员暗示或索要，乙方应予拒绝，并有责任如实向甲方纪检监察部门反映情况。</w:t>
      </w:r>
    </w:p>
    <w:p w14:paraId="110320B3">
      <w:pPr>
        <w:keepNext w:val="0"/>
        <w:keepLines w:val="0"/>
        <w:pageBreakBefore w:val="0"/>
        <w:widowControl w:val="0"/>
        <w:shd w:val="clear" w:color="auto" w:fill="auto"/>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三、甲方工作人员不得替乙方非法统计销售价格、数量等有关信息。</w:t>
      </w:r>
    </w:p>
    <w:p w14:paraId="47202FB9">
      <w:pPr>
        <w:keepNext w:val="0"/>
        <w:keepLines w:val="0"/>
        <w:pageBreakBefore w:val="0"/>
        <w:widowControl w:val="0"/>
        <w:shd w:val="clear" w:color="auto" w:fill="auto"/>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四、乙方不得暗中给予甲方回扣，不得以任何理由为甲方工作人员报销应由其个人支付的费用，不得以提成和赠送有价证券、现金、信用卡、宴请、娱乐以及提供学术活动等手段影响甲方的选择权。</w:t>
      </w:r>
    </w:p>
    <w:p w14:paraId="494B4D6B">
      <w:pPr>
        <w:keepNext w:val="0"/>
        <w:keepLines w:val="0"/>
        <w:pageBreakBefore w:val="0"/>
        <w:widowControl w:val="0"/>
        <w:shd w:val="clear" w:color="auto" w:fill="auto"/>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五、乙方不得进入甲方的医药器械库房、临床科室、微机室等工作场所了解产品销售信息和库存情况。</w:t>
      </w:r>
    </w:p>
    <w:p w14:paraId="5AAA855D">
      <w:pPr>
        <w:keepNext w:val="0"/>
        <w:keepLines w:val="0"/>
        <w:pageBreakBefore w:val="0"/>
        <w:widowControl w:val="0"/>
        <w:shd w:val="clear" w:color="auto" w:fill="auto"/>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六、乙方洽谈业务，必须在工作时间到甲方指定的科室联系商谈；不得私自到临床、医技等科室推销产品。乙方必须经甲方的相关部门登记和许可才能进入甲方指定的场所进行宣传、专题知识讲座、召开座谈会等甲方同意的业务活动。</w:t>
      </w:r>
    </w:p>
    <w:p w14:paraId="24AC8861">
      <w:pPr>
        <w:keepNext w:val="0"/>
        <w:keepLines w:val="0"/>
        <w:pageBreakBefore w:val="0"/>
        <w:widowControl w:val="0"/>
        <w:shd w:val="clear" w:color="auto" w:fill="auto"/>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七、乙方在销售活动中，要自觉遵守国家和地方的有关法律、法规，严格执行合同条款，不得以次充好，不能降低产品质量，做到诚信经营。</w:t>
      </w:r>
    </w:p>
    <w:p w14:paraId="249F4FD1">
      <w:pPr>
        <w:keepNext w:val="0"/>
        <w:keepLines w:val="0"/>
        <w:pageBreakBefore w:val="0"/>
        <w:widowControl w:val="0"/>
        <w:shd w:val="clear" w:color="auto" w:fill="auto"/>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八、甲、乙双方应共同遵守职业道德，友好合作，杜绝弄虚作假、商业欺诈，不利用非法手段谋取不正当利益，公平公正处理业务。</w:t>
      </w:r>
    </w:p>
    <w:p w14:paraId="69F1033C">
      <w:pPr>
        <w:keepNext w:val="0"/>
        <w:keepLines w:val="0"/>
        <w:pageBreakBefore w:val="0"/>
        <w:widowControl w:val="0"/>
        <w:shd w:val="clear" w:color="auto" w:fill="auto"/>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九、甲方人员违反本协议，按国家有关法律法规及医院有关规定制度处理，情节严重涉嫌犯罪的，移交司法机关处理。</w:t>
      </w:r>
    </w:p>
    <w:p w14:paraId="1BCBC19C">
      <w:pPr>
        <w:keepNext w:val="0"/>
        <w:keepLines w:val="0"/>
        <w:pageBreakBefore w:val="0"/>
        <w:widowControl w:val="0"/>
        <w:shd w:val="clear" w:color="auto" w:fill="auto"/>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十、乙方违反上述条款，经核实后，甲方给予警告，情节严重的，甲方有权终止购销合同，并将乙方违法违规行为报送上级有关部门，列入不良记录，两年内不得在甲方进行产品销售，造成经济损失的，乙方需承担赔偿责任，涉嫌违法的，交由司法机关处理。</w:t>
      </w:r>
    </w:p>
    <w:p w14:paraId="26C90199">
      <w:pPr>
        <w:keepNext w:val="0"/>
        <w:keepLines w:val="0"/>
        <w:pageBreakBefore w:val="0"/>
        <w:widowControl w:val="0"/>
        <w:shd w:val="clear" w:color="auto" w:fill="auto"/>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十一、本协议作为合同的附件，一式二份，甲、乙双方各执一份，协议自双方法定代表人或委托代理人签字或盖章并加盖单位公章或合同章之日起生效</w:t>
      </w:r>
      <w:r>
        <w:rPr>
          <w:rFonts w:hint="eastAsia" w:ascii="宋体" w:hAnsi="宋体" w:cs="Times New Roman"/>
          <w:color w:val="auto"/>
          <w:kern w:val="2"/>
          <w:sz w:val="24"/>
          <w:szCs w:val="24"/>
          <w:highlight w:val="none"/>
          <w:lang w:val="en-US" w:eastAsia="zh-CN" w:bidi="ar-SA"/>
        </w:rPr>
        <w:t>。</w:t>
      </w:r>
    </w:p>
    <w:p w14:paraId="3E8BD44F">
      <w:pPr>
        <w:keepNext w:val="0"/>
        <w:keepLines w:val="0"/>
        <w:pageBreakBefore w:val="0"/>
        <w:widowControl w:val="0"/>
        <w:shd w:val="clear" w:color="auto" w:fill="auto"/>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Times New Roman"/>
          <w:color w:val="auto"/>
          <w:kern w:val="2"/>
          <w:sz w:val="24"/>
          <w:szCs w:val="24"/>
          <w:highlight w:val="none"/>
          <w:lang w:val="en-US" w:eastAsia="zh-CN" w:bidi="ar-SA"/>
        </w:rPr>
      </w:pPr>
    </w:p>
    <w:p w14:paraId="0FBB878B">
      <w:pPr>
        <w:keepNext w:val="0"/>
        <w:keepLines w:val="0"/>
        <w:pageBreakBefore w:val="0"/>
        <w:widowControl w:val="0"/>
        <w:shd w:val="clear" w:color="auto" w:fill="auto"/>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 xml:space="preserve">甲方（章）：广西医科大学附属武鸣医院       乙方（章）：                   </w:t>
      </w:r>
    </w:p>
    <w:p w14:paraId="52148D0A">
      <w:pPr>
        <w:keepNext w:val="0"/>
        <w:keepLines w:val="0"/>
        <w:pageBreakBefore w:val="0"/>
        <w:widowControl w:val="0"/>
        <w:shd w:val="clear" w:color="auto" w:fill="auto"/>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法定代表人（签字或盖章）：                法定代表人（签字或盖章）：</w:t>
      </w:r>
    </w:p>
    <w:p w14:paraId="5C3D8609">
      <w:pPr>
        <w:keepNext w:val="0"/>
        <w:keepLines w:val="0"/>
        <w:pageBreakBefore w:val="0"/>
        <w:widowControl w:val="0"/>
        <w:shd w:val="clear" w:color="auto" w:fill="auto"/>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（或）委托代理人（签字或盖章）：         （或）委托代理人（签字或盖章）：</w:t>
      </w:r>
    </w:p>
    <w:p w14:paraId="1A96C807">
      <w:pPr>
        <w:keepNext w:val="0"/>
        <w:keepLines w:val="0"/>
        <w:pageBreakBefore w:val="0"/>
        <w:widowControl w:val="0"/>
        <w:shd w:val="clear" w:color="auto" w:fill="auto"/>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Times New Roman"/>
          <w:color w:val="auto"/>
          <w:kern w:val="2"/>
          <w:sz w:val="24"/>
          <w:szCs w:val="24"/>
          <w:highlight w:val="none"/>
          <w:lang w:val="en-US" w:eastAsia="zh-CN" w:bidi="ar-SA"/>
        </w:rPr>
      </w:pPr>
    </w:p>
    <w:p w14:paraId="7680DEE6">
      <w:pPr>
        <w:keepNext w:val="0"/>
        <w:keepLines w:val="0"/>
        <w:pageBreakBefore w:val="0"/>
        <w:widowControl w:val="0"/>
        <w:shd w:val="clear" w:color="auto" w:fill="auto"/>
        <w:kinsoku/>
        <w:wordWrap/>
        <w:overflowPunct/>
        <w:topLinePunct w:val="0"/>
        <w:autoSpaceDE/>
        <w:autoSpaceDN/>
        <w:bidi w:val="0"/>
        <w:adjustRightInd/>
        <w:snapToGrid/>
        <w:spacing w:line="380" w:lineRule="exact"/>
        <w:ind w:right="0" w:firstLine="480" w:firstLineChars="200"/>
        <w:jc w:val="left"/>
        <w:textAlignment w:val="auto"/>
        <w:rPr>
          <w:rFonts w:ascii="宋体" w:hAnsi="宋体" w:cs="宋体"/>
          <w:b w:val="0"/>
          <w:bCs/>
          <w:color w:val="auto"/>
          <w:sz w:val="24"/>
          <w:highlight w:val="none"/>
        </w:rPr>
      </w:pPr>
      <w:r>
        <w:rPr>
          <w:rFonts w:hint="eastAsia" w:ascii="宋体" w:hAnsi="宋体" w:eastAsia="宋体" w:cs="Times New Roman"/>
          <w:color w:val="auto"/>
          <w:kern w:val="2"/>
          <w:sz w:val="24"/>
          <w:szCs w:val="24"/>
          <w:highlight w:val="none"/>
          <w:lang w:val="en-US" w:eastAsia="zh-CN" w:bidi="ar-SA"/>
        </w:rPr>
        <w:t>202</w:t>
      </w:r>
      <w:r>
        <w:rPr>
          <w:rFonts w:hint="eastAsia" w:ascii="宋体" w:hAnsi="宋体" w:cs="Times New Roman"/>
          <w:color w:val="auto"/>
          <w:kern w:val="2"/>
          <w:sz w:val="24"/>
          <w:szCs w:val="24"/>
          <w:highlight w:val="none"/>
          <w:lang w:val="en-US" w:eastAsia="zh-CN" w:bidi="ar-SA"/>
        </w:rPr>
        <w:t>6</w:t>
      </w:r>
      <w:r>
        <w:rPr>
          <w:rFonts w:hint="eastAsia" w:ascii="宋体" w:hAnsi="宋体" w:eastAsia="宋体" w:cs="Times New Roman"/>
          <w:color w:val="auto"/>
          <w:kern w:val="2"/>
          <w:sz w:val="24"/>
          <w:szCs w:val="24"/>
          <w:highlight w:val="none"/>
          <w:lang w:val="en-US" w:eastAsia="zh-CN" w:bidi="ar-SA"/>
        </w:rPr>
        <w:t>年   月   日                                202</w:t>
      </w:r>
      <w:r>
        <w:rPr>
          <w:rFonts w:hint="eastAsia" w:ascii="宋体" w:hAnsi="宋体" w:cs="Times New Roman"/>
          <w:color w:val="auto"/>
          <w:kern w:val="2"/>
          <w:sz w:val="24"/>
          <w:szCs w:val="24"/>
          <w:highlight w:val="none"/>
          <w:lang w:val="en-US" w:eastAsia="zh-CN" w:bidi="ar-SA"/>
        </w:rPr>
        <w:t>6</w:t>
      </w:r>
      <w:r>
        <w:rPr>
          <w:rFonts w:hint="eastAsia" w:ascii="宋体" w:hAnsi="宋体" w:eastAsia="宋体" w:cs="Times New Roman"/>
          <w:color w:val="auto"/>
          <w:kern w:val="2"/>
          <w:sz w:val="24"/>
          <w:szCs w:val="24"/>
          <w:highlight w:val="none"/>
          <w:lang w:val="en-US" w:eastAsia="zh-CN" w:bidi="ar-SA"/>
        </w:rPr>
        <w:t>年   月   日</w:t>
      </w:r>
    </w:p>
    <w:bookmarkEnd w:id="115"/>
    <w:sectPr>
      <w:footerReference r:id="rId11" w:type="first"/>
      <w:footerReference r:id="rId10" w:type="default"/>
      <w:pgSz w:w="11910" w:h="16840"/>
      <w:pgMar w:top="1395" w:right="1162" w:bottom="958" w:left="1395"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Cordia New">
    <w:panose1 w:val="020B0304020202020204"/>
    <w:charset w:val="DE"/>
    <w:family w:val="swiss"/>
    <w:pitch w:val="default"/>
    <w:sig w:usb0="81000003" w:usb1="00000000" w:usb2="00000000" w:usb3="00000000" w:csb0="00010001"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92972">
    <w:pPr>
      <w:pStyle w:val="22"/>
      <w:tabs>
        <w:tab w:val="center" w:pos="4439"/>
        <w:tab w:val="clear" w:pos="4153"/>
      </w:tabs>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51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784029AB">
                          <w:pPr>
                            <w:pStyle w:val="22"/>
                          </w:pPr>
                          <w:r>
                            <w:fldChar w:fldCharType="begin"/>
                          </w:r>
                          <w:r>
                            <w:instrText xml:space="preserve"> PAGE  \* MERGEFORMAT </w:instrText>
                          </w:r>
                          <w:r>
                            <w:fldChar w:fldCharType="separate"/>
                          </w:r>
                          <w:r>
                            <w:t>2</w:t>
                          </w:r>
                          <w:r>
                            <w:fldChar w:fldCharType="end"/>
                          </w:r>
                        </w:p>
                      </w:txbxContent>
                    </wps:txbx>
                    <wps:bodyPr wrap="none" lIns="0" tIns="0" rIns="0" bIns="0" upright="1">
                      <a:spAutoFit/>
                    </wps:bodyPr>
                  </wps:wsp>
                </a:graphicData>
              </a:graphic>
            </wp:anchor>
          </w:drawing>
        </mc:Choice>
        <mc:Fallback>
          <w:pict>
            <v:shape id="文本框 512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ql5uc8AAAAFAQAADwAAAAAAAAABACAAAAAi&#10;AAAAZHJzL2Rvd25yZXYueG1sUEsBAhQAFAAAAAgAh07iQHwDqtXaAQAAswMAAA4AAAAAAAAAAQAg&#10;AAAAHgEAAGRycy9lMm9Eb2MueG1sUEsFBgAAAAAGAAYAWQEAAGoFAAAAAA==&#10;">
              <v:fill on="f" focussize="0,0"/>
              <v:stroke on="f"/>
              <v:imagedata o:title=""/>
              <o:lock v:ext="edit" aspectratio="f"/>
              <v:textbox inset="0mm,0mm,0mm,0mm" style="mso-fit-shape-to-text:t;">
                <w:txbxContent>
                  <w:p w14:paraId="784029AB">
                    <w:pPr>
                      <w:pStyle w:val="2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9C8E5">
    <w:pPr>
      <w:pStyle w:val="22"/>
      <w:tabs>
        <w:tab w:val="center" w:pos="4439"/>
        <w:tab w:val="clear" w:pos="4153"/>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5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2CE27597"/>
                      </w:txbxContent>
                    </wps:txbx>
                    <wps:bodyPr wrap="none" lIns="0" tIns="0" rIns="0" bIns="0" upright="1">
                      <a:spAutoFit/>
                    </wps:bodyPr>
                  </wps:wsp>
                </a:graphicData>
              </a:graphic>
            </wp:anchor>
          </w:drawing>
        </mc:Choice>
        <mc:Fallback>
          <w:pict>
            <v:shape id="文本框 512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ql5uc8AAAAFAQAADwAAAAAAAAABACAAAAAi&#10;AAAAZHJzL2Rvd25yZXYueG1sUEsBAhQAFAAAAAgAh07iQJMl3praAQAAswMAAA4AAAAAAAAAAQAg&#10;AAAAHgEAAGRycy9lMm9Eb2MueG1sUEsFBgAAAAAGAAYAWQEAAGoFAAAAAA==&#10;">
              <v:fill on="f" focussize="0,0"/>
              <v:stroke on="f"/>
              <v:imagedata o:title=""/>
              <o:lock v:ext="edit" aspectratio="f"/>
              <v:textbox inset="0mm,0mm,0mm,0mm" style="mso-fit-shape-to-text:t;">
                <w:txbxContent>
                  <w:p w14:paraId="2CE27597"/>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5D8D6">
    <w:pPr>
      <w:widowControl w:val="0"/>
      <w:snapToGrid w:val="0"/>
      <w:jc w:val="center"/>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zh-CN" w:eastAsia="zh-CN" w:bidi="ar-SA"/>
      </w:rPr>
      <w:t>3</w:t>
    </w:r>
    <w:r>
      <w:rPr>
        <w:rFonts w:ascii="Times New Roman" w:hAnsi="Times New Roman" w:eastAsia="宋体" w:cs="Times New Roman"/>
        <w:kern w:val="2"/>
        <w:sz w:val="18"/>
        <w:szCs w:val="18"/>
        <w:lang w:val="en-US" w:eastAsia="zh-CN" w:bidi="ar-SA"/>
      </w:rPr>
      <w:fldChar w:fldCharType="end"/>
    </w:r>
  </w:p>
  <w:p w14:paraId="0CF24B83">
    <w:pPr>
      <w:widowControl w:val="0"/>
      <w:snapToGrid w:val="0"/>
      <w:jc w:val="center"/>
      <w:rPr>
        <w:rFonts w:hint="eastAsia" w:ascii="Times New Roman" w:hAnsi="Times New Roman" w:eastAsia="宋体" w:cs="Times New Roman"/>
        <w:kern w:val="2"/>
        <w:sz w:val="18"/>
        <w:szCs w:val="18"/>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C0739">
    <w:pPr>
      <w:pStyle w:val="2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74B63259">
                          <w:pPr>
                            <w:pStyle w:val="22"/>
                            <w:jc w:val="center"/>
                          </w:pPr>
                          <w:r>
                            <w:fldChar w:fldCharType="begin"/>
                          </w:r>
                          <w:r>
                            <w:instrText xml:space="preserve"> PAGE  \* MERGEFORMAT </w:instrText>
                          </w:r>
                          <w:r>
                            <w:fldChar w:fldCharType="separate"/>
                          </w:r>
                          <w:r>
                            <w:t>19</w:t>
                          </w:r>
                          <w:r>
                            <w:fldChar w:fldCharType="end"/>
                          </w:r>
                        </w:p>
                      </w:txbxContent>
                    </wps:txbx>
                    <wps:bodyPr wrap="none" lIns="0" tIns="0" rIns="0" bIns="0" upright="1">
                      <a:spAutoFit/>
                    </wps:bodyPr>
                  </wps:wsp>
                </a:graphicData>
              </a:graphic>
            </wp:anchor>
          </w:drawing>
        </mc:Choice>
        <mc:Fallback>
          <w:pict>
            <v:shape id="文本框 512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ql5uc8AAAAFAQAADwAAAAAAAAABACAAAAAi&#10;AAAAZHJzL2Rvd25yZXYueG1sUEsBAhQAFAAAAAgAh07iQNiTepLaAQAAswMAAA4AAAAAAAAAAQAg&#10;AAAAHgEAAGRycy9lMm9Eb2MueG1sUEsFBgAAAAAGAAYAWQEAAGoFAAAAAA==&#10;">
              <v:fill on="f" focussize="0,0"/>
              <v:stroke on="f"/>
              <v:imagedata o:title=""/>
              <o:lock v:ext="edit" aspectratio="f"/>
              <v:textbox inset="0mm,0mm,0mm,0mm" style="mso-fit-shape-to-text:t;">
                <w:txbxContent>
                  <w:p w14:paraId="74B63259">
                    <w:pPr>
                      <w:pStyle w:val="22"/>
                      <w:jc w:val="center"/>
                    </w:pPr>
                    <w:r>
                      <w:fldChar w:fldCharType="begin"/>
                    </w:r>
                    <w:r>
                      <w:instrText xml:space="preserve"> PAGE  \* MERGEFORMAT </w:instrText>
                    </w:r>
                    <w:r>
                      <w:fldChar w:fldCharType="separate"/>
                    </w:r>
                    <w:r>
                      <w:t>19</w:t>
                    </w:r>
                    <w:r>
                      <w:fldChar w:fldCharType="end"/>
                    </w:r>
                  </w:p>
                </w:txbxContent>
              </v:textbox>
            </v:shape>
          </w:pict>
        </mc:Fallback>
      </mc:AlternateContent>
    </w:r>
    <w:r>
      <w:rPr>
        <w:rFonts w:hint="eastAsia"/>
      </w:rPr>
      <w:t xml:space="preserve">  </w:t>
    </w:r>
  </w:p>
  <w:p w14:paraId="1E3A02B2">
    <w:pPr>
      <w:pStyle w:val="2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E937D">
    <w:pPr>
      <w:pStyle w:val="2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1ACE3899">
                          <w:pPr>
                            <w:pStyle w:val="22"/>
                          </w:pPr>
                          <w:r>
                            <w:fldChar w:fldCharType="begin"/>
                          </w:r>
                          <w:r>
                            <w:instrText xml:space="preserve"> PAGE  \* MERGEFORMAT </w:instrText>
                          </w:r>
                          <w:r>
                            <w:fldChar w:fldCharType="separate"/>
                          </w:r>
                          <w:r>
                            <w:t>63</w:t>
                          </w:r>
                          <w:r>
                            <w:fldChar w:fldCharType="end"/>
                          </w:r>
                        </w:p>
                      </w:txbxContent>
                    </wps:txbx>
                    <wps:bodyPr wrap="none" lIns="0" tIns="0" rIns="0" bIns="0" upright="1">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ql5uc8AAAAFAQAADwAAAAAAAAABACAAAAAi&#10;AAAAZHJzL2Rvd25yZXYueG1sUEsBAhQAFAAAAAgAh07iQC5LQvbaAQAAswMAAA4AAAAAAAAAAQAg&#10;AAAAHgEAAGRycy9lMm9Eb2MueG1sUEsFBgAAAAAGAAYAWQEAAGoFAAAAAA==&#10;">
              <v:fill on="f" focussize="0,0"/>
              <v:stroke on="f"/>
              <v:imagedata o:title=""/>
              <o:lock v:ext="edit" aspectratio="f"/>
              <v:textbox inset="0mm,0mm,0mm,0mm" style="mso-fit-shape-to-text:t;">
                <w:txbxContent>
                  <w:p w14:paraId="1ACE3899">
                    <w:pPr>
                      <w:pStyle w:val="22"/>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5BA32">
    <w:pPr>
      <w:pStyle w:val="22"/>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D016E0C">
                          <w:pPr>
                            <w:pStyle w:val="22"/>
                            <w:jc w:val="center"/>
                          </w:pPr>
                          <w:r>
                            <w:fldChar w:fldCharType="begin"/>
                          </w:r>
                          <w:r>
                            <w:instrText xml:space="preserve"> PAGE  \* MERGEFORMAT </w:instrText>
                          </w:r>
                          <w:r>
                            <w:fldChar w:fldCharType="separate"/>
                          </w:r>
                          <w:r>
                            <w:t>77</w:t>
                          </w:r>
                          <w:r>
                            <w:fldChar w:fldCharType="end"/>
                          </w: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aEKcWsEBAACNAwAADgAAAAAAAAABACAAAAAeAQAAZHJzL2Uyb0RvYy54bWxQSwUG&#10;AAAAAAYABgBZAQAAUQUAAAAA&#10;">
              <v:fill on="f" focussize="0,0"/>
              <v:stroke on="f"/>
              <v:imagedata o:title=""/>
              <o:lock v:ext="edit" aspectratio="f"/>
              <v:textbox inset="0mm,0mm,0mm,0mm" style="mso-fit-shape-to-text:t;">
                <w:txbxContent>
                  <w:p w14:paraId="1D016E0C">
                    <w:pPr>
                      <w:pStyle w:val="22"/>
                      <w:jc w:val="center"/>
                    </w:pPr>
                    <w:r>
                      <w:fldChar w:fldCharType="begin"/>
                    </w:r>
                    <w:r>
                      <w:instrText xml:space="preserve"> PAGE  \* MERGEFORMAT </w:instrText>
                    </w:r>
                    <w:r>
                      <w:fldChar w:fldCharType="separate"/>
                    </w:r>
                    <w:r>
                      <w:t>77</w:t>
                    </w:r>
                    <w:r>
                      <w:fldChar w:fldCharType="end"/>
                    </w:r>
                  </w:p>
                </w:txbxContent>
              </v:textbox>
            </v:shape>
          </w:pict>
        </mc:Fallback>
      </mc:AlternateContent>
    </w:r>
  </w:p>
  <w:p w14:paraId="59F648C2">
    <w:pPr>
      <w:pStyle w:val="2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F789E">
    <w:pPr>
      <w:pStyle w:val="22"/>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F4A349">
                          <w:pPr>
                            <w:pStyle w:val="22"/>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aQNE8EBAACN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IoSxy0O/PLzx+XXn8vv72SZ&#10;5ekD1Jh1HzAvDe/8gEsz+wGdmfWgos1f5EMwjuKer+LKIRGRH61X63WFIYGx+YL47OF5iJDeS29J&#10;NhoacXpFVH76CGlMnVNyNefvtDFlgsb940DM7GG597HHbKVhP0yE9r49I58eB99Qh3tOifngUNe8&#10;I7MRZ2M/GbkGhNtjwsKln4w6Qk3FcEqF0bRReQ0e30vWw1+0/Q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qaQNE8EBAACNAwAADgAAAAAAAAABACAAAAAeAQAAZHJzL2Uyb0RvYy54bWxQSwUG&#10;AAAAAAYABgBZAQAAUQUAAAAA&#10;">
              <v:fill on="f" focussize="0,0"/>
              <v:stroke on="f"/>
              <v:imagedata o:title=""/>
              <o:lock v:ext="edit" aspectratio="f"/>
              <v:textbox inset="0mm,0mm,0mm,0mm" style="mso-fit-shape-to-text:t;">
                <w:txbxContent>
                  <w:p w14:paraId="5BF4A349">
                    <w:pPr>
                      <w:pStyle w:val="22"/>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67F0C">
    <w:pPr>
      <w:pStyle w:val="2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2A45E">
    <w:pPr>
      <w:pStyle w:val="2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JkOWQxMDY5ZjcxMjFhZDgyY2VlOTYyYTI5M2U3MDkifQ=="/>
  </w:docVars>
  <w:rsids>
    <w:rsidRoot w:val="00F34B14"/>
    <w:rsid w:val="00000672"/>
    <w:rsid w:val="00001013"/>
    <w:rsid w:val="00001799"/>
    <w:rsid w:val="00001AF2"/>
    <w:rsid w:val="00001ECA"/>
    <w:rsid w:val="00002D29"/>
    <w:rsid w:val="00003B93"/>
    <w:rsid w:val="0000474D"/>
    <w:rsid w:val="00005FDF"/>
    <w:rsid w:val="000070B3"/>
    <w:rsid w:val="000076B8"/>
    <w:rsid w:val="0001047A"/>
    <w:rsid w:val="000109DC"/>
    <w:rsid w:val="00010D39"/>
    <w:rsid w:val="0001172C"/>
    <w:rsid w:val="00011A4D"/>
    <w:rsid w:val="00011BC9"/>
    <w:rsid w:val="00012854"/>
    <w:rsid w:val="00012EA6"/>
    <w:rsid w:val="00013359"/>
    <w:rsid w:val="000139CF"/>
    <w:rsid w:val="00013AA4"/>
    <w:rsid w:val="00013DFE"/>
    <w:rsid w:val="000141EA"/>
    <w:rsid w:val="00015094"/>
    <w:rsid w:val="00016ABC"/>
    <w:rsid w:val="000177DB"/>
    <w:rsid w:val="000179C9"/>
    <w:rsid w:val="00017CCC"/>
    <w:rsid w:val="00020227"/>
    <w:rsid w:val="00020263"/>
    <w:rsid w:val="00020455"/>
    <w:rsid w:val="00020527"/>
    <w:rsid w:val="00020813"/>
    <w:rsid w:val="000220B2"/>
    <w:rsid w:val="0002264C"/>
    <w:rsid w:val="00022731"/>
    <w:rsid w:val="00022792"/>
    <w:rsid w:val="00024463"/>
    <w:rsid w:val="00025461"/>
    <w:rsid w:val="00025636"/>
    <w:rsid w:val="00025E36"/>
    <w:rsid w:val="00026855"/>
    <w:rsid w:val="00026886"/>
    <w:rsid w:val="0002785D"/>
    <w:rsid w:val="000329E0"/>
    <w:rsid w:val="000352E9"/>
    <w:rsid w:val="00035494"/>
    <w:rsid w:val="00036125"/>
    <w:rsid w:val="00036A07"/>
    <w:rsid w:val="0003780B"/>
    <w:rsid w:val="00040571"/>
    <w:rsid w:val="00040973"/>
    <w:rsid w:val="0004156E"/>
    <w:rsid w:val="00041713"/>
    <w:rsid w:val="0004440C"/>
    <w:rsid w:val="00046B5E"/>
    <w:rsid w:val="000470CB"/>
    <w:rsid w:val="000509D9"/>
    <w:rsid w:val="00051ACB"/>
    <w:rsid w:val="000533E7"/>
    <w:rsid w:val="00055D41"/>
    <w:rsid w:val="00057CD6"/>
    <w:rsid w:val="00060DCE"/>
    <w:rsid w:val="000610E3"/>
    <w:rsid w:val="000614F3"/>
    <w:rsid w:val="000623B4"/>
    <w:rsid w:val="00062405"/>
    <w:rsid w:val="00062D3B"/>
    <w:rsid w:val="000634A7"/>
    <w:rsid w:val="00063B0B"/>
    <w:rsid w:val="00063F81"/>
    <w:rsid w:val="00064847"/>
    <w:rsid w:val="00065E08"/>
    <w:rsid w:val="000673E2"/>
    <w:rsid w:val="0007063F"/>
    <w:rsid w:val="000707FD"/>
    <w:rsid w:val="00070949"/>
    <w:rsid w:val="000711E4"/>
    <w:rsid w:val="00071F95"/>
    <w:rsid w:val="000724D9"/>
    <w:rsid w:val="00072AED"/>
    <w:rsid w:val="00073F47"/>
    <w:rsid w:val="0007492F"/>
    <w:rsid w:val="00074ED8"/>
    <w:rsid w:val="00075B7E"/>
    <w:rsid w:val="00077ACA"/>
    <w:rsid w:val="00077C70"/>
    <w:rsid w:val="000813B5"/>
    <w:rsid w:val="00081BA3"/>
    <w:rsid w:val="00081D2E"/>
    <w:rsid w:val="00081F89"/>
    <w:rsid w:val="00082619"/>
    <w:rsid w:val="00082D02"/>
    <w:rsid w:val="00083871"/>
    <w:rsid w:val="00083B91"/>
    <w:rsid w:val="0008473C"/>
    <w:rsid w:val="0008520B"/>
    <w:rsid w:val="000860BD"/>
    <w:rsid w:val="000871B8"/>
    <w:rsid w:val="000916DA"/>
    <w:rsid w:val="00092442"/>
    <w:rsid w:val="000929EF"/>
    <w:rsid w:val="000933BE"/>
    <w:rsid w:val="00093CD4"/>
    <w:rsid w:val="0009560F"/>
    <w:rsid w:val="0009588E"/>
    <w:rsid w:val="000959EE"/>
    <w:rsid w:val="00097183"/>
    <w:rsid w:val="000972CB"/>
    <w:rsid w:val="00097608"/>
    <w:rsid w:val="000A13F3"/>
    <w:rsid w:val="000A23B1"/>
    <w:rsid w:val="000A2B0E"/>
    <w:rsid w:val="000A398F"/>
    <w:rsid w:val="000A3BB7"/>
    <w:rsid w:val="000A448C"/>
    <w:rsid w:val="000A509C"/>
    <w:rsid w:val="000A54A7"/>
    <w:rsid w:val="000A6007"/>
    <w:rsid w:val="000A65A6"/>
    <w:rsid w:val="000A70E3"/>
    <w:rsid w:val="000A7275"/>
    <w:rsid w:val="000A7A12"/>
    <w:rsid w:val="000A7A72"/>
    <w:rsid w:val="000B1202"/>
    <w:rsid w:val="000B1801"/>
    <w:rsid w:val="000B1D0C"/>
    <w:rsid w:val="000B2273"/>
    <w:rsid w:val="000B2585"/>
    <w:rsid w:val="000B2BC6"/>
    <w:rsid w:val="000B2D03"/>
    <w:rsid w:val="000B3815"/>
    <w:rsid w:val="000B3C7B"/>
    <w:rsid w:val="000B4321"/>
    <w:rsid w:val="000B6A6B"/>
    <w:rsid w:val="000B6C95"/>
    <w:rsid w:val="000B79FC"/>
    <w:rsid w:val="000B7BD1"/>
    <w:rsid w:val="000C02B1"/>
    <w:rsid w:val="000C1679"/>
    <w:rsid w:val="000C1EE3"/>
    <w:rsid w:val="000C3AE7"/>
    <w:rsid w:val="000C3CC9"/>
    <w:rsid w:val="000C6DE4"/>
    <w:rsid w:val="000C7202"/>
    <w:rsid w:val="000D0A89"/>
    <w:rsid w:val="000D1389"/>
    <w:rsid w:val="000D1798"/>
    <w:rsid w:val="000D2626"/>
    <w:rsid w:val="000D291C"/>
    <w:rsid w:val="000D3FB6"/>
    <w:rsid w:val="000D411D"/>
    <w:rsid w:val="000D4589"/>
    <w:rsid w:val="000D4809"/>
    <w:rsid w:val="000D73DD"/>
    <w:rsid w:val="000E1C51"/>
    <w:rsid w:val="000E28AB"/>
    <w:rsid w:val="000E2E3E"/>
    <w:rsid w:val="000E3583"/>
    <w:rsid w:val="000E3AF0"/>
    <w:rsid w:val="000E4E04"/>
    <w:rsid w:val="000E693B"/>
    <w:rsid w:val="000E6EC9"/>
    <w:rsid w:val="000E70B4"/>
    <w:rsid w:val="000E7B62"/>
    <w:rsid w:val="000F0E1E"/>
    <w:rsid w:val="000F1A1B"/>
    <w:rsid w:val="000F2A95"/>
    <w:rsid w:val="000F3281"/>
    <w:rsid w:val="000F32FD"/>
    <w:rsid w:val="000F3733"/>
    <w:rsid w:val="000F5F8B"/>
    <w:rsid w:val="000F6153"/>
    <w:rsid w:val="000F63C8"/>
    <w:rsid w:val="000F64AA"/>
    <w:rsid w:val="000F7AF4"/>
    <w:rsid w:val="000F7C33"/>
    <w:rsid w:val="000F7F0C"/>
    <w:rsid w:val="001004D6"/>
    <w:rsid w:val="00102676"/>
    <w:rsid w:val="00103646"/>
    <w:rsid w:val="00103918"/>
    <w:rsid w:val="00104897"/>
    <w:rsid w:val="00104EDE"/>
    <w:rsid w:val="00105CDA"/>
    <w:rsid w:val="00106BEE"/>
    <w:rsid w:val="00107C74"/>
    <w:rsid w:val="0011091C"/>
    <w:rsid w:val="00111266"/>
    <w:rsid w:val="001112EB"/>
    <w:rsid w:val="00112768"/>
    <w:rsid w:val="00113678"/>
    <w:rsid w:val="00113C3E"/>
    <w:rsid w:val="00115E11"/>
    <w:rsid w:val="00115EEE"/>
    <w:rsid w:val="00115F56"/>
    <w:rsid w:val="00116CA9"/>
    <w:rsid w:val="00116F38"/>
    <w:rsid w:val="001170A4"/>
    <w:rsid w:val="00117AE7"/>
    <w:rsid w:val="00117CBD"/>
    <w:rsid w:val="0012006A"/>
    <w:rsid w:val="001214B3"/>
    <w:rsid w:val="00121979"/>
    <w:rsid w:val="00122064"/>
    <w:rsid w:val="00124341"/>
    <w:rsid w:val="00124492"/>
    <w:rsid w:val="00124B12"/>
    <w:rsid w:val="001250A0"/>
    <w:rsid w:val="001263B8"/>
    <w:rsid w:val="0012763E"/>
    <w:rsid w:val="00130217"/>
    <w:rsid w:val="00130783"/>
    <w:rsid w:val="00130A47"/>
    <w:rsid w:val="00130D7C"/>
    <w:rsid w:val="00132405"/>
    <w:rsid w:val="00132B47"/>
    <w:rsid w:val="001337F8"/>
    <w:rsid w:val="001348B4"/>
    <w:rsid w:val="001351CB"/>
    <w:rsid w:val="00135530"/>
    <w:rsid w:val="00135947"/>
    <w:rsid w:val="001359A2"/>
    <w:rsid w:val="00135F92"/>
    <w:rsid w:val="00136020"/>
    <w:rsid w:val="00136445"/>
    <w:rsid w:val="00140132"/>
    <w:rsid w:val="00140BC7"/>
    <w:rsid w:val="00141C9C"/>
    <w:rsid w:val="0014277F"/>
    <w:rsid w:val="001434BE"/>
    <w:rsid w:val="00144050"/>
    <w:rsid w:val="0014479F"/>
    <w:rsid w:val="001452B4"/>
    <w:rsid w:val="00145320"/>
    <w:rsid w:val="001476D3"/>
    <w:rsid w:val="001509CF"/>
    <w:rsid w:val="00150D1D"/>
    <w:rsid w:val="001525AA"/>
    <w:rsid w:val="00152A87"/>
    <w:rsid w:val="00153BB5"/>
    <w:rsid w:val="00154518"/>
    <w:rsid w:val="00156359"/>
    <w:rsid w:val="001568F3"/>
    <w:rsid w:val="00156DD6"/>
    <w:rsid w:val="0016086E"/>
    <w:rsid w:val="00160D0C"/>
    <w:rsid w:val="00161172"/>
    <w:rsid w:val="00161998"/>
    <w:rsid w:val="00161E65"/>
    <w:rsid w:val="00162597"/>
    <w:rsid w:val="001629AF"/>
    <w:rsid w:val="001629FD"/>
    <w:rsid w:val="00162B37"/>
    <w:rsid w:val="0016428A"/>
    <w:rsid w:val="001647C9"/>
    <w:rsid w:val="00165627"/>
    <w:rsid w:val="00165929"/>
    <w:rsid w:val="001661A3"/>
    <w:rsid w:val="00167226"/>
    <w:rsid w:val="0016782B"/>
    <w:rsid w:val="0016784D"/>
    <w:rsid w:val="00172CA8"/>
    <w:rsid w:val="00173256"/>
    <w:rsid w:val="00173B0E"/>
    <w:rsid w:val="00173E03"/>
    <w:rsid w:val="00174182"/>
    <w:rsid w:val="0017512C"/>
    <w:rsid w:val="0017586A"/>
    <w:rsid w:val="00175BA6"/>
    <w:rsid w:val="00176CA7"/>
    <w:rsid w:val="00176F8E"/>
    <w:rsid w:val="001778C5"/>
    <w:rsid w:val="00177E56"/>
    <w:rsid w:val="00177F0A"/>
    <w:rsid w:val="00180DA0"/>
    <w:rsid w:val="00181EAD"/>
    <w:rsid w:val="00181F43"/>
    <w:rsid w:val="00182862"/>
    <w:rsid w:val="00184F57"/>
    <w:rsid w:val="00185544"/>
    <w:rsid w:val="00185617"/>
    <w:rsid w:val="00186555"/>
    <w:rsid w:val="00186823"/>
    <w:rsid w:val="00186FE1"/>
    <w:rsid w:val="00187A14"/>
    <w:rsid w:val="0019171E"/>
    <w:rsid w:val="00192368"/>
    <w:rsid w:val="001923A0"/>
    <w:rsid w:val="001928B1"/>
    <w:rsid w:val="00193537"/>
    <w:rsid w:val="00193846"/>
    <w:rsid w:val="00195424"/>
    <w:rsid w:val="001955FF"/>
    <w:rsid w:val="00196D6E"/>
    <w:rsid w:val="00197EDD"/>
    <w:rsid w:val="001A02B3"/>
    <w:rsid w:val="001A04BB"/>
    <w:rsid w:val="001A08D0"/>
    <w:rsid w:val="001A1B39"/>
    <w:rsid w:val="001A2120"/>
    <w:rsid w:val="001A28C6"/>
    <w:rsid w:val="001A2E69"/>
    <w:rsid w:val="001A3C34"/>
    <w:rsid w:val="001A3EDE"/>
    <w:rsid w:val="001A4222"/>
    <w:rsid w:val="001A50EA"/>
    <w:rsid w:val="001A5BA2"/>
    <w:rsid w:val="001A5E24"/>
    <w:rsid w:val="001A6B27"/>
    <w:rsid w:val="001A6D8B"/>
    <w:rsid w:val="001A6DAA"/>
    <w:rsid w:val="001A7717"/>
    <w:rsid w:val="001A793A"/>
    <w:rsid w:val="001B125A"/>
    <w:rsid w:val="001B1EBA"/>
    <w:rsid w:val="001B2142"/>
    <w:rsid w:val="001B2F2B"/>
    <w:rsid w:val="001B327A"/>
    <w:rsid w:val="001B35DE"/>
    <w:rsid w:val="001B3A13"/>
    <w:rsid w:val="001B3F5C"/>
    <w:rsid w:val="001B5789"/>
    <w:rsid w:val="001B59FF"/>
    <w:rsid w:val="001B6512"/>
    <w:rsid w:val="001B65D7"/>
    <w:rsid w:val="001B6752"/>
    <w:rsid w:val="001B6768"/>
    <w:rsid w:val="001B6F1F"/>
    <w:rsid w:val="001B7CD7"/>
    <w:rsid w:val="001B7ECC"/>
    <w:rsid w:val="001C025B"/>
    <w:rsid w:val="001C115F"/>
    <w:rsid w:val="001C1EAB"/>
    <w:rsid w:val="001C25A7"/>
    <w:rsid w:val="001C318C"/>
    <w:rsid w:val="001C35C4"/>
    <w:rsid w:val="001C4287"/>
    <w:rsid w:val="001C4479"/>
    <w:rsid w:val="001C5190"/>
    <w:rsid w:val="001C6081"/>
    <w:rsid w:val="001C7B48"/>
    <w:rsid w:val="001D0CFB"/>
    <w:rsid w:val="001D1A0D"/>
    <w:rsid w:val="001D343C"/>
    <w:rsid w:val="001D34F5"/>
    <w:rsid w:val="001D56FC"/>
    <w:rsid w:val="001D58A1"/>
    <w:rsid w:val="001D58C2"/>
    <w:rsid w:val="001D5A8A"/>
    <w:rsid w:val="001D61CA"/>
    <w:rsid w:val="001D6E87"/>
    <w:rsid w:val="001D735E"/>
    <w:rsid w:val="001D73C8"/>
    <w:rsid w:val="001D7BC6"/>
    <w:rsid w:val="001E129E"/>
    <w:rsid w:val="001E175C"/>
    <w:rsid w:val="001E1B0E"/>
    <w:rsid w:val="001E3B63"/>
    <w:rsid w:val="001E522E"/>
    <w:rsid w:val="001E5A94"/>
    <w:rsid w:val="001E5F6F"/>
    <w:rsid w:val="001F0373"/>
    <w:rsid w:val="001F2A2E"/>
    <w:rsid w:val="001F3356"/>
    <w:rsid w:val="001F3C63"/>
    <w:rsid w:val="001F3ECB"/>
    <w:rsid w:val="001F4460"/>
    <w:rsid w:val="001F711A"/>
    <w:rsid w:val="001F75B0"/>
    <w:rsid w:val="00200CE5"/>
    <w:rsid w:val="00200F7C"/>
    <w:rsid w:val="002014DB"/>
    <w:rsid w:val="0020150B"/>
    <w:rsid w:val="00201E12"/>
    <w:rsid w:val="002033B5"/>
    <w:rsid w:val="0020382C"/>
    <w:rsid w:val="0020437A"/>
    <w:rsid w:val="0020454C"/>
    <w:rsid w:val="00204740"/>
    <w:rsid w:val="00205129"/>
    <w:rsid w:val="0020521F"/>
    <w:rsid w:val="0020532C"/>
    <w:rsid w:val="0021043A"/>
    <w:rsid w:val="002114C7"/>
    <w:rsid w:val="0021302C"/>
    <w:rsid w:val="00213B1C"/>
    <w:rsid w:val="00214202"/>
    <w:rsid w:val="002148E3"/>
    <w:rsid w:val="0021552D"/>
    <w:rsid w:val="002156AE"/>
    <w:rsid w:val="00215E99"/>
    <w:rsid w:val="0022054D"/>
    <w:rsid w:val="00223DDB"/>
    <w:rsid w:val="00223FA4"/>
    <w:rsid w:val="00223FB0"/>
    <w:rsid w:val="00224067"/>
    <w:rsid w:val="0022421C"/>
    <w:rsid w:val="00224E83"/>
    <w:rsid w:val="00225664"/>
    <w:rsid w:val="0022663D"/>
    <w:rsid w:val="0022748F"/>
    <w:rsid w:val="00227F2D"/>
    <w:rsid w:val="00230179"/>
    <w:rsid w:val="002306D2"/>
    <w:rsid w:val="00230868"/>
    <w:rsid w:val="00231851"/>
    <w:rsid w:val="002319FB"/>
    <w:rsid w:val="00231B89"/>
    <w:rsid w:val="00231F11"/>
    <w:rsid w:val="00231F5E"/>
    <w:rsid w:val="002346B4"/>
    <w:rsid w:val="00234F6E"/>
    <w:rsid w:val="002355BE"/>
    <w:rsid w:val="002358EA"/>
    <w:rsid w:val="00236578"/>
    <w:rsid w:val="00236DE9"/>
    <w:rsid w:val="00237342"/>
    <w:rsid w:val="00237D5A"/>
    <w:rsid w:val="002415AE"/>
    <w:rsid w:val="00241D3C"/>
    <w:rsid w:val="00242109"/>
    <w:rsid w:val="00243189"/>
    <w:rsid w:val="002439AB"/>
    <w:rsid w:val="00243C19"/>
    <w:rsid w:val="00244AE8"/>
    <w:rsid w:val="00244DC9"/>
    <w:rsid w:val="00245587"/>
    <w:rsid w:val="00245F2B"/>
    <w:rsid w:val="00247F3A"/>
    <w:rsid w:val="00250122"/>
    <w:rsid w:val="00250755"/>
    <w:rsid w:val="00251043"/>
    <w:rsid w:val="00251C4A"/>
    <w:rsid w:val="0025271C"/>
    <w:rsid w:val="002529E4"/>
    <w:rsid w:val="002533CD"/>
    <w:rsid w:val="002535EA"/>
    <w:rsid w:val="00254EAB"/>
    <w:rsid w:val="002557AF"/>
    <w:rsid w:val="0025589C"/>
    <w:rsid w:val="00255B62"/>
    <w:rsid w:val="002566B1"/>
    <w:rsid w:val="002575E3"/>
    <w:rsid w:val="00257A74"/>
    <w:rsid w:val="002603C1"/>
    <w:rsid w:val="002609A1"/>
    <w:rsid w:val="002612B1"/>
    <w:rsid w:val="00266165"/>
    <w:rsid w:val="002662FE"/>
    <w:rsid w:val="00266F2C"/>
    <w:rsid w:val="0027125E"/>
    <w:rsid w:val="00271767"/>
    <w:rsid w:val="00272293"/>
    <w:rsid w:val="002723C8"/>
    <w:rsid w:val="00273C2A"/>
    <w:rsid w:val="00273CBE"/>
    <w:rsid w:val="002746B1"/>
    <w:rsid w:val="00274BAD"/>
    <w:rsid w:val="00282D56"/>
    <w:rsid w:val="002835B0"/>
    <w:rsid w:val="00283C74"/>
    <w:rsid w:val="0028407E"/>
    <w:rsid w:val="0028410F"/>
    <w:rsid w:val="00284572"/>
    <w:rsid w:val="00285221"/>
    <w:rsid w:val="00286FB5"/>
    <w:rsid w:val="00287763"/>
    <w:rsid w:val="00287FCB"/>
    <w:rsid w:val="00290606"/>
    <w:rsid w:val="002909B2"/>
    <w:rsid w:val="00291D6D"/>
    <w:rsid w:val="00291FF1"/>
    <w:rsid w:val="00292AA2"/>
    <w:rsid w:val="00293361"/>
    <w:rsid w:val="002952B1"/>
    <w:rsid w:val="00295D11"/>
    <w:rsid w:val="00296FB6"/>
    <w:rsid w:val="002A0001"/>
    <w:rsid w:val="002A0BD9"/>
    <w:rsid w:val="002A0C3A"/>
    <w:rsid w:val="002A1130"/>
    <w:rsid w:val="002A1880"/>
    <w:rsid w:val="002A1CBB"/>
    <w:rsid w:val="002A23B7"/>
    <w:rsid w:val="002A3A57"/>
    <w:rsid w:val="002A4B4F"/>
    <w:rsid w:val="002A57A8"/>
    <w:rsid w:val="002A69C6"/>
    <w:rsid w:val="002A6DEF"/>
    <w:rsid w:val="002A6E42"/>
    <w:rsid w:val="002A770B"/>
    <w:rsid w:val="002B013E"/>
    <w:rsid w:val="002B058D"/>
    <w:rsid w:val="002B0C16"/>
    <w:rsid w:val="002B29DA"/>
    <w:rsid w:val="002B2AC5"/>
    <w:rsid w:val="002B3528"/>
    <w:rsid w:val="002B3539"/>
    <w:rsid w:val="002B4532"/>
    <w:rsid w:val="002B5042"/>
    <w:rsid w:val="002B69CC"/>
    <w:rsid w:val="002B6D71"/>
    <w:rsid w:val="002C0C1C"/>
    <w:rsid w:val="002C54C2"/>
    <w:rsid w:val="002C5D34"/>
    <w:rsid w:val="002C5D7F"/>
    <w:rsid w:val="002C60BB"/>
    <w:rsid w:val="002C661A"/>
    <w:rsid w:val="002D0D6F"/>
    <w:rsid w:val="002D25FC"/>
    <w:rsid w:val="002D4AC6"/>
    <w:rsid w:val="002D5BF5"/>
    <w:rsid w:val="002D5E95"/>
    <w:rsid w:val="002D5EE8"/>
    <w:rsid w:val="002D7360"/>
    <w:rsid w:val="002D7648"/>
    <w:rsid w:val="002D780A"/>
    <w:rsid w:val="002E109C"/>
    <w:rsid w:val="002E193E"/>
    <w:rsid w:val="002E1A94"/>
    <w:rsid w:val="002E1D55"/>
    <w:rsid w:val="002E26C4"/>
    <w:rsid w:val="002E30A5"/>
    <w:rsid w:val="002E47E4"/>
    <w:rsid w:val="002E4BF9"/>
    <w:rsid w:val="002E4D61"/>
    <w:rsid w:val="002E5FED"/>
    <w:rsid w:val="002E68A7"/>
    <w:rsid w:val="002E6E6C"/>
    <w:rsid w:val="002F0522"/>
    <w:rsid w:val="002F0B85"/>
    <w:rsid w:val="002F0FF0"/>
    <w:rsid w:val="002F16DD"/>
    <w:rsid w:val="002F199D"/>
    <w:rsid w:val="002F213C"/>
    <w:rsid w:val="002F2453"/>
    <w:rsid w:val="002F352D"/>
    <w:rsid w:val="002F381E"/>
    <w:rsid w:val="002F4084"/>
    <w:rsid w:val="002F4A08"/>
    <w:rsid w:val="002F4ADB"/>
    <w:rsid w:val="002F4E4A"/>
    <w:rsid w:val="002F531E"/>
    <w:rsid w:val="002F548D"/>
    <w:rsid w:val="002F5ACC"/>
    <w:rsid w:val="002F704B"/>
    <w:rsid w:val="002F72C3"/>
    <w:rsid w:val="002F768C"/>
    <w:rsid w:val="002F7D1E"/>
    <w:rsid w:val="00300201"/>
    <w:rsid w:val="0030025A"/>
    <w:rsid w:val="00301ADC"/>
    <w:rsid w:val="00302EFC"/>
    <w:rsid w:val="00303243"/>
    <w:rsid w:val="00303BCC"/>
    <w:rsid w:val="00303F2B"/>
    <w:rsid w:val="00303F8D"/>
    <w:rsid w:val="0030572D"/>
    <w:rsid w:val="0030586A"/>
    <w:rsid w:val="0030622D"/>
    <w:rsid w:val="00306811"/>
    <w:rsid w:val="00306F32"/>
    <w:rsid w:val="003074C5"/>
    <w:rsid w:val="00307A3C"/>
    <w:rsid w:val="00307FA4"/>
    <w:rsid w:val="00310290"/>
    <w:rsid w:val="0031083D"/>
    <w:rsid w:val="00310CC1"/>
    <w:rsid w:val="00311B60"/>
    <w:rsid w:val="00312504"/>
    <w:rsid w:val="00313026"/>
    <w:rsid w:val="00313913"/>
    <w:rsid w:val="0031421F"/>
    <w:rsid w:val="00314B31"/>
    <w:rsid w:val="00315A65"/>
    <w:rsid w:val="003165D7"/>
    <w:rsid w:val="00317BA7"/>
    <w:rsid w:val="00320BE2"/>
    <w:rsid w:val="00321886"/>
    <w:rsid w:val="00323694"/>
    <w:rsid w:val="00323BE7"/>
    <w:rsid w:val="00324C3A"/>
    <w:rsid w:val="00324D63"/>
    <w:rsid w:val="003255AF"/>
    <w:rsid w:val="003256EB"/>
    <w:rsid w:val="003257D7"/>
    <w:rsid w:val="003259DB"/>
    <w:rsid w:val="003314D9"/>
    <w:rsid w:val="00331653"/>
    <w:rsid w:val="00331A48"/>
    <w:rsid w:val="00331BCC"/>
    <w:rsid w:val="003330C9"/>
    <w:rsid w:val="0033364C"/>
    <w:rsid w:val="00334415"/>
    <w:rsid w:val="00335EA1"/>
    <w:rsid w:val="0033691E"/>
    <w:rsid w:val="00336A6A"/>
    <w:rsid w:val="00336B83"/>
    <w:rsid w:val="00336CCB"/>
    <w:rsid w:val="003411D1"/>
    <w:rsid w:val="003416BA"/>
    <w:rsid w:val="00342148"/>
    <w:rsid w:val="00342F99"/>
    <w:rsid w:val="0034575A"/>
    <w:rsid w:val="00345F57"/>
    <w:rsid w:val="00350458"/>
    <w:rsid w:val="00350E6C"/>
    <w:rsid w:val="003518A6"/>
    <w:rsid w:val="00351E7F"/>
    <w:rsid w:val="00352587"/>
    <w:rsid w:val="00352953"/>
    <w:rsid w:val="00354062"/>
    <w:rsid w:val="0035459E"/>
    <w:rsid w:val="00355C0D"/>
    <w:rsid w:val="003566A9"/>
    <w:rsid w:val="00356988"/>
    <w:rsid w:val="003569D3"/>
    <w:rsid w:val="00356CE9"/>
    <w:rsid w:val="003570BB"/>
    <w:rsid w:val="00357128"/>
    <w:rsid w:val="0035755E"/>
    <w:rsid w:val="00357A80"/>
    <w:rsid w:val="00361441"/>
    <w:rsid w:val="00361B8B"/>
    <w:rsid w:val="00363F39"/>
    <w:rsid w:val="0036445C"/>
    <w:rsid w:val="00364627"/>
    <w:rsid w:val="00364AB0"/>
    <w:rsid w:val="00364D71"/>
    <w:rsid w:val="003667B0"/>
    <w:rsid w:val="003667DD"/>
    <w:rsid w:val="00366B48"/>
    <w:rsid w:val="00367764"/>
    <w:rsid w:val="00370316"/>
    <w:rsid w:val="00370DC7"/>
    <w:rsid w:val="00371CBD"/>
    <w:rsid w:val="00371F20"/>
    <w:rsid w:val="003721E3"/>
    <w:rsid w:val="00372B98"/>
    <w:rsid w:val="003737B7"/>
    <w:rsid w:val="003740CC"/>
    <w:rsid w:val="003745F4"/>
    <w:rsid w:val="00374E79"/>
    <w:rsid w:val="0037529A"/>
    <w:rsid w:val="00375388"/>
    <w:rsid w:val="00375FB9"/>
    <w:rsid w:val="00376170"/>
    <w:rsid w:val="00376851"/>
    <w:rsid w:val="00376FA2"/>
    <w:rsid w:val="00377A3B"/>
    <w:rsid w:val="00377E3C"/>
    <w:rsid w:val="00380BBE"/>
    <w:rsid w:val="00381D70"/>
    <w:rsid w:val="0038235E"/>
    <w:rsid w:val="003829D0"/>
    <w:rsid w:val="0038326A"/>
    <w:rsid w:val="0038444F"/>
    <w:rsid w:val="003861F0"/>
    <w:rsid w:val="00387051"/>
    <w:rsid w:val="00387ECF"/>
    <w:rsid w:val="0039021B"/>
    <w:rsid w:val="00390429"/>
    <w:rsid w:val="003906A0"/>
    <w:rsid w:val="0039366C"/>
    <w:rsid w:val="00393EC8"/>
    <w:rsid w:val="003950F5"/>
    <w:rsid w:val="0039538F"/>
    <w:rsid w:val="00395E42"/>
    <w:rsid w:val="00396409"/>
    <w:rsid w:val="00396A2D"/>
    <w:rsid w:val="00396FC3"/>
    <w:rsid w:val="003A1A94"/>
    <w:rsid w:val="003A204E"/>
    <w:rsid w:val="003A2D25"/>
    <w:rsid w:val="003A5728"/>
    <w:rsid w:val="003A60E7"/>
    <w:rsid w:val="003A7092"/>
    <w:rsid w:val="003A72A1"/>
    <w:rsid w:val="003A7611"/>
    <w:rsid w:val="003A7D1F"/>
    <w:rsid w:val="003B0B6A"/>
    <w:rsid w:val="003B2219"/>
    <w:rsid w:val="003B22F7"/>
    <w:rsid w:val="003B29CF"/>
    <w:rsid w:val="003B3A90"/>
    <w:rsid w:val="003B534F"/>
    <w:rsid w:val="003B5E4F"/>
    <w:rsid w:val="003B7A79"/>
    <w:rsid w:val="003C0FE1"/>
    <w:rsid w:val="003C151A"/>
    <w:rsid w:val="003C350C"/>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7109"/>
    <w:rsid w:val="003D7CE8"/>
    <w:rsid w:val="003E0514"/>
    <w:rsid w:val="003E1032"/>
    <w:rsid w:val="003E1904"/>
    <w:rsid w:val="003E285E"/>
    <w:rsid w:val="003E3124"/>
    <w:rsid w:val="003E3300"/>
    <w:rsid w:val="003E43D3"/>
    <w:rsid w:val="003E48E1"/>
    <w:rsid w:val="003E59BB"/>
    <w:rsid w:val="003E6225"/>
    <w:rsid w:val="003E65AC"/>
    <w:rsid w:val="003E66AE"/>
    <w:rsid w:val="003E72B9"/>
    <w:rsid w:val="003E7ED4"/>
    <w:rsid w:val="003F0E52"/>
    <w:rsid w:val="003F0F6B"/>
    <w:rsid w:val="003F1FC6"/>
    <w:rsid w:val="003F1FE3"/>
    <w:rsid w:val="003F2359"/>
    <w:rsid w:val="003F3865"/>
    <w:rsid w:val="003F3D55"/>
    <w:rsid w:val="003F44E2"/>
    <w:rsid w:val="003F4632"/>
    <w:rsid w:val="003F47BA"/>
    <w:rsid w:val="003F4A9B"/>
    <w:rsid w:val="003F4FE6"/>
    <w:rsid w:val="003F5638"/>
    <w:rsid w:val="003F6617"/>
    <w:rsid w:val="00401BEA"/>
    <w:rsid w:val="00402332"/>
    <w:rsid w:val="004025C2"/>
    <w:rsid w:val="00403195"/>
    <w:rsid w:val="004033A9"/>
    <w:rsid w:val="00403E55"/>
    <w:rsid w:val="0040407C"/>
    <w:rsid w:val="0040416C"/>
    <w:rsid w:val="00404681"/>
    <w:rsid w:val="00405AC1"/>
    <w:rsid w:val="00406923"/>
    <w:rsid w:val="0040763D"/>
    <w:rsid w:val="00410D17"/>
    <w:rsid w:val="00413442"/>
    <w:rsid w:val="00413821"/>
    <w:rsid w:val="00413BA5"/>
    <w:rsid w:val="004141A3"/>
    <w:rsid w:val="00414909"/>
    <w:rsid w:val="0041582F"/>
    <w:rsid w:val="00416112"/>
    <w:rsid w:val="00416AC8"/>
    <w:rsid w:val="00417AE0"/>
    <w:rsid w:val="00417BAA"/>
    <w:rsid w:val="0042042B"/>
    <w:rsid w:val="00420B45"/>
    <w:rsid w:val="00420D7A"/>
    <w:rsid w:val="00421257"/>
    <w:rsid w:val="00422193"/>
    <w:rsid w:val="004223DE"/>
    <w:rsid w:val="00422A10"/>
    <w:rsid w:val="00424D17"/>
    <w:rsid w:val="00425DFD"/>
    <w:rsid w:val="004263A3"/>
    <w:rsid w:val="00427713"/>
    <w:rsid w:val="00427CCC"/>
    <w:rsid w:val="0043013A"/>
    <w:rsid w:val="00430421"/>
    <w:rsid w:val="00430A36"/>
    <w:rsid w:val="00430B4F"/>
    <w:rsid w:val="00431084"/>
    <w:rsid w:val="004310D7"/>
    <w:rsid w:val="004322D6"/>
    <w:rsid w:val="00432589"/>
    <w:rsid w:val="00432A94"/>
    <w:rsid w:val="00432C95"/>
    <w:rsid w:val="00433827"/>
    <w:rsid w:val="00433A40"/>
    <w:rsid w:val="00434B70"/>
    <w:rsid w:val="004360C8"/>
    <w:rsid w:val="004371D5"/>
    <w:rsid w:val="0044006B"/>
    <w:rsid w:val="0044033F"/>
    <w:rsid w:val="00440630"/>
    <w:rsid w:val="00441F0F"/>
    <w:rsid w:val="00442965"/>
    <w:rsid w:val="00444157"/>
    <w:rsid w:val="0044417C"/>
    <w:rsid w:val="00444DB3"/>
    <w:rsid w:val="00445617"/>
    <w:rsid w:val="00445A2F"/>
    <w:rsid w:val="0044684E"/>
    <w:rsid w:val="00446F22"/>
    <w:rsid w:val="0045019F"/>
    <w:rsid w:val="004503A4"/>
    <w:rsid w:val="00450555"/>
    <w:rsid w:val="004506FA"/>
    <w:rsid w:val="00450DC6"/>
    <w:rsid w:val="004516A5"/>
    <w:rsid w:val="00451E9C"/>
    <w:rsid w:val="0045280F"/>
    <w:rsid w:val="004535AE"/>
    <w:rsid w:val="0045444D"/>
    <w:rsid w:val="0045463A"/>
    <w:rsid w:val="00454AC9"/>
    <w:rsid w:val="00455050"/>
    <w:rsid w:val="004554A3"/>
    <w:rsid w:val="00455A6E"/>
    <w:rsid w:val="00455EAD"/>
    <w:rsid w:val="004578EB"/>
    <w:rsid w:val="004604D5"/>
    <w:rsid w:val="00460697"/>
    <w:rsid w:val="0046117B"/>
    <w:rsid w:val="00464AB7"/>
    <w:rsid w:val="00465DE5"/>
    <w:rsid w:val="00467EF8"/>
    <w:rsid w:val="00472429"/>
    <w:rsid w:val="004725E5"/>
    <w:rsid w:val="00472751"/>
    <w:rsid w:val="00473128"/>
    <w:rsid w:val="00473263"/>
    <w:rsid w:val="00475078"/>
    <w:rsid w:val="00475767"/>
    <w:rsid w:val="004779A0"/>
    <w:rsid w:val="004808E3"/>
    <w:rsid w:val="00481016"/>
    <w:rsid w:val="0048204C"/>
    <w:rsid w:val="004821BB"/>
    <w:rsid w:val="004826FE"/>
    <w:rsid w:val="004827D5"/>
    <w:rsid w:val="00482AF2"/>
    <w:rsid w:val="004830C9"/>
    <w:rsid w:val="00483347"/>
    <w:rsid w:val="00483E2E"/>
    <w:rsid w:val="00484B69"/>
    <w:rsid w:val="00485406"/>
    <w:rsid w:val="0048590F"/>
    <w:rsid w:val="004865D9"/>
    <w:rsid w:val="00486D60"/>
    <w:rsid w:val="00491FA1"/>
    <w:rsid w:val="00492A25"/>
    <w:rsid w:val="004938A3"/>
    <w:rsid w:val="0049558B"/>
    <w:rsid w:val="00496350"/>
    <w:rsid w:val="0049797C"/>
    <w:rsid w:val="004A00E1"/>
    <w:rsid w:val="004A0943"/>
    <w:rsid w:val="004A1405"/>
    <w:rsid w:val="004A1FC6"/>
    <w:rsid w:val="004A2E5F"/>
    <w:rsid w:val="004A38C2"/>
    <w:rsid w:val="004A3C03"/>
    <w:rsid w:val="004A3DB7"/>
    <w:rsid w:val="004A5088"/>
    <w:rsid w:val="004A5255"/>
    <w:rsid w:val="004A6CB0"/>
    <w:rsid w:val="004A70FF"/>
    <w:rsid w:val="004A7359"/>
    <w:rsid w:val="004A7EDE"/>
    <w:rsid w:val="004B0D93"/>
    <w:rsid w:val="004B1FA4"/>
    <w:rsid w:val="004B29AC"/>
    <w:rsid w:val="004B35DF"/>
    <w:rsid w:val="004B3627"/>
    <w:rsid w:val="004B4922"/>
    <w:rsid w:val="004B57DF"/>
    <w:rsid w:val="004B5976"/>
    <w:rsid w:val="004B7137"/>
    <w:rsid w:val="004B722E"/>
    <w:rsid w:val="004B72E8"/>
    <w:rsid w:val="004C01A5"/>
    <w:rsid w:val="004C0412"/>
    <w:rsid w:val="004C0DBA"/>
    <w:rsid w:val="004C1142"/>
    <w:rsid w:val="004C1739"/>
    <w:rsid w:val="004C2138"/>
    <w:rsid w:val="004C3940"/>
    <w:rsid w:val="004C51FD"/>
    <w:rsid w:val="004C65A8"/>
    <w:rsid w:val="004C6689"/>
    <w:rsid w:val="004D139A"/>
    <w:rsid w:val="004D14DC"/>
    <w:rsid w:val="004D17C6"/>
    <w:rsid w:val="004D2858"/>
    <w:rsid w:val="004D2E49"/>
    <w:rsid w:val="004D35BA"/>
    <w:rsid w:val="004D38E5"/>
    <w:rsid w:val="004D3C5A"/>
    <w:rsid w:val="004D449A"/>
    <w:rsid w:val="004D4701"/>
    <w:rsid w:val="004D47C7"/>
    <w:rsid w:val="004D4F35"/>
    <w:rsid w:val="004D5D45"/>
    <w:rsid w:val="004D618D"/>
    <w:rsid w:val="004D62A9"/>
    <w:rsid w:val="004D6FC3"/>
    <w:rsid w:val="004D7476"/>
    <w:rsid w:val="004D7716"/>
    <w:rsid w:val="004E0306"/>
    <w:rsid w:val="004E0572"/>
    <w:rsid w:val="004E06D5"/>
    <w:rsid w:val="004E1641"/>
    <w:rsid w:val="004E1818"/>
    <w:rsid w:val="004E1990"/>
    <w:rsid w:val="004E25A8"/>
    <w:rsid w:val="004E3930"/>
    <w:rsid w:val="004E3ED9"/>
    <w:rsid w:val="004E5866"/>
    <w:rsid w:val="004E6097"/>
    <w:rsid w:val="004E61EF"/>
    <w:rsid w:val="004E63C6"/>
    <w:rsid w:val="004E76A7"/>
    <w:rsid w:val="004E7B03"/>
    <w:rsid w:val="004F0064"/>
    <w:rsid w:val="004F06AC"/>
    <w:rsid w:val="004F1D2A"/>
    <w:rsid w:val="004F243F"/>
    <w:rsid w:val="004F252C"/>
    <w:rsid w:val="004F36A3"/>
    <w:rsid w:val="004F3E0C"/>
    <w:rsid w:val="004F4308"/>
    <w:rsid w:val="004F7160"/>
    <w:rsid w:val="00500258"/>
    <w:rsid w:val="00500B2D"/>
    <w:rsid w:val="00501A99"/>
    <w:rsid w:val="00503180"/>
    <w:rsid w:val="005038A4"/>
    <w:rsid w:val="00505450"/>
    <w:rsid w:val="005100B7"/>
    <w:rsid w:val="005113C9"/>
    <w:rsid w:val="00512050"/>
    <w:rsid w:val="00512055"/>
    <w:rsid w:val="0051280C"/>
    <w:rsid w:val="00512842"/>
    <w:rsid w:val="005128BE"/>
    <w:rsid w:val="0051356F"/>
    <w:rsid w:val="00513E7C"/>
    <w:rsid w:val="005140BB"/>
    <w:rsid w:val="00514FBE"/>
    <w:rsid w:val="00514FD9"/>
    <w:rsid w:val="0051550A"/>
    <w:rsid w:val="0051608F"/>
    <w:rsid w:val="00520EF8"/>
    <w:rsid w:val="005210F7"/>
    <w:rsid w:val="00521753"/>
    <w:rsid w:val="0052239D"/>
    <w:rsid w:val="005224EE"/>
    <w:rsid w:val="00522879"/>
    <w:rsid w:val="00523BB1"/>
    <w:rsid w:val="0052570E"/>
    <w:rsid w:val="005260CD"/>
    <w:rsid w:val="00526265"/>
    <w:rsid w:val="0052655D"/>
    <w:rsid w:val="005265E0"/>
    <w:rsid w:val="00526BC3"/>
    <w:rsid w:val="00531761"/>
    <w:rsid w:val="0053248F"/>
    <w:rsid w:val="0053332A"/>
    <w:rsid w:val="0053358A"/>
    <w:rsid w:val="00534668"/>
    <w:rsid w:val="00534DDD"/>
    <w:rsid w:val="00535291"/>
    <w:rsid w:val="00535A94"/>
    <w:rsid w:val="00537874"/>
    <w:rsid w:val="0053795F"/>
    <w:rsid w:val="00537D3D"/>
    <w:rsid w:val="00540511"/>
    <w:rsid w:val="00540578"/>
    <w:rsid w:val="00540808"/>
    <w:rsid w:val="0054080E"/>
    <w:rsid w:val="00540EA1"/>
    <w:rsid w:val="0054358E"/>
    <w:rsid w:val="00543AF4"/>
    <w:rsid w:val="00544191"/>
    <w:rsid w:val="0054440C"/>
    <w:rsid w:val="005448EC"/>
    <w:rsid w:val="00544C0A"/>
    <w:rsid w:val="00544F39"/>
    <w:rsid w:val="00546F90"/>
    <w:rsid w:val="00547EFB"/>
    <w:rsid w:val="005522F2"/>
    <w:rsid w:val="005531DF"/>
    <w:rsid w:val="00553874"/>
    <w:rsid w:val="00554577"/>
    <w:rsid w:val="00554AD8"/>
    <w:rsid w:val="00554F78"/>
    <w:rsid w:val="00555DA1"/>
    <w:rsid w:val="00556BF7"/>
    <w:rsid w:val="00557F60"/>
    <w:rsid w:val="00561730"/>
    <w:rsid w:val="00561B97"/>
    <w:rsid w:val="00562149"/>
    <w:rsid w:val="00565211"/>
    <w:rsid w:val="00567B5D"/>
    <w:rsid w:val="005706D5"/>
    <w:rsid w:val="00570757"/>
    <w:rsid w:val="00573733"/>
    <w:rsid w:val="00573F8B"/>
    <w:rsid w:val="00574554"/>
    <w:rsid w:val="00574E06"/>
    <w:rsid w:val="005751BB"/>
    <w:rsid w:val="00576089"/>
    <w:rsid w:val="005764B1"/>
    <w:rsid w:val="00576852"/>
    <w:rsid w:val="00576D06"/>
    <w:rsid w:val="00577287"/>
    <w:rsid w:val="005779E4"/>
    <w:rsid w:val="00577F9F"/>
    <w:rsid w:val="00580EC7"/>
    <w:rsid w:val="00581132"/>
    <w:rsid w:val="0058289C"/>
    <w:rsid w:val="005836C7"/>
    <w:rsid w:val="0058408E"/>
    <w:rsid w:val="00585374"/>
    <w:rsid w:val="005854CA"/>
    <w:rsid w:val="00585FAB"/>
    <w:rsid w:val="00590B77"/>
    <w:rsid w:val="00590D9A"/>
    <w:rsid w:val="005913A3"/>
    <w:rsid w:val="005940D4"/>
    <w:rsid w:val="00594A7B"/>
    <w:rsid w:val="0059580E"/>
    <w:rsid w:val="00595D90"/>
    <w:rsid w:val="00596A6F"/>
    <w:rsid w:val="00596FCE"/>
    <w:rsid w:val="005A11BC"/>
    <w:rsid w:val="005A1525"/>
    <w:rsid w:val="005A1E17"/>
    <w:rsid w:val="005A252B"/>
    <w:rsid w:val="005A2A8F"/>
    <w:rsid w:val="005A3204"/>
    <w:rsid w:val="005A3341"/>
    <w:rsid w:val="005A3C3D"/>
    <w:rsid w:val="005A46EC"/>
    <w:rsid w:val="005A5EAE"/>
    <w:rsid w:val="005A6407"/>
    <w:rsid w:val="005A726C"/>
    <w:rsid w:val="005B07EC"/>
    <w:rsid w:val="005B2B11"/>
    <w:rsid w:val="005B32A4"/>
    <w:rsid w:val="005B3371"/>
    <w:rsid w:val="005B338D"/>
    <w:rsid w:val="005B36D7"/>
    <w:rsid w:val="005B3BAF"/>
    <w:rsid w:val="005B4DA3"/>
    <w:rsid w:val="005B572A"/>
    <w:rsid w:val="005B5BEE"/>
    <w:rsid w:val="005B77D2"/>
    <w:rsid w:val="005C019B"/>
    <w:rsid w:val="005C08D0"/>
    <w:rsid w:val="005C1AED"/>
    <w:rsid w:val="005C30F5"/>
    <w:rsid w:val="005C51A5"/>
    <w:rsid w:val="005C557A"/>
    <w:rsid w:val="005C566F"/>
    <w:rsid w:val="005C5C47"/>
    <w:rsid w:val="005C61DD"/>
    <w:rsid w:val="005C6438"/>
    <w:rsid w:val="005C6B8B"/>
    <w:rsid w:val="005C727F"/>
    <w:rsid w:val="005D02E3"/>
    <w:rsid w:val="005D1F34"/>
    <w:rsid w:val="005D2C1F"/>
    <w:rsid w:val="005D2DE8"/>
    <w:rsid w:val="005D34B2"/>
    <w:rsid w:val="005D3B54"/>
    <w:rsid w:val="005D40CD"/>
    <w:rsid w:val="005D41B0"/>
    <w:rsid w:val="005D6B59"/>
    <w:rsid w:val="005D784B"/>
    <w:rsid w:val="005E03E4"/>
    <w:rsid w:val="005E0454"/>
    <w:rsid w:val="005E05F6"/>
    <w:rsid w:val="005E2442"/>
    <w:rsid w:val="005E3111"/>
    <w:rsid w:val="005E3F85"/>
    <w:rsid w:val="005E4A5F"/>
    <w:rsid w:val="005E57B0"/>
    <w:rsid w:val="005E5B01"/>
    <w:rsid w:val="005E6D3B"/>
    <w:rsid w:val="005F009E"/>
    <w:rsid w:val="005F0DF1"/>
    <w:rsid w:val="005F1516"/>
    <w:rsid w:val="005F229E"/>
    <w:rsid w:val="005F2564"/>
    <w:rsid w:val="005F3822"/>
    <w:rsid w:val="005F4635"/>
    <w:rsid w:val="005F4900"/>
    <w:rsid w:val="005F4E52"/>
    <w:rsid w:val="005F6D58"/>
    <w:rsid w:val="005F7383"/>
    <w:rsid w:val="0060058E"/>
    <w:rsid w:val="00601F77"/>
    <w:rsid w:val="00602A3C"/>
    <w:rsid w:val="00603EFD"/>
    <w:rsid w:val="0060475B"/>
    <w:rsid w:val="00604BED"/>
    <w:rsid w:val="00604FB6"/>
    <w:rsid w:val="00605387"/>
    <w:rsid w:val="00606302"/>
    <w:rsid w:val="006076FD"/>
    <w:rsid w:val="0061143F"/>
    <w:rsid w:val="006114D8"/>
    <w:rsid w:val="00613553"/>
    <w:rsid w:val="00613601"/>
    <w:rsid w:val="00613791"/>
    <w:rsid w:val="006150D6"/>
    <w:rsid w:val="00615245"/>
    <w:rsid w:val="0061590D"/>
    <w:rsid w:val="0061641E"/>
    <w:rsid w:val="00617EEE"/>
    <w:rsid w:val="00620A1F"/>
    <w:rsid w:val="006214DE"/>
    <w:rsid w:val="0062169D"/>
    <w:rsid w:val="0062181E"/>
    <w:rsid w:val="0062211B"/>
    <w:rsid w:val="00622BB7"/>
    <w:rsid w:val="00622C1E"/>
    <w:rsid w:val="00623389"/>
    <w:rsid w:val="00623DAA"/>
    <w:rsid w:val="00623FAF"/>
    <w:rsid w:val="006265C4"/>
    <w:rsid w:val="0062678A"/>
    <w:rsid w:val="006270AF"/>
    <w:rsid w:val="00634367"/>
    <w:rsid w:val="00640082"/>
    <w:rsid w:val="00640291"/>
    <w:rsid w:val="00640EFE"/>
    <w:rsid w:val="00641D6D"/>
    <w:rsid w:val="00641FAC"/>
    <w:rsid w:val="00643664"/>
    <w:rsid w:val="00643CAA"/>
    <w:rsid w:val="00644F16"/>
    <w:rsid w:val="006455EB"/>
    <w:rsid w:val="006456C2"/>
    <w:rsid w:val="00645A65"/>
    <w:rsid w:val="006477F0"/>
    <w:rsid w:val="006478E4"/>
    <w:rsid w:val="0065171A"/>
    <w:rsid w:val="00652680"/>
    <w:rsid w:val="00653CDE"/>
    <w:rsid w:val="00654585"/>
    <w:rsid w:val="00655AB6"/>
    <w:rsid w:val="00656281"/>
    <w:rsid w:val="0065636A"/>
    <w:rsid w:val="00657003"/>
    <w:rsid w:val="00660238"/>
    <w:rsid w:val="006602EF"/>
    <w:rsid w:val="00661277"/>
    <w:rsid w:val="006619E0"/>
    <w:rsid w:val="00663FEA"/>
    <w:rsid w:val="00664803"/>
    <w:rsid w:val="006657C5"/>
    <w:rsid w:val="006661A4"/>
    <w:rsid w:val="00666AC0"/>
    <w:rsid w:val="006670E0"/>
    <w:rsid w:val="006671B8"/>
    <w:rsid w:val="00667275"/>
    <w:rsid w:val="00667532"/>
    <w:rsid w:val="0066783E"/>
    <w:rsid w:val="00667E53"/>
    <w:rsid w:val="006711C4"/>
    <w:rsid w:val="006713AB"/>
    <w:rsid w:val="00672CA5"/>
    <w:rsid w:val="00673711"/>
    <w:rsid w:val="00673F82"/>
    <w:rsid w:val="00674F74"/>
    <w:rsid w:val="0067508F"/>
    <w:rsid w:val="00677576"/>
    <w:rsid w:val="0068051E"/>
    <w:rsid w:val="00680B9D"/>
    <w:rsid w:val="00681F13"/>
    <w:rsid w:val="0068231C"/>
    <w:rsid w:val="00682344"/>
    <w:rsid w:val="00682F28"/>
    <w:rsid w:val="00683515"/>
    <w:rsid w:val="00684842"/>
    <w:rsid w:val="006859AA"/>
    <w:rsid w:val="00685BD6"/>
    <w:rsid w:val="00687116"/>
    <w:rsid w:val="006878A6"/>
    <w:rsid w:val="00687D5F"/>
    <w:rsid w:val="00690437"/>
    <w:rsid w:val="00690DC3"/>
    <w:rsid w:val="00690E65"/>
    <w:rsid w:val="006911B7"/>
    <w:rsid w:val="00691387"/>
    <w:rsid w:val="0069188E"/>
    <w:rsid w:val="00691974"/>
    <w:rsid w:val="00692BF6"/>
    <w:rsid w:val="00692CE6"/>
    <w:rsid w:val="00693186"/>
    <w:rsid w:val="00693381"/>
    <w:rsid w:val="00693B6C"/>
    <w:rsid w:val="006942AE"/>
    <w:rsid w:val="00695421"/>
    <w:rsid w:val="00697BD3"/>
    <w:rsid w:val="00697DFA"/>
    <w:rsid w:val="006A16D5"/>
    <w:rsid w:val="006A1772"/>
    <w:rsid w:val="006A1780"/>
    <w:rsid w:val="006A21DD"/>
    <w:rsid w:val="006A26C6"/>
    <w:rsid w:val="006A3302"/>
    <w:rsid w:val="006A3B28"/>
    <w:rsid w:val="006A4FEE"/>
    <w:rsid w:val="006A703E"/>
    <w:rsid w:val="006A7BE3"/>
    <w:rsid w:val="006A7D32"/>
    <w:rsid w:val="006B01D1"/>
    <w:rsid w:val="006B0DF4"/>
    <w:rsid w:val="006B0E2B"/>
    <w:rsid w:val="006B16EA"/>
    <w:rsid w:val="006B1780"/>
    <w:rsid w:val="006B224E"/>
    <w:rsid w:val="006B376E"/>
    <w:rsid w:val="006B4589"/>
    <w:rsid w:val="006B610E"/>
    <w:rsid w:val="006B643B"/>
    <w:rsid w:val="006B6805"/>
    <w:rsid w:val="006B6DE0"/>
    <w:rsid w:val="006C16C3"/>
    <w:rsid w:val="006C2187"/>
    <w:rsid w:val="006C32F4"/>
    <w:rsid w:val="006C3C54"/>
    <w:rsid w:val="006C4B6B"/>
    <w:rsid w:val="006C4F9F"/>
    <w:rsid w:val="006C71A2"/>
    <w:rsid w:val="006C73EC"/>
    <w:rsid w:val="006D0C1D"/>
    <w:rsid w:val="006D2E9D"/>
    <w:rsid w:val="006D4A4E"/>
    <w:rsid w:val="006D4C42"/>
    <w:rsid w:val="006D5389"/>
    <w:rsid w:val="006D5809"/>
    <w:rsid w:val="006D607E"/>
    <w:rsid w:val="006D6781"/>
    <w:rsid w:val="006D6E12"/>
    <w:rsid w:val="006D70CB"/>
    <w:rsid w:val="006D715C"/>
    <w:rsid w:val="006D7363"/>
    <w:rsid w:val="006D774E"/>
    <w:rsid w:val="006D7EA2"/>
    <w:rsid w:val="006E0754"/>
    <w:rsid w:val="006E2668"/>
    <w:rsid w:val="006E2D39"/>
    <w:rsid w:val="006E32B0"/>
    <w:rsid w:val="006E348E"/>
    <w:rsid w:val="006E396A"/>
    <w:rsid w:val="006E3D63"/>
    <w:rsid w:val="006E58BF"/>
    <w:rsid w:val="006E5DD8"/>
    <w:rsid w:val="006E5EA1"/>
    <w:rsid w:val="006E6DEE"/>
    <w:rsid w:val="006E7D4B"/>
    <w:rsid w:val="006F0760"/>
    <w:rsid w:val="006F11E2"/>
    <w:rsid w:val="006F2574"/>
    <w:rsid w:val="006F3221"/>
    <w:rsid w:val="006F3231"/>
    <w:rsid w:val="006F3DE3"/>
    <w:rsid w:val="006F4787"/>
    <w:rsid w:val="006F5C43"/>
    <w:rsid w:val="006F61D8"/>
    <w:rsid w:val="006F62B7"/>
    <w:rsid w:val="006F70BC"/>
    <w:rsid w:val="006F734B"/>
    <w:rsid w:val="006F7E7C"/>
    <w:rsid w:val="0070174E"/>
    <w:rsid w:val="007018DB"/>
    <w:rsid w:val="00701DE6"/>
    <w:rsid w:val="00702740"/>
    <w:rsid w:val="0070381B"/>
    <w:rsid w:val="007076DD"/>
    <w:rsid w:val="0070796C"/>
    <w:rsid w:val="007109BB"/>
    <w:rsid w:val="00710EBF"/>
    <w:rsid w:val="007110B8"/>
    <w:rsid w:val="0071209F"/>
    <w:rsid w:val="007125A2"/>
    <w:rsid w:val="00713DD9"/>
    <w:rsid w:val="00713F79"/>
    <w:rsid w:val="007148A8"/>
    <w:rsid w:val="00716AC8"/>
    <w:rsid w:val="00716E54"/>
    <w:rsid w:val="00717421"/>
    <w:rsid w:val="0072033C"/>
    <w:rsid w:val="00720B1B"/>
    <w:rsid w:val="00721062"/>
    <w:rsid w:val="00721E5D"/>
    <w:rsid w:val="007229D4"/>
    <w:rsid w:val="007230F8"/>
    <w:rsid w:val="007233F4"/>
    <w:rsid w:val="00724044"/>
    <w:rsid w:val="007248D3"/>
    <w:rsid w:val="00724DF8"/>
    <w:rsid w:val="00725137"/>
    <w:rsid w:val="00725378"/>
    <w:rsid w:val="00727A43"/>
    <w:rsid w:val="00727AFC"/>
    <w:rsid w:val="00727FF2"/>
    <w:rsid w:val="00730550"/>
    <w:rsid w:val="00730C2A"/>
    <w:rsid w:val="007311B4"/>
    <w:rsid w:val="00731434"/>
    <w:rsid w:val="00731E59"/>
    <w:rsid w:val="007323E0"/>
    <w:rsid w:val="00732911"/>
    <w:rsid w:val="00733721"/>
    <w:rsid w:val="00733DE2"/>
    <w:rsid w:val="007352EA"/>
    <w:rsid w:val="0073625F"/>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829"/>
    <w:rsid w:val="00747DE2"/>
    <w:rsid w:val="007504BF"/>
    <w:rsid w:val="007506CD"/>
    <w:rsid w:val="0075267F"/>
    <w:rsid w:val="007526EC"/>
    <w:rsid w:val="007527F7"/>
    <w:rsid w:val="00753C48"/>
    <w:rsid w:val="00754250"/>
    <w:rsid w:val="00754FE4"/>
    <w:rsid w:val="00755216"/>
    <w:rsid w:val="00756236"/>
    <w:rsid w:val="00756271"/>
    <w:rsid w:val="00756348"/>
    <w:rsid w:val="00756521"/>
    <w:rsid w:val="00756AB7"/>
    <w:rsid w:val="0076106D"/>
    <w:rsid w:val="007623FB"/>
    <w:rsid w:val="00762517"/>
    <w:rsid w:val="00763240"/>
    <w:rsid w:val="0076376A"/>
    <w:rsid w:val="007648AD"/>
    <w:rsid w:val="0076504E"/>
    <w:rsid w:val="00767BFD"/>
    <w:rsid w:val="00767EA0"/>
    <w:rsid w:val="0077068F"/>
    <w:rsid w:val="00771EDF"/>
    <w:rsid w:val="00772986"/>
    <w:rsid w:val="00772A90"/>
    <w:rsid w:val="00772F8D"/>
    <w:rsid w:val="0077408D"/>
    <w:rsid w:val="00774270"/>
    <w:rsid w:val="007743F6"/>
    <w:rsid w:val="00775679"/>
    <w:rsid w:val="0077574F"/>
    <w:rsid w:val="00775823"/>
    <w:rsid w:val="007777CC"/>
    <w:rsid w:val="00777B32"/>
    <w:rsid w:val="0078051E"/>
    <w:rsid w:val="00781089"/>
    <w:rsid w:val="007838F3"/>
    <w:rsid w:val="00783FC6"/>
    <w:rsid w:val="007856FE"/>
    <w:rsid w:val="00785F46"/>
    <w:rsid w:val="007865F4"/>
    <w:rsid w:val="00786D5C"/>
    <w:rsid w:val="00786E96"/>
    <w:rsid w:val="00787DFF"/>
    <w:rsid w:val="00787F93"/>
    <w:rsid w:val="00791E6D"/>
    <w:rsid w:val="00791EB5"/>
    <w:rsid w:val="00791FF2"/>
    <w:rsid w:val="00793696"/>
    <w:rsid w:val="007955DA"/>
    <w:rsid w:val="00796F65"/>
    <w:rsid w:val="007A11C2"/>
    <w:rsid w:val="007A18BB"/>
    <w:rsid w:val="007A27DD"/>
    <w:rsid w:val="007A41BF"/>
    <w:rsid w:val="007A490A"/>
    <w:rsid w:val="007A7B95"/>
    <w:rsid w:val="007B0297"/>
    <w:rsid w:val="007B02FA"/>
    <w:rsid w:val="007B0F53"/>
    <w:rsid w:val="007B21AE"/>
    <w:rsid w:val="007B2570"/>
    <w:rsid w:val="007B3113"/>
    <w:rsid w:val="007B3304"/>
    <w:rsid w:val="007B5710"/>
    <w:rsid w:val="007B7490"/>
    <w:rsid w:val="007C0525"/>
    <w:rsid w:val="007C13F7"/>
    <w:rsid w:val="007C218D"/>
    <w:rsid w:val="007C2D28"/>
    <w:rsid w:val="007C3E22"/>
    <w:rsid w:val="007C5B90"/>
    <w:rsid w:val="007C6218"/>
    <w:rsid w:val="007C6484"/>
    <w:rsid w:val="007C67C6"/>
    <w:rsid w:val="007C78BE"/>
    <w:rsid w:val="007C7E59"/>
    <w:rsid w:val="007D0476"/>
    <w:rsid w:val="007D0B91"/>
    <w:rsid w:val="007D1386"/>
    <w:rsid w:val="007D1452"/>
    <w:rsid w:val="007D3DCB"/>
    <w:rsid w:val="007D460C"/>
    <w:rsid w:val="007D4996"/>
    <w:rsid w:val="007D4AD3"/>
    <w:rsid w:val="007D5D19"/>
    <w:rsid w:val="007D5FDC"/>
    <w:rsid w:val="007D6176"/>
    <w:rsid w:val="007D6D68"/>
    <w:rsid w:val="007E32DA"/>
    <w:rsid w:val="007E4998"/>
    <w:rsid w:val="007E4A9C"/>
    <w:rsid w:val="007E6914"/>
    <w:rsid w:val="007E7F78"/>
    <w:rsid w:val="007F0179"/>
    <w:rsid w:val="007F2C13"/>
    <w:rsid w:val="007F2CEC"/>
    <w:rsid w:val="007F3435"/>
    <w:rsid w:val="007F55DE"/>
    <w:rsid w:val="007F762D"/>
    <w:rsid w:val="007F78F0"/>
    <w:rsid w:val="007F78FF"/>
    <w:rsid w:val="008001C5"/>
    <w:rsid w:val="00800F6C"/>
    <w:rsid w:val="00801065"/>
    <w:rsid w:val="00802C0B"/>
    <w:rsid w:val="008051FC"/>
    <w:rsid w:val="008055A9"/>
    <w:rsid w:val="008056C4"/>
    <w:rsid w:val="008057FD"/>
    <w:rsid w:val="00805D8B"/>
    <w:rsid w:val="00810BB6"/>
    <w:rsid w:val="00810E8E"/>
    <w:rsid w:val="00812C44"/>
    <w:rsid w:val="008135E1"/>
    <w:rsid w:val="00813779"/>
    <w:rsid w:val="00813E26"/>
    <w:rsid w:val="0081481D"/>
    <w:rsid w:val="00814BE8"/>
    <w:rsid w:val="00814F6E"/>
    <w:rsid w:val="00815363"/>
    <w:rsid w:val="00815B84"/>
    <w:rsid w:val="00816BE9"/>
    <w:rsid w:val="0082027C"/>
    <w:rsid w:val="00822518"/>
    <w:rsid w:val="008226F5"/>
    <w:rsid w:val="00823FC6"/>
    <w:rsid w:val="00824306"/>
    <w:rsid w:val="00825C74"/>
    <w:rsid w:val="00825CFA"/>
    <w:rsid w:val="00826AB9"/>
    <w:rsid w:val="00826E0E"/>
    <w:rsid w:val="00827D11"/>
    <w:rsid w:val="00827E0F"/>
    <w:rsid w:val="00827F6E"/>
    <w:rsid w:val="00831758"/>
    <w:rsid w:val="008317D9"/>
    <w:rsid w:val="0083279F"/>
    <w:rsid w:val="008334DB"/>
    <w:rsid w:val="00833B7F"/>
    <w:rsid w:val="00833E8E"/>
    <w:rsid w:val="00834906"/>
    <w:rsid w:val="00836075"/>
    <w:rsid w:val="00836417"/>
    <w:rsid w:val="00836A3E"/>
    <w:rsid w:val="00837526"/>
    <w:rsid w:val="00837F20"/>
    <w:rsid w:val="008407A7"/>
    <w:rsid w:val="0084322B"/>
    <w:rsid w:val="00843F81"/>
    <w:rsid w:val="00844087"/>
    <w:rsid w:val="00844526"/>
    <w:rsid w:val="008448F1"/>
    <w:rsid w:val="0084519E"/>
    <w:rsid w:val="00845CAE"/>
    <w:rsid w:val="00846370"/>
    <w:rsid w:val="008477E7"/>
    <w:rsid w:val="00847C2B"/>
    <w:rsid w:val="00850272"/>
    <w:rsid w:val="008506B9"/>
    <w:rsid w:val="00851822"/>
    <w:rsid w:val="008532BF"/>
    <w:rsid w:val="008539B2"/>
    <w:rsid w:val="00853BF4"/>
    <w:rsid w:val="00854294"/>
    <w:rsid w:val="0085572E"/>
    <w:rsid w:val="00855E4A"/>
    <w:rsid w:val="0085788B"/>
    <w:rsid w:val="00857A9E"/>
    <w:rsid w:val="00857DE2"/>
    <w:rsid w:val="00857FCC"/>
    <w:rsid w:val="00863A8E"/>
    <w:rsid w:val="0086407F"/>
    <w:rsid w:val="008645E3"/>
    <w:rsid w:val="00864E79"/>
    <w:rsid w:val="0086661F"/>
    <w:rsid w:val="00866A0D"/>
    <w:rsid w:val="00866D34"/>
    <w:rsid w:val="00866DB5"/>
    <w:rsid w:val="0086701D"/>
    <w:rsid w:val="0086702B"/>
    <w:rsid w:val="008672E2"/>
    <w:rsid w:val="0086784E"/>
    <w:rsid w:val="0087121C"/>
    <w:rsid w:val="00871FD2"/>
    <w:rsid w:val="00872084"/>
    <w:rsid w:val="00872827"/>
    <w:rsid w:val="00872A32"/>
    <w:rsid w:val="00874911"/>
    <w:rsid w:val="008754E4"/>
    <w:rsid w:val="00876EAE"/>
    <w:rsid w:val="00880106"/>
    <w:rsid w:val="00880F95"/>
    <w:rsid w:val="00882B44"/>
    <w:rsid w:val="008838AD"/>
    <w:rsid w:val="00885E49"/>
    <w:rsid w:val="008864B3"/>
    <w:rsid w:val="008865E5"/>
    <w:rsid w:val="008871B0"/>
    <w:rsid w:val="00890B57"/>
    <w:rsid w:val="008916BA"/>
    <w:rsid w:val="0089217C"/>
    <w:rsid w:val="00892790"/>
    <w:rsid w:val="008931DA"/>
    <w:rsid w:val="00893671"/>
    <w:rsid w:val="008946DC"/>
    <w:rsid w:val="00895838"/>
    <w:rsid w:val="00895A1E"/>
    <w:rsid w:val="00895A72"/>
    <w:rsid w:val="00895CDF"/>
    <w:rsid w:val="00896679"/>
    <w:rsid w:val="00896D8C"/>
    <w:rsid w:val="008A0FC9"/>
    <w:rsid w:val="008A1956"/>
    <w:rsid w:val="008A1A7C"/>
    <w:rsid w:val="008A2CE2"/>
    <w:rsid w:val="008A40D3"/>
    <w:rsid w:val="008A469C"/>
    <w:rsid w:val="008A51D1"/>
    <w:rsid w:val="008A5DCE"/>
    <w:rsid w:val="008A701D"/>
    <w:rsid w:val="008A75D3"/>
    <w:rsid w:val="008B05DD"/>
    <w:rsid w:val="008B07B8"/>
    <w:rsid w:val="008B17E8"/>
    <w:rsid w:val="008B2E7C"/>
    <w:rsid w:val="008B321A"/>
    <w:rsid w:val="008B399A"/>
    <w:rsid w:val="008B45F0"/>
    <w:rsid w:val="008B4A70"/>
    <w:rsid w:val="008B502F"/>
    <w:rsid w:val="008B6DFC"/>
    <w:rsid w:val="008B7227"/>
    <w:rsid w:val="008C02FB"/>
    <w:rsid w:val="008C04E0"/>
    <w:rsid w:val="008C191C"/>
    <w:rsid w:val="008C1DA4"/>
    <w:rsid w:val="008C29B0"/>
    <w:rsid w:val="008C2CD5"/>
    <w:rsid w:val="008C3618"/>
    <w:rsid w:val="008C39E7"/>
    <w:rsid w:val="008C43AD"/>
    <w:rsid w:val="008C6118"/>
    <w:rsid w:val="008C6341"/>
    <w:rsid w:val="008C731F"/>
    <w:rsid w:val="008C74D9"/>
    <w:rsid w:val="008D03C2"/>
    <w:rsid w:val="008D12FB"/>
    <w:rsid w:val="008D3B2D"/>
    <w:rsid w:val="008D58D9"/>
    <w:rsid w:val="008D5AD4"/>
    <w:rsid w:val="008D695E"/>
    <w:rsid w:val="008D6DD5"/>
    <w:rsid w:val="008D6E59"/>
    <w:rsid w:val="008D7155"/>
    <w:rsid w:val="008D76E0"/>
    <w:rsid w:val="008E0B29"/>
    <w:rsid w:val="008E141A"/>
    <w:rsid w:val="008E1A44"/>
    <w:rsid w:val="008E1E55"/>
    <w:rsid w:val="008E28E6"/>
    <w:rsid w:val="008E3232"/>
    <w:rsid w:val="008E3674"/>
    <w:rsid w:val="008E3B6C"/>
    <w:rsid w:val="008E3DE7"/>
    <w:rsid w:val="008E562C"/>
    <w:rsid w:val="008E6540"/>
    <w:rsid w:val="008E77D4"/>
    <w:rsid w:val="008E7ADD"/>
    <w:rsid w:val="008F091F"/>
    <w:rsid w:val="008F17B2"/>
    <w:rsid w:val="008F22B3"/>
    <w:rsid w:val="008F357B"/>
    <w:rsid w:val="008F44CA"/>
    <w:rsid w:val="008F49D3"/>
    <w:rsid w:val="008F62C1"/>
    <w:rsid w:val="008F6519"/>
    <w:rsid w:val="008F7012"/>
    <w:rsid w:val="008F7ADA"/>
    <w:rsid w:val="008F7B17"/>
    <w:rsid w:val="00900042"/>
    <w:rsid w:val="0090034B"/>
    <w:rsid w:val="00901121"/>
    <w:rsid w:val="00902623"/>
    <w:rsid w:val="00902A67"/>
    <w:rsid w:val="00902C5E"/>
    <w:rsid w:val="00904BE4"/>
    <w:rsid w:val="0090504A"/>
    <w:rsid w:val="009051F5"/>
    <w:rsid w:val="00905221"/>
    <w:rsid w:val="00905A7C"/>
    <w:rsid w:val="00905D7E"/>
    <w:rsid w:val="00907037"/>
    <w:rsid w:val="0091112C"/>
    <w:rsid w:val="0091160A"/>
    <w:rsid w:val="00912E04"/>
    <w:rsid w:val="00913258"/>
    <w:rsid w:val="00913851"/>
    <w:rsid w:val="00913BB0"/>
    <w:rsid w:val="0091456C"/>
    <w:rsid w:val="00914C58"/>
    <w:rsid w:val="0091564D"/>
    <w:rsid w:val="009156DA"/>
    <w:rsid w:val="00915774"/>
    <w:rsid w:val="00916BC5"/>
    <w:rsid w:val="0091726A"/>
    <w:rsid w:val="00917C01"/>
    <w:rsid w:val="00920184"/>
    <w:rsid w:val="00920EA4"/>
    <w:rsid w:val="00921792"/>
    <w:rsid w:val="00921BEA"/>
    <w:rsid w:val="009227BE"/>
    <w:rsid w:val="009238FD"/>
    <w:rsid w:val="00923998"/>
    <w:rsid w:val="00923DB4"/>
    <w:rsid w:val="0092420B"/>
    <w:rsid w:val="0092430E"/>
    <w:rsid w:val="00924570"/>
    <w:rsid w:val="00924A46"/>
    <w:rsid w:val="00926112"/>
    <w:rsid w:val="0092625F"/>
    <w:rsid w:val="00926B28"/>
    <w:rsid w:val="00926D9C"/>
    <w:rsid w:val="00927028"/>
    <w:rsid w:val="00927763"/>
    <w:rsid w:val="00927A2D"/>
    <w:rsid w:val="00927B37"/>
    <w:rsid w:val="00931917"/>
    <w:rsid w:val="009321B1"/>
    <w:rsid w:val="00932ED7"/>
    <w:rsid w:val="009333CF"/>
    <w:rsid w:val="0093422D"/>
    <w:rsid w:val="0093483B"/>
    <w:rsid w:val="00934CF9"/>
    <w:rsid w:val="00934DD7"/>
    <w:rsid w:val="009369A9"/>
    <w:rsid w:val="00936CF7"/>
    <w:rsid w:val="00937783"/>
    <w:rsid w:val="00937EAD"/>
    <w:rsid w:val="00937F28"/>
    <w:rsid w:val="00940FE1"/>
    <w:rsid w:val="00942306"/>
    <w:rsid w:val="00942384"/>
    <w:rsid w:val="009424B8"/>
    <w:rsid w:val="00944668"/>
    <w:rsid w:val="00944DC6"/>
    <w:rsid w:val="009458B0"/>
    <w:rsid w:val="00945B52"/>
    <w:rsid w:val="00945B7A"/>
    <w:rsid w:val="00945F05"/>
    <w:rsid w:val="00946348"/>
    <w:rsid w:val="00947797"/>
    <w:rsid w:val="009478A2"/>
    <w:rsid w:val="00953808"/>
    <w:rsid w:val="009539A6"/>
    <w:rsid w:val="00954032"/>
    <w:rsid w:val="00954537"/>
    <w:rsid w:val="0095472D"/>
    <w:rsid w:val="00955FBB"/>
    <w:rsid w:val="0095694B"/>
    <w:rsid w:val="00956BD5"/>
    <w:rsid w:val="00956D84"/>
    <w:rsid w:val="009577B5"/>
    <w:rsid w:val="009608E6"/>
    <w:rsid w:val="00960F57"/>
    <w:rsid w:val="00961C90"/>
    <w:rsid w:val="00965443"/>
    <w:rsid w:val="00965468"/>
    <w:rsid w:val="00965954"/>
    <w:rsid w:val="00965A21"/>
    <w:rsid w:val="00965E55"/>
    <w:rsid w:val="0096608E"/>
    <w:rsid w:val="00966522"/>
    <w:rsid w:val="00966C33"/>
    <w:rsid w:val="00966FCB"/>
    <w:rsid w:val="00970F18"/>
    <w:rsid w:val="00971CF1"/>
    <w:rsid w:val="00971F5D"/>
    <w:rsid w:val="009721E9"/>
    <w:rsid w:val="00973024"/>
    <w:rsid w:val="00973772"/>
    <w:rsid w:val="0097471B"/>
    <w:rsid w:val="0097560A"/>
    <w:rsid w:val="00975E1E"/>
    <w:rsid w:val="00975E70"/>
    <w:rsid w:val="009761DE"/>
    <w:rsid w:val="009766FA"/>
    <w:rsid w:val="00977CD6"/>
    <w:rsid w:val="0098048B"/>
    <w:rsid w:val="00980DF9"/>
    <w:rsid w:val="00981150"/>
    <w:rsid w:val="0098243D"/>
    <w:rsid w:val="00982D26"/>
    <w:rsid w:val="00983B6E"/>
    <w:rsid w:val="00983FE5"/>
    <w:rsid w:val="009849E9"/>
    <w:rsid w:val="009859E4"/>
    <w:rsid w:val="00987812"/>
    <w:rsid w:val="00990225"/>
    <w:rsid w:val="00992A13"/>
    <w:rsid w:val="00994AAD"/>
    <w:rsid w:val="00994DE1"/>
    <w:rsid w:val="00995150"/>
    <w:rsid w:val="00995D67"/>
    <w:rsid w:val="009A013B"/>
    <w:rsid w:val="009A01A8"/>
    <w:rsid w:val="009A02F4"/>
    <w:rsid w:val="009A06BF"/>
    <w:rsid w:val="009A0D17"/>
    <w:rsid w:val="009A2494"/>
    <w:rsid w:val="009A295D"/>
    <w:rsid w:val="009A32B1"/>
    <w:rsid w:val="009A33A3"/>
    <w:rsid w:val="009A36F2"/>
    <w:rsid w:val="009A40C3"/>
    <w:rsid w:val="009A40D5"/>
    <w:rsid w:val="009A57D0"/>
    <w:rsid w:val="009A6559"/>
    <w:rsid w:val="009A68FC"/>
    <w:rsid w:val="009A6CE4"/>
    <w:rsid w:val="009A7514"/>
    <w:rsid w:val="009A7E7A"/>
    <w:rsid w:val="009B1584"/>
    <w:rsid w:val="009B18F0"/>
    <w:rsid w:val="009B1F4C"/>
    <w:rsid w:val="009B2471"/>
    <w:rsid w:val="009B314F"/>
    <w:rsid w:val="009B439C"/>
    <w:rsid w:val="009B46BC"/>
    <w:rsid w:val="009B49A1"/>
    <w:rsid w:val="009B4A6C"/>
    <w:rsid w:val="009B4DA8"/>
    <w:rsid w:val="009B519A"/>
    <w:rsid w:val="009B620C"/>
    <w:rsid w:val="009B6753"/>
    <w:rsid w:val="009B676C"/>
    <w:rsid w:val="009B6A26"/>
    <w:rsid w:val="009C079D"/>
    <w:rsid w:val="009C0D70"/>
    <w:rsid w:val="009C13D1"/>
    <w:rsid w:val="009C1AF6"/>
    <w:rsid w:val="009C2913"/>
    <w:rsid w:val="009C2BD4"/>
    <w:rsid w:val="009C5AFE"/>
    <w:rsid w:val="009C6606"/>
    <w:rsid w:val="009C6CE5"/>
    <w:rsid w:val="009C6D50"/>
    <w:rsid w:val="009C7547"/>
    <w:rsid w:val="009D05EC"/>
    <w:rsid w:val="009D111A"/>
    <w:rsid w:val="009D18D4"/>
    <w:rsid w:val="009D20CC"/>
    <w:rsid w:val="009D2F60"/>
    <w:rsid w:val="009D3A2E"/>
    <w:rsid w:val="009D5ADE"/>
    <w:rsid w:val="009D5BAC"/>
    <w:rsid w:val="009D5C56"/>
    <w:rsid w:val="009D6265"/>
    <w:rsid w:val="009D64BD"/>
    <w:rsid w:val="009D6CB1"/>
    <w:rsid w:val="009E0286"/>
    <w:rsid w:val="009E153F"/>
    <w:rsid w:val="009E322A"/>
    <w:rsid w:val="009E393E"/>
    <w:rsid w:val="009E444E"/>
    <w:rsid w:val="009E4968"/>
    <w:rsid w:val="009E663C"/>
    <w:rsid w:val="009E684A"/>
    <w:rsid w:val="009E6BB1"/>
    <w:rsid w:val="009E6E14"/>
    <w:rsid w:val="009E794A"/>
    <w:rsid w:val="009E7C14"/>
    <w:rsid w:val="009F0494"/>
    <w:rsid w:val="009F0CD9"/>
    <w:rsid w:val="009F1A79"/>
    <w:rsid w:val="009F1F57"/>
    <w:rsid w:val="009F2DDD"/>
    <w:rsid w:val="009F3447"/>
    <w:rsid w:val="009F65F4"/>
    <w:rsid w:val="009F676B"/>
    <w:rsid w:val="009F6D2D"/>
    <w:rsid w:val="009F6D54"/>
    <w:rsid w:val="00A0010C"/>
    <w:rsid w:val="00A004DF"/>
    <w:rsid w:val="00A00FD5"/>
    <w:rsid w:val="00A012C0"/>
    <w:rsid w:val="00A019A8"/>
    <w:rsid w:val="00A01B03"/>
    <w:rsid w:val="00A01B89"/>
    <w:rsid w:val="00A02C66"/>
    <w:rsid w:val="00A02C84"/>
    <w:rsid w:val="00A0464C"/>
    <w:rsid w:val="00A050BB"/>
    <w:rsid w:val="00A054E0"/>
    <w:rsid w:val="00A05D91"/>
    <w:rsid w:val="00A0740B"/>
    <w:rsid w:val="00A07ED3"/>
    <w:rsid w:val="00A10CA8"/>
    <w:rsid w:val="00A11042"/>
    <w:rsid w:val="00A12579"/>
    <w:rsid w:val="00A133D8"/>
    <w:rsid w:val="00A13812"/>
    <w:rsid w:val="00A15655"/>
    <w:rsid w:val="00A160B0"/>
    <w:rsid w:val="00A1740C"/>
    <w:rsid w:val="00A20069"/>
    <w:rsid w:val="00A2244D"/>
    <w:rsid w:val="00A2253D"/>
    <w:rsid w:val="00A2267F"/>
    <w:rsid w:val="00A22CDB"/>
    <w:rsid w:val="00A247B8"/>
    <w:rsid w:val="00A2495A"/>
    <w:rsid w:val="00A24C7A"/>
    <w:rsid w:val="00A24D8F"/>
    <w:rsid w:val="00A25B8B"/>
    <w:rsid w:val="00A25C5D"/>
    <w:rsid w:val="00A2689F"/>
    <w:rsid w:val="00A26ECA"/>
    <w:rsid w:val="00A27461"/>
    <w:rsid w:val="00A27D67"/>
    <w:rsid w:val="00A30ABC"/>
    <w:rsid w:val="00A33B74"/>
    <w:rsid w:val="00A3467F"/>
    <w:rsid w:val="00A34B4C"/>
    <w:rsid w:val="00A35030"/>
    <w:rsid w:val="00A3551A"/>
    <w:rsid w:val="00A366A0"/>
    <w:rsid w:val="00A37209"/>
    <w:rsid w:val="00A37584"/>
    <w:rsid w:val="00A376E8"/>
    <w:rsid w:val="00A37F8E"/>
    <w:rsid w:val="00A41537"/>
    <w:rsid w:val="00A41737"/>
    <w:rsid w:val="00A42B8F"/>
    <w:rsid w:val="00A42D8E"/>
    <w:rsid w:val="00A43254"/>
    <w:rsid w:val="00A43896"/>
    <w:rsid w:val="00A43A26"/>
    <w:rsid w:val="00A447A0"/>
    <w:rsid w:val="00A459F5"/>
    <w:rsid w:val="00A45FC0"/>
    <w:rsid w:val="00A46B74"/>
    <w:rsid w:val="00A47ECC"/>
    <w:rsid w:val="00A50171"/>
    <w:rsid w:val="00A504FA"/>
    <w:rsid w:val="00A5102E"/>
    <w:rsid w:val="00A5132E"/>
    <w:rsid w:val="00A51375"/>
    <w:rsid w:val="00A51533"/>
    <w:rsid w:val="00A52DFF"/>
    <w:rsid w:val="00A531D4"/>
    <w:rsid w:val="00A54572"/>
    <w:rsid w:val="00A575B8"/>
    <w:rsid w:val="00A61C60"/>
    <w:rsid w:val="00A61ECB"/>
    <w:rsid w:val="00A6410C"/>
    <w:rsid w:val="00A647B1"/>
    <w:rsid w:val="00A64DEF"/>
    <w:rsid w:val="00A654D2"/>
    <w:rsid w:val="00A665DF"/>
    <w:rsid w:val="00A67928"/>
    <w:rsid w:val="00A67FCC"/>
    <w:rsid w:val="00A70AA5"/>
    <w:rsid w:val="00A70C03"/>
    <w:rsid w:val="00A71256"/>
    <w:rsid w:val="00A7217B"/>
    <w:rsid w:val="00A73861"/>
    <w:rsid w:val="00A739A6"/>
    <w:rsid w:val="00A740ED"/>
    <w:rsid w:val="00A74C29"/>
    <w:rsid w:val="00A74C62"/>
    <w:rsid w:val="00A75DF5"/>
    <w:rsid w:val="00A75EF9"/>
    <w:rsid w:val="00A8311C"/>
    <w:rsid w:val="00A835D0"/>
    <w:rsid w:val="00A84C5F"/>
    <w:rsid w:val="00A85930"/>
    <w:rsid w:val="00A863F7"/>
    <w:rsid w:val="00A86604"/>
    <w:rsid w:val="00A87519"/>
    <w:rsid w:val="00A9246D"/>
    <w:rsid w:val="00A92CCA"/>
    <w:rsid w:val="00A93BD0"/>
    <w:rsid w:val="00A93CC2"/>
    <w:rsid w:val="00A974CC"/>
    <w:rsid w:val="00AA1067"/>
    <w:rsid w:val="00AA2001"/>
    <w:rsid w:val="00AA2B5C"/>
    <w:rsid w:val="00AA32D2"/>
    <w:rsid w:val="00AA4016"/>
    <w:rsid w:val="00AA4C1F"/>
    <w:rsid w:val="00AA5328"/>
    <w:rsid w:val="00AA5393"/>
    <w:rsid w:val="00AA63D4"/>
    <w:rsid w:val="00AB03FD"/>
    <w:rsid w:val="00AB2000"/>
    <w:rsid w:val="00AB2E94"/>
    <w:rsid w:val="00AB38CB"/>
    <w:rsid w:val="00AB3BEC"/>
    <w:rsid w:val="00AB44E4"/>
    <w:rsid w:val="00AB4AEB"/>
    <w:rsid w:val="00AB4E5F"/>
    <w:rsid w:val="00AB5352"/>
    <w:rsid w:val="00AB56AE"/>
    <w:rsid w:val="00AB62D5"/>
    <w:rsid w:val="00AB65B5"/>
    <w:rsid w:val="00AB6DCD"/>
    <w:rsid w:val="00AB6EE0"/>
    <w:rsid w:val="00AC17A2"/>
    <w:rsid w:val="00AC40B7"/>
    <w:rsid w:val="00AC531F"/>
    <w:rsid w:val="00AC5B36"/>
    <w:rsid w:val="00AC6377"/>
    <w:rsid w:val="00AC66A4"/>
    <w:rsid w:val="00AC6CB1"/>
    <w:rsid w:val="00AC7D6D"/>
    <w:rsid w:val="00AD0091"/>
    <w:rsid w:val="00AD23EF"/>
    <w:rsid w:val="00AD2662"/>
    <w:rsid w:val="00AD307B"/>
    <w:rsid w:val="00AD4014"/>
    <w:rsid w:val="00AD41B3"/>
    <w:rsid w:val="00AD5721"/>
    <w:rsid w:val="00AD5C4D"/>
    <w:rsid w:val="00AD69F0"/>
    <w:rsid w:val="00AD7127"/>
    <w:rsid w:val="00AD730C"/>
    <w:rsid w:val="00AE123A"/>
    <w:rsid w:val="00AE1539"/>
    <w:rsid w:val="00AE28A7"/>
    <w:rsid w:val="00AE2A98"/>
    <w:rsid w:val="00AE2CF2"/>
    <w:rsid w:val="00AE3012"/>
    <w:rsid w:val="00AE33A6"/>
    <w:rsid w:val="00AE3729"/>
    <w:rsid w:val="00AE4138"/>
    <w:rsid w:val="00AE4CCE"/>
    <w:rsid w:val="00AE5C6A"/>
    <w:rsid w:val="00AE6317"/>
    <w:rsid w:val="00AE6B62"/>
    <w:rsid w:val="00AE7280"/>
    <w:rsid w:val="00AF033A"/>
    <w:rsid w:val="00AF1699"/>
    <w:rsid w:val="00AF1FD3"/>
    <w:rsid w:val="00AF2910"/>
    <w:rsid w:val="00AF34B8"/>
    <w:rsid w:val="00AF3896"/>
    <w:rsid w:val="00AF3FC2"/>
    <w:rsid w:val="00B0098A"/>
    <w:rsid w:val="00B00A5F"/>
    <w:rsid w:val="00B00F89"/>
    <w:rsid w:val="00B029B8"/>
    <w:rsid w:val="00B02F60"/>
    <w:rsid w:val="00B032B8"/>
    <w:rsid w:val="00B04721"/>
    <w:rsid w:val="00B04B15"/>
    <w:rsid w:val="00B04B46"/>
    <w:rsid w:val="00B0534D"/>
    <w:rsid w:val="00B05573"/>
    <w:rsid w:val="00B05685"/>
    <w:rsid w:val="00B05F9F"/>
    <w:rsid w:val="00B06368"/>
    <w:rsid w:val="00B068DA"/>
    <w:rsid w:val="00B06A00"/>
    <w:rsid w:val="00B06FC6"/>
    <w:rsid w:val="00B074C9"/>
    <w:rsid w:val="00B07D9D"/>
    <w:rsid w:val="00B11AE5"/>
    <w:rsid w:val="00B12FE6"/>
    <w:rsid w:val="00B1303F"/>
    <w:rsid w:val="00B1364A"/>
    <w:rsid w:val="00B13859"/>
    <w:rsid w:val="00B13EC9"/>
    <w:rsid w:val="00B14319"/>
    <w:rsid w:val="00B14A06"/>
    <w:rsid w:val="00B158E1"/>
    <w:rsid w:val="00B16715"/>
    <w:rsid w:val="00B1768E"/>
    <w:rsid w:val="00B17910"/>
    <w:rsid w:val="00B2012A"/>
    <w:rsid w:val="00B20F18"/>
    <w:rsid w:val="00B21516"/>
    <w:rsid w:val="00B21A37"/>
    <w:rsid w:val="00B21D23"/>
    <w:rsid w:val="00B21F62"/>
    <w:rsid w:val="00B220A0"/>
    <w:rsid w:val="00B22CE0"/>
    <w:rsid w:val="00B23738"/>
    <w:rsid w:val="00B23BEF"/>
    <w:rsid w:val="00B247BB"/>
    <w:rsid w:val="00B2504A"/>
    <w:rsid w:val="00B25DE6"/>
    <w:rsid w:val="00B25EE6"/>
    <w:rsid w:val="00B3115A"/>
    <w:rsid w:val="00B31825"/>
    <w:rsid w:val="00B31A5C"/>
    <w:rsid w:val="00B33B06"/>
    <w:rsid w:val="00B33C19"/>
    <w:rsid w:val="00B35A15"/>
    <w:rsid w:val="00B35B45"/>
    <w:rsid w:val="00B36A99"/>
    <w:rsid w:val="00B42264"/>
    <w:rsid w:val="00B434B2"/>
    <w:rsid w:val="00B43D45"/>
    <w:rsid w:val="00B468F2"/>
    <w:rsid w:val="00B469DE"/>
    <w:rsid w:val="00B47286"/>
    <w:rsid w:val="00B50234"/>
    <w:rsid w:val="00B51BF4"/>
    <w:rsid w:val="00B52C68"/>
    <w:rsid w:val="00B5372B"/>
    <w:rsid w:val="00B542FE"/>
    <w:rsid w:val="00B55A1B"/>
    <w:rsid w:val="00B561DB"/>
    <w:rsid w:val="00B56DF9"/>
    <w:rsid w:val="00B600BD"/>
    <w:rsid w:val="00B61274"/>
    <w:rsid w:val="00B61DCE"/>
    <w:rsid w:val="00B62188"/>
    <w:rsid w:val="00B62F79"/>
    <w:rsid w:val="00B62F82"/>
    <w:rsid w:val="00B6306A"/>
    <w:rsid w:val="00B635E3"/>
    <w:rsid w:val="00B653D7"/>
    <w:rsid w:val="00B662FF"/>
    <w:rsid w:val="00B66679"/>
    <w:rsid w:val="00B70145"/>
    <w:rsid w:val="00B71A92"/>
    <w:rsid w:val="00B721D8"/>
    <w:rsid w:val="00B730CA"/>
    <w:rsid w:val="00B747C5"/>
    <w:rsid w:val="00B74F2F"/>
    <w:rsid w:val="00B753ED"/>
    <w:rsid w:val="00B769BC"/>
    <w:rsid w:val="00B77349"/>
    <w:rsid w:val="00B7761E"/>
    <w:rsid w:val="00B80A3D"/>
    <w:rsid w:val="00B80B04"/>
    <w:rsid w:val="00B8127B"/>
    <w:rsid w:val="00B819E5"/>
    <w:rsid w:val="00B821E4"/>
    <w:rsid w:val="00B823E0"/>
    <w:rsid w:val="00B8260D"/>
    <w:rsid w:val="00B82B78"/>
    <w:rsid w:val="00B845B4"/>
    <w:rsid w:val="00B84662"/>
    <w:rsid w:val="00B84C74"/>
    <w:rsid w:val="00B84C81"/>
    <w:rsid w:val="00B85191"/>
    <w:rsid w:val="00B858A1"/>
    <w:rsid w:val="00B85FEC"/>
    <w:rsid w:val="00B864A3"/>
    <w:rsid w:val="00B86C2A"/>
    <w:rsid w:val="00B878BE"/>
    <w:rsid w:val="00B902A5"/>
    <w:rsid w:val="00B90420"/>
    <w:rsid w:val="00B90848"/>
    <w:rsid w:val="00B90E95"/>
    <w:rsid w:val="00B91146"/>
    <w:rsid w:val="00B913E4"/>
    <w:rsid w:val="00B91DB9"/>
    <w:rsid w:val="00B91FF3"/>
    <w:rsid w:val="00B93EFE"/>
    <w:rsid w:val="00B944B9"/>
    <w:rsid w:val="00B94956"/>
    <w:rsid w:val="00B94C7F"/>
    <w:rsid w:val="00B94E93"/>
    <w:rsid w:val="00B956B5"/>
    <w:rsid w:val="00B96DF2"/>
    <w:rsid w:val="00B96E18"/>
    <w:rsid w:val="00B96F5A"/>
    <w:rsid w:val="00BA0B39"/>
    <w:rsid w:val="00BA0CB2"/>
    <w:rsid w:val="00BA0E26"/>
    <w:rsid w:val="00BA138B"/>
    <w:rsid w:val="00BA305B"/>
    <w:rsid w:val="00BA31BF"/>
    <w:rsid w:val="00BA3FC7"/>
    <w:rsid w:val="00BA478B"/>
    <w:rsid w:val="00BA5224"/>
    <w:rsid w:val="00BA575E"/>
    <w:rsid w:val="00BA76B7"/>
    <w:rsid w:val="00BA7E3B"/>
    <w:rsid w:val="00BB078D"/>
    <w:rsid w:val="00BB079C"/>
    <w:rsid w:val="00BB0D7A"/>
    <w:rsid w:val="00BB10E1"/>
    <w:rsid w:val="00BB2471"/>
    <w:rsid w:val="00BB25B8"/>
    <w:rsid w:val="00BB3035"/>
    <w:rsid w:val="00BB39C1"/>
    <w:rsid w:val="00BB3DF5"/>
    <w:rsid w:val="00BB5D16"/>
    <w:rsid w:val="00BB6180"/>
    <w:rsid w:val="00BB69E6"/>
    <w:rsid w:val="00BB7BE5"/>
    <w:rsid w:val="00BB7D27"/>
    <w:rsid w:val="00BC08BD"/>
    <w:rsid w:val="00BC11E8"/>
    <w:rsid w:val="00BC1B7A"/>
    <w:rsid w:val="00BC2C17"/>
    <w:rsid w:val="00BC3ACD"/>
    <w:rsid w:val="00BC3B20"/>
    <w:rsid w:val="00BC3EE4"/>
    <w:rsid w:val="00BC588C"/>
    <w:rsid w:val="00BC62F4"/>
    <w:rsid w:val="00BC6E73"/>
    <w:rsid w:val="00BC74D3"/>
    <w:rsid w:val="00BD0014"/>
    <w:rsid w:val="00BD01D8"/>
    <w:rsid w:val="00BD255F"/>
    <w:rsid w:val="00BD2895"/>
    <w:rsid w:val="00BD4236"/>
    <w:rsid w:val="00BD483B"/>
    <w:rsid w:val="00BD5CD4"/>
    <w:rsid w:val="00BD65D9"/>
    <w:rsid w:val="00BD6DF3"/>
    <w:rsid w:val="00BD6E09"/>
    <w:rsid w:val="00BD6EF9"/>
    <w:rsid w:val="00BE0ACB"/>
    <w:rsid w:val="00BE2260"/>
    <w:rsid w:val="00BE3917"/>
    <w:rsid w:val="00BE50FD"/>
    <w:rsid w:val="00BE51CA"/>
    <w:rsid w:val="00BE537F"/>
    <w:rsid w:val="00BE5D77"/>
    <w:rsid w:val="00BE6D47"/>
    <w:rsid w:val="00BE7032"/>
    <w:rsid w:val="00BE7330"/>
    <w:rsid w:val="00BF01C5"/>
    <w:rsid w:val="00BF061A"/>
    <w:rsid w:val="00BF066A"/>
    <w:rsid w:val="00BF14CC"/>
    <w:rsid w:val="00BF1821"/>
    <w:rsid w:val="00BF4342"/>
    <w:rsid w:val="00BF4704"/>
    <w:rsid w:val="00BF4FFC"/>
    <w:rsid w:val="00BF5050"/>
    <w:rsid w:val="00BF50D1"/>
    <w:rsid w:val="00BF5422"/>
    <w:rsid w:val="00BF59B1"/>
    <w:rsid w:val="00BF6A78"/>
    <w:rsid w:val="00BF7695"/>
    <w:rsid w:val="00BF79B4"/>
    <w:rsid w:val="00BF7C61"/>
    <w:rsid w:val="00C00037"/>
    <w:rsid w:val="00C01427"/>
    <w:rsid w:val="00C014C7"/>
    <w:rsid w:val="00C02704"/>
    <w:rsid w:val="00C047AB"/>
    <w:rsid w:val="00C058AF"/>
    <w:rsid w:val="00C075B6"/>
    <w:rsid w:val="00C124C1"/>
    <w:rsid w:val="00C128AE"/>
    <w:rsid w:val="00C12BA8"/>
    <w:rsid w:val="00C136D6"/>
    <w:rsid w:val="00C13902"/>
    <w:rsid w:val="00C13D5B"/>
    <w:rsid w:val="00C141D7"/>
    <w:rsid w:val="00C1711B"/>
    <w:rsid w:val="00C17405"/>
    <w:rsid w:val="00C17AE2"/>
    <w:rsid w:val="00C17E00"/>
    <w:rsid w:val="00C20140"/>
    <w:rsid w:val="00C20F27"/>
    <w:rsid w:val="00C215CF"/>
    <w:rsid w:val="00C2244B"/>
    <w:rsid w:val="00C22711"/>
    <w:rsid w:val="00C2280A"/>
    <w:rsid w:val="00C22B0D"/>
    <w:rsid w:val="00C22BFF"/>
    <w:rsid w:val="00C23522"/>
    <w:rsid w:val="00C240C1"/>
    <w:rsid w:val="00C2469D"/>
    <w:rsid w:val="00C24AED"/>
    <w:rsid w:val="00C250D0"/>
    <w:rsid w:val="00C252AC"/>
    <w:rsid w:val="00C25C0F"/>
    <w:rsid w:val="00C26567"/>
    <w:rsid w:val="00C26923"/>
    <w:rsid w:val="00C27214"/>
    <w:rsid w:val="00C27597"/>
    <w:rsid w:val="00C27E5E"/>
    <w:rsid w:val="00C30382"/>
    <w:rsid w:val="00C30772"/>
    <w:rsid w:val="00C30D6F"/>
    <w:rsid w:val="00C31063"/>
    <w:rsid w:val="00C31B7E"/>
    <w:rsid w:val="00C322D1"/>
    <w:rsid w:val="00C3242A"/>
    <w:rsid w:val="00C33201"/>
    <w:rsid w:val="00C33A39"/>
    <w:rsid w:val="00C33B57"/>
    <w:rsid w:val="00C34619"/>
    <w:rsid w:val="00C35D01"/>
    <w:rsid w:val="00C360B3"/>
    <w:rsid w:val="00C36421"/>
    <w:rsid w:val="00C37027"/>
    <w:rsid w:val="00C37B19"/>
    <w:rsid w:val="00C413CB"/>
    <w:rsid w:val="00C42752"/>
    <w:rsid w:val="00C42973"/>
    <w:rsid w:val="00C44C69"/>
    <w:rsid w:val="00C4712A"/>
    <w:rsid w:val="00C5034F"/>
    <w:rsid w:val="00C50830"/>
    <w:rsid w:val="00C52479"/>
    <w:rsid w:val="00C5266E"/>
    <w:rsid w:val="00C52C59"/>
    <w:rsid w:val="00C5349E"/>
    <w:rsid w:val="00C539FF"/>
    <w:rsid w:val="00C544BD"/>
    <w:rsid w:val="00C54D3D"/>
    <w:rsid w:val="00C55A30"/>
    <w:rsid w:val="00C56384"/>
    <w:rsid w:val="00C60F8C"/>
    <w:rsid w:val="00C61794"/>
    <w:rsid w:val="00C62A48"/>
    <w:rsid w:val="00C62AC4"/>
    <w:rsid w:val="00C62B59"/>
    <w:rsid w:val="00C62F96"/>
    <w:rsid w:val="00C631E1"/>
    <w:rsid w:val="00C638D8"/>
    <w:rsid w:val="00C63AE7"/>
    <w:rsid w:val="00C63D26"/>
    <w:rsid w:val="00C6540A"/>
    <w:rsid w:val="00C668A1"/>
    <w:rsid w:val="00C67223"/>
    <w:rsid w:val="00C707B8"/>
    <w:rsid w:val="00C712AC"/>
    <w:rsid w:val="00C71C15"/>
    <w:rsid w:val="00C71F3D"/>
    <w:rsid w:val="00C72F53"/>
    <w:rsid w:val="00C74035"/>
    <w:rsid w:val="00C748EA"/>
    <w:rsid w:val="00C77818"/>
    <w:rsid w:val="00C8063F"/>
    <w:rsid w:val="00C81282"/>
    <w:rsid w:val="00C827B4"/>
    <w:rsid w:val="00C83214"/>
    <w:rsid w:val="00C8329F"/>
    <w:rsid w:val="00C84F8A"/>
    <w:rsid w:val="00C85BA4"/>
    <w:rsid w:val="00C8618F"/>
    <w:rsid w:val="00C8625D"/>
    <w:rsid w:val="00C90372"/>
    <w:rsid w:val="00C9041F"/>
    <w:rsid w:val="00C9166B"/>
    <w:rsid w:val="00C91A45"/>
    <w:rsid w:val="00C91FB4"/>
    <w:rsid w:val="00C92150"/>
    <w:rsid w:val="00C92328"/>
    <w:rsid w:val="00C92D42"/>
    <w:rsid w:val="00C938C2"/>
    <w:rsid w:val="00C93F8A"/>
    <w:rsid w:val="00C94EA1"/>
    <w:rsid w:val="00C9511B"/>
    <w:rsid w:val="00C95745"/>
    <w:rsid w:val="00C95902"/>
    <w:rsid w:val="00C962E3"/>
    <w:rsid w:val="00C978E2"/>
    <w:rsid w:val="00C97997"/>
    <w:rsid w:val="00CA10A2"/>
    <w:rsid w:val="00CA1D83"/>
    <w:rsid w:val="00CA25C0"/>
    <w:rsid w:val="00CA3451"/>
    <w:rsid w:val="00CA35C6"/>
    <w:rsid w:val="00CA4948"/>
    <w:rsid w:val="00CA52F9"/>
    <w:rsid w:val="00CA5368"/>
    <w:rsid w:val="00CA568B"/>
    <w:rsid w:val="00CA573A"/>
    <w:rsid w:val="00CA5C58"/>
    <w:rsid w:val="00CA7834"/>
    <w:rsid w:val="00CB19D7"/>
    <w:rsid w:val="00CB19FE"/>
    <w:rsid w:val="00CB1C3F"/>
    <w:rsid w:val="00CB2364"/>
    <w:rsid w:val="00CB304C"/>
    <w:rsid w:val="00CB3933"/>
    <w:rsid w:val="00CB53E8"/>
    <w:rsid w:val="00CB594A"/>
    <w:rsid w:val="00CB5CB2"/>
    <w:rsid w:val="00CB6979"/>
    <w:rsid w:val="00CB7DDE"/>
    <w:rsid w:val="00CC082C"/>
    <w:rsid w:val="00CC0A3D"/>
    <w:rsid w:val="00CC1585"/>
    <w:rsid w:val="00CC1D36"/>
    <w:rsid w:val="00CC3C53"/>
    <w:rsid w:val="00CC3D24"/>
    <w:rsid w:val="00CC3F91"/>
    <w:rsid w:val="00CC4ACD"/>
    <w:rsid w:val="00CC4B0A"/>
    <w:rsid w:val="00CC544A"/>
    <w:rsid w:val="00CC57EA"/>
    <w:rsid w:val="00CC5954"/>
    <w:rsid w:val="00CC629B"/>
    <w:rsid w:val="00CC6C4E"/>
    <w:rsid w:val="00CC7E04"/>
    <w:rsid w:val="00CD009D"/>
    <w:rsid w:val="00CD03AB"/>
    <w:rsid w:val="00CD05A2"/>
    <w:rsid w:val="00CD29D4"/>
    <w:rsid w:val="00CD2B5C"/>
    <w:rsid w:val="00CD2FF3"/>
    <w:rsid w:val="00CD3323"/>
    <w:rsid w:val="00CD38F5"/>
    <w:rsid w:val="00CD437E"/>
    <w:rsid w:val="00CD5DAD"/>
    <w:rsid w:val="00CD72C5"/>
    <w:rsid w:val="00CD79A7"/>
    <w:rsid w:val="00CE0789"/>
    <w:rsid w:val="00CE0E8D"/>
    <w:rsid w:val="00CE1A03"/>
    <w:rsid w:val="00CE2346"/>
    <w:rsid w:val="00CE25B2"/>
    <w:rsid w:val="00CE2687"/>
    <w:rsid w:val="00CE3529"/>
    <w:rsid w:val="00CE35C8"/>
    <w:rsid w:val="00CE3962"/>
    <w:rsid w:val="00CE4D1A"/>
    <w:rsid w:val="00CE4E8A"/>
    <w:rsid w:val="00CE5105"/>
    <w:rsid w:val="00CE56BD"/>
    <w:rsid w:val="00CE5EC0"/>
    <w:rsid w:val="00CE6A0B"/>
    <w:rsid w:val="00CE6F9F"/>
    <w:rsid w:val="00CE781A"/>
    <w:rsid w:val="00CE7B08"/>
    <w:rsid w:val="00CE7D52"/>
    <w:rsid w:val="00CF1D74"/>
    <w:rsid w:val="00CF2BE2"/>
    <w:rsid w:val="00CF3DEB"/>
    <w:rsid w:val="00CF55F9"/>
    <w:rsid w:val="00CF7074"/>
    <w:rsid w:val="00CF7390"/>
    <w:rsid w:val="00CF7495"/>
    <w:rsid w:val="00D01CF9"/>
    <w:rsid w:val="00D0334D"/>
    <w:rsid w:val="00D0374D"/>
    <w:rsid w:val="00D0398A"/>
    <w:rsid w:val="00D06D7B"/>
    <w:rsid w:val="00D06DA5"/>
    <w:rsid w:val="00D07191"/>
    <w:rsid w:val="00D07F1D"/>
    <w:rsid w:val="00D10558"/>
    <w:rsid w:val="00D11D4D"/>
    <w:rsid w:val="00D126DC"/>
    <w:rsid w:val="00D12B03"/>
    <w:rsid w:val="00D13E70"/>
    <w:rsid w:val="00D15FCD"/>
    <w:rsid w:val="00D16C58"/>
    <w:rsid w:val="00D17019"/>
    <w:rsid w:val="00D17FC8"/>
    <w:rsid w:val="00D20B44"/>
    <w:rsid w:val="00D21168"/>
    <w:rsid w:val="00D2438C"/>
    <w:rsid w:val="00D2585A"/>
    <w:rsid w:val="00D259B0"/>
    <w:rsid w:val="00D26C3F"/>
    <w:rsid w:val="00D27026"/>
    <w:rsid w:val="00D27185"/>
    <w:rsid w:val="00D30EF8"/>
    <w:rsid w:val="00D32518"/>
    <w:rsid w:val="00D33488"/>
    <w:rsid w:val="00D33AB3"/>
    <w:rsid w:val="00D33F24"/>
    <w:rsid w:val="00D34160"/>
    <w:rsid w:val="00D346B8"/>
    <w:rsid w:val="00D34DCA"/>
    <w:rsid w:val="00D35AC8"/>
    <w:rsid w:val="00D36F87"/>
    <w:rsid w:val="00D37E4E"/>
    <w:rsid w:val="00D400A4"/>
    <w:rsid w:val="00D40DEF"/>
    <w:rsid w:val="00D417D8"/>
    <w:rsid w:val="00D41F78"/>
    <w:rsid w:val="00D42E6C"/>
    <w:rsid w:val="00D4351C"/>
    <w:rsid w:val="00D43B80"/>
    <w:rsid w:val="00D44988"/>
    <w:rsid w:val="00D45B4C"/>
    <w:rsid w:val="00D45BA4"/>
    <w:rsid w:val="00D471AF"/>
    <w:rsid w:val="00D4724F"/>
    <w:rsid w:val="00D50519"/>
    <w:rsid w:val="00D512C8"/>
    <w:rsid w:val="00D51601"/>
    <w:rsid w:val="00D51ECB"/>
    <w:rsid w:val="00D5264C"/>
    <w:rsid w:val="00D52BBC"/>
    <w:rsid w:val="00D537FE"/>
    <w:rsid w:val="00D53CC9"/>
    <w:rsid w:val="00D54A6A"/>
    <w:rsid w:val="00D54B8F"/>
    <w:rsid w:val="00D55951"/>
    <w:rsid w:val="00D559F0"/>
    <w:rsid w:val="00D57EB6"/>
    <w:rsid w:val="00D608C0"/>
    <w:rsid w:val="00D60D6D"/>
    <w:rsid w:val="00D6128C"/>
    <w:rsid w:val="00D66D8B"/>
    <w:rsid w:val="00D70849"/>
    <w:rsid w:val="00D72297"/>
    <w:rsid w:val="00D72A1C"/>
    <w:rsid w:val="00D72E2B"/>
    <w:rsid w:val="00D7308F"/>
    <w:rsid w:val="00D7313E"/>
    <w:rsid w:val="00D73580"/>
    <w:rsid w:val="00D73802"/>
    <w:rsid w:val="00D73C2C"/>
    <w:rsid w:val="00D73D52"/>
    <w:rsid w:val="00D745E7"/>
    <w:rsid w:val="00D774ED"/>
    <w:rsid w:val="00D777C3"/>
    <w:rsid w:val="00D7797C"/>
    <w:rsid w:val="00D77C44"/>
    <w:rsid w:val="00D77F88"/>
    <w:rsid w:val="00D81AFA"/>
    <w:rsid w:val="00D81EAA"/>
    <w:rsid w:val="00D81FE2"/>
    <w:rsid w:val="00D8259F"/>
    <w:rsid w:val="00D825F2"/>
    <w:rsid w:val="00D8285C"/>
    <w:rsid w:val="00D828B1"/>
    <w:rsid w:val="00D82A55"/>
    <w:rsid w:val="00D83D49"/>
    <w:rsid w:val="00D84181"/>
    <w:rsid w:val="00D846AD"/>
    <w:rsid w:val="00D84754"/>
    <w:rsid w:val="00D84F27"/>
    <w:rsid w:val="00D853F0"/>
    <w:rsid w:val="00D85862"/>
    <w:rsid w:val="00D86D47"/>
    <w:rsid w:val="00D8710C"/>
    <w:rsid w:val="00D873C6"/>
    <w:rsid w:val="00D9074A"/>
    <w:rsid w:val="00D9099E"/>
    <w:rsid w:val="00D9193A"/>
    <w:rsid w:val="00D923B2"/>
    <w:rsid w:val="00D92463"/>
    <w:rsid w:val="00D93E64"/>
    <w:rsid w:val="00D93F64"/>
    <w:rsid w:val="00D94CA4"/>
    <w:rsid w:val="00D95E99"/>
    <w:rsid w:val="00D965D5"/>
    <w:rsid w:val="00D97DA2"/>
    <w:rsid w:val="00DA1A3A"/>
    <w:rsid w:val="00DA2351"/>
    <w:rsid w:val="00DA249E"/>
    <w:rsid w:val="00DA2D3D"/>
    <w:rsid w:val="00DA4C30"/>
    <w:rsid w:val="00DA7722"/>
    <w:rsid w:val="00DB145E"/>
    <w:rsid w:val="00DB1A94"/>
    <w:rsid w:val="00DB1D52"/>
    <w:rsid w:val="00DB1E2B"/>
    <w:rsid w:val="00DB1F62"/>
    <w:rsid w:val="00DB21E7"/>
    <w:rsid w:val="00DB2E03"/>
    <w:rsid w:val="00DB3742"/>
    <w:rsid w:val="00DB3E9B"/>
    <w:rsid w:val="00DB3F4B"/>
    <w:rsid w:val="00DB5375"/>
    <w:rsid w:val="00DB67C1"/>
    <w:rsid w:val="00DB6C0B"/>
    <w:rsid w:val="00DB70F4"/>
    <w:rsid w:val="00DB748A"/>
    <w:rsid w:val="00DC009D"/>
    <w:rsid w:val="00DC1056"/>
    <w:rsid w:val="00DC1442"/>
    <w:rsid w:val="00DC21D8"/>
    <w:rsid w:val="00DC282A"/>
    <w:rsid w:val="00DC34DC"/>
    <w:rsid w:val="00DC3780"/>
    <w:rsid w:val="00DC3ADA"/>
    <w:rsid w:val="00DC3CC6"/>
    <w:rsid w:val="00DC3F55"/>
    <w:rsid w:val="00DC4782"/>
    <w:rsid w:val="00DC514A"/>
    <w:rsid w:val="00DC67B1"/>
    <w:rsid w:val="00DC7FBC"/>
    <w:rsid w:val="00DD0019"/>
    <w:rsid w:val="00DD132B"/>
    <w:rsid w:val="00DD1725"/>
    <w:rsid w:val="00DD2159"/>
    <w:rsid w:val="00DD218B"/>
    <w:rsid w:val="00DD2A18"/>
    <w:rsid w:val="00DD3044"/>
    <w:rsid w:val="00DD3985"/>
    <w:rsid w:val="00DD61E8"/>
    <w:rsid w:val="00DD62C0"/>
    <w:rsid w:val="00DD64DE"/>
    <w:rsid w:val="00DD7859"/>
    <w:rsid w:val="00DD7B41"/>
    <w:rsid w:val="00DE0784"/>
    <w:rsid w:val="00DE0A1D"/>
    <w:rsid w:val="00DE15B2"/>
    <w:rsid w:val="00DE1A9A"/>
    <w:rsid w:val="00DE3D2C"/>
    <w:rsid w:val="00DE5E82"/>
    <w:rsid w:val="00DE5FA6"/>
    <w:rsid w:val="00DE6792"/>
    <w:rsid w:val="00DE6AA1"/>
    <w:rsid w:val="00DE7AAB"/>
    <w:rsid w:val="00DE7EF7"/>
    <w:rsid w:val="00DF015B"/>
    <w:rsid w:val="00DF02EC"/>
    <w:rsid w:val="00DF10FC"/>
    <w:rsid w:val="00DF1185"/>
    <w:rsid w:val="00DF1299"/>
    <w:rsid w:val="00DF1A70"/>
    <w:rsid w:val="00DF1E5F"/>
    <w:rsid w:val="00DF23A8"/>
    <w:rsid w:val="00DF2F27"/>
    <w:rsid w:val="00DF36B6"/>
    <w:rsid w:val="00DF4296"/>
    <w:rsid w:val="00DF4437"/>
    <w:rsid w:val="00DF53F0"/>
    <w:rsid w:val="00DF5F38"/>
    <w:rsid w:val="00DF6608"/>
    <w:rsid w:val="00DF6CCC"/>
    <w:rsid w:val="00DF6D0C"/>
    <w:rsid w:val="00DF6F64"/>
    <w:rsid w:val="00DF721E"/>
    <w:rsid w:val="00DF7B8A"/>
    <w:rsid w:val="00DF7C87"/>
    <w:rsid w:val="00E009B0"/>
    <w:rsid w:val="00E00A12"/>
    <w:rsid w:val="00E00C49"/>
    <w:rsid w:val="00E01C9C"/>
    <w:rsid w:val="00E0219D"/>
    <w:rsid w:val="00E042D4"/>
    <w:rsid w:val="00E04C0F"/>
    <w:rsid w:val="00E0570B"/>
    <w:rsid w:val="00E06D78"/>
    <w:rsid w:val="00E10343"/>
    <w:rsid w:val="00E10913"/>
    <w:rsid w:val="00E10B87"/>
    <w:rsid w:val="00E121CE"/>
    <w:rsid w:val="00E1478B"/>
    <w:rsid w:val="00E14FAC"/>
    <w:rsid w:val="00E15007"/>
    <w:rsid w:val="00E16277"/>
    <w:rsid w:val="00E16EC7"/>
    <w:rsid w:val="00E219CE"/>
    <w:rsid w:val="00E24071"/>
    <w:rsid w:val="00E24140"/>
    <w:rsid w:val="00E24EBC"/>
    <w:rsid w:val="00E2522C"/>
    <w:rsid w:val="00E2552F"/>
    <w:rsid w:val="00E2599B"/>
    <w:rsid w:val="00E2710C"/>
    <w:rsid w:val="00E27428"/>
    <w:rsid w:val="00E305B4"/>
    <w:rsid w:val="00E31AFA"/>
    <w:rsid w:val="00E31CB7"/>
    <w:rsid w:val="00E324EE"/>
    <w:rsid w:val="00E32990"/>
    <w:rsid w:val="00E34DB1"/>
    <w:rsid w:val="00E35931"/>
    <w:rsid w:val="00E359FF"/>
    <w:rsid w:val="00E36BD1"/>
    <w:rsid w:val="00E3758C"/>
    <w:rsid w:val="00E402C5"/>
    <w:rsid w:val="00E402F4"/>
    <w:rsid w:val="00E405F1"/>
    <w:rsid w:val="00E4178B"/>
    <w:rsid w:val="00E417DB"/>
    <w:rsid w:val="00E43054"/>
    <w:rsid w:val="00E43655"/>
    <w:rsid w:val="00E44440"/>
    <w:rsid w:val="00E46013"/>
    <w:rsid w:val="00E47099"/>
    <w:rsid w:val="00E47284"/>
    <w:rsid w:val="00E4730A"/>
    <w:rsid w:val="00E474D3"/>
    <w:rsid w:val="00E477C3"/>
    <w:rsid w:val="00E517A5"/>
    <w:rsid w:val="00E51E16"/>
    <w:rsid w:val="00E53730"/>
    <w:rsid w:val="00E5438D"/>
    <w:rsid w:val="00E54511"/>
    <w:rsid w:val="00E54E50"/>
    <w:rsid w:val="00E55288"/>
    <w:rsid w:val="00E57577"/>
    <w:rsid w:val="00E62043"/>
    <w:rsid w:val="00E626B9"/>
    <w:rsid w:val="00E627C9"/>
    <w:rsid w:val="00E630F3"/>
    <w:rsid w:val="00E6332F"/>
    <w:rsid w:val="00E637C9"/>
    <w:rsid w:val="00E6402D"/>
    <w:rsid w:val="00E6680A"/>
    <w:rsid w:val="00E66F0D"/>
    <w:rsid w:val="00E70615"/>
    <w:rsid w:val="00E7161E"/>
    <w:rsid w:val="00E7207B"/>
    <w:rsid w:val="00E7347A"/>
    <w:rsid w:val="00E75A47"/>
    <w:rsid w:val="00E75BB6"/>
    <w:rsid w:val="00E75D8C"/>
    <w:rsid w:val="00E765E1"/>
    <w:rsid w:val="00E777F2"/>
    <w:rsid w:val="00E802C9"/>
    <w:rsid w:val="00E80BFB"/>
    <w:rsid w:val="00E80F0A"/>
    <w:rsid w:val="00E815D4"/>
    <w:rsid w:val="00E8291B"/>
    <w:rsid w:val="00E82E70"/>
    <w:rsid w:val="00E82F92"/>
    <w:rsid w:val="00E8395F"/>
    <w:rsid w:val="00E8410F"/>
    <w:rsid w:val="00E84330"/>
    <w:rsid w:val="00E849D7"/>
    <w:rsid w:val="00E85E41"/>
    <w:rsid w:val="00E85EA1"/>
    <w:rsid w:val="00E86703"/>
    <w:rsid w:val="00E91044"/>
    <w:rsid w:val="00E910D3"/>
    <w:rsid w:val="00E91257"/>
    <w:rsid w:val="00E92154"/>
    <w:rsid w:val="00E923CF"/>
    <w:rsid w:val="00E93685"/>
    <w:rsid w:val="00E93B65"/>
    <w:rsid w:val="00E93C8C"/>
    <w:rsid w:val="00E95111"/>
    <w:rsid w:val="00E95FDF"/>
    <w:rsid w:val="00EA14C8"/>
    <w:rsid w:val="00EA2110"/>
    <w:rsid w:val="00EA283A"/>
    <w:rsid w:val="00EA2C90"/>
    <w:rsid w:val="00EA2E07"/>
    <w:rsid w:val="00EA383B"/>
    <w:rsid w:val="00EA48F3"/>
    <w:rsid w:val="00EA60BF"/>
    <w:rsid w:val="00EA7365"/>
    <w:rsid w:val="00EA763F"/>
    <w:rsid w:val="00EA77E9"/>
    <w:rsid w:val="00EB05D0"/>
    <w:rsid w:val="00EB1151"/>
    <w:rsid w:val="00EB1D49"/>
    <w:rsid w:val="00EB23D9"/>
    <w:rsid w:val="00EB39A0"/>
    <w:rsid w:val="00EB559F"/>
    <w:rsid w:val="00EB566C"/>
    <w:rsid w:val="00EB5F3D"/>
    <w:rsid w:val="00EC1CEB"/>
    <w:rsid w:val="00EC1DC0"/>
    <w:rsid w:val="00EC1DC2"/>
    <w:rsid w:val="00EC21EC"/>
    <w:rsid w:val="00EC24B8"/>
    <w:rsid w:val="00EC268C"/>
    <w:rsid w:val="00EC3753"/>
    <w:rsid w:val="00EC4E71"/>
    <w:rsid w:val="00EC5F1C"/>
    <w:rsid w:val="00ED0365"/>
    <w:rsid w:val="00ED0865"/>
    <w:rsid w:val="00ED1C60"/>
    <w:rsid w:val="00ED2EB9"/>
    <w:rsid w:val="00ED32D5"/>
    <w:rsid w:val="00ED3722"/>
    <w:rsid w:val="00ED3A31"/>
    <w:rsid w:val="00ED4469"/>
    <w:rsid w:val="00ED5424"/>
    <w:rsid w:val="00ED5F23"/>
    <w:rsid w:val="00ED6DC0"/>
    <w:rsid w:val="00ED7A7A"/>
    <w:rsid w:val="00EE0327"/>
    <w:rsid w:val="00EE038C"/>
    <w:rsid w:val="00EE28C5"/>
    <w:rsid w:val="00EE2F09"/>
    <w:rsid w:val="00EE47C5"/>
    <w:rsid w:val="00EE490C"/>
    <w:rsid w:val="00EE4E57"/>
    <w:rsid w:val="00EE5738"/>
    <w:rsid w:val="00EE58BD"/>
    <w:rsid w:val="00EE5E59"/>
    <w:rsid w:val="00EE6549"/>
    <w:rsid w:val="00EE73D0"/>
    <w:rsid w:val="00EE7CB0"/>
    <w:rsid w:val="00EF08A8"/>
    <w:rsid w:val="00EF167B"/>
    <w:rsid w:val="00EF30BF"/>
    <w:rsid w:val="00EF41A8"/>
    <w:rsid w:val="00EF44FB"/>
    <w:rsid w:val="00EF5122"/>
    <w:rsid w:val="00EF5554"/>
    <w:rsid w:val="00EF5AD8"/>
    <w:rsid w:val="00EF6B90"/>
    <w:rsid w:val="00EF7807"/>
    <w:rsid w:val="00EF79F7"/>
    <w:rsid w:val="00F006C0"/>
    <w:rsid w:val="00F0125F"/>
    <w:rsid w:val="00F019AA"/>
    <w:rsid w:val="00F0267E"/>
    <w:rsid w:val="00F02686"/>
    <w:rsid w:val="00F030C0"/>
    <w:rsid w:val="00F03291"/>
    <w:rsid w:val="00F0459B"/>
    <w:rsid w:val="00F04E15"/>
    <w:rsid w:val="00F05DF3"/>
    <w:rsid w:val="00F0692C"/>
    <w:rsid w:val="00F069EA"/>
    <w:rsid w:val="00F070E5"/>
    <w:rsid w:val="00F07DDE"/>
    <w:rsid w:val="00F11675"/>
    <w:rsid w:val="00F12557"/>
    <w:rsid w:val="00F13599"/>
    <w:rsid w:val="00F13B28"/>
    <w:rsid w:val="00F14E01"/>
    <w:rsid w:val="00F156A0"/>
    <w:rsid w:val="00F15730"/>
    <w:rsid w:val="00F176A6"/>
    <w:rsid w:val="00F202C2"/>
    <w:rsid w:val="00F212F6"/>
    <w:rsid w:val="00F22756"/>
    <w:rsid w:val="00F23248"/>
    <w:rsid w:val="00F23890"/>
    <w:rsid w:val="00F2504D"/>
    <w:rsid w:val="00F2637F"/>
    <w:rsid w:val="00F268F7"/>
    <w:rsid w:val="00F30B83"/>
    <w:rsid w:val="00F30BDB"/>
    <w:rsid w:val="00F30CF8"/>
    <w:rsid w:val="00F31EDF"/>
    <w:rsid w:val="00F32CDE"/>
    <w:rsid w:val="00F32D4C"/>
    <w:rsid w:val="00F3327E"/>
    <w:rsid w:val="00F338C3"/>
    <w:rsid w:val="00F34B14"/>
    <w:rsid w:val="00F34F58"/>
    <w:rsid w:val="00F35DA7"/>
    <w:rsid w:val="00F36A6A"/>
    <w:rsid w:val="00F40101"/>
    <w:rsid w:val="00F404F7"/>
    <w:rsid w:val="00F40CCA"/>
    <w:rsid w:val="00F42D97"/>
    <w:rsid w:val="00F436B2"/>
    <w:rsid w:val="00F43813"/>
    <w:rsid w:val="00F43FEE"/>
    <w:rsid w:val="00F45A72"/>
    <w:rsid w:val="00F46723"/>
    <w:rsid w:val="00F4706D"/>
    <w:rsid w:val="00F476E1"/>
    <w:rsid w:val="00F47D1D"/>
    <w:rsid w:val="00F47F29"/>
    <w:rsid w:val="00F50016"/>
    <w:rsid w:val="00F50058"/>
    <w:rsid w:val="00F5118A"/>
    <w:rsid w:val="00F51A21"/>
    <w:rsid w:val="00F52614"/>
    <w:rsid w:val="00F5276E"/>
    <w:rsid w:val="00F52E9F"/>
    <w:rsid w:val="00F53304"/>
    <w:rsid w:val="00F53B81"/>
    <w:rsid w:val="00F540FE"/>
    <w:rsid w:val="00F556FF"/>
    <w:rsid w:val="00F55D12"/>
    <w:rsid w:val="00F5687F"/>
    <w:rsid w:val="00F56D3F"/>
    <w:rsid w:val="00F575C7"/>
    <w:rsid w:val="00F57FD0"/>
    <w:rsid w:val="00F60305"/>
    <w:rsid w:val="00F61B12"/>
    <w:rsid w:val="00F63264"/>
    <w:rsid w:val="00F634E4"/>
    <w:rsid w:val="00F6379E"/>
    <w:rsid w:val="00F64047"/>
    <w:rsid w:val="00F65171"/>
    <w:rsid w:val="00F6560D"/>
    <w:rsid w:val="00F65C23"/>
    <w:rsid w:val="00F67844"/>
    <w:rsid w:val="00F70799"/>
    <w:rsid w:val="00F70A8B"/>
    <w:rsid w:val="00F70B8D"/>
    <w:rsid w:val="00F71936"/>
    <w:rsid w:val="00F724FB"/>
    <w:rsid w:val="00F726B8"/>
    <w:rsid w:val="00F72A26"/>
    <w:rsid w:val="00F733C3"/>
    <w:rsid w:val="00F746A1"/>
    <w:rsid w:val="00F74820"/>
    <w:rsid w:val="00F756DD"/>
    <w:rsid w:val="00F77F4E"/>
    <w:rsid w:val="00F80047"/>
    <w:rsid w:val="00F800C7"/>
    <w:rsid w:val="00F8104D"/>
    <w:rsid w:val="00F81587"/>
    <w:rsid w:val="00F8288F"/>
    <w:rsid w:val="00F84033"/>
    <w:rsid w:val="00F84802"/>
    <w:rsid w:val="00F85B72"/>
    <w:rsid w:val="00F86540"/>
    <w:rsid w:val="00F865CE"/>
    <w:rsid w:val="00F8766F"/>
    <w:rsid w:val="00F87CE9"/>
    <w:rsid w:val="00F91082"/>
    <w:rsid w:val="00F9116D"/>
    <w:rsid w:val="00F91A9A"/>
    <w:rsid w:val="00F9203B"/>
    <w:rsid w:val="00F93ABB"/>
    <w:rsid w:val="00F94D79"/>
    <w:rsid w:val="00F959F6"/>
    <w:rsid w:val="00F9658C"/>
    <w:rsid w:val="00F97A7F"/>
    <w:rsid w:val="00FA01D8"/>
    <w:rsid w:val="00FA0889"/>
    <w:rsid w:val="00FA16E7"/>
    <w:rsid w:val="00FA31C7"/>
    <w:rsid w:val="00FA472D"/>
    <w:rsid w:val="00FA704E"/>
    <w:rsid w:val="00FB0CBF"/>
    <w:rsid w:val="00FB18F6"/>
    <w:rsid w:val="00FB2A52"/>
    <w:rsid w:val="00FB3F92"/>
    <w:rsid w:val="00FB52C7"/>
    <w:rsid w:val="00FB57DC"/>
    <w:rsid w:val="00FB6E19"/>
    <w:rsid w:val="00FB71F6"/>
    <w:rsid w:val="00FC0AF8"/>
    <w:rsid w:val="00FC1483"/>
    <w:rsid w:val="00FC1C47"/>
    <w:rsid w:val="00FC3102"/>
    <w:rsid w:val="00FC39ED"/>
    <w:rsid w:val="00FC3B65"/>
    <w:rsid w:val="00FC4419"/>
    <w:rsid w:val="00FC47E2"/>
    <w:rsid w:val="00FC4AA5"/>
    <w:rsid w:val="00FC4B88"/>
    <w:rsid w:val="00FC4BB8"/>
    <w:rsid w:val="00FC5148"/>
    <w:rsid w:val="00FC623A"/>
    <w:rsid w:val="00FC6524"/>
    <w:rsid w:val="00FC75AC"/>
    <w:rsid w:val="00FC7F2F"/>
    <w:rsid w:val="00FD01BF"/>
    <w:rsid w:val="00FD0525"/>
    <w:rsid w:val="00FD0AB7"/>
    <w:rsid w:val="00FD297D"/>
    <w:rsid w:val="00FD2D13"/>
    <w:rsid w:val="00FD374D"/>
    <w:rsid w:val="00FD6071"/>
    <w:rsid w:val="00FD633B"/>
    <w:rsid w:val="00FE0794"/>
    <w:rsid w:val="00FE1041"/>
    <w:rsid w:val="00FE24CB"/>
    <w:rsid w:val="00FE323F"/>
    <w:rsid w:val="00FE3473"/>
    <w:rsid w:val="00FE4049"/>
    <w:rsid w:val="00FE4794"/>
    <w:rsid w:val="00FE480F"/>
    <w:rsid w:val="00FE4998"/>
    <w:rsid w:val="00FE57DE"/>
    <w:rsid w:val="00FE7A68"/>
    <w:rsid w:val="00FF0231"/>
    <w:rsid w:val="00FF1C9B"/>
    <w:rsid w:val="00FF1D49"/>
    <w:rsid w:val="00FF203B"/>
    <w:rsid w:val="00FF2562"/>
    <w:rsid w:val="00FF3A41"/>
    <w:rsid w:val="00FF3E5B"/>
    <w:rsid w:val="00FF57E4"/>
    <w:rsid w:val="00FF78E5"/>
    <w:rsid w:val="01204DA0"/>
    <w:rsid w:val="01283EFF"/>
    <w:rsid w:val="018607C2"/>
    <w:rsid w:val="01AF3D99"/>
    <w:rsid w:val="020236B3"/>
    <w:rsid w:val="02511F9D"/>
    <w:rsid w:val="02C24588"/>
    <w:rsid w:val="02C646E1"/>
    <w:rsid w:val="03345AEF"/>
    <w:rsid w:val="037C7496"/>
    <w:rsid w:val="03A314B8"/>
    <w:rsid w:val="03D82B98"/>
    <w:rsid w:val="03EF6D03"/>
    <w:rsid w:val="03F83E8B"/>
    <w:rsid w:val="046E0FEB"/>
    <w:rsid w:val="04781A0B"/>
    <w:rsid w:val="04BD7D66"/>
    <w:rsid w:val="04C23DC7"/>
    <w:rsid w:val="05114403"/>
    <w:rsid w:val="051C683A"/>
    <w:rsid w:val="059249E4"/>
    <w:rsid w:val="05B253F0"/>
    <w:rsid w:val="05C56868"/>
    <w:rsid w:val="05E21345"/>
    <w:rsid w:val="05F542FB"/>
    <w:rsid w:val="05F72E03"/>
    <w:rsid w:val="060A7DDC"/>
    <w:rsid w:val="064A387B"/>
    <w:rsid w:val="06CD3E2A"/>
    <w:rsid w:val="06E23AB3"/>
    <w:rsid w:val="06F2672B"/>
    <w:rsid w:val="07B72767"/>
    <w:rsid w:val="08077E72"/>
    <w:rsid w:val="08344898"/>
    <w:rsid w:val="08882DD0"/>
    <w:rsid w:val="08DF13FE"/>
    <w:rsid w:val="09093B5C"/>
    <w:rsid w:val="096A6FCA"/>
    <w:rsid w:val="09AD5F1C"/>
    <w:rsid w:val="09CC2AAC"/>
    <w:rsid w:val="09D26E76"/>
    <w:rsid w:val="0A0C16C8"/>
    <w:rsid w:val="0A5458FA"/>
    <w:rsid w:val="0A652D3E"/>
    <w:rsid w:val="0B077F8D"/>
    <w:rsid w:val="0B326F2A"/>
    <w:rsid w:val="0B786794"/>
    <w:rsid w:val="0B80673F"/>
    <w:rsid w:val="0BA42F97"/>
    <w:rsid w:val="0BC669F3"/>
    <w:rsid w:val="0BFB189F"/>
    <w:rsid w:val="0C01678A"/>
    <w:rsid w:val="0C1E2888"/>
    <w:rsid w:val="0C92213C"/>
    <w:rsid w:val="0CD33E3E"/>
    <w:rsid w:val="0CD563F7"/>
    <w:rsid w:val="0D8220C0"/>
    <w:rsid w:val="0D84032B"/>
    <w:rsid w:val="0E0C6E19"/>
    <w:rsid w:val="0E410171"/>
    <w:rsid w:val="0EAA135B"/>
    <w:rsid w:val="0F2A74C4"/>
    <w:rsid w:val="0F506C8A"/>
    <w:rsid w:val="0F957915"/>
    <w:rsid w:val="0FAE6E16"/>
    <w:rsid w:val="0FF21643"/>
    <w:rsid w:val="104462C0"/>
    <w:rsid w:val="10600043"/>
    <w:rsid w:val="10A27F31"/>
    <w:rsid w:val="10B62239"/>
    <w:rsid w:val="111712A0"/>
    <w:rsid w:val="114371F8"/>
    <w:rsid w:val="11542023"/>
    <w:rsid w:val="11927058"/>
    <w:rsid w:val="11AC7B8F"/>
    <w:rsid w:val="122C70ED"/>
    <w:rsid w:val="12AB355F"/>
    <w:rsid w:val="1321035B"/>
    <w:rsid w:val="13AF4F03"/>
    <w:rsid w:val="13DA3763"/>
    <w:rsid w:val="13FFB172"/>
    <w:rsid w:val="14131641"/>
    <w:rsid w:val="14700951"/>
    <w:rsid w:val="14736E66"/>
    <w:rsid w:val="147755A7"/>
    <w:rsid w:val="147F458F"/>
    <w:rsid w:val="14D958EC"/>
    <w:rsid w:val="1534169A"/>
    <w:rsid w:val="157138FB"/>
    <w:rsid w:val="157E2BC6"/>
    <w:rsid w:val="15C03E03"/>
    <w:rsid w:val="15CA7C72"/>
    <w:rsid w:val="15CC438C"/>
    <w:rsid w:val="15DA6218"/>
    <w:rsid w:val="162A25EB"/>
    <w:rsid w:val="16597416"/>
    <w:rsid w:val="16FD2A55"/>
    <w:rsid w:val="170514B5"/>
    <w:rsid w:val="17067C1A"/>
    <w:rsid w:val="172B7FF1"/>
    <w:rsid w:val="17366761"/>
    <w:rsid w:val="177C01F0"/>
    <w:rsid w:val="177C6524"/>
    <w:rsid w:val="178C491B"/>
    <w:rsid w:val="17CE6630"/>
    <w:rsid w:val="17E41D56"/>
    <w:rsid w:val="17F55C43"/>
    <w:rsid w:val="18910E95"/>
    <w:rsid w:val="19595FAC"/>
    <w:rsid w:val="195E0856"/>
    <w:rsid w:val="19866520"/>
    <w:rsid w:val="198A6011"/>
    <w:rsid w:val="19BE5CBA"/>
    <w:rsid w:val="19D471E4"/>
    <w:rsid w:val="1A312E6E"/>
    <w:rsid w:val="1A361463"/>
    <w:rsid w:val="1A7F369B"/>
    <w:rsid w:val="1A9A6CE4"/>
    <w:rsid w:val="1AA17AB6"/>
    <w:rsid w:val="1AA31270"/>
    <w:rsid w:val="1AA9370E"/>
    <w:rsid w:val="1AB34A4B"/>
    <w:rsid w:val="1AFF0AFE"/>
    <w:rsid w:val="1B4F19F8"/>
    <w:rsid w:val="1BF870B2"/>
    <w:rsid w:val="1C0954E1"/>
    <w:rsid w:val="1C226F03"/>
    <w:rsid w:val="1C7911C9"/>
    <w:rsid w:val="1CBA02A8"/>
    <w:rsid w:val="1D156F50"/>
    <w:rsid w:val="1D711E2C"/>
    <w:rsid w:val="1DD261D8"/>
    <w:rsid w:val="1DDE51E8"/>
    <w:rsid w:val="1E0F10F5"/>
    <w:rsid w:val="1E157715"/>
    <w:rsid w:val="1E2576D1"/>
    <w:rsid w:val="1E6A5B59"/>
    <w:rsid w:val="1E9B481C"/>
    <w:rsid w:val="1EA50A80"/>
    <w:rsid w:val="1ECC44FA"/>
    <w:rsid w:val="1ED64E03"/>
    <w:rsid w:val="1EEB40B0"/>
    <w:rsid w:val="1EFE68E7"/>
    <w:rsid w:val="1F063325"/>
    <w:rsid w:val="1F06438B"/>
    <w:rsid w:val="1F0C688E"/>
    <w:rsid w:val="1F13300A"/>
    <w:rsid w:val="1FBC5DF5"/>
    <w:rsid w:val="1FC32241"/>
    <w:rsid w:val="1FE52984"/>
    <w:rsid w:val="1FF90588"/>
    <w:rsid w:val="200077D7"/>
    <w:rsid w:val="20943C19"/>
    <w:rsid w:val="209A7688"/>
    <w:rsid w:val="20B511EE"/>
    <w:rsid w:val="20B6593D"/>
    <w:rsid w:val="20C3623F"/>
    <w:rsid w:val="216568BF"/>
    <w:rsid w:val="21781212"/>
    <w:rsid w:val="21A75FA9"/>
    <w:rsid w:val="21B83F86"/>
    <w:rsid w:val="221178A8"/>
    <w:rsid w:val="221213CF"/>
    <w:rsid w:val="2221772E"/>
    <w:rsid w:val="222D60D3"/>
    <w:rsid w:val="22327A92"/>
    <w:rsid w:val="224F22C8"/>
    <w:rsid w:val="22AD2F61"/>
    <w:rsid w:val="22D902C8"/>
    <w:rsid w:val="22F34CBD"/>
    <w:rsid w:val="231D53A2"/>
    <w:rsid w:val="236D5383"/>
    <w:rsid w:val="23B7504C"/>
    <w:rsid w:val="23B92B80"/>
    <w:rsid w:val="23EE53EE"/>
    <w:rsid w:val="24571307"/>
    <w:rsid w:val="24861208"/>
    <w:rsid w:val="25110A2A"/>
    <w:rsid w:val="252512E3"/>
    <w:rsid w:val="256C0944"/>
    <w:rsid w:val="25FD0D1E"/>
    <w:rsid w:val="26114279"/>
    <w:rsid w:val="26446DE3"/>
    <w:rsid w:val="26647BB1"/>
    <w:rsid w:val="2679576C"/>
    <w:rsid w:val="267F38A9"/>
    <w:rsid w:val="269669E7"/>
    <w:rsid w:val="26D7699F"/>
    <w:rsid w:val="27031094"/>
    <w:rsid w:val="27406B1D"/>
    <w:rsid w:val="27E17743"/>
    <w:rsid w:val="27E87F36"/>
    <w:rsid w:val="28A360BD"/>
    <w:rsid w:val="28EF40E2"/>
    <w:rsid w:val="29784198"/>
    <w:rsid w:val="29A24CB1"/>
    <w:rsid w:val="29A669B2"/>
    <w:rsid w:val="29E40E7E"/>
    <w:rsid w:val="2A430750"/>
    <w:rsid w:val="2A4B1FB0"/>
    <w:rsid w:val="2A64471D"/>
    <w:rsid w:val="2AA22982"/>
    <w:rsid w:val="2AF35F0B"/>
    <w:rsid w:val="2B22494F"/>
    <w:rsid w:val="2B774624"/>
    <w:rsid w:val="2C7A72BE"/>
    <w:rsid w:val="2C8275C9"/>
    <w:rsid w:val="2C9A7D75"/>
    <w:rsid w:val="2CBE6F30"/>
    <w:rsid w:val="2CC17412"/>
    <w:rsid w:val="2DA311A1"/>
    <w:rsid w:val="2DB4486D"/>
    <w:rsid w:val="2DDF1555"/>
    <w:rsid w:val="2E111781"/>
    <w:rsid w:val="2E2867A7"/>
    <w:rsid w:val="2E2A1A68"/>
    <w:rsid w:val="2E676729"/>
    <w:rsid w:val="2E9976CE"/>
    <w:rsid w:val="2E9D2CFF"/>
    <w:rsid w:val="2E9E61F4"/>
    <w:rsid w:val="2EF771CF"/>
    <w:rsid w:val="2EFC1C07"/>
    <w:rsid w:val="2F401D3C"/>
    <w:rsid w:val="2F474287"/>
    <w:rsid w:val="2F5B24E1"/>
    <w:rsid w:val="2FA95C88"/>
    <w:rsid w:val="3041370F"/>
    <w:rsid w:val="30474804"/>
    <w:rsid w:val="306E3B3E"/>
    <w:rsid w:val="307A298D"/>
    <w:rsid w:val="30862E8B"/>
    <w:rsid w:val="309645C5"/>
    <w:rsid w:val="31045DE9"/>
    <w:rsid w:val="312B50A3"/>
    <w:rsid w:val="322C3DEF"/>
    <w:rsid w:val="32453A27"/>
    <w:rsid w:val="325A702D"/>
    <w:rsid w:val="3263064A"/>
    <w:rsid w:val="32652A2C"/>
    <w:rsid w:val="326C2300"/>
    <w:rsid w:val="32800525"/>
    <w:rsid w:val="32833F68"/>
    <w:rsid w:val="329847CA"/>
    <w:rsid w:val="32A43132"/>
    <w:rsid w:val="32AC0C06"/>
    <w:rsid w:val="32E0317F"/>
    <w:rsid w:val="3314797A"/>
    <w:rsid w:val="33344EF5"/>
    <w:rsid w:val="33B95A18"/>
    <w:rsid w:val="33C626BC"/>
    <w:rsid w:val="33DC1707"/>
    <w:rsid w:val="340509AB"/>
    <w:rsid w:val="345749D0"/>
    <w:rsid w:val="345E63C1"/>
    <w:rsid w:val="34984755"/>
    <w:rsid w:val="34EE2463"/>
    <w:rsid w:val="35040F15"/>
    <w:rsid w:val="3537750C"/>
    <w:rsid w:val="3537798C"/>
    <w:rsid w:val="358E0B37"/>
    <w:rsid w:val="358E4541"/>
    <w:rsid w:val="359A4856"/>
    <w:rsid w:val="35C13FC9"/>
    <w:rsid w:val="35DC779C"/>
    <w:rsid w:val="363F0BF4"/>
    <w:rsid w:val="364257B6"/>
    <w:rsid w:val="367E7EAE"/>
    <w:rsid w:val="36DA2C07"/>
    <w:rsid w:val="36F65F19"/>
    <w:rsid w:val="37DC1CD5"/>
    <w:rsid w:val="37E925CC"/>
    <w:rsid w:val="37EA5922"/>
    <w:rsid w:val="38070816"/>
    <w:rsid w:val="380D0C67"/>
    <w:rsid w:val="382328B7"/>
    <w:rsid w:val="38276B93"/>
    <w:rsid w:val="386817BB"/>
    <w:rsid w:val="388F4F35"/>
    <w:rsid w:val="38AC3431"/>
    <w:rsid w:val="39203E44"/>
    <w:rsid w:val="392F2E16"/>
    <w:rsid w:val="394668D6"/>
    <w:rsid w:val="39E00529"/>
    <w:rsid w:val="39FC6094"/>
    <w:rsid w:val="3A0B64A7"/>
    <w:rsid w:val="3A3E5F35"/>
    <w:rsid w:val="3A574DDA"/>
    <w:rsid w:val="3A5F274A"/>
    <w:rsid w:val="3A914FF9"/>
    <w:rsid w:val="3AD01E70"/>
    <w:rsid w:val="3AD3075A"/>
    <w:rsid w:val="3AF74C02"/>
    <w:rsid w:val="3B04567F"/>
    <w:rsid w:val="3B6B0088"/>
    <w:rsid w:val="3BF3202F"/>
    <w:rsid w:val="3C0059A5"/>
    <w:rsid w:val="3C134E78"/>
    <w:rsid w:val="3C1926A8"/>
    <w:rsid w:val="3C3B1C2E"/>
    <w:rsid w:val="3D233F03"/>
    <w:rsid w:val="3D5A2CB4"/>
    <w:rsid w:val="3D9238A8"/>
    <w:rsid w:val="3D9563F9"/>
    <w:rsid w:val="3DEC7285"/>
    <w:rsid w:val="3DF05BE8"/>
    <w:rsid w:val="3DF6345D"/>
    <w:rsid w:val="3E2B5515"/>
    <w:rsid w:val="3E445E69"/>
    <w:rsid w:val="3E4D4F28"/>
    <w:rsid w:val="3EB70DA6"/>
    <w:rsid w:val="3EE13701"/>
    <w:rsid w:val="3EF232A9"/>
    <w:rsid w:val="3F1A4BB3"/>
    <w:rsid w:val="3F6031EC"/>
    <w:rsid w:val="3F9F74AC"/>
    <w:rsid w:val="3FD414E4"/>
    <w:rsid w:val="40192BA6"/>
    <w:rsid w:val="403B0D38"/>
    <w:rsid w:val="407A60D5"/>
    <w:rsid w:val="40810142"/>
    <w:rsid w:val="4095582D"/>
    <w:rsid w:val="4157137F"/>
    <w:rsid w:val="41766EA9"/>
    <w:rsid w:val="41990C37"/>
    <w:rsid w:val="41F54D51"/>
    <w:rsid w:val="421019EE"/>
    <w:rsid w:val="421F1379"/>
    <w:rsid w:val="42550A18"/>
    <w:rsid w:val="429D496A"/>
    <w:rsid w:val="42C64296"/>
    <w:rsid w:val="42DE4B54"/>
    <w:rsid w:val="42F473A1"/>
    <w:rsid w:val="42FD3774"/>
    <w:rsid w:val="430C5C71"/>
    <w:rsid w:val="431E10FA"/>
    <w:rsid w:val="435C016E"/>
    <w:rsid w:val="43CA157C"/>
    <w:rsid w:val="44020E6D"/>
    <w:rsid w:val="441A32C7"/>
    <w:rsid w:val="441E62C0"/>
    <w:rsid w:val="442F13DF"/>
    <w:rsid w:val="4444669C"/>
    <w:rsid w:val="446A728F"/>
    <w:rsid w:val="450E63CC"/>
    <w:rsid w:val="45325D14"/>
    <w:rsid w:val="457F1EF2"/>
    <w:rsid w:val="45811C7C"/>
    <w:rsid w:val="45906116"/>
    <w:rsid w:val="4592023F"/>
    <w:rsid w:val="45DE62E0"/>
    <w:rsid w:val="468B3EFB"/>
    <w:rsid w:val="470A6193"/>
    <w:rsid w:val="47385210"/>
    <w:rsid w:val="47777240"/>
    <w:rsid w:val="47864466"/>
    <w:rsid w:val="47DC4F5C"/>
    <w:rsid w:val="47F1296C"/>
    <w:rsid w:val="48B40671"/>
    <w:rsid w:val="490C66E5"/>
    <w:rsid w:val="499B5738"/>
    <w:rsid w:val="499F244D"/>
    <w:rsid w:val="49F75CEB"/>
    <w:rsid w:val="4A523F01"/>
    <w:rsid w:val="4A973F3F"/>
    <w:rsid w:val="4AAC19DB"/>
    <w:rsid w:val="4ADE5AFE"/>
    <w:rsid w:val="4AF96BC7"/>
    <w:rsid w:val="4B11183E"/>
    <w:rsid w:val="4B166E55"/>
    <w:rsid w:val="4B182BCD"/>
    <w:rsid w:val="4B5A416B"/>
    <w:rsid w:val="4B862A85"/>
    <w:rsid w:val="4BA206E8"/>
    <w:rsid w:val="4BE807F1"/>
    <w:rsid w:val="4C474808"/>
    <w:rsid w:val="4C5F6A98"/>
    <w:rsid w:val="4C835933"/>
    <w:rsid w:val="4CA14654"/>
    <w:rsid w:val="4CEF36E2"/>
    <w:rsid w:val="4CEF4DC5"/>
    <w:rsid w:val="4D252D91"/>
    <w:rsid w:val="4D61085B"/>
    <w:rsid w:val="4D6648EE"/>
    <w:rsid w:val="4D862C6C"/>
    <w:rsid w:val="4DC77C70"/>
    <w:rsid w:val="4E1A6C5C"/>
    <w:rsid w:val="4E257655"/>
    <w:rsid w:val="4E6F347E"/>
    <w:rsid w:val="4E8E7871"/>
    <w:rsid w:val="4E991403"/>
    <w:rsid w:val="4E9C11B2"/>
    <w:rsid w:val="4ECB68D5"/>
    <w:rsid w:val="4EFC0412"/>
    <w:rsid w:val="4F104546"/>
    <w:rsid w:val="4F1E7151"/>
    <w:rsid w:val="4F372380"/>
    <w:rsid w:val="4F372FFB"/>
    <w:rsid w:val="4F3913FD"/>
    <w:rsid w:val="4F9D09B1"/>
    <w:rsid w:val="4FBD62B0"/>
    <w:rsid w:val="5025116D"/>
    <w:rsid w:val="509C7DFC"/>
    <w:rsid w:val="509F545A"/>
    <w:rsid w:val="50AD3DB7"/>
    <w:rsid w:val="510734C7"/>
    <w:rsid w:val="510B4A4D"/>
    <w:rsid w:val="514A7858"/>
    <w:rsid w:val="51846ACD"/>
    <w:rsid w:val="518A6DD5"/>
    <w:rsid w:val="51F712D6"/>
    <w:rsid w:val="5212305A"/>
    <w:rsid w:val="52395ECD"/>
    <w:rsid w:val="52BD468E"/>
    <w:rsid w:val="52C10D75"/>
    <w:rsid w:val="53311DE5"/>
    <w:rsid w:val="534A6A0C"/>
    <w:rsid w:val="53671F08"/>
    <w:rsid w:val="53735EFB"/>
    <w:rsid w:val="539F28A5"/>
    <w:rsid w:val="53C262BA"/>
    <w:rsid w:val="53C27FF8"/>
    <w:rsid w:val="54427ED5"/>
    <w:rsid w:val="54865822"/>
    <w:rsid w:val="549E1A80"/>
    <w:rsid w:val="54B5148C"/>
    <w:rsid w:val="54C40FED"/>
    <w:rsid w:val="54C658F4"/>
    <w:rsid w:val="550C4BD7"/>
    <w:rsid w:val="550D3076"/>
    <w:rsid w:val="55213C8D"/>
    <w:rsid w:val="55434CEA"/>
    <w:rsid w:val="554C1D56"/>
    <w:rsid w:val="55572986"/>
    <w:rsid w:val="556115E0"/>
    <w:rsid w:val="55764C41"/>
    <w:rsid w:val="55847982"/>
    <w:rsid w:val="55A16ED2"/>
    <w:rsid w:val="55A27C63"/>
    <w:rsid w:val="55C062DD"/>
    <w:rsid w:val="56006927"/>
    <w:rsid w:val="563440B7"/>
    <w:rsid w:val="565340FA"/>
    <w:rsid w:val="56590429"/>
    <w:rsid w:val="56A725B8"/>
    <w:rsid w:val="571A1A7B"/>
    <w:rsid w:val="5723343E"/>
    <w:rsid w:val="57367199"/>
    <w:rsid w:val="573D7EAB"/>
    <w:rsid w:val="5771430C"/>
    <w:rsid w:val="5839385E"/>
    <w:rsid w:val="587C6756"/>
    <w:rsid w:val="58A75590"/>
    <w:rsid w:val="591E5082"/>
    <w:rsid w:val="5934220A"/>
    <w:rsid w:val="5960314C"/>
    <w:rsid w:val="59845D6C"/>
    <w:rsid w:val="598D5E93"/>
    <w:rsid w:val="59961D22"/>
    <w:rsid w:val="59DC0ED9"/>
    <w:rsid w:val="5A0D28C9"/>
    <w:rsid w:val="5A2F2CC8"/>
    <w:rsid w:val="5A557999"/>
    <w:rsid w:val="5AE37F25"/>
    <w:rsid w:val="5AF96EBC"/>
    <w:rsid w:val="5B1530FC"/>
    <w:rsid w:val="5B321A89"/>
    <w:rsid w:val="5BA26962"/>
    <w:rsid w:val="5C10702D"/>
    <w:rsid w:val="5C152601"/>
    <w:rsid w:val="5C591F03"/>
    <w:rsid w:val="5C8A1B2F"/>
    <w:rsid w:val="5CEF53FA"/>
    <w:rsid w:val="5D8A0EA8"/>
    <w:rsid w:val="5D914004"/>
    <w:rsid w:val="5DBF1FF6"/>
    <w:rsid w:val="5E115CAB"/>
    <w:rsid w:val="5E71078E"/>
    <w:rsid w:val="5E9B16F3"/>
    <w:rsid w:val="5EB55AE8"/>
    <w:rsid w:val="5F064D7F"/>
    <w:rsid w:val="5F0C2915"/>
    <w:rsid w:val="5F3F70FC"/>
    <w:rsid w:val="5F41229A"/>
    <w:rsid w:val="5F4D398E"/>
    <w:rsid w:val="5F561B72"/>
    <w:rsid w:val="5F942479"/>
    <w:rsid w:val="5F9D9130"/>
    <w:rsid w:val="5FB9077D"/>
    <w:rsid w:val="5FCF196A"/>
    <w:rsid w:val="5FEFA6EB"/>
    <w:rsid w:val="6014175D"/>
    <w:rsid w:val="601A1E4A"/>
    <w:rsid w:val="606007BB"/>
    <w:rsid w:val="60AC7F66"/>
    <w:rsid w:val="60D9297A"/>
    <w:rsid w:val="60FF2791"/>
    <w:rsid w:val="61750921"/>
    <w:rsid w:val="619F599E"/>
    <w:rsid w:val="61BF10D9"/>
    <w:rsid w:val="61DA3D4C"/>
    <w:rsid w:val="629944B4"/>
    <w:rsid w:val="62AC22DC"/>
    <w:rsid w:val="63236F42"/>
    <w:rsid w:val="637833E8"/>
    <w:rsid w:val="642F125B"/>
    <w:rsid w:val="644A06C6"/>
    <w:rsid w:val="647D6D3B"/>
    <w:rsid w:val="64E45EF7"/>
    <w:rsid w:val="64FB5B12"/>
    <w:rsid w:val="65384140"/>
    <w:rsid w:val="655F6496"/>
    <w:rsid w:val="659F41BF"/>
    <w:rsid w:val="65A25838"/>
    <w:rsid w:val="665624F3"/>
    <w:rsid w:val="66577A0E"/>
    <w:rsid w:val="6691014E"/>
    <w:rsid w:val="669E696B"/>
    <w:rsid w:val="66C87CCE"/>
    <w:rsid w:val="66E856D7"/>
    <w:rsid w:val="67441FED"/>
    <w:rsid w:val="674F6D11"/>
    <w:rsid w:val="677435B2"/>
    <w:rsid w:val="67EF75F1"/>
    <w:rsid w:val="68BE63C7"/>
    <w:rsid w:val="68CF6B69"/>
    <w:rsid w:val="68E57AC2"/>
    <w:rsid w:val="69124F16"/>
    <w:rsid w:val="69431305"/>
    <w:rsid w:val="694A5205"/>
    <w:rsid w:val="69CD5C14"/>
    <w:rsid w:val="69CF0D33"/>
    <w:rsid w:val="69D148A6"/>
    <w:rsid w:val="69FD3CBB"/>
    <w:rsid w:val="69FD4236"/>
    <w:rsid w:val="6A1F142A"/>
    <w:rsid w:val="6A682DD1"/>
    <w:rsid w:val="6AB14817"/>
    <w:rsid w:val="6B1E2BB7"/>
    <w:rsid w:val="6B3C600C"/>
    <w:rsid w:val="6B5748D8"/>
    <w:rsid w:val="6B8005EE"/>
    <w:rsid w:val="6B9946B3"/>
    <w:rsid w:val="6BCC64DE"/>
    <w:rsid w:val="6BF2419B"/>
    <w:rsid w:val="6BF72EAC"/>
    <w:rsid w:val="6C3102E2"/>
    <w:rsid w:val="6C662189"/>
    <w:rsid w:val="6C7007C7"/>
    <w:rsid w:val="6C806812"/>
    <w:rsid w:val="6CBB7A1B"/>
    <w:rsid w:val="6D203E37"/>
    <w:rsid w:val="6D215F00"/>
    <w:rsid w:val="6D5479F5"/>
    <w:rsid w:val="6D6DA01B"/>
    <w:rsid w:val="6D71439B"/>
    <w:rsid w:val="6DA944F5"/>
    <w:rsid w:val="6DBE53FE"/>
    <w:rsid w:val="6DCB3874"/>
    <w:rsid w:val="6DE76850"/>
    <w:rsid w:val="6E6C6C08"/>
    <w:rsid w:val="6E7E7BE3"/>
    <w:rsid w:val="6E8F3A42"/>
    <w:rsid w:val="6F05200D"/>
    <w:rsid w:val="6F365DA5"/>
    <w:rsid w:val="6F384AD6"/>
    <w:rsid w:val="6F712728"/>
    <w:rsid w:val="6F7FFC12"/>
    <w:rsid w:val="6FB20BD4"/>
    <w:rsid w:val="6FB650F7"/>
    <w:rsid w:val="6FBA59BE"/>
    <w:rsid w:val="6FCA4D3E"/>
    <w:rsid w:val="70296B3E"/>
    <w:rsid w:val="70611204"/>
    <w:rsid w:val="70A22DB5"/>
    <w:rsid w:val="70DF379C"/>
    <w:rsid w:val="70F90550"/>
    <w:rsid w:val="714967C4"/>
    <w:rsid w:val="71B07FF4"/>
    <w:rsid w:val="71FA77DF"/>
    <w:rsid w:val="72392D48"/>
    <w:rsid w:val="728C7AD6"/>
    <w:rsid w:val="72E74AAF"/>
    <w:rsid w:val="72F90AD8"/>
    <w:rsid w:val="730046D1"/>
    <w:rsid w:val="732B4922"/>
    <w:rsid w:val="73445350"/>
    <w:rsid w:val="7367546F"/>
    <w:rsid w:val="742F7954"/>
    <w:rsid w:val="74342403"/>
    <w:rsid w:val="749B4BD8"/>
    <w:rsid w:val="74FA2C30"/>
    <w:rsid w:val="74FC18FF"/>
    <w:rsid w:val="75375B64"/>
    <w:rsid w:val="754D5C4B"/>
    <w:rsid w:val="754F3638"/>
    <w:rsid w:val="75B82733"/>
    <w:rsid w:val="75FB71EF"/>
    <w:rsid w:val="765D2F12"/>
    <w:rsid w:val="76653FFC"/>
    <w:rsid w:val="76C240A7"/>
    <w:rsid w:val="76FF4ABD"/>
    <w:rsid w:val="77292CF3"/>
    <w:rsid w:val="77327ECF"/>
    <w:rsid w:val="773F1BDB"/>
    <w:rsid w:val="775246B7"/>
    <w:rsid w:val="7783749C"/>
    <w:rsid w:val="77873259"/>
    <w:rsid w:val="77C1030F"/>
    <w:rsid w:val="781E69D1"/>
    <w:rsid w:val="78721448"/>
    <w:rsid w:val="78886285"/>
    <w:rsid w:val="793440E8"/>
    <w:rsid w:val="7A227754"/>
    <w:rsid w:val="7A263B6B"/>
    <w:rsid w:val="7A6F3D08"/>
    <w:rsid w:val="7A9A75D9"/>
    <w:rsid w:val="7ABF66F9"/>
    <w:rsid w:val="7AF46346"/>
    <w:rsid w:val="7B0A3A31"/>
    <w:rsid w:val="7B0D7E4E"/>
    <w:rsid w:val="7B0F5EBF"/>
    <w:rsid w:val="7B130FB9"/>
    <w:rsid w:val="7B35042F"/>
    <w:rsid w:val="7BB96138"/>
    <w:rsid w:val="7BF64EDE"/>
    <w:rsid w:val="7C230B01"/>
    <w:rsid w:val="7C400C1E"/>
    <w:rsid w:val="7C696542"/>
    <w:rsid w:val="7C8B0A07"/>
    <w:rsid w:val="7CAE34B9"/>
    <w:rsid w:val="7D0D7EC5"/>
    <w:rsid w:val="7D104656"/>
    <w:rsid w:val="7DCD409D"/>
    <w:rsid w:val="7DD11708"/>
    <w:rsid w:val="7DE95B7F"/>
    <w:rsid w:val="7DF75816"/>
    <w:rsid w:val="7E4E1E86"/>
    <w:rsid w:val="7E995333"/>
    <w:rsid w:val="7EB536D1"/>
    <w:rsid w:val="7EB66EE2"/>
    <w:rsid w:val="7EBD579E"/>
    <w:rsid w:val="7EC167BD"/>
    <w:rsid w:val="7ECF296A"/>
    <w:rsid w:val="7F07228A"/>
    <w:rsid w:val="7F272D9E"/>
    <w:rsid w:val="7F3472CE"/>
    <w:rsid w:val="7F724027"/>
    <w:rsid w:val="7F7A47FC"/>
    <w:rsid w:val="7FB36BFE"/>
    <w:rsid w:val="7FDA64EB"/>
    <w:rsid w:val="7FE231CE"/>
    <w:rsid w:val="D6D7F3F1"/>
    <w:rsid w:val="DDDAEC96"/>
    <w:rsid w:val="DEFF4959"/>
    <w:rsid w:val="FEF7C4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nhideWhenUsed="0" w:uiPriority="9" w:semiHidden="0"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qFormat="1" w:unhideWhenUsed="0" w:uiPriority="99"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46"/>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44"/>
    <w:qFormat/>
    <w:uiPriority w:val="9"/>
    <w:pPr>
      <w:keepNext/>
      <w:keepLines/>
      <w:spacing w:before="260" w:after="260" w:line="416" w:lineRule="auto"/>
      <w:outlineLvl w:val="2"/>
    </w:pPr>
    <w:rPr>
      <w:b/>
      <w:bCs/>
      <w:sz w:val="32"/>
      <w:szCs w:val="32"/>
    </w:rPr>
  </w:style>
  <w:style w:type="paragraph" w:styleId="6">
    <w:name w:val="heading 4"/>
    <w:basedOn w:val="1"/>
    <w:next w:val="1"/>
    <w:qFormat/>
    <w:uiPriority w:val="0"/>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7">
    <w:name w:val="heading 5"/>
    <w:basedOn w:val="1"/>
    <w:next w:val="8"/>
    <w:link w:val="47"/>
    <w:qFormat/>
    <w:uiPriority w:val="9"/>
    <w:pPr>
      <w:keepNext/>
      <w:keepLines/>
      <w:spacing w:before="280" w:after="290" w:line="376" w:lineRule="auto"/>
      <w:outlineLvl w:val="4"/>
    </w:pPr>
    <w:rPr>
      <w:b/>
      <w:bCs/>
      <w:sz w:val="28"/>
      <w:szCs w:val="28"/>
    </w:rPr>
  </w:style>
  <w:style w:type="paragraph" w:styleId="9">
    <w:name w:val="heading 8"/>
    <w:basedOn w:val="1"/>
    <w:next w:val="1"/>
    <w:link w:val="48"/>
    <w:qFormat/>
    <w:uiPriority w:val="9"/>
    <w:pPr>
      <w:keepNext/>
      <w:keepLines/>
      <w:spacing w:before="240" w:after="64" w:line="320" w:lineRule="auto"/>
      <w:outlineLvl w:val="7"/>
    </w:pPr>
    <w:rPr>
      <w:rFonts w:ascii="等线 Light" w:hAnsi="等线 Light" w:eastAsia="等线 Light"/>
      <w:sz w:val="24"/>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index 1"/>
    <w:basedOn w:val="1"/>
    <w:next w:val="1"/>
    <w:qFormat/>
    <w:uiPriority w:val="0"/>
    <w:pPr>
      <w:spacing w:line="400" w:lineRule="exact"/>
      <w:ind w:firstLine="420" w:firstLineChars="200"/>
    </w:pPr>
    <w:rPr>
      <w:rFonts w:ascii="宋体" w:hAnsi="Courier New"/>
      <w:b/>
      <w:szCs w:val="20"/>
    </w:rPr>
  </w:style>
  <w:style w:type="paragraph" w:styleId="8">
    <w:name w:val="Normal Indent"/>
    <w:basedOn w:val="1"/>
    <w:qFormat/>
    <w:uiPriority w:val="0"/>
    <w:pPr>
      <w:ind w:firstLine="420"/>
    </w:pPr>
    <w:rPr>
      <w:szCs w:val="20"/>
    </w:rPr>
  </w:style>
  <w:style w:type="paragraph" w:styleId="10">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1">
    <w:name w:val="Document Map"/>
    <w:basedOn w:val="1"/>
    <w:link w:val="49"/>
    <w:unhideWhenUsed/>
    <w:qFormat/>
    <w:uiPriority w:val="99"/>
    <w:rPr>
      <w:rFonts w:ascii="宋体"/>
      <w:sz w:val="18"/>
      <w:szCs w:val="18"/>
    </w:rPr>
  </w:style>
  <w:style w:type="paragraph" w:styleId="12">
    <w:name w:val="annotation text"/>
    <w:basedOn w:val="1"/>
    <w:link w:val="50"/>
    <w:qFormat/>
    <w:uiPriority w:val="0"/>
    <w:pPr>
      <w:jc w:val="left"/>
    </w:pPr>
  </w:style>
  <w:style w:type="paragraph" w:styleId="13">
    <w:name w:val="Body Text 3"/>
    <w:basedOn w:val="1"/>
    <w:link w:val="51"/>
    <w:unhideWhenUsed/>
    <w:qFormat/>
    <w:uiPriority w:val="99"/>
    <w:pPr>
      <w:spacing w:after="120"/>
    </w:pPr>
    <w:rPr>
      <w:sz w:val="16"/>
      <w:szCs w:val="16"/>
    </w:rPr>
  </w:style>
  <w:style w:type="paragraph" w:styleId="14">
    <w:name w:val="Body Text"/>
    <w:basedOn w:val="1"/>
    <w:link w:val="52"/>
    <w:unhideWhenUsed/>
    <w:qFormat/>
    <w:uiPriority w:val="0"/>
    <w:pPr>
      <w:spacing w:after="120"/>
    </w:pPr>
  </w:style>
  <w:style w:type="paragraph" w:styleId="15">
    <w:name w:val="Body Text Indent"/>
    <w:basedOn w:val="1"/>
    <w:link w:val="53"/>
    <w:qFormat/>
    <w:uiPriority w:val="0"/>
    <w:pPr>
      <w:ind w:firstLine="830" w:firstLineChars="352"/>
    </w:pPr>
    <w:rPr>
      <w:rFonts w:ascii="仿宋_GB2312" w:eastAsia="仿宋_GB2312"/>
      <w:kern w:val="0"/>
      <w:sz w:val="32"/>
      <w:szCs w:val="20"/>
    </w:rPr>
  </w:style>
  <w:style w:type="paragraph" w:styleId="16">
    <w:name w:val="List 2"/>
    <w:basedOn w:val="1"/>
    <w:unhideWhenUsed/>
    <w:qFormat/>
    <w:uiPriority w:val="99"/>
    <w:pPr>
      <w:ind w:left="100" w:leftChars="200" w:hanging="200" w:hangingChars="200"/>
      <w:contextualSpacing/>
    </w:pPr>
  </w:style>
  <w:style w:type="paragraph" w:styleId="17">
    <w:name w:val="Block Text"/>
    <w:basedOn w:val="1"/>
    <w:qFormat/>
    <w:uiPriority w:val="99"/>
    <w:pPr>
      <w:adjustRightInd w:val="0"/>
      <w:ind w:left="420" w:right="33"/>
      <w:jc w:val="left"/>
      <w:textAlignment w:val="baseline"/>
    </w:pPr>
    <w:rPr>
      <w:kern w:val="0"/>
      <w:szCs w:val="20"/>
    </w:rPr>
  </w:style>
  <w:style w:type="paragraph" w:styleId="18">
    <w:name w:val="toc 3"/>
    <w:basedOn w:val="1"/>
    <w:next w:val="1"/>
    <w:unhideWhenUsed/>
    <w:qFormat/>
    <w:uiPriority w:val="39"/>
    <w:pPr>
      <w:ind w:left="840" w:leftChars="400"/>
    </w:pPr>
  </w:style>
  <w:style w:type="paragraph" w:styleId="19">
    <w:name w:val="Plain Text"/>
    <w:basedOn w:val="1"/>
    <w:next w:val="6"/>
    <w:link w:val="54"/>
    <w:qFormat/>
    <w:uiPriority w:val="0"/>
    <w:rPr>
      <w:rFonts w:ascii="宋体" w:hAnsi="Courier New"/>
      <w:kern w:val="0"/>
      <w:sz w:val="20"/>
      <w:szCs w:val="21"/>
    </w:rPr>
  </w:style>
  <w:style w:type="paragraph" w:styleId="20">
    <w:name w:val="Date"/>
    <w:basedOn w:val="1"/>
    <w:next w:val="1"/>
    <w:link w:val="55"/>
    <w:unhideWhenUsed/>
    <w:qFormat/>
    <w:uiPriority w:val="99"/>
    <w:pPr>
      <w:ind w:left="100" w:leftChars="2500"/>
    </w:pPr>
  </w:style>
  <w:style w:type="paragraph" w:styleId="21">
    <w:name w:val="Balloon Text"/>
    <w:basedOn w:val="1"/>
    <w:link w:val="56"/>
    <w:semiHidden/>
    <w:qFormat/>
    <w:uiPriority w:val="0"/>
    <w:rPr>
      <w:sz w:val="18"/>
      <w:szCs w:val="18"/>
    </w:rPr>
  </w:style>
  <w:style w:type="paragraph" w:styleId="22">
    <w:name w:val="footer"/>
    <w:basedOn w:val="1"/>
    <w:link w:val="57"/>
    <w:unhideWhenUsed/>
    <w:qFormat/>
    <w:uiPriority w:val="99"/>
    <w:pPr>
      <w:tabs>
        <w:tab w:val="center" w:pos="4153"/>
        <w:tab w:val="right" w:pos="8306"/>
      </w:tabs>
      <w:snapToGrid w:val="0"/>
      <w:jc w:val="left"/>
    </w:pPr>
    <w:rPr>
      <w:kern w:val="0"/>
      <w:sz w:val="18"/>
      <w:szCs w:val="18"/>
    </w:rPr>
  </w:style>
  <w:style w:type="paragraph" w:styleId="23">
    <w:name w:val="header"/>
    <w:basedOn w:val="1"/>
    <w:link w:val="58"/>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4">
    <w:name w:val="toc 1"/>
    <w:basedOn w:val="1"/>
    <w:next w:val="1"/>
    <w:unhideWhenUsed/>
    <w:qFormat/>
    <w:uiPriority w:val="39"/>
  </w:style>
  <w:style w:type="paragraph" w:styleId="25">
    <w:name w:val="List"/>
    <w:basedOn w:val="1"/>
    <w:unhideWhenUsed/>
    <w:qFormat/>
    <w:uiPriority w:val="99"/>
    <w:pPr>
      <w:ind w:left="200" w:hanging="200" w:hangingChars="200"/>
      <w:contextualSpacing/>
    </w:pPr>
  </w:style>
  <w:style w:type="paragraph" w:styleId="26">
    <w:name w:val="table of figures"/>
    <w:basedOn w:val="1"/>
    <w:next w:val="1"/>
    <w:qFormat/>
    <w:uiPriority w:val="0"/>
    <w:pPr>
      <w:ind w:left="200" w:leftChars="200" w:hanging="200" w:hangingChars="200"/>
    </w:pPr>
  </w:style>
  <w:style w:type="paragraph" w:styleId="27">
    <w:name w:val="toc 2"/>
    <w:basedOn w:val="1"/>
    <w:next w:val="1"/>
    <w:unhideWhenUsed/>
    <w:qFormat/>
    <w:uiPriority w:val="39"/>
    <w:pPr>
      <w:tabs>
        <w:tab w:val="right" w:leader="dot" w:pos="8296"/>
      </w:tabs>
      <w:ind w:left="420" w:leftChars="200"/>
    </w:pPr>
  </w:style>
  <w:style w:type="paragraph" w:styleId="28">
    <w:name w:val="Normal (Web)"/>
    <w:basedOn w:val="1"/>
    <w:unhideWhenUsed/>
    <w:qFormat/>
    <w:uiPriority w:val="99"/>
    <w:rPr>
      <w:rFonts w:ascii="Calibri" w:hAnsi="Calibri"/>
      <w:kern w:val="0"/>
      <w:sz w:val="24"/>
    </w:rPr>
  </w:style>
  <w:style w:type="paragraph" w:styleId="29">
    <w:name w:val="Title"/>
    <w:basedOn w:val="1"/>
    <w:next w:val="1"/>
    <w:qFormat/>
    <w:uiPriority w:val="0"/>
    <w:pPr>
      <w:spacing w:before="240" w:after="60"/>
      <w:jc w:val="center"/>
      <w:outlineLvl w:val="0"/>
    </w:pPr>
    <w:rPr>
      <w:rFonts w:ascii="Arial" w:hAnsi="Arial"/>
      <w:b/>
      <w:sz w:val="32"/>
    </w:rPr>
  </w:style>
  <w:style w:type="paragraph" w:styleId="30">
    <w:name w:val="annotation subject"/>
    <w:basedOn w:val="12"/>
    <w:next w:val="12"/>
    <w:link w:val="59"/>
    <w:qFormat/>
    <w:uiPriority w:val="99"/>
    <w:rPr>
      <w:b/>
      <w:bCs/>
    </w:rPr>
  </w:style>
  <w:style w:type="paragraph" w:styleId="31">
    <w:name w:val="Body Text First Indent"/>
    <w:basedOn w:val="14"/>
    <w:qFormat/>
    <w:uiPriority w:val="0"/>
    <w:pPr>
      <w:ind w:firstLine="420" w:firstLineChars="100"/>
    </w:pPr>
  </w:style>
  <w:style w:type="paragraph" w:styleId="32">
    <w:name w:val="Body Text First Indent 2"/>
    <w:basedOn w:val="15"/>
    <w:unhideWhenUsed/>
    <w:qFormat/>
    <w:uiPriority w:val="99"/>
    <w:pPr>
      <w:spacing w:after="120"/>
      <w:ind w:left="420" w:leftChars="200" w:firstLine="420" w:firstLineChars="200"/>
    </w:pPr>
    <w:rPr>
      <w:rFonts w:ascii="Times New Roman" w:eastAsia="宋体"/>
      <w:kern w:val="2"/>
      <w:sz w:val="21"/>
      <w:szCs w:val="24"/>
    </w:rPr>
  </w:style>
  <w:style w:type="table" w:styleId="34">
    <w:name w:val="Table Grid"/>
    <w:basedOn w:val="33"/>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6">
    <w:name w:val="Strong"/>
    <w:basedOn w:val="35"/>
    <w:qFormat/>
    <w:uiPriority w:val="0"/>
    <w:rPr>
      <w:b/>
    </w:rPr>
  </w:style>
  <w:style w:type="character" w:styleId="37">
    <w:name w:val="endnote reference"/>
    <w:unhideWhenUsed/>
    <w:qFormat/>
    <w:uiPriority w:val="99"/>
    <w:rPr>
      <w:vertAlign w:val="superscript"/>
    </w:rPr>
  </w:style>
  <w:style w:type="character" w:styleId="38">
    <w:name w:val="page number"/>
    <w:qFormat/>
    <w:uiPriority w:val="0"/>
  </w:style>
  <w:style w:type="character" w:styleId="39">
    <w:name w:val="FollowedHyperlink"/>
    <w:unhideWhenUsed/>
    <w:qFormat/>
    <w:uiPriority w:val="99"/>
    <w:rPr>
      <w:color w:val="800080"/>
      <w:u w:val="single"/>
    </w:rPr>
  </w:style>
  <w:style w:type="character" w:styleId="40">
    <w:name w:val="Hyperlink"/>
    <w:unhideWhenUsed/>
    <w:qFormat/>
    <w:uiPriority w:val="99"/>
    <w:rPr>
      <w:color w:val="0000FF"/>
      <w:u w:val="single"/>
    </w:rPr>
  </w:style>
  <w:style w:type="character" w:styleId="41">
    <w:name w:val="annotation reference"/>
    <w:qFormat/>
    <w:uiPriority w:val="99"/>
    <w:rPr>
      <w:sz w:val="21"/>
      <w:szCs w:val="21"/>
    </w:rPr>
  </w:style>
  <w:style w:type="paragraph" w:customStyle="1" w:styleId="42">
    <w:name w:val="表格文字"/>
    <w:basedOn w:val="1"/>
    <w:qFormat/>
    <w:uiPriority w:val="99"/>
    <w:pPr>
      <w:spacing w:before="25" w:after="25"/>
      <w:jc w:val="left"/>
    </w:pPr>
    <w:rPr>
      <w:bCs/>
      <w:spacing w:val="10"/>
      <w:kern w:val="0"/>
      <w:sz w:val="24"/>
    </w:rPr>
  </w:style>
  <w:style w:type="paragraph" w:customStyle="1" w:styleId="43">
    <w:name w:val="Default"/>
    <w:next w:val="1"/>
    <w:qFormat/>
    <w:uiPriority w:val="99"/>
    <w:pPr>
      <w:widowControl w:val="0"/>
      <w:autoSpaceDE w:val="0"/>
      <w:autoSpaceDN w:val="0"/>
      <w:adjustRightInd w:val="0"/>
    </w:pPr>
    <w:rPr>
      <w:rFonts w:ascii="方正仿宋_GBK" w:hAnsi="方正仿宋_GBK" w:eastAsia="方正仿宋_GBK" w:cs="Cordia New"/>
      <w:color w:val="000000"/>
      <w:sz w:val="24"/>
      <w:lang w:val="en-US" w:eastAsia="zh-CN" w:bidi="ar-SA"/>
    </w:rPr>
  </w:style>
  <w:style w:type="character" w:customStyle="1" w:styleId="44">
    <w:name w:val="标题 3 字符1"/>
    <w:link w:val="5"/>
    <w:qFormat/>
    <w:uiPriority w:val="9"/>
    <w:rPr>
      <w:b/>
      <w:bCs/>
      <w:kern w:val="2"/>
      <w:sz w:val="32"/>
      <w:szCs w:val="32"/>
    </w:rPr>
  </w:style>
  <w:style w:type="character" w:customStyle="1" w:styleId="45">
    <w:name w:val="标题 1 字符2"/>
    <w:link w:val="3"/>
    <w:qFormat/>
    <w:uiPriority w:val="9"/>
    <w:rPr>
      <w:b/>
      <w:bCs/>
      <w:kern w:val="44"/>
      <w:sz w:val="44"/>
      <w:szCs w:val="44"/>
    </w:rPr>
  </w:style>
  <w:style w:type="character" w:customStyle="1" w:styleId="46">
    <w:name w:val="标题 2 字符1"/>
    <w:link w:val="4"/>
    <w:qFormat/>
    <w:uiPriority w:val="9"/>
    <w:rPr>
      <w:rFonts w:ascii="Cambria" w:hAnsi="Cambria" w:eastAsia="宋体" w:cs="Times New Roman"/>
      <w:b/>
      <w:bCs/>
      <w:kern w:val="2"/>
      <w:sz w:val="32"/>
      <w:szCs w:val="32"/>
    </w:rPr>
  </w:style>
  <w:style w:type="character" w:customStyle="1" w:styleId="47">
    <w:name w:val="标题 5 字符1"/>
    <w:link w:val="7"/>
    <w:qFormat/>
    <w:uiPriority w:val="9"/>
    <w:rPr>
      <w:rFonts w:ascii="Times New Roman" w:hAnsi="Times New Roman"/>
      <w:b/>
      <w:bCs/>
      <w:kern w:val="2"/>
      <w:sz w:val="28"/>
      <w:szCs w:val="28"/>
    </w:rPr>
  </w:style>
  <w:style w:type="character" w:customStyle="1" w:styleId="48">
    <w:name w:val="标题 8 字符1"/>
    <w:link w:val="9"/>
    <w:qFormat/>
    <w:uiPriority w:val="9"/>
    <w:rPr>
      <w:rFonts w:ascii="等线 Light" w:hAnsi="等线 Light" w:eastAsia="等线 Light" w:cs="Times New Roman"/>
      <w:kern w:val="2"/>
      <w:sz w:val="24"/>
      <w:szCs w:val="24"/>
    </w:rPr>
  </w:style>
  <w:style w:type="character" w:customStyle="1" w:styleId="49">
    <w:name w:val="文档结构图 字符"/>
    <w:link w:val="11"/>
    <w:qFormat/>
    <w:uiPriority w:val="99"/>
    <w:rPr>
      <w:rFonts w:ascii="宋体"/>
      <w:kern w:val="2"/>
      <w:sz w:val="18"/>
      <w:szCs w:val="18"/>
    </w:rPr>
  </w:style>
  <w:style w:type="character" w:customStyle="1" w:styleId="50">
    <w:name w:val="批注文字 字符3"/>
    <w:link w:val="12"/>
    <w:qFormat/>
    <w:uiPriority w:val="0"/>
    <w:rPr>
      <w:rFonts w:ascii="Times New Roman" w:hAnsi="Times New Roman"/>
      <w:kern w:val="2"/>
      <w:sz w:val="21"/>
      <w:szCs w:val="24"/>
    </w:rPr>
  </w:style>
  <w:style w:type="character" w:customStyle="1" w:styleId="51">
    <w:name w:val="正文文本 3 字符1"/>
    <w:link w:val="13"/>
    <w:qFormat/>
    <w:uiPriority w:val="99"/>
    <w:rPr>
      <w:kern w:val="2"/>
      <w:sz w:val="16"/>
      <w:szCs w:val="16"/>
    </w:rPr>
  </w:style>
  <w:style w:type="character" w:customStyle="1" w:styleId="52">
    <w:name w:val="正文文本 字符2"/>
    <w:link w:val="14"/>
    <w:qFormat/>
    <w:uiPriority w:val="0"/>
    <w:rPr>
      <w:rFonts w:ascii="Times New Roman" w:hAnsi="Times New Roman"/>
      <w:kern w:val="2"/>
      <w:sz w:val="21"/>
      <w:szCs w:val="24"/>
    </w:rPr>
  </w:style>
  <w:style w:type="character" w:customStyle="1" w:styleId="53">
    <w:name w:val="正文文本缩进 字符1"/>
    <w:link w:val="15"/>
    <w:qFormat/>
    <w:uiPriority w:val="0"/>
    <w:rPr>
      <w:rFonts w:ascii="仿宋_GB2312" w:hAnsi="Times New Roman" w:eastAsia="仿宋_GB2312" w:cs="Times New Roman"/>
      <w:sz w:val="32"/>
      <w:szCs w:val="20"/>
    </w:rPr>
  </w:style>
  <w:style w:type="character" w:customStyle="1" w:styleId="54">
    <w:name w:val="纯文本 字符4"/>
    <w:link w:val="19"/>
    <w:qFormat/>
    <w:uiPriority w:val="0"/>
    <w:rPr>
      <w:rFonts w:ascii="宋体" w:hAnsi="Courier New" w:eastAsia="宋体" w:cs="Courier New"/>
      <w:szCs w:val="21"/>
    </w:rPr>
  </w:style>
  <w:style w:type="character" w:customStyle="1" w:styleId="55">
    <w:name w:val="日期 字符1"/>
    <w:link w:val="20"/>
    <w:qFormat/>
    <w:uiPriority w:val="99"/>
    <w:rPr>
      <w:rFonts w:ascii="Times New Roman" w:hAnsi="Times New Roman"/>
      <w:kern w:val="2"/>
      <w:sz w:val="21"/>
      <w:szCs w:val="24"/>
    </w:rPr>
  </w:style>
  <w:style w:type="character" w:customStyle="1" w:styleId="56">
    <w:name w:val="批注框文本 字符"/>
    <w:link w:val="21"/>
    <w:semiHidden/>
    <w:qFormat/>
    <w:uiPriority w:val="0"/>
    <w:rPr>
      <w:kern w:val="2"/>
      <w:sz w:val="18"/>
      <w:szCs w:val="18"/>
    </w:rPr>
  </w:style>
  <w:style w:type="character" w:customStyle="1" w:styleId="57">
    <w:name w:val="页脚 字符1"/>
    <w:link w:val="22"/>
    <w:qFormat/>
    <w:uiPriority w:val="99"/>
    <w:rPr>
      <w:sz w:val="18"/>
      <w:szCs w:val="18"/>
    </w:rPr>
  </w:style>
  <w:style w:type="character" w:customStyle="1" w:styleId="58">
    <w:name w:val="页眉 字符1"/>
    <w:link w:val="23"/>
    <w:qFormat/>
    <w:uiPriority w:val="99"/>
    <w:rPr>
      <w:sz w:val="18"/>
      <w:szCs w:val="18"/>
    </w:rPr>
  </w:style>
  <w:style w:type="character" w:customStyle="1" w:styleId="59">
    <w:name w:val="批注主题 字符1"/>
    <w:link w:val="30"/>
    <w:qFormat/>
    <w:uiPriority w:val="99"/>
    <w:rPr>
      <w:rFonts w:ascii="Times New Roman" w:hAnsi="Times New Roman"/>
      <w:b/>
      <w:bCs/>
      <w:kern w:val="2"/>
      <w:sz w:val="21"/>
      <w:szCs w:val="24"/>
    </w:rPr>
  </w:style>
  <w:style w:type="paragraph" w:customStyle="1" w:styleId="60">
    <w:name w:val="Normal Indent1"/>
    <w:basedOn w:val="1"/>
    <w:qFormat/>
    <w:uiPriority w:val="0"/>
    <w:pPr>
      <w:ind w:firstLine="420" w:firstLineChars="200"/>
    </w:pPr>
    <w:rPr>
      <w:rFonts w:ascii="Calibri" w:hAnsi="Calibri"/>
    </w:rPr>
  </w:style>
  <w:style w:type="character" w:customStyle="1" w:styleId="61">
    <w:name w:val="纯文本 字符2"/>
    <w:qFormat/>
    <w:uiPriority w:val="0"/>
    <w:rPr>
      <w:rFonts w:ascii="宋体" w:hAnsi="Courier New" w:eastAsia="宋体" w:cs="Courier New"/>
      <w:szCs w:val="21"/>
    </w:rPr>
  </w:style>
  <w:style w:type="character" w:customStyle="1" w:styleId="62">
    <w:name w:val="apple-style-span"/>
    <w:qFormat/>
    <w:uiPriority w:val="0"/>
  </w:style>
  <w:style w:type="character" w:customStyle="1" w:styleId="63">
    <w:name w:val="标题 2 Char"/>
    <w:qFormat/>
    <w:uiPriority w:val="9"/>
    <w:rPr>
      <w:rFonts w:ascii="Cambria" w:hAnsi="Cambria" w:eastAsia="宋体" w:cs="Times New Roman"/>
      <w:b/>
      <w:bCs/>
      <w:kern w:val="2"/>
      <w:sz w:val="32"/>
      <w:szCs w:val="32"/>
    </w:rPr>
  </w:style>
  <w:style w:type="character" w:customStyle="1" w:styleId="64">
    <w:name w:val="纯文本 字符"/>
    <w:qFormat/>
    <w:uiPriority w:val="0"/>
    <w:rPr>
      <w:rFonts w:ascii="宋体" w:hAnsi="Courier New" w:eastAsia="宋体" w:cs="Courier New"/>
      <w:szCs w:val="21"/>
    </w:rPr>
  </w:style>
  <w:style w:type="character" w:customStyle="1" w:styleId="65">
    <w:name w:val="纯文本 字符1"/>
    <w:qFormat/>
    <w:uiPriority w:val="0"/>
    <w:rPr>
      <w:rFonts w:ascii="宋体" w:hAnsi="Courier New"/>
    </w:rPr>
  </w:style>
  <w:style w:type="character" w:customStyle="1" w:styleId="66">
    <w:name w:val="标题 8 Char"/>
    <w:qFormat/>
    <w:uiPriority w:val="0"/>
    <w:rPr>
      <w:rFonts w:ascii="Arial" w:hAnsi="Arial" w:eastAsia="黑体"/>
      <w:kern w:val="2"/>
      <w:sz w:val="24"/>
      <w:szCs w:val="24"/>
    </w:rPr>
  </w:style>
  <w:style w:type="character" w:customStyle="1" w:styleId="67">
    <w:name w:val="纯文本 Char"/>
    <w:qFormat/>
    <w:uiPriority w:val="0"/>
    <w:rPr>
      <w:rFonts w:ascii="宋体" w:hAnsi="Courier New" w:eastAsia="宋体" w:cs="Courier New"/>
      <w:szCs w:val="21"/>
    </w:rPr>
  </w:style>
  <w:style w:type="character" w:customStyle="1" w:styleId="68">
    <w:name w:val="正文文本 Char"/>
    <w:qFormat/>
    <w:uiPriority w:val="0"/>
    <w:rPr>
      <w:rFonts w:ascii="Times New Roman" w:hAnsi="Times New Roman"/>
      <w:kern w:val="2"/>
      <w:sz w:val="21"/>
      <w:szCs w:val="24"/>
    </w:rPr>
  </w:style>
  <w:style w:type="character" w:customStyle="1" w:styleId="69">
    <w:name w:val="批注文字 字符1"/>
    <w:qFormat/>
    <w:uiPriority w:val="0"/>
    <w:rPr>
      <w:rFonts w:ascii="Times New Roman" w:hAnsi="Times New Roman"/>
      <w:kern w:val="2"/>
      <w:sz w:val="21"/>
      <w:szCs w:val="24"/>
    </w:rPr>
  </w:style>
  <w:style w:type="character" w:customStyle="1" w:styleId="70">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1">
    <w:name w:val="标题 1 字符1"/>
    <w:qFormat/>
    <w:uiPriority w:val="0"/>
    <w:rPr>
      <w:b/>
      <w:bCs/>
      <w:kern w:val="44"/>
      <w:sz w:val="44"/>
      <w:szCs w:val="44"/>
    </w:rPr>
  </w:style>
  <w:style w:type="character" w:customStyle="1" w:styleId="72">
    <w:name w:val="正文文本 字符"/>
    <w:qFormat/>
    <w:uiPriority w:val="0"/>
    <w:rPr>
      <w:rFonts w:ascii="Times New Roman" w:hAnsi="Times New Roman"/>
      <w:kern w:val="2"/>
      <w:sz w:val="21"/>
      <w:szCs w:val="24"/>
    </w:rPr>
  </w:style>
  <w:style w:type="character" w:customStyle="1" w:styleId="73">
    <w:name w:val="批注文字 字符"/>
    <w:qFormat/>
    <w:uiPriority w:val="0"/>
    <w:rPr>
      <w:rFonts w:ascii="Times New Roman" w:hAnsi="Times New Roman"/>
      <w:kern w:val="2"/>
      <w:sz w:val="21"/>
      <w:szCs w:val="24"/>
    </w:rPr>
  </w:style>
  <w:style w:type="character" w:customStyle="1" w:styleId="74">
    <w:name w:val="textcontents"/>
    <w:qFormat/>
    <w:uiPriority w:val="0"/>
  </w:style>
  <w:style w:type="character" w:customStyle="1" w:styleId="75">
    <w:name w:val="批注文字 Char"/>
    <w:qFormat/>
    <w:uiPriority w:val="0"/>
    <w:rPr>
      <w:rFonts w:ascii="Times New Roman" w:hAnsi="Times New Roman"/>
      <w:kern w:val="2"/>
      <w:sz w:val="21"/>
      <w:szCs w:val="24"/>
    </w:rPr>
  </w:style>
  <w:style w:type="paragraph" w:customStyle="1" w:styleId="76">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styleId="77">
    <w:name w:val="List Paragraph"/>
    <w:basedOn w:val="1"/>
    <w:qFormat/>
    <w:uiPriority w:val="34"/>
    <w:pPr>
      <w:ind w:firstLine="420" w:firstLineChars="200"/>
    </w:pPr>
  </w:style>
  <w:style w:type="paragraph" w:customStyle="1" w:styleId="78">
    <w:name w:val="默认段落字体 Para Char Char Char Char Char Char Char Char Char1 Char Char Char Char"/>
    <w:basedOn w:val="1"/>
    <w:qFormat/>
    <w:uiPriority w:val="0"/>
    <w:rPr>
      <w:rFonts w:ascii="Tahoma" w:hAnsi="Tahoma"/>
      <w:sz w:val="24"/>
      <w:szCs w:val="20"/>
    </w:rPr>
  </w:style>
  <w:style w:type="paragraph" w:customStyle="1" w:styleId="79">
    <w:name w:val="Table Paragraph"/>
    <w:basedOn w:val="1"/>
    <w:qFormat/>
    <w:uiPriority w:val="1"/>
    <w:pPr>
      <w:jc w:val="left"/>
    </w:pPr>
    <w:rPr>
      <w:rFonts w:ascii="Calibri" w:hAnsi="Calibri"/>
      <w:kern w:val="0"/>
      <w:sz w:val="22"/>
      <w:szCs w:val="22"/>
      <w:lang w:eastAsia="en-US"/>
    </w:rPr>
  </w:style>
  <w:style w:type="paragraph" w:customStyle="1" w:styleId="80">
    <w:name w:val="Char Char Char Char"/>
    <w:basedOn w:val="1"/>
    <w:qFormat/>
    <w:uiPriority w:val="0"/>
    <w:pPr>
      <w:widowControl/>
      <w:spacing w:after="160" w:line="240" w:lineRule="exact"/>
      <w:jc w:val="left"/>
    </w:pPr>
  </w:style>
  <w:style w:type="character" w:customStyle="1" w:styleId="81">
    <w:name w:val="未处理的提及1"/>
    <w:unhideWhenUsed/>
    <w:qFormat/>
    <w:uiPriority w:val="99"/>
    <w:rPr>
      <w:color w:val="605E5C"/>
      <w:shd w:val="clear" w:color="auto" w:fill="E1DFDD"/>
    </w:rPr>
  </w:style>
  <w:style w:type="paragraph" w:customStyle="1" w:styleId="82">
    <w:name w:val="_Style 76"/>
    <w:basedOn w:val="3"/>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83">
    <w:name w:val="正文2 Char Char"/>
    <w:link w:val="84"/>
    <w:qFormat/>
    <w:uiPriority w:val="0"/>
    <w:rPr>
      <w:sz w:val="24"/>
    </w:rPr>
  </w:style>
  <w:style w:type="paragraph" w:customStyle="1" w:styleId="84">
    <w:name w:val="正文2"/>
    <w:basedOn w:val="1"/>
    <w:link w:val="83"/>
    <w:qFormat/>
    <w:uiPriority w:val="0"/>
    <w:pPr>
      <w:adjustRightInd w:val="0"/>
      <w:spacing w:before="156" w:line="360" w:lineRule="auto"/>
      <w:ind w:firstLine="510" w:firstLineChars="200"/>
    </w:pPr>
    <w:rPr>
      <w:kern w:val="0"/>
      <w:sz w:val="24"/>
      <w:szCs w:val="20"/>
    </w:rPr>
  </w:style>
  <w:style w:type="paragraph" w:customStyle="1" w:styleId="85">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86">
    <w:name w:val="正文缩进1"/>
    <w:basedOn w:val="1"/>
    <w:next w:val="15"/>
    <w:qFormat/>
    <w:uiPriority w:val="0"/>
    <w:pPr>
      <w:autoSpaceDE w:val="0"/>
      <w:autoSpaceDN w:val="0"/>
      <w:adjustRightInd w:val="0"/>
      <w:snapToGrid w:val="0"/>
      <w:spacing w:after="120" w:line="360" w:lineRule="auto"/>
      <w:ind w:left="420" w:leftChars="200" w:firstLine="480" w:firstLineChars="200"/>
    </w:pPr>
    <w:rPr>
      <w:sz w:val="24"/>
      <w:szCs w:val="21"/>
    </w:rPr>
  </w:style>
  <w:style w:type="character" w:customStyle="1" w:styleId="87">
    <w:name w:val="标题 1 字符"/>
    <w:qFormat/>
    <w:uiPriority w:val="9"/>
    <w:rPr>
      <w:b/>
      <w:bCs/>
      <w:kern w:val="44"/>
      <w:sz w:val="44"/>
      <w:szCs w:val="44"/>
    </w:rPr>
  </w:style>
  <w:style w:type="character" w:customStyle="1" w:styleId="88">
    <w:name w:val="标题 2 字符"/>
    <w:qFormat/>
    <w:uiPriority w:val="9"/>
    <w:rPr>
      <w:rFonts w:ascii="Cambria" w:hAnsi="Cambria"/>
      <w:b/>
      <w:bCs/>
      <w:kern w:val="2"/>
      <w:sz w:val="32"/>
      <w:szCs w:val="32"/>
    </w:rPr>
  </w:style>
  <w:style w:type="character" w:customStyle="1" w:styleId="89">
    <w:name w:val="标题 3 字符"/>
    <w:qFormat/>
    <w:uiPriority w:val="9"/>
    <w:rPr>
      <w:b/>
      <w:bCs/>
      <w:kern w:val="2"/>
      <w:sz w:val="32"/>
      <w:szCs w:val="32"/>
    </w:rPr>
  </w:style>
  <w:style w:type="character" w:customStyle="1" w:styleId="90">
    <w:name w:val="标题 5 字符"/>
    <w:qFormat/>
    <w:uiPriority w:val="9"/>
    <w:rPr>
      <w:b/>
      <w:bCs/>
      <w:kern w:val="2"/>
      <w:sz w:val="28"/>
      <w:szCs w:val="28"/>
    </w:rPr>
  </w:style>
  <w:style w:type="character" w:customStyle="1" w:styleId="91">
    <w:name w:val="标题 8 字符"/>
    <w:qFormat/>
    <w:uiPriority w:val="9"/>
    <w:rPr>
      <w:rFonts w:ascii="等线 Light" w:hAnsi="等线 Light" w:eastAsia="等线 Light"/>
      <w:kern w:val="2"/>
      <w:sz w:val="24"/>
      <w:szCs w:val="24"/>
    </w:rPr>
  </w:style>
  <w:style w:type="character" w:customStyle="1" w:styleId="92">
    <w:name w:val="批注文字 字符2"/>
    <w:qFormat/>
    <w:uiPriority w:val="0"/>
    <w:rPr>
      <w:kern w:val="2"/>
      <w:sz w:val="21"/>
      <w:szCs w:val="24"/>
    </w:rPr>
  </w:style>
  <w:style w:type="character" w:customStyle="1" w:styleId="93">
    <w:name w:val="正文文本 3 字符"/>
    <w:qFormat/>
    <w:uiPriority w:val="99"/>
    <w:rPr>
      <w:kern w:val="2"/>
      <w:sz w:val="16"/>
      <w:szCs w:val="16"/>
    </w:rPr>
  </w:style>
  <w:style w:type="character" w:customStyle="1" w:styleId="94">
    <w:name w:val="正文文本 字符1"/>
    <w:qFormat/>
    <w:uiPriority w:val="0"/>
    <w:rPr>
      <w:kern w:val="2"/>
      <w:sz w:val="21"/>
      <w:szCs w:val="24"/>
    </w:rPr>
  </w:style>
  <w:style w:type="character" w:customStyle="1" w:styleId="95">
    <w:name w:val="正文文本缩进 字符"/>
    <w:qFormat/>
    <w:uiPriority w:val="0"/>
    <w:rPr>
      <w:rFonts w:ascii="仿宋_GB2312" w:eastAsia="仿宋_GB2312"/>
      <w:sz w:val="32"/>
    </w:rPr>
  </w:style>
  <w:style w:type="character" w:customStyle="1" w:styleId="96">
    <w:name w:val="纯文本 字符3"/>
    <w:qFormat/>
    <w:uiPriority w:val="0"/>
    <w:rPr>
      <w:rFonts w:ascii="宋体" w:hAnsi="Courier New"/>
      <w:szCs w:val="21"/>
    </w:rPr>
  </w:style>
  <w:style w:type="character" w:customStyle="1" w:styleId="97">
    <w:name w:val="日期 字符"/>
    <w:qFormat/>
    <w:uiPriority w:val="99"/>
    <w:rPr>
      <w:kern w:val="2"/>
      <w:sz w:val="21"/>
      <w:szCs w:val="24"/>
    </w:rPr>
  </w:style>
  <w:style w:type="character" w:customStyle="1" w:styleId="98">
    <w:name w:val="页脚 字符"/>
    <w:qFormat/>
    <w:uiPriority w:val="99"/>
    <w:rPr>
      <w:sz w:val="18"/>
      <w:szCs w:val="18"/>
    </w:rPr>
  </w:style>
  <w:style w:type="character" w:customStyle="1" w:styleId="99">
    <w:name w:val="页眉 字符"/>
    <w:qFormat/>
    <w:uiPriority w:val="99"/>
    <w:rPr>
      <w:sz w:val="18"/>
      <w:szCs w:val="18"/>
    </w:rPr>
  </w:style>
  <w:style w:type="character" w:customStyle="1" w:styleId="100">
    <w:name w:val="批注主题 字符"/>
    <w:qFormat/>
    <w:uiPriority w:val="99"/>
    <w:rPr>
      <w:rFonts w:ascii="Times New Roman" w:hAnsi="Times New Roman"/>
      <w:b/>
      <w:bCs/>
      <w:kern w:val="2"/>
      <w:sz w:val="21"/>
      <w:szCs w:val="24"/>
    </w:rPr>
  </w:style>
  <w:style w:type="paragraph" w:customStyle="1" w:styleId="101">
    <w:name w:val="_Style 94"/>
    <w:basedOn w:val="1"/>
    <w:unhideWhenUsed/>
    <w:qFormat/>
    <w:uiPriority w:val="99"/>
  </w:style>
  <w:style w:type="paragraph" w:customStyle="1" w:styleId="102">
    <w:name w:val="_Style 95"/>
    <w:basedOn w:val="1"/>
    <w:unhideWhenUsed/>
    <w:qFormat/>
    <w:uiPriority w:val="99"/>
  </w:style>
  <w:style w:type="character" w:customStyle="1" w:styleId="103">
    <w:name w:val="批注框文本 Char"/>
    <w:semiHidden/>
    <w:qFormat/>
    <w:uiPriority w:val="0"/>
    <w:rPr>
      <w:kern w:val="2"/>
      <w:sz w:val="18"/>
      <w:szCs w:val="18"/>
    </w:rPr>
  </w:style>
  <w:style w:type="paragraph" w:customStyle="1" w:styleId="104">
    <w:name w:val="列出段落1"/>
    <w:basedOn w:val="1"/>
    <w:qFormat/>
    <w:uiPriority w:val="34"/>
    <w:pPr>
      <w:ind w:firstLine="420" w:firstLineChars="200"/>
    </w:pPr>
  </w:style>
  <w:style w:type="paragraph" w:customStyle="1" w:styleId="105">
    <w:name w:val="TOC 标题1"/>
    <w:basedOn w:val="3"/>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06">
    <w:name w:val="BodyText"/>
    <w:basedOn w:val="1"/>
    <w:qFormat/>
    <w:uiPriority w:val="99"/>
    <w:pPr>
      <w:spacing w:after="120"/>
    </w:pPr>
    <w:rPr>
      <w:kern w:val="0"/>
      <w:sz w:val="20"/>
    </w:rPr>
  </w:style>
  <w:style w:type="paragraph" w:customStyle="1" w:styleId="107">
    <w:name w:val="Body text|1"/>
    <w:basedOn w:val="1"/>
    <w:qFormat/>
    <w:uiPriority w:val="0"/>
    <w:pPr>
      <w:spacing w:line="437" w:lineRule="auto"/>
      <w:ind w:firstLine="400"/>
    </w:pPr>
    <w:rPr>
      <w:rFonts w:ascii="宋体" w:hAnsi="宋体" w:cs="宋体"/>
      <w:sz w:val="28"/>
      <w:szCs w:val="28"/>
      <w:lang w:val="zh-TW" w:eastAsia="zh-TW" w:bidi="zh-TW"/>
    </w:rPr>
  </w:style>
  <w:style w:type="paragraph" w:customStyle="1" w:styleId="108">
    <w:name w:val="Revision"/>
    <w:hidden/>
    <w:unhideWhenUsed/>
    <w:qFormat/>
    <w:uiPriority w:val="99"/>
    <w:rPr>
      <w:rFonts w:ascii="Times New Roman" w:hAnsi="Times New Roman" w:eastAsia="宋体" w:cs="Times New Roman"/>
      <w:kern w:val="2"/>
      <w:sz w:val="21"/>
      <w:szCs w:val="24"/>
      <w:lang w:val="en-US" w:eastAsia="zh-CN" w:bidi="ar-SA"/>
    </w:rPr>
  </w:style>
  <w:style w:type="paragraph" w:customStyle="1" w:styleId="109">
    <w:name w:val="TOC 标题2"/>
    <w:next w:val="1"/>
    <w:qFormat/>
    <w:uiPriority w:val="99"/>
    <w:pPr>
      <w:wordWrap w:val="0"/>
    </w:pPr>
    <w:rPr>
      <w:rFonts w:ascii="Calibri" w:hAnsi="Calibri" w:eastAsia="宋体" w:cs="Times New Roman"/>
      <w:sz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广西云龙招标有限公司</Company>
  <Pages>82</Pages>
  <Words>10628</Words>
  <Characters>12027</Characters>
  <Lines>343</Lines>
  <Paragraphs>96</Paragraphs>
  <TotalTime>51</TotalTime>
  <ScaleCrop>false</ScaleCrop>
  <LinksUpToDate>false</LinksUpToDate>
  <CharactersWithSpaces>12103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2021-08-20T12:20:00Z</dcterms:created>
  <dc:creator>唐冰</dc:creator>
  <cp:lastModifiedBy>Zzz</cp:lastModifiedBy>
  <cp:lastPrinted>2026-03-24T03:38:00Z</cp:lastPrinted>
  <dcterms:modified xsi:type="dcterms:W3CDTF">2026-08-17T03:43:53Z</dcterms:modified>
  <dc:title>竞争性谈判文件规范</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AE202471744B4D428A8B54023024BF06_13</vt:lpwstr>
  </property>
  <property fmtid="{D5CDD505-2E9C-101B-9397-08002B2CF9AE}" pid="4" name="KSOTemplateDocerSaveRecord">
    <vt:lpwstr>eyJoZGlkIjoiNjJkNWYzNzcwZTcwYmRmZTJjODJkY2IzZGE2MjQzZWUiLCJ1c2VySWQiOiI1MDc1OTgxODAifQ==</vt:lpwstr>
  </property>
</Properties>
</file>