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67916">
      <w:pPr>
        <w:spacing w:line="500" w:lineRule="exact"/>
        <w:jc w:val="center"/>
        <w:rPr>
          <w:rFonts w:hint="eastAsia" w:ascii="仿宋" w:hAnsi="仿宋" w:eastAsia="仿宋" w:cs="仿宋"/>
          <w:b/>
          <w:bCs/>
          <w:color w:val="auto"/>
          <w:kern w:val="0"/>
          <w:sz w:val="30"/>
          <w:szCs w:val="30"/>
          <w:highlight w:val="none"/>
        </w:rPr>
      </w:pPr>
      <w:r>
        <w:rPr>
          <w:rFonts w:hint="eastAsia" w:ascii="仿宋" w:hAnsi="仿宋" w:eastAsia="仿宋" w:cs="仿宋"/>
          <w:b/>
          <w:bCs/>
          <w:color w:val="auto"/>
          <w:kern w:val="0"/>
          <w:sz w:val="30"/>
          <w:szCs w:val="30"/>
          <w:highlight w:val="none"/>
        </w:rPr>
        <w:t>响应函</w:t>
      </w:r>
    </w:p>
    <w:p w14:paraId="1FCFF2F9">
      <w:pPr>
        <w:spacing w:line="500" w:lineRule="exact"/>
        <w:rPr>
          <w:rFonts w:hint="eastAsia" w:ascii="仿宋" w:hAnsi="仿宋" w:eastAsia="仿宋" w:cs="仿宋"/>
          <w:color w:val="auto"/>
          <w:kern w:val="0"/>
          <w:sz w:val="32"/>
          <w:szCs w:val="21"/>
          <w:highlight w:val="none"/>
        </w:rPr>
      </w:pPr>
    </w:p>
    <w:p w14:paraId="07A8F3DB">
      <w:pPr>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致：</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（采购代理机构名称）</w:t>
      </w:r>
    </w:p>
    <w:p w14:paraId="779FD147">
      <w:pPr>
        <w:spacing w:line="400" w:lineRule="exact"/>
        <w:ind w:firstLine="480" w:firstLineChars="200"/>
        <w:rPr>
          <w:rFonts w:hint="eastAsia" w:ascii="仿宋" w:hAnsi="仿宋" w:eastAsia="仿宋" w:cs="仿宋"/>
          <w:color w:val="auto"/>
          <w:kern w:val="0"/>
          <w:sz w:val="24"/>
          <w:highlight w:val="none"/>
        </w:rPr>
      </w:pPr>
    </w:p>
    <w:p w14:paraId="492C7DE3">
      <w:pPr>
        <w:spacing w:line="40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我方已仔细阅读了贵方组织的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项目（项目编号：</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）的竞争性磋商采购文件的全部内容，现正式递交下述文件参加贵方组织的本次政府采购活动： </w:t>
      </w:r>
    </w:p>
    <w:p w14:paraId="4AE65949">
      <w:pPr>
        <w:spacing w:line="40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一、首次报价文件电子版</w:t>
      </w:r>
      <w:r>
        <w:rPr>
          <w:rFonts w:hint="eastAsia" w:ascii="仿宋" w:hAnsi="仿宋" w:eastAsia="仿宋" w:cs="仿宋"/>
          <w:color w:val="auto"/>
          <w:kern w:val="0"/>
          <w:sz w:val="24"/>
          <w:highlight w:val="none"/>
          <w:u w:val="single"/>
        </w:rPr>
        <w:t xml:space="preserve">  1 </w:t>
      </w:r>
      <w:r>
        <w:rPr>
          <w:rFonts w:hint="eastAsia" w:ascii="仿宋" w:hAnsi="仿宋" w:eastAsia="仿宋" w:cs="仿宋"/>
          <w:color w:val="auto"/>
          <w:kern w:val="0"/>
          <w:sz w:val="24"/>
          <w:highlight w:val="none"/>
        </w:rPr>
        <w:t>份（包含按“第三章 供应商须知”提交的全部文件）；</w:t>
      </w:r>
    </w:p>
    <w:p w14:paraId="01FC2DF9">
      <w:pPr>
        <w:spacing w:line="40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二、商务技术文件电子版</w:t>
      </w:r>
      <w:r>
        <w:rPr>
          <w:rFonts w:hint="eastAsia" w:ascii="仿宋" w:hAnsi="仿宋" w:eastAsia="仿宋" w:cs="仿宋"/>
          <w:color w:val="auto"/>
          <w:kern w:val="0"/>
          <w:sz w:val="24"/>
          <w:highlight w:val="none"/>
          <w:u w:val="single"/>
        </w:rPr>
        <w:t xml:space="preserve">  1 </w:t>
      </w:r>
      <w:r>
        <w:rPr>
          <w:rFonts w:hint="eastAsia" w:ascii="仿宋" w:hAnsi="仿宋" w:eastAsia="仿宋" w:cs="仿宋"/>
          <w:color w:val="auto"/>
          <w:kern w:val="0"/>
          <w:sz w:val="24"/>
          <w:highlight w:val="none"/>
        </w:rPr>
        <w:t>份（包含按“第三章 供应商须知”提交的全部文件）；</w:t>
      </w:r>
    </w:p>
    <w:p w14:paraId="427C64E0">
      <w:pPr>
        <w:spacing w:line="400" w:lineRule="exact"/>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据此函，签字人兹宣布：</w:t>
      </w:r>
    </w:p>
    <w:p w14:paraId="3936C0CA">
      <w:pPr>
        <w:spacing w:line="400" w:lineRule="exact"/>
        <w:ind w:firstLine="482"/>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1、我方愿意以（大写）</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eastAsia="zh-CN"/>
        </w:rPr>
        <w:t>小写</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的竞标报价，提供服务期：</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，提供本项目竞争性磋商采购文件第二章“服务需求一览表”中相应的采购内容。</w:t>
      </w:r>
    </w:p>
    <w:p w14:paraId="048EE6F2">
      <w:pPr>
        <w:spacing w:line="400" w:lineRule="exact"/>
        <w:ind w:firstLine="482"/>
        <w:rPr>
          <w:rFonts w:hint="eastAsia" w:ascii="仿宋" w:hAnsi="仿宋" w:eastAsia="仿宋" w:cs="仿宋"/>
          <w:color w:val="auto"/>
          <w:kern w:val="0"/>
          <w:sz w:val="24"/>
          <w:highlight w:val="none"/>
          <w:u w:val="none"/>
          <w:lang w:val="en-US" w:eastAsia="zh-CN"/>
        </w:rPr>
      </w:pPr>
      <w:r>
        <w:rPr>
          <w:rFonts w:hint="eastAsia" w:ascii="仿宋" w:hAnsi="仿宋" w:eastAsia="仿宋" w:cs="仿宋"/>
          <w:color w:val="auto"/>
          <w:kern w:val="0"/>
          <w:sz w:val="24"/>
          <w:highlight w:val="none"/>
        </w:rPr>
        <w:t>2、我方同意自本项目竞争性磋商采购文件采购公告规定的递交响应文件截止时间起遵循本响应函，并承诺在“第三章 供应商须知”规定的响应有效期内不修改、撤销响应文件。</w:t>
      </w:r>
      <w:r>
        <w:rPr>
          <w:rFonts w:hint="eastAsia" w:ascii="仿宋" w:hAnsi="仿宋" w:eastAsia="仿宋" w:cs="仿宋"/>
          <w:color w:val="auto"/>
          <w:kern w:val="0"/>
          <w:sz w:val="24"/>
          <w:highlight w:val="none"/>
          <w:lang w:val="en-US" w:eastAsia="zh-CN"/>
        </w:rPr>
        <w:t>投标有效期：</w:t>
      </w:r>
      <w:r>
        <w:rPr>
          <w:rFonts w:hint="eastAsia" w:ascii="仿宋" w:hAnsi="仿宋" w:eastAsia="仿宋" w:cs="仿宋"/>
          <w:color w:val="auto"/>
          <w:kern w:val="0"/>
          <w:sz w:val="24"/>
          <w:highlight w:val="none"/>
          <w:u w:val="single"/>
          <w:lang w:val="en-US" w:eastAsia="zh-CN"/>
        </w:rPr>
        <w:t xml:space="preserve">                </w:t>
      </w:r>
    </w:p>
    <w:p w14:paraId="793E720E">
      <w:pPr>
        <w:spacing w:line="400" w:lineRule="exact"/>
        <w:ind w:firstLine="482"/>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3、我方在此声明，所递交的响应文件及有关资料内容完整、真实和准确。</w:t>
      </w:r>
    </w:p>
    <w:p w14:paraId="6BAA805D">
      <w:pPr>
        <w:spacing w:line="400" w:lineRule="exact"/>
        <w:ind w:firstLine="482"/>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4、如本项目采购内容涉及须符合国家强制规定的，我方承诺我方本次竞标均符合国家有关强制规定。</w:t>
      </w:r>
    </w:p>
    <w:p w14:paraId="070B649A">
      <w:pPr>
        <w:spacing w:line="400" w:lineRule="exact"/>
        <w:ind w:firstLine="482"/>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5、我方承诺未被列入失信被执行人、重大税收违法案件当事人名单、政府采购严重违法失信行为记录名单，并已经具备《中华人民共和国政府采购法》中规定的参加政府采购活动的供应商应当具备的条件：</w:t>
      </w:r>
    </w:p>
    <w:p w14:paraId="5B1F2250">
      <w:pPr>
        <w:numPr>
          <w:ilvl w:val="0"/>
          <w:numId w:val="1"/>
        </w:numPr>
        <w:tabs>
          <w:tab w:val="left" w:pos="945"/>
        </w:tabs>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具有独立承担民事责任的能力；</w:t>
      </w:r>
    </w:p>
    <w:p w14:paraId="54744402">
      <w:pPr>
        <w:numPr>
          <w:ilvl w:val="0"/>
          <w:numId w:val="1"/>
        </w:numPr>
        <w:tabs>
          <w:tab w:val="left" w:pos="945"/>
        </w:tabs>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具有良好的商业信誉和健全的财务会计制度；</w:t>
      </w:r>
    </w:p>
    <w:p w14:paraId="0B61DE9E">
      <w:pPr>
        <w:numPr>
          <w:ilvl w:val="0"/>
          <w:numId w:val="1"/>
        </w:numPr>
        <w:tabs>
          <w:tab w:val="left" w:pos="945"/>
        </w:tabs>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具有履行合同所必需的设备和专业技术能力；</w:t>
      </w:r>
    </w:p>
    <w:p w14:paraId="44A5F75D">
      <w:pPr>
        <w:numPr>
          <w:ilvl w:val="0"/>
          <w:numId w:val="1"/>
        </w:numPr>
        <w:tabs>
          <w:tab w:val="left" w:pos="945"/>
        </w:tabs>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有依法缴纳税收和社会保障资金的良好记录；</w:t>
      </w:r>
    </w:p>
    <w:p w14:paraId="2E0F8BD2">
      <w:pPr>
        <w:numPr>
          <w:ilvl w:val="0"/>
          <w:numId w:val="1"/>
        </w:numPr>
        <w:tabs>
          <w:tab w:val="left" w:pos="945"/>
        </w:tabs>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参加政府采购活动前三年内，在经营活动中没有重大违法记录；</w:t>
      </w:r>
    </w:p>
    <w:p w14:paraId="2573B362">
      <w:pPr>
        <w:numPr>
          <w:ilvl w:val="0"/>
          <w:numId w:val="1"/>
        </w:numPr>
        <w:tabs>
          <w:tab w:val="left" w:pos="945"/>
        </w:tabs>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法律、行政法规规定的其他条件。</w:t>
      </w:r>
    </w:p>
    <w:p w14:paraId="62B58400">
      <w:pPr>
        <w:spacing w:line="400" w:lineRule="exact"/>
        <w:ind w:firstLine="482"/>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6895E630">
      <w:pPr>
        <w:spacing w:line="400" w:lineRule="exact"/>
        <w:ind w:firstLine="482"/>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7、我方已详细审核竞争性磋商采购文件，我方知道必须放弃提出含糊不清或误解问题的权利。</w:t>
      </w:r>
    </w:p>
    <w:p w14:paraId="59ACB8BF">
      <w:pPr>
        <w:spacing w:line="400" w:lineRule="exact"/>
        <w:ind w:firstLine="482"/>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8、我方承诺满足竞争性磋商采购文件第六章“合同文本”的条款，承担完成合同的责任和义务。</w:t>
      </w:r>
    </w:p>
    <w:p w14:paraId="52385426">
      <w:pPr>
        <w:spacing w:line="400" w:lineRule="exact"/>
        <w:ind w:firstLine="482"/>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9、我方同意应贵方要求提供与本竞标有关的任何数据或资料。若贵方需要，我方愿意提供我方作出的一切承诺的证明材料。</w:t>
      </w:r>
    </w:p>
    <w:p w14:paraId="56010AB3">
      <w:pPr>
        <w:spacing w:line="400" w:lineRule="exact"/>
        <w:ind w:firstLine="482"/>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10、我方完全理解贵方不一定接受响应报价最低的竞标人为成交供应商的行为。</w:t>
      </w:r>
    </w:p>
    <w:p w14:paraId="01044727">
      <w:pPr>
        <w:spacing w:line="400" w:lineRule="exact"/>
        <w:ind w:firstLine="482"/>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11、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C2A59A5">
      <w:pPr>
        <w:numPr>
          <w:ilvl w:val="0"/>
          <w:numId w:val="2"/>
        </w:numPr>
        <w:tabs>
          <w:tab w:val="left" w:pos="945"/>
        </w:tabs>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提供虚假材料谋取中标、成交的；</w:t>
      </w:r>
    </w:p>
    <w:p w14:paraId="1FBDC472">
      <w:pPr>
        <w:numPr>
          <w:ilvl w:val="0"/>
          <w:numId w:val="2"/>
        </w:numPr>
        <w:tabs>
          <w:tab w:val="left" w:pos="945"/>
        </w:tabs>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采取不正当手段诋毁、排挤其他供应商的；</w:t>
      </w:r>
    </w:p>
    <w:p w14:paraId="4E25FC8D">
      <w:pPr>
        <w:numPr>
          <w:ilvl w:val="0"/>
          <w:numId w:val="2"/>
        </w:numPr>
        <w:tabs>
          <w:tab w:val="left" w:pos="945"/>
        </w:tabs>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与采购人、其他供应商或者采购代理机构恶意串通的；</w:t>
      </w:r>
    </w:p>
    <w:p w14:paraId="22569916">
      <w:pPr>
        <w:numPr>
          <w:ilvl w:val="0"/>
          <w:numId w:val="2"/>
        </w:numPr>
        <w:tabs>
          <w:tab w:val="left" w:pos="945"/>
        </w:tabs>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向采购人、采购代理机构行贿或者提供其他不正当利益的；</w:t>
      </w:r>
    </w:p>
    <w:p w14:paraId="6F3B9357">
      <w:pPr>
        <w:numPr>
          <w:ilvl w:val="0"/>
          <w:numId w:val="2"/>
        </w:numPr>
        <w:tabs>
          <w:tab w:val="left" w:pos="945"/>
        </w:tabs>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在采购过程中与采购人进行协商谈判的；</w:t>
      </w:r>
    </w:p>
    <w:p w14:paraId="5B907334">
      <w:pPr>
        <w:numPr>
          <w:ilvl w:val="0"/>
          <w:numId w:val="2"/>
        </w:numPr>
        <w:tabs>
          <w:tab w:val="left" w:pos="945"/>
        </w:tabs>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拒绝有关部门监督检查或提供虚假情况的。</w:t>
      </w:r>
    </w:p>
    <w:p w14:paraId="4FA082CF">
      <w:pPr>
        <w:spacing w:line="400" w:lineRule="exact"/>
        <w:ind w:firstLine="42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12.与本磋商有关的一切正式往来信函请寄：</w:t>
      </w:r>
    </w:p>
    <w:p w14:paraId="5BC70EC6">
      <w:pPr>
        <w:spacing w:line="400" w:lineRule="exact"/>
        <w:ind w:firstLine="42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地址：</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w:t>
      </w:r>
    </w:p>
    <w:p w14:paraId="7E8E9805">
      <w:pPr>
        <w:spacing w:line="400" w:lineRule="exact"/>
        <w:ind w:firstLine="42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电话：</w:t>
      </w:r>
      <w:r>
        <w:rPr>
          <w:rFonts w:hint="eastAsia" w:ascii="仿宋" w:hAnsi="仿宋" w:eastAsia="仿宋" w:cs="仿宋"/>
          <w:color w:val="auto"/>
          <w:kern w:val="0"/>
          <w:sz w:val="24"/>
          <w:highlight w:val="none"/>
          <w:u w:val="single"/>
        </w:rPr>
        <w:t xml:space="preserve">                                      　　　　　　　　　</w:t>
      </w:r>
    </w:p>
    <w:p w14:paraId="3F6AECB4">
      <w:pPr>
        <w:spacing w:line="400" w:lineRule="exact"/>
        <w:ind w:firstLine="42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传真：</w:t>
      </w:r>
      <w:r>
        <w:rPr>
          <w:rFonts w:hint="eastAsia" w:ascii="仿宋" w:hAnsi="仿宋" w:eastAsia="仿宋" w:cs="仿宋"/>
          <w:color w:val="auto"/>
          <w:kern w:val="0"/>
          <w:sz w:val="24"/>
          <w:highlight w:val="none"/>
          <w:u w:val="single"/>
        </w:rPr>
        <w:t>　　　　　　　　　　　　　　　　　　　　　　　　　　　　</w:t>
      </w:r>
    </w:p>
    <w:p w14:paraId="04079D05">
      <w:pPr>
        <w:spacing w:line="400" w:lineRule="exact"/>
        <w:ind w:firstLine="42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邮政编码：</w:t>
      </w:r>
      <w:r>
        <w:rPr>
          <w:rFonts w:hint="eastAsia" w:ascii="仿宋" w:hAnsi="仿宋" w:eastAsia="仿宋" w:cs="仿宋"/>
          <w:color w:val="auto"/>
          <w:kern w:val="0"/>
          <w:sz w:val="24"/>
          <w:highlight w:val="none"/>
          <w:u w:val="single"/>
        </w:rPr>
        <w:t xml:space="preserve">                                                    </w:t>
      </w:r>
    </w:p>
    <w:p w14:paraId="331F8450">
      <w:pPr>
        <w:spacing w:line="400" w:lineRule="exact"/>
        <w:ind w:firstLine="42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开户名称：</w:t>
      </w:r>
      <w:r>
        <w:rPr>
          <w:rFonts w:hint="eastAsia" w:ascii="仿宋" w:hAnsi="仿宋" w:eastAsia="仿宋" w:cs="仿宋"/>
          <w:color w:val="auto"/>
          <w:kern w:val="0"/>
          <w:sz w:val="24"/>
          <w:highlight w:val="none"/>
          <w:u w:val="single"/>
        </w:rPr>
        <w:t xml:space="preserve">                                                    </w:t>
      </w:r>
    </w:p>
    <w:p w14:paraId="5B23AD14">
      <w:pPr>
        <w:spacing w:line="400" w:lineRule="exact"/>
        <w:ind w:firstLine="42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开户银行：</w:t>
      </w:r>
      <w:r>
        <w:rPr>
          <w:rFonts w:hint="eastAsia" w:ascii="仿宋" w:hAnsi="仿宋" w:eastAsia="仿宋" w:cs="仿宋"/>
          <w:color w:val="auto"/>
          <w:kern w:val="0"/>
          <w:sz w:val="24"/>
          <w:highlight w:val="none"/>
          <w:u w:val="single"/>
        </w:rPr>
        <w:t xml:space="preserve">                                                    </w:t>
      </w:r>
    </w:p>
    <w:p w14:paraId="02B3C511">
      <w:pPr>
        <w:spacing w:line="400" w:lineRule="exact"/>
        <w:ind w:firstLine="42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银行账号：</w:t>
      </w:r>
      <w:r>
        <w:rPr>
          <w:rFonts w:hint="eastAsia" w:ascii="仿宋" w:hAnsi="仿宋" w:eastAsia="仿宋" w:cs="仿宋"/>
          <w:color w:val="auto"/>
          <w:kern w:val="0"/>
          <w:sz w:val="24"/>
          <w:highlight w:val="none"/>
          <w:u w:val="single"/>
        </w:rPr>
        <w:t xml:space="preserve">                                                    </w:t>
      </w:r>
    </w:p>
    <w:p w14:paraId="459BC6C3">
      <w:pPr>
        <w:tabs>
          <w:tab w:val="left" w:pos="939"/>
        </w:tabs>
        <w:spacing w:line="400" w:lineRule="exact"/>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特此承诺。</w:t>
      </w:r>
    </w:p>
    <w:p w14:paraId="0424F96B">
      <w:pPr>
        <w:spacing w:line="360" w:lineRule="auto"/>
        <w:contextualSpacing/>
        <w:jc w:val="left"/>
        <w:rPr>
          <w:rFonts w:hint="eastAsia" w:ascii="仿宋" w:hAnsi="仿宋" w:eastAsia="仿宋" w:cs="仿宋"/>
          <w:color w:val="auto"/>
          <w:sz w:val="24"/>
          <w:highlight w:val="none"/>
        </w:rPr>
      </w:pPr>
    </w:p>
    <w:p w14:paraId="1981286F">
      <w:pPr>
        <w:autoSpaceDE w:val="0"/>
        <w:autoSpaceDN w:val="0"/>
        <w:spacing w:line="360" w:lineRule="auto"/>
        <w:ind w:left="4335" w:leftChars="1950" w:hanging="240" w:hangingChars="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0AF8E466">
      <w:pPr>
        <w:autoSpaceDE w:val="0"/>
        <w:autoSpaceDN w:val="0"/>
        <w:spacing w:line="360" w:lineRule="auto"/>
        <w:ind w:firstLine="6480" w:firstLineChars="27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095EC7C4">
      <w:pPr>
        <w:autoSpaceDE w:val="0"/>
        <w:autoSpaceDN w:val="0"/>
        <w:spacing w:line="360" w:lineRule="auto"/>
        <w:ind w:firstLine="6480" w:firstLineChars="2700"/>
        <w:rPr>
          <w:rFonts w:hint="eastAsia" w:ascii="仿宋" w:hAnsi="仿宋" w:eastAsia="仿宋" w:cs="仿宋"/>
          <w:color w:val="auto"/>
          <w:kern w:val="0"/>
          <w:sz w:val="24"/>
          <w:highlight w:val="none"/>
          <w:lang w:val="zh-CN"/>
        </w:rPr>
      </w:pPr>
    </w:p>
    <w:p w14:paraId="14227236">
      <w:pPr>
        <w:autoSpaceDE w:val="0"/>
        <w:autoSpaceDN w:val="0"/>
        <w:spacing w:line="360" w:lineRule="auto"/>
        <w:ind w:firstLine="6480" w:firstLineChars="2700"/>
        <w:rPr>
          <w:rFonts w:hint="eastAsia" w:ascii="仿宋" w:hAnsi="仿宋" w:eastAsia="仿宋" w:cs="仿宋"/>
          <w:color w:val="auto"/>
          <w:kern w:val="0"/>
          <w:sz w:val="24"/>
          <w:highlight w:val="none"/>
          <w:lang w:val="zh-CN"/>
        </w:rPr>
      </w:pPr>
    </w:p>
    <w:p w14:paraId="08844A74">
      <w:pPr>
        <w:spacing w:line="520" w:lineRule="exact"/>
        <w:ind w:firstLine="643" w:firstLineChars="200"/>
        <w:rPr>
          <w:rFonts w:hint="eastAsia" w:ascii="仿宋" w:hAnsi="仿宋" w:eastAsia="仿宋" w:cs="仿宋"/>
          <w:b/>
          <w:bCs/>
          <w:color w:val="auto"/>
          <w:sz w:val="32"/>
          <w:szCs w:val="32"/>
          <w:highlight w:val="none"/>
        </w:rPr>
        <w:sectPr>
          <w:pgSz w:w="11910" w:h="16840"/>
          <w:pgMar w:top="1340" w:right="1500" w:bottom="280" w:left="1680" w:header="720" w:footer="720" w:gutter="0"/>
          <w:cols w:space="720" w:num="1"/>
        </w:sectPr>
      </w:pPr>
    </w:p>
    <w:p w14:paraId="5628E688">
      <w:pPr>
        <w:spacing w:line="520" w:lineRule="exact"/>
        <w:ind w:firstLine="643"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二、响应报价表</w:t>
      </w:r>
    </w:p>
    <w:p w14:paraId="7A20D78E">
      <w:pPr>
        <w:snapToGrid w:val="0"/>
        <w:spacing w:before="50" w:after="50" w:line="360" w:lineRule="auto"/>
        <w:rPr>
          <w:rFonts w:hint="eastAsia" w:ascii="仿宋" w:hAnsi="仿宋" w:eastAsia="仿宋" w:cs="仿宋"/>
          <w:color w:val="auto"/>
          <w:sz w:val="24"/>
          <w:highlight w:val="none"/>
        </w:rPr>
      </w:pPr>
    </w:p>
    <w:p w14:paraId="58FA4EDB">
      <w:pPr>
        <w:snapToGrid w:val="0"/>
        <w:spacing w:before="50" w:after="50"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3682"/>
        <w:gridCol w:w="3950"/>
        <w:gridCol w:w="1000"/>
      </w:tblGrid>
      <w:tr w14:paraId="7C53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71" w:type="dxa"/>
            <w:tcBorders>
              <w:top w:val="single" w:color="auto" w:sz="4" w:space="0"/>
              <w:left w:val="single" w:color="auto" w:sz="4" w:space="0"/>
              <w:bottom w:val="single" w:color="auto" w:sz="4" w:space="0"/>
              <w:right w:val="single" w:color="auto" w:sz="4" w:space="0"/>
            </w:tcBorders>
            <w:vAlign w:val="center"/>
          </w:tcPr>
          <w:p w14:paraId="15B01388">
            <w:pPr>
              <w:snapToGrid w:val="0"/>
              <w:jc w:val="center"/>
              <w:rPr>
                <w:rFonts w:hint="eastAsia" w:ascii="仿宋" w:hAnsi="仿宋" w:eastAsia="仿宋" w:cs="仿宋"/>
                <w:b/>
                <w:color w:val="auto"/>
                <w:szCs w:val="30"/>
                <w:highlight w:val="none"/>
              </w:rPr>
            </w:pPr>
            <w:r>
              <w:rPr>
                <w:rFonts w:hint="eastAsia" w:ascii="仿宋" w:hAnsi="仿宋" w:eastAsia="仿宋" w:cs="仿宋"/>
                <w:b/>
                <w:color w:val="auto"/>
                <w:szCs w:val="30"/>
                <w:highlight w:val="none"/>
              </w:rPr>
              <w:t>项号</w:t>
            </w:r>
          </w:p>
        </w:tc>
        <w:tc>
          <w:tcPr>
            <w:tcW w:w="3682" w:type="dxa"/>
            <w:tcBorders>
              <w:top w:val="single" w:color="auto" w:sz="4" w:space="0"/>
              <w:left w:val="single" w:color="auto" w:sz="4" w:space="0"/>
              <w:bottom w:val="single" w:color="auto" w:sz="4" w:space="0"/>
              <w:right w:val="single" w:color="auto" w:sz="4" w:space="0"/>
            </w:tcBorders>
            <w:vAlign w:val="center"/>
          </w:tcPr>
          <w:p w14:paraId="1EEA186F">
            <w:pPr>
              <w:snapToGrid w:val="0"/>
              <w:jc w:val="center"/>
              <w:rPr>
                <w:rFonts w:hint="eastAsia" w:ascii="仿宋" w:hAnsi="仿宋" w:eastAsia="仿宋" w:cs="仿宋"/>
                <w:b/>
                <w:color w:val="auto"/>
                <w:szCs w:val="30"/>
                <w:highlight w:val="none"/>
              </w:rPr>
            </w:pPr>
            <w:r>
              <w:rPr>
                <w:rFonts w:hint="eastAsia" w:ascii="仿宋" w:hAnsi="仿宋" w:eastAsia="仿宋" w:cs="仿宋"/>
                <w:b/>
                <w:color w:val="auto"/>
                <w:szCs w:val="30"/>
                <w:highlight w:val="none"/>
              </w:rPr>
              <w:t>服务名称</w:t>
            </w:r>
          </w:p>
        </w:tc>
        <w:tc>
          <w:tcPr>
            <w:tcW w:w="3950" w:type="dxa"/>
            <w:tcBorders>
              <w:top w:val="single" w:color="auto" w:sz="4" w:space="0"/>
              <w:left w:val="single" w:color="auto" w:sz="4" w:space="0"/>
              <w:bottom w:val="single" w:color="auto" w:sz="4" w:space="0"/>
              <w:right w:val="single" w:color="auto" w:sz="4" w:space="0"/>
            </w:tcBorders>
            <w:vAlign w:val="center"/>
          </w:tcPr>
          <w:p w14:paraId="15B80D81">
            <w:pPr>
              <w:snapToGrid w:val="0"/>
              <w:jc w:val="center"/>
              <w:rPr>
                <w:rFonts w:hint="eastAsia" w:ascii="仿宋" w:hAnsi="仿宋" w:eastAsia="仿宋" w:cs="仿宋"/>
                <w:b/>
                <w:color w:val="auto"/>
                <w:szCs w:val="30"/>
                <w:highlight w:val="none"/>
              </w:rPr>
            </w:pPr>
            <w:r>
              <w:rPr>
                <w:rFonts w:hint="eastAsia" w:ascii="仿宋" w:hAnsi="仿宋" w:eastAsia="仿宋" w:cs="仿宋"/>
                <w:color w:val="auto"/>
                <w:kern w:val="0"/>
                <w:sz w:val="24"/>
                <w:highlight w:val="none"/>
                <w:lang w:val="en-US" w:eastAsia="zh-CN"/>
              </w:rPr>
              <w:t>竞标报价</w:t>
            </w:r>
            <w:r>
              <w:rPr>
                <w:rFonts w:hint="eastAsia" w:ascii="仿宋" w:hAnsi="仿宋" w:eastAsia="仿宋" w:cs="仿宋"/>
                <w:b/>
                <w:color w:val="auto"/>
                <w:szCs w:val="30"/>
                <w:highlight w:val="none"/>
              </w:rPr>
              <w:t>（</w:t>
            </w:r>
            <w:r>
              <w:rPr>
                <w:rFonts w:hint="eastAsia" w:ascii="仿宋" w:hAnsi="仿宋" w:eastAsia="仿宋" w:cs="仿宋"/>
                <w:b/>
                <w:color w:val="auto"/>
                <w:szCs w:val="30"/>
                <w:highlight w:val="none"/>
                <w:lang w:val="en-US" w:eastAsia="zh-CN"/>
              </w:rPr>
              <w:t>元</w:t>
            </w:r>
            <w:r>
              <w:rPr>
                <w:rFonts w:hint="eastAsia" w:ascii="仿宋" w:hAnsi="仿宋" w:eastAsia="仿宋" w:cs="仿宋"/>
                <w:b/>
                <w:color w:val="auto"/>
                <w:szCs w:val="30"/>
                <w:highlight w:val="none"/>
              </w:rPr>
              <w:t>）</w:t>
            </w:r>
          </w:p>
          <w:p w14:paraId="50EAC3A9">
            <w:pPr>
              <w:snapToGrid w:val="0"/>
              <w:jc w:val="center"/>
              <w:rPr>
                <w:rFonts w:hint="eastAsia" w:ascii="仿宋" w:hAnsi="仿宋" w:eastAsia="仿宋" w:cs="仿宋"/>
                <w:b/>
                <w:color w:val="auto"/>
                <w:szCs w:val="30"/>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59611444">
            <w:pPr>
              <w:snapToGrid w:val="0"/>
              <w:jc w:val="center"/>
              <w:rPr>
                <w:rFonts w:hint="eastAsia" w:ascii="仿宋" w:hAnsi="仿宋" w:eastAsia="仿宋" w:cs="仿宋"/>
                <w:b/>
                <w:color w:val="auto"/>
                <w:szCs w:val="30"/>
                <w:highlight w:val="none"/>
              </w:rPr>
            </w:pPr>
            <w:r>
              <w:rPr>
                <w:rFonts w:hint="eastAsia" w:ascii="仿宋" w:hAnsi="仿宋" w:eastAsia="仿宋" w:cs="仿宋"/>
                <w:b/>
                <w:color w:val="auto"/>
                <w:szCs w:val="30"/>
                <w:highlight w:val="none"/>
              </w:rPr>
              <w:t>备注</w:t>
            </w:r>
          </w:p>
        </w:tc>
      </w:tr>
      <w:tr w14:paraId="7B7F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671" w:type="dxa"/>
            <w:tcBorders>
              <w:top w:val="single" w:color="auto" w:sz="4" w:space="0"/>
              <w:left w:val="single" w:color="auto" w:sz="4" w:space="0"/>
              <w:right w:val="single" w:color="auto" w:sz="4" w:space="0"/>
            </w:tcBorders>
            <w:vAlign w:val="center"/>
          </w:tcPr>
          <w:p w14:paraId="26C1B096">
            <w:pPr>
              <w:spacing w:line="30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p w14:paraId="6FA03C3D">
            <w:pPr>
              <w:spacing w:line="300" w:lineRule="auto"/>
              <w:jc w:val="center"/>
              <w:rPr>
                <w:rFonts w:hint="eastAsia" w:ascii="仿宋" w:hAnsi="仿宋" w:eastAsia="仿宋" w:cs="仿宋"/>
                <w:color w:val="auto"/>
                <w:szCs w:val="21"/>
                <w:highlight w:val="none"/>
              </w:rPr>
            </w:pPr>
          </w:p>
        </w:tc>
        <w:tc>
          <w:tcPr>
            <w:tcW w:w="3682" w:type="dxa"/>
            <w:tcBorders>
              <w:top w:val="single" w:color="auto" w:sz="4" w:space="0"/>
              <w:left w:val="single" w:color="auto" w:sz="4" w:space="0"/>
              <w:right w:val="single" w:color="auto" w:sz="4" w:space="0"/>
            </w:tcBorders>
            <w:vAlign w:val="center"/>
          </w:tcPr>
          <w:p w14:paraId="7133D084">
            <w:pPr>
              <w:spacing w:line="300" w:lineRule="auto"/>
              <w:jc w:val="left"/>
              <w:rPr>
                <w:rFonts w:hint="eastAsia" w:ascii="仿宋" w:hAnsi="仿宋" w:eastAsia="仿宋" w:cs="仿宋"/>
                <w:color w:val="auto"/>
                <w:szCs w:val="21"/>
                <w:highlight w:val="none"/>
              </w:rPr>
            </w:pPr>
          </w:p>
        </w:tc>
        <w:tc>
          <w:tcPr>
            <w:tcW w:w="3950" w:type="dxa"/>
            <w:tcBorders>
              <w:top w:val="single" w:color="auto" w:sz="4" w:space="0"/>
              <w:left w:val="single" w:color="auto" w:sz="4" w:space="0"/>
              <w:right w:val="single" w:color="auto" w:sz="4" w:space="0"/>
            </w:tcBorders>
            <w:vAlign w:val="center"/>
          </w:tcPr>
          <w:p w14:paraId="6BD34891">
            <w:pPr>
              <w:spacing w:line="300" w:lineRule="auto"/>
              <w:jc w:val="center"/>
              <w:rPr>
                <w:rFonts w:hint="eastAsia" w:ascii="仿宋" w:hAnsi="仿宋" w:eastAsia="仿宋" w:cs="仿宋"/>
                <w:color w:val="auto"/>
                <w:szCs w:val="21"/>
                <w:highlight w:val="none"/>
              </w:rPr>
            </w:pPr>
            <w:bookmarkStart w:id="0" w:name="_GoBack"/>
            <w:bookmarkEnd w:id="0"/>
          </w:p>
        </w:tc>
        <w:tc>
          <w:tcPr>
            <w:tcW w:w="1000" w:type="dxa"/>
            <w:tcBorders>
              <w:top w:val="single" w:color="auto" w:sz="4" w:space="0"/>
              <w:left w:val="single" w:color="auto" w:sz="4" w:space="0"/>
              <w:bottom w:val="single" w:color="auto" w:sz="4" w:space="0"/>
              <w:right w:val="single" w:color="auto" w:sz="4" w:space="0"/>
            </w:tcBorders>
            <w:vAlign w:val="center"/>
          </w:tcPr>
          <w:p w14:paraId="2393E32E">
            <w:pPr>
              <w:spacing w:line="300" w:lineRule="auto"/>
              <w:jc w:val="center"/>
              <w:rPr>
                <w:rFonts w:hint="eastAsia" w:ascii="仿宋" w:hAnsi="仿宋" w:eastAsia="仿宋" w:cs="仿宋"/>
                <w:color w:val="auto"/>
                <w:szCs w:val="21"/>
                <w:highlight w:val="none"/>
              </w:rPr>
            </w:pPr>
          </w:p>
        </w:tc>
      </w:tr>
    </w:tbl>
    <w:p w14:paraId="576D53F7">
      <w:pPr>
        <w:snapToGrid w:val="0"/>
        <w:spacing w:before="50" w:after="5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注： </w:t>
      </w:r>
    </w:p>
    <w:p w14:paraId="183B1CD9">
      <w:pPr>
        <w:snapToGrid w:val="0"/>
        <w:spacing w:before="50" w:after="50"/>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1、 供应商需按本表格式填写，不得自行更改，也不得留空, </w:t>
      </w:r>
      <w:r>
        <w:rPr>
          <w:rFonts w:hint="eastAsia" w:ascii="仿宋" w:hAnsi="仿宋" w:eastAsia="仿宋" w:cs="仿宋"/>
          <w:b/>
          <w:bCs/>
          <w:color w:val="auto"/>
          <w:kern w:val="0"/>
          <w:sz w:val="24"/>
          <w:highlight w:val="none"/>
          <w:lang w:val="zh-CN"/>
        </w:rPr>
        <w:t>如有多分标，按分标分别提供响应报价表。</w:t>
      </w:r>
    </w:p>
    <w:p w14:paraId="2ECE7CD0">
      <w:pPr>
        <w:snapToGrid w:val="0"/>
        <w:spacing w:before="50" w:after="50"/>
        <w:ind w:firstLine="480" w:firstLineChars="200"/>
        <w:jc w:val="left"/>
        <w:rPr>
          <w:rFonts w:hint="eastAsia" w:ascii="仿宋" w:hAnsi="仿宋" w:eastAsia="仿宋" w:cs="仿宋"/>
          <w:b/>
          <w:color w:val="auto"/>
          <w:kern w:val="0"/>
          <w:sz w:val="24"/>
          <w:highlight w:val="none"/>
          <w:lang w:val="zh-CN"/>
        </w:rPr>
      </w:pPr>
      <w:r>
        <w:rPr>
          <w:rFonts w:hint="eastAsia" w:ascii="仿宋" w:hAnsi="仿宋" w:eastAsia="仿宋" w:cs="仿宋"/>
          <w:color w:val="auto"/>
          <w:kern w:val="0"/>
          <w:sz w:val="24"/>
          <w:highlight w:val="none"/>
          <w:lang w:val="zh-CN"/>
        </w:rPr>
        <w:t>2、如为联合体响应的，“供应商名称”处必须列明联合体各方名称，并标注联合体牵头人名称，且盖章处须加盖联合体各方公章，</w:t>
      </w:r>
      <w:r>
        <w:rPr>
          <w:rFonts w:hint="eastAsia" w:ascii="仿宋" w:hAnsi="仿宋" w:eastAsia="仿宋" w:cs="仿宋"/>
          <w:b/>
          <w:color w:val="auto"/>
          <w:kern w:val="0"/>
          <w:sz w:val="24"/>
          <w:highlight w:val="none"/>
          <w:lang w:val="zh-CN"/>
        </w:rPr>
        <w:t>否则其响应作无效响应处理。</w:t>
      </w:r>
    </w:p>
    <w:p w14:paraId="4296F215">
      <w:pPr>
        <w:snapToGrid w:val="0"/>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3、特别提示：采购机构将对项目名称和项目编号，成交供应商名称、地址和成交金额，主要成交标的的名称、规格型号、数量、单价、服务要求等予以公示。</w:t>
      </w:r>
    </w:p>
    <w:p w14:paraId="33D1E426">
      <w:pPr>
        <w:snapToGrid w:val="0"/>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szCs w:val="22"/>
          <w:highlight w:val="none"/>
        </w:rPr>
        <w:t>4</w:t>
      </w:r>
      <w:r>
        <w:rPr>
          <w:rFonts w:hint="eastAsia" w:ascii="仿宋" w:hAnsi="仿宋" w:eastAsia="仿宋" w:cs="仿宋"/>
          <w:color w:val="auto"/>
          <w:kern w:val="0"/>
          <w:sz w:val="24"/>
          <w:szCs w:val="22"/>
          <w:highlight w:val="none"/>
          <w:lang w:val="zh-CN"/>
        </w:rPr>
        <w:t>、</w:t>
      </w:r>
      <w:r>
        <w:rPr>
          <w:rFonts w:hint="eastAsia" w:ascii="仿宋" w:hAnsi="仿宋" w:eastAsia="仿宋" w:cs="仿宋"/>
          <w:color w:val="auto"/>
          <w:kern w:val="0"/>
          <w:sz w:val="24"/>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162A5B73">
      <w:pPr>
        <w:autoSpaceDE w:val="0"/>
        <w:autoSpaceDN w:val="0"/>
        <w:spacing w:line="360" w:lineRule="auto"/>
        <w:ind w:left="4335" w:leftChars="1950" w:hanging="240" w:hangingChars="100"/>
        <w:rPr>
          <w:rFonts w:hint="eastAsia" w:ascii="仿宋" w:hAnsi="仿宋" w:eastAsia="仿宋" w:cs="仿宋"/>
          <w:color w:val="auto"/>
          <w:kern w:val="0"/>
          <w:sz w:val="24"/>
          <w:highlight w:val="none"/>
        </w:rPr>
      </w:pPr>
    </w:p>
    <w:p w14:paraId="720315DA">
      <w:pPr>
        <w:autoSpaceDE w:val="0"/>
        <w:autoSpaceDN w:val="0"/>
        <w:spacing w:line="360" w:lineRule="auto"/>
        <w:ind w:left="4335" w:leftChars="1950" w:hanging="240" w:hangingChars="100"/>
        <w:rPr>
          <w:rFonts w:hint="eastAsia" w:ascii="仿宋" w:hAnsi="仿宋" w:eastAsia="仿宋" w:cs="仿宋"/>
          <w:color w:val="auto"/>
          <w:kern w:val="0"/>
          <w:sz w:val="24"/>
          <w:highlight w:val="none"/>
        </w:rPr>
      </w:pPr>
    </w:p>
    <w:p w14:paraId="7B6A4C8B">
      <w:pPr>
        <w:autoSpaceDE w:val="0"/>
        <w:autoSpaceDN w:val="0"/>
        <w:spacing w:line="360" w:lineRule="auto"/>
        <w:ind w:left="4335" w:leftChars="1950" w:hanging="240" w:hangingChars="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28AD7DD1">
      <w:pPr>
        <w:spacing w:line="500" w:lineRule="exact"/>
        <w:ind w:firstLine="4320" w:firstLineChars="1800"/>
        <w:rPr>
          <w:rFonts w:hint="eastAsia" w:eastAsia="仿宋"/>
          <w:lang w:val="en-US" w:eastAsia="zh-CN"/>
        </w:rPr>
      </w:pPr>
      <w:r>
        <w:rPr>
          <w:rFonts w:hint="eastAsia" w:ascii="仿宋" w:hAnsi="仿宋" w:eastAsia="仿宋" w:cs="仿宋"/>
          <w:color w:val="auto"/>
          <w:kern w:val="0"/>
          <w:sz w:val="24"/>
          <w:szCs w:val="21"/>
          <w:highlight w:val="none"/>
          <w:lang w:val="zh-CN"/>
        </w:rPr>
        <w:t xml:space="preserve">日期：  年  月   </w:t>
      </w:r>
      <w:r>
        <w:rPr>
          <w:rFonts w:hint="eastAsia" w:ascii="仿宋" w:hAnsi="仿宋" w:eastAsia="仿宋" w:cs="仿宋"/>
          <w:color w:val="auto"/>
          <w:kern w:val="0"/>
          <w:sz w:val="24"/>
          <w:szCs w:val="21"/>
          <w:highlight w:val="none"/>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lvlText w:val="（%1）"/>
      <w:lvlJc w:val="left"/>
      <w:pPr>
        <w:tabs>
          <w:tab w:val="left" w:pos="1140"/>
        </w:tabs>
        <w:ind w:left="1140" w:hanging="7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B339E9"/>
    <w:rsid w:val="14F51C07"/>
    <w:rsid w:val="28B339E9"/>
    <w:rsid w:val="4B895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1554</Words>
  <Characters>1558</Characters>
  <Lines>0</Lines>
  <Paragraphs>0</Paragraphs>
  <TotalTime>3</TotalTime>
  <ScaleCrop>false</ScaleCrop>
  <LinksUpToDate>false</LinksUpToDate>
  <CharactersWithSpaces>2027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2026-09-28T08:20:00Z</dcterms:created>
  <dc:creator>..</dc:creator>
  <cp:lastModifiedBy>..</cp:lastModifiedBy>
  <dcterms:modified xsi:type="dcterms:W3CDTF">2026-09-29T09:24:52Z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BC3D931E52024529884F5A080CA71C1C_11</vt:lpwstr>
  </property>
  <property fmtid="{D5CDD505-2E9C-101B-9397-08002B2CF9AE}" pid="4" name="KSOTemplateDocerSaveRecord">
    <vt:lpwstr>eyJoZGlkIjoiNGRkOTZlZjU0NDM3OGIyNjU4ZjRhNzgxNTIzZTMyYjgiLCJ1c2VySWQiOiIxMTQ1NjY5MyJ9</vt:lpwstr>
  </property>
</Properties>
</file>