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FE818D">
      <w:pPr>
        <w:keepNext w:val="0"/>
        <w:keepLines w:val="0"/>
        <w:pageBreakBefore w:val="0"/>
        <w:widowControl/>
        <w:kinsoku/>
        <w:wordWrap/>
        <w:overflowPunct/>
        <w:topLinePunct w:val="0"/>
        <w:autoSpaceDE/>
        <w:autoSpaceDN/>
        <w:bidi w:val="0"/>
        <w:adjustRightInd/>
        <w:snapToGrid/>
        <w:spacing w:before="0" w:beforeLines="50" w:line="900" w:lineRule="exact"/>
        <w:jc w:val="center"/>
        <w:textAlignment w:val="baseline"/>
        <w:rPr>
          <w:rFonts w:hint="eastAsia" w:ascii="宋体" w:hAnsi="宋体" w:eastAsia="宋体" w:cs="宋体"/>
          <w:b/>
          <w:bCs/>
          <w:color w:val="000000" w:themeColor="text1"/>
          <w:sz w:val="52"/>
          <w:szCs w:val="52"/>
          <w:highlight w:val="none"/>
          <w14:textFill>
            <w14:solidFill>
              <w14:schemeClr w14:val="tx1"/>
            </w14:solidFill>
          </w14:textFill>
        </w:rPr>
      </w:pPr>
      <w:r>
        <w:drawing>
          <wp:anchor distT="0" distB="0" distL="114300" distR="114300" simplePos="0" relativeHeight="251666432" behindDoc="0" locked="0" layoutInCell="1" allowOverlap="1">
            <wp:simplePos x="0" y="0"/>
            <wp:positionH relativeFrom="column">
              <wp:posOffset>-982345</wp:posOffset>
            </wp:positionH>
            <wp:positionV relativeFrom="paragraph">
              <wp:posOffset>-869315</wp:posOffset>
            </wp:positionV>
            <wp:extent cx="7507605" cy="10643870"/>
            <wp:effectExtent l="0" t="0" r="5715" b="8890"/>
            <wp:wrapNone/>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13"/>
                    <a:srcRect b="1087"/>
                    <a:stretch>
                      <a:fillRect/>
                    </a:stretch>
                  </pic:blipFill>
                  <pic:spPr>
                    <a:xfrm>
                      <a:off x="0" y="0"/>
                      <a:ext cx="7507605" cy="10643870"/>
                    </a:xfrm>
                    <a:prstGeom prst="rect">
                      <a:avLst/>
                    </a:prstGeom>
                    <a:noFill/>
                    <a:ln>
                      <a:noFill/>
                    </a:ln>
                  </pic:spPr>
                </pic:pic>
              </a:graphicData>
            </a:graphic>
          </wp:anchor>
        </w:drawing>
      </w:r>
      <w:r>
        <w:rPr>
          <w:rFonts w:hint="eastAsia" w:ascii="宋体" w:hAnsi="宋体" w:eastAsia="宋体" w:cs="宋体"/>
          <w:b/>
          <w:bCs/>
          <w:color w:val="000000" w:themeColor="text1"/>
          <w:sz w:val="52"/>
          <w:szCs w:val="52"/>
          <w:highlight w:val="none"/>
          <w14:textFill>
            <w14:solidFill>
              <w14:schemeClr w14:val="tx1"/>
            </w14:solidFill>
          </w14:textFill>
        </w:rPr>
        <w:t>广西华诚达建设项目管理有限公司</w:t>
      </w:r>
    </w:p>
    <w:p w14:paraId="16BE570A">
      <w:pPr>
        <w:tabs>
          <w:tab w:val="left" w:pos="2130"/>
        </w:tabs>
        <w:jc w:val="center"/>
        <w:rPr>
          <w:rFonts w:hint="eastAsia"/>
          <w:color w:val="000000" w:themeColor="text1"/>
          <w:sz w:val="20"/>
          <w:szCs w:val="20"/>
          <w:highlight w:val="none"/>
          <w14:textFill>
            <w14:solidFill>
              <w14:schemeClr w14:val="tx1"/>
            </w14:solidFill>
          </w14:textFill>
        </w:rPr>
      </w:pPr>
    </w:p>
    <w:p w14:paraId="33BAE095">
      <w:pPr>
        <w:pStyle w:val="21"/>
        <w:rPr>
          <w:rFonts w:hint="eastAsia"/>
          <w:color w:val="000000" w:themeColor="text1"/>
          <w:highlight w:val="none"/>
          <w14:textFill>
            <w14:solidFill>
              <w14:schemeClr w14:val="tx1"/>
            </w14:solidFill>
          </w14:textFill>
        </w:rPr>
      </w:pPr>
    </w:p>
    <w:p w14:paraId="75305A6B">
      <w:pPr>
        <w:tabs>
          <w:tab w:val="left" w:pos="2130"/>
        </w:tabs>
        <w:jc w:val="center"/>
        <w:rPr>
          <w:rFonts w:hint="eastAsia"/>
          <w:color w:val="000000" w:themeColor="text1"/>
          <w:sz w:val="20"/>
          <w:szCs w:val="20"/>
          <w:highlight w:val="none"/>
          <w14:textFill>
            <w14:solidFill>
              <w14:schemeClr w14:val="tx1"/>
            </w14:solidFill>
          </w14:textFill>
        </w:rPr>
      </w:pPr>
    </w:p>
    <w:p w14:paraId="157BBDD6">
      <w:pPr>
        <w:tabs>
          <w:tab w:val="left" w:pos="2130"/>
        </w:tabs>
        <w:jc w:val="center"/>
        <w:rPr>
          <w:rFonts w:hint="eastAsia"/>
          <w:color w:val="000000" w:themeColor="text1"/>
          <w:sz w:val="20"/>
          <w:szCs w:val="20"/>
          <w:highlight w:val="none"/>
          <w14:textFill>
            <w14:solidFill>
              <w14:schemeClr w14:val="tx1"/>
            </w14:solidFill>
          </w14:textFill>
        </w:rPr>
      </w:pPr>
      <w:r>
        <w:rPr>
          <w:rFonts w:hint="eastAsia"/>
          <w:color w:val="000000" w:themeColor="text1"/>
          <w:sz w:val="20"/>
          <w:szCs w:val="20"/>
          <w:highlight w:val="none"/>
          <w14:textFill>
            <w14:solidFill>
              <w14:schemeClr w14:val="tx1"/>
            </w14:solidFill>
          </w14:textFill>
        </w:rPr>
        <w:drawing>
          <wp:inline distT="0" distB="0" distL="114300" distR="114300">
            <wp:extent cx="1770380" cy="943610"/>
            <wp:effectExtent l="0" t="0" r="0" b="1270"/>
            <wp:docPr id="1"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
                    <pic:cNvPicPr>
                      <a:picLocks noChangeAspect="1"/>
                    </pic:cNvPicPr>
                  </pic:nvPicPr>
                  <pic:blipFill>
                    <a:blip r:embed="rId14"/>
                    <a:srcRect l="-555" t="568" r="-2777" b="34895"/>
                    <a:stretch>
                      <a:fillRect/>
                    </a:stretch>
                  </pic:blipFill>
                  <pic:spPr>
                    <a:xfrm>
                      <a:off x="0" y="0"/>
                      <a:ext cx="1770380" cy="943610"/>
                    </a:xfrm>
                    <a:prstGeom prst="rect">
                      <a:avLst/>
                    </a:prstGeom>
                    <a:noFill/>
                    <a:ln>
                      <a:noFill/>
                    </a:ln>
                  </pic:spPr>
                </pic:pic>
              </a:graphicData>
            </a:graphic>
          </wp:inline>
        </w:drawing>
      </w:r>
    </w:p>
    <w:p w14:paraId="02000E19">
      <w:pPr>
        <w:pStyle w:val="21"/>
        <w:rPr>
          <w:rFonts w:hint="eastAsia"/>
          <w:color w:val="000000" w:themeColor="text1"/>
          <w:sz w:val="20"/>
          <w:szCs w:val="20"/>
          <w:highlight w:val="none"/>
          <w14:textFill>
            <w14:solidFill>
              <w14:schemeClr w14:val="tx1"/>
            </w14:solidFill>
          </w14:textFill>
        </w:rPr>
      </w:pPr>
    </w:p>
    <w:p w14:paraId="11022312">
      <w:pPr>
        <w:rPr>
          <w:rFonts w:hint="eastAsia"/>
          <w:color w:val="000000" w:themeColor="text1"/>
          <w:sz w:val="20"/>
          <w:szCs w:val="20"/>
          <w:highlight w:val="none"/>
          <w14:textFill>
            <w14:solidFill>
              <w14:schemeClr w14:val="tx1"/>
            </w14:solidFill>
          </w14:textFill>
        </w:rPr>
      </w:pPr>
    </w:p>
    <w:p w14:paraId="36899E86">
      <w:pPr>
        <w:tabs>
          <w:tab w:val="left" w:pos="2130"/>
        </w:tabs>
        <w:jc w:val="center"/>
        <w:rPr>
          <w:rFonts w:hint="eastAsia"/>
          <w:color w:val="000000" w:themeColor="text1"/>
          <w:sz w:val="20"/>
          <w:szCs w:val="20"/>
          <w:highlight w:val="none"/>
          <w14:textFill>
            <w14:solidFill>
              <w14:schemeClr w14:val="tx1"/>
            </w14:solidFill>
          </w14:textFill>
        </w:rPr>
      </w:pPr>
    </w:p>
    <w:p w14:paraId="6E8E5189">
      <w:pPr>
        <w:pStyle w:val="37"/>
        <w:ind w:firstLine="915"/>
        <w:rPr>
          <w:rFonts w:hint="eastAsia"/>
          <w:color w:val="000000" w:themeColor="text1"/>
          <w:highlight w:val="none"/>
          <w14:textFill>
            <w14:solidFill>
              <w14:schemeClr w14:val="tx1"/>
            </w14:solidFill>
          </w14:textFill>
        </w:rPr>
      </w:pPr>
    </w:p>
    <w:p w14:paraId="4E797612">
      <w:pPr>
        <w:pStyle w:val="37"/>
        <w:ind w:firstLine="915"/>
        <w:rPr>
          <w:rFonts w:hint="eastAsia"/>
          <w:color w:val="000000" w:themeColor="text1"/>
          <w:highlight w:val="none"/>
          <w14:textFill>
            <w14:solidFill>
              <w14:schemeClr w14:val="tx1"/>
            </w14:solidFill>
          </w14:textFill>
        </w:rPr>
      </w:pPr>
    </w:p>
    <w:p w14:paraId="76B65F4E">
      <w:pPr>
        <w:keepNext w:val="0"/>
        <w:keepLines w:val="0"/>
        <w:pageBreakBefore w:val="0"/>
        <w:widowControl w:val="0"/>
        <w:tabs>
          <w:tab w:val="left" w:pos="3850"/>
        </w:tabs>
        <w:kinsoku/>
        <w:wordWrap/>
        <w:overflowPunct/>
        <w:topLinePunct w:val="0"/>
        <w:autoSpaceDE/>
        <w:autoSpaceDN/>
        <w:bidi w:val="0"/>
        <w:adjustRightInd/>
        <w:snapToGrid w:val="0"/>
        <w:spacing w:before="0" w:beforeLines="120" w:line="800" w:lineRule="exact"/>
        <w:jc w:val="center"/>
        <w:textAlignment w:val="auto"/>
        <w:rPr>
          <w:rFonts w:hint="eastAsia" w:ascii="宋体" w:hAnsi="宋体" w:eastAsia="宋体" w:cs="宋体"/>
          <w:b/>
          <w:color w:val="000000" w:themeColor="text1"/>
          <w:sz w:val="64"/>
          <w:szCs w:val="64"/>
          <w:highlight w:val="none"/>
          <w14:textFill>
            <w14:solidFill>
              <w14:schemeClr w14:val="tx1"/>
            </w14:solidFill>
          </w14:textFill>
        </w:rPr>
      </w:pPr>
      <w:r>
        <w:rPr>
          <w:rFonts w:hint="eastAsia" w:ascii="宋体" w:hAnsi="宋体" w:eastAsia="宋体" w:cs="宋体"/>
          <w:b/>
          <w:color w:val="000000" w:themeColor="text1"/>
          <w:sz w:val="64"/>
          <w:szCs w:val="64"/>
          <w:highlight w:val="none"/>
          <w14:shadow w14:blurRad="50800" w14:dist="38100" w14:dir="2700000" w14:sx="100000" w14:sy="100000" w14:kx="0" w14:ky="0" w14:algn="tl">
            <w14:srgbClr w14:val="000000">
              <w14:alpha w14:val="60000"/>
            </w14:srgbClr>
          </w14:shadow>
          <w14:textFill>
            <w14:solidFill>
              <w14:schemeClr w14:val="tx1"/>
            </w14:solidFill>
          </w14:textFill>
        </w:rPr>
        <w:t>竞争性磋商文件</w:t>
      </w:r>
    </w:p>
    <w:p w14:paraId="56810ACD">
      <w:pPr>
        <w:keepNext w:val="0"/>
        <w:keepLines w:val="0"/>
        <w:pageBreakBefore w:val="0"/>
        <w:widowControl/>
        <w:kinsoku w:val="0"/>
        <w:wordWrap/>
        <w:overflowPunct/>
        <w:topLinePunct w:val="0"/>
        <w:autoSpaceDE w:val="0"/>
        <w:autoSpaceDN w:val="0"/>
        <w:bidi w:val="0"/>
        <w:adjustRightInd w:val="0"/>
        <w:snapToGrid w:val="0"/>
        <w:spacing w:before="0" w:beforeLines="30" w:line="800" w:lineRule="exact"/>
        <w:jc w:val="center"/>
        <w:textAlignment w:val="baseline"/>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lang w:eastAsia="zh-CN"/>
          <w14:textFill>
            <w14:solidFill>
              <w14:schemeClr w14:val="tx1"/>
            </w14:solidFill>
          </w14:textFill>
        </w:rPr>
        <w:t>（全流程电子化评标）</w:t>
      </w:r>
    </w:p>
    <w:p w14:paraId="2D7C3B4A">
      <w:pPr>
        <w:rPr>
          <w:color w:val="000000" w:themeColor="text1"/>
          <w:highlight w:val="none"/>
          <w14:textFill>
            <w14:solidFill>
              <w14:schemeClr w14:val="tx1"/>
            </w14:solidFill>
          </w14:textFill>
        </w:rPr>
      </w:pPr>
    </w:p>
    <w:p w14:paraId="4A397DF5">
      <w:pPr>
        <w:pStyle w:val="21"/>
        <w:rPr>
          <w:color w:val="000000" w:themeColor="text1"/>
          <w:highlight w:val="none"/>
          <w14:textFill>
            <w14:solidFill>
              <w14:schemeClr w14:val="tx1"/>
            </w14:solidFill>
          </w14:textFill>
        </w:rPr>
      </w:pPr>
    </w:p>
    <w:p w14:paraId="1C001427">
      <w:pPr>
        <w:pStyle w:val="21"/>
        <w:rPr>
          <w:color w:val="000000" w:themeColor="text1"/>
          <w:highlight w:val="none"/>
          <w14:textFill>
            <w14:solidFill>
              <w14:schemeClr w14:val="tx1"/>
            </w14:solidFill>
          </w14:textFill>
        </w:rPr>
      </w:pPr>
    </w:p>
    <w:p w14:paraId="3C210058">
      <w:pPr>
        <w:rPr>
          <w:color w:val="000000" w:themeColor="text1"/>
          <w:highlight w:val="none"/>
          <w14:textFill>
            <w14:solidFill>
              <w14:schemeClr w14:val="tx1"/>
            </w14:solidFill>
          </w14:textFill>
        </w:rPr>
      </w:pPr>
    </w:p>
    <w:p w14:paraId="5B8FECB8">
      <w:pPr>
        <w:pStyle w:val="21"/>
        <w:rPr>
          <w:color w:val="000000" w:themeColor="text1"/>
          <w:highlight w:val="none"/>
          <w14:textFill>
            <w14:solidFill>
              <w14:schemeClr w14:val="tx1"/>
            </w14:solidFill>
          </w14:textFill>
        </w:rPr>
      </w:pPr>
    </w:p>
    <w:p w14:paraId="326684F6">
      <w:pPr>
        <w:pStyle w:val="37"/>
        <w:ind w:firstLine="915"/>
        <w:rPr>
          <w:color w:val="000000" w:themeColor="text1"/>
          <w:highlight w:val="none"/>
          <w14:textFill>
            <w14:solidFill>
              <w14:schemeClr w14:val="tx1"/>
            </w14:solidFill>
          </w14:textFill>
        </w:rPr>
      </w:pPr>
    </w:p>
    <w:p w14:paraId="47DB4A23">
      <w:pPr>
        <w:pStyle w:val="37"/>
        <w:tabs>
          <w:tab w:val="left" w:pos="2585"/>
        </w:tabs>
        <w:ind w:firstLine="0" w:firstLineChars="0"/>
        <w:rPr>
          <w:rFonts w:hint="eastAsia"/>
          <w:color w:val="000000" w:themeColor="text1"/>
          <w:highlight w:val="none"/>
          <w:lang w:eastAsia="zh-CN"/>
          <w14:textFill>
            <w14:solidFill>
              <w14:schemeClr w14:val="tx1"/>
            </w14:solidFill>
          </w14:textFill>
        </w:rPr>
      </w:pPr>
    </w:p>
    <w:p w14:paraId="635FA5D3">
      <w:pPr>
        <w:pStyle w:val="13"/>
        <w:rPr>
          <w:rFonts w:hint="eastAsia"/>
          <w:color w:val="000000" w:themeColor="text1"/>
          <w:highlight w:val="none"/>
          <w:lang w:eastAsia="zh-CN"/>
          <w14:textFill>
            <w14:solidFill>
              <w14:schemeClr w14:val="tx1"/>
            </w14:solidFill>
          </w14:textFill>
        </w:rPr>
      </w:pPr>
    </w:p>
    <w:p w14:paraId="2934B097">
      <w:pPr>
        <w:keepNext w:val="0"/>
        <w:keepLines w:val="0"/>
        <w:pageBreakBefore w:val="0"/>
        <w:widowControl w:val="0"/>
        <w:kinsoku/>
        <w:wordWrap/>
        <w:overflowPunct/>
        <w:topLinePunct w:val="0"/>
        <w:autoSpaceDE/>
        <w:autoSpaceDN/>
        <w:bidi w:val="0"/>
        <w:adjustRightInd/>
        <w:snapToGrid/>
        <w:spacing w:before="0" w:beforeLines="50" w:line="720" w:lineRule="exact"/>
        <w:ind w:left="2564" w:leftChars="456" w:hanging="1606" w:hangingChars="500"/>
        <w:jc w:val="left"/>
        <w:textAlignment w:val="auto"/>
        <w:rPr>
          <w:rFonts w:hint="eastAsia" w:ascii="宋体" w:hAnsi="宋体" w:cs="宋体"/>
          <w:b/>
          <w:bCs/>
          <w:color w:val="000000" w:themeColor="text1"/>
          <w:kern w:val="0"/>
          <w:sz w:val="32"/>
          <w:szCs w:val="32"/>
          <w:highlight w:val="none"/>
          <w14:textFill>
            <w14:solidFill>
              <w14:schemeClr w14:val="tx1"/>
            </w14:solidFill>
          </w14:textFill>
        </w:rPr>
      </w:pPr>
      <w:r>
        <w:rPr>
          <w:rFonts w:hint="eastAsia" w:ascii="宋体" w:hAnsi="宋体" w:cs="宋体"/>
          <w:b/>
          <w:bCs/>
          <w:color w:val="000000" w:themeColor="text1"/>
          <w:kern w:val="0"/>
          <w:sz w:val="32"/>
          <w:szCs w:val="32"/>
          <w:highlight w:val="none"/>
          <w14:textFill>
            <w14:solidFill>
              <w14:schemeClr w14:val="tx1"/>
            </w14:solidFill>
          </w14:textFill>
        </w:rPr>
        <w:t>项目名称：</w:t>
      </w:r>
      <w:r>
        <w:rPr>
          <w:rFonts w:hint="eastAsia" w:ascii="宋体" w:hAnsi="宋体" w:cs="宋体"/>
          <w:b/>
          <w:bCs/>
          <w:color w:val="000000" w:themeColor="text1"/>
          <w:kern w:val="0"/>
          <w:sz w:val="32"/>
          <w:szCs w:val="32"/>
          <w:highlight w:val="none"/>
          <w:lang w:eastAsia="zh-CN"/>
          <w14:textFill>
            <w14:solidFill>
              <w14:schemeClr w14:val="tx1"/>
            </w14:solidFill>
          </w14:textFill>
        </w:rPr>
        <w:t>钦州市精神病医院扩建项目检测</w:t>
      </w:r>
    </w:p>
    <w:p w14:paraId="4507F629">
      <w:pPr>
        <w:keepNext w:val="0"/>
        <w:keepLines w:val="0"/>
        <w:pageBreakBefore w:val="0"/>
        <w:widowControl w:val="0"/>
        <w:kinsoku/>
        <w:wordWrap/>
        <w:overflowPunct/>
        <w:topLinePunct w:val="0"/>
        <w:autoSpaceDE/>
        <w:autoSpaceDN/>
        <w:bidi w:val="0"/>
        <w:adjustRightInd/>
        <w:snapToGrid/>
        <w:spacing w:line="720" w:lineRule="exact"/>
        <w:ind w:firstLine="964" w:firstLineChars="300"/>
        <w:textAlignment w:val="auto"/>
        <w:rPr>
          <w:rFonts w:hint="eastAsia" w:ascii="宋体" w:hAnsi="宋体" w:cs="宋体"/>
          <w:b/>
          <w:bCs/>
          <w:color w:val="0000FF"/>
          <w:kern w:val="0"/>
          <w:sz w:val="32"/>
          <w:szCs w:val="32"/>
          <w:highlight w:val="none"/>
          <w:lang w:eastAsia="zh-CN"/>
        </w:rPr>
      </w:pPr>
      <w:r>
        <w:rPr>
          <w:rFonts w:hint="eastAsia" w:ascii="宋体" w:hAnsi="宋体" w:cs="宋体"/>
          <w:b/>
          <w:bCs/>
          <w:color w:val="000000" w:themeColor="text1"/>
          <w:kern w:val="0"/>
          <w:sz w:val="32"/>
          <w:szCs w:val="32"/>
          <w:highlight w:val="none"/>
          <w14:textFill>
            <w14:solidFill>
              <w14:schemeClr w14:val="tx1"/>
            </w14:solidFill>
          </w14:textFill>
        </w:rPr>
        <w:t>项目编号：QZZC2026-C3-990275-GXHC</w:t>
      </w:r>
    </w:p>
    <w:p w14:paraId="134235F6">
      <w:pPr>
        <w:keepNext w:val="0"/>
        <w:keepLines w:val="0"/>
        <w:pageBreakBefore w:val="0"/>
        <w:widowControl w:val="0"/>
        <w:kinsoku/>
        <w:wordWrap/>
        <w:overflowPunct/>
        <w:topLinePunct w:val="0"/>
        <w:autoSpaceDE/>
        <w:autoSpaceDN/>
        <w:bidi w:val="0"/>
        <w:adjustRightInd/>
        <w:snapToGrid/>
        <w:spacing w:before="375" w:beforeLines="120" w:line="840" w:lineRule="exact"/>
        <w:ind w:left="3518" w:leftChars="456" w:hanging="2560" w:hangingChars="800"/>
        <w:textAlignment w:val="auto"/>
        <w:rPr>
          <w:rFonts w:hint="eastAsia"/>
          <w:b/>
          <w:color w:val="000000" w:themeColor="text1"/>
          <w:sz w:val="32"/>
          <w:szCs w:val="32"/>
          <w:highlight w:val="none"/>
          <w14:textFill>
            <w14:solidFill>
              <w14:schemeClr w14:val="tx1"/>
            </w14:solidFill>
          </w14:textFill>
        </w:rPr>
      </w:pPr>
      <w:r>
        <w:rPr>
          <w:color w:val="000000" w:themeColor="text1"/>
          <w:sz w:val="32"/>
          <w:highlight w:val="none"/>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column">
                  <wp:posOffset>11430</wp:posOffset>
                </wp:positionH>
                <wp:positionV relativeFrom="paragraph">
                  <wp:posOffset>172720</wp:posOffset>
                </wp:positionV>
                <wp:extent cx="5836285" cy="635"/>
                <wp:effectExtent l="0" t="15875" r="635" b="29210"/>
                <wp:wrapNone/>
                <wp:docPr id="2" name="直接连接符 2"/>
                <wp:cNvGraphicFramePr/>
                <a:graphic xmlns:a="http://schemas.openxmlformats.org/drawingml/2006/main">
                  <a:graphicData uri="http://schemas.microsoft.com/office/word/2010/wordprocessingShape">
                    <wps:wsp>
                      <wps:cNvCnPr/>
                      <wps:spPr>
                        <a:xfrm>
                          <a:off x="0" y="0"/>
                          <a:ext cx="5836285" cy="635"/>
                        </a:xfrm>
                        <a:prstGeom prst="line">
                          <a:avLst/>
                        </a:prstGeom>
                        <a:ln w="317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9pt;margin-top:13.6pt;height:0.05pt;width:459.55pt;z-index:251665408;mso-width-relative:page;mso-height-relative:page;" filled="f" stroked="t" coordsize="21600,21600" o:gfxdata="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9aCVFtMAAAAHAQAADwAAAAAAAAABACAAAAAiAAAAZHJzL2Rvd25yZXYueG1sUEsBAhQA&#10;FAAAAAgAh07iQFunyvb3AQAA5wMAAA4AAAAAAAAAAQAgAAAAIgEAAGRycy9lMm9Eb2MueG1sUEsF&#10;BgAAAAAGAAYAWQEAAIsFAAAAAA==&#10;">
                <v:fill on="f" focussize="0,0"/>
                <v:stroke weight="2.5pt" color="#000000" joinstyle="round"/>
                <v:imagedata o:title=""/>
                <o:lock v:ext="edit" aspectratio="f"/>
              </v:line>
            </w:pict>
          </mc:Fallback>
        </mc:AlternateContent>
      </w:r>
      <w:r>
        <w:rPr>
          <w:rFonts w:hint="eastAsia"/>
          <w:b/>
          <w:color w:val="000000" w:themeColor="text1"/>
          <w:sz w:val="32"/>
          <w:szCs w:val="32"/>
          <w:highlight w:val="none"/>
          <w14:textFill>
            <w14:solidFill>
              <w14:schemeClr w14:val="tx1"/>
            </w14:solidFill>
          </w14:textFill>
        </w:rPr>
        <w:t>采 购 人：</w:t>
      </w:r>
      <w:r>
        <w:rPr>
          <w:rFonts w:hint="eastAsia"/>
          <w:b/>
          <w:color w:val="000000" w:themeColor="text1"/>
          <w:sz w:val="32"/>
          <w:szCs w:val="32"/>
          <w:highlight w:val="none"/>
          <w:lang w:eastAsia="zh-CN"/>
          <w14:textFill>
            <w14:solidFill>
              <w14:schemeClr w14:val="tx1"/>
            </w14:solidFill>
          </w14:textFill>
        </w:rPr>
        <w:t xml:space="preserve">钦州市精神病医院 </w:t>
      </w:r>
    </w:p>
    <w:p w14:paraId="2FAAD364">
      <w:pPr>
        <w:keepNext w:val="0"/>
        <w:keepLines w:val="0"/>
        <w:pageBreakBefore w:val="0"/>
        <w:widowControl w:val="0"/>
        <w:kinsoku/>
        <w:wordWrap/>
        <w:overflowPunct/>
        <w:topLinePunct w:val="0"/>
        <w:autoSpaceDE/>
        <w:autoSpaceDN/>
        <w:bidi w:val="0"/>
        <w:adjustRightInd/>
        <w:snapToGrid/>
        <w:spacing w:line="840" w:lineRule="exact"/>
        <w:ind w:left="3528" w:leftChars="456" w:hanging="2570" w:hangingChars="800"/>
        <w:textAlignment w:val="auto"/>
        <w:rPr>
          <w:rFonts w:hint="eastAsia"/>
          <w:b/>
          <w:color w:val="000000" w:themeColor="text1"/>
          <w:sz w:val="32"/>
          <w:szCs w:val="32"/>
          <w:highlight w:val="none"/>
          <w14:textFill>
            <w14:solidFill>
              <w14:schemeClr w14:val="tx1"/>
            </w14:solidFill>
          </w14:textFill>
        </w:rPr>
      </w:pPr>
      <w:r>
        <w:rPr>
          <w:rFonts w:hint="eastAsia"/>
          <w:b/>
          <w:color w:val="000000" w:themeColor="text1"/>
          <w:sz w:val="32"/>
          <w:szCs w:val="32"/>
          <w:highlight w:val="none"/>
          <w14:textFill>
            <w14:solidFill>
              <w14:schemeClr w14:val="tx1"/>
            </w14:solidFill>
          </w14:textFill>
        </w:rPr>
        <w:t>采购代理机构：广西华诚达建设项目管理有限公司</w:t>
      </w:r>
    </w:p>
    <w:p w14:paraId="006AEF21">
      <w:pPr>
        <w:keepNext w:val="0"/>
        <w:keepLines w:val="0"/>
        <w:pageBreakBefore w:val="0"/>
        <w:widowControl w:val="0"/>
        <w:kinsoku/>
        <w:wordWrap/>
        <w:overflowPunct/>
        <w:topLinePunct w:val="0"/>
        <w:autoSpaceDE/>
        <w:autoSpaceDN/>
        <w:bidi w:val="0"/>
        <w:adjustRightInd/>
        <w:snapToGrid/>
        <w:spacing w:before="0" w:beforeLines="80" w:line="800" w:lineRule="exact"/>
        <w:ind w:left="0" w:leftChars="0" w:firstLine="0" w:firstLineChars="0"/>
        <w:jc w:val="center"/>
        <w:textAlignment w:val="auto"/>
        <w:rPr>
          <w:rFonts w:hint="eastAsia"/>
          <w:b/>
          <w:color w:val="auto"/>
          <w:sz w:val="32"/>
          <w:szCs w:val="32"/>
          <w:highlight w:val="none"/>
          <w:lang w:val="en-US" w:eastAsia="en-US"/>
        </w:rPr>
      </w:pPr>
      <w:r>
        <w:rPr>
          <w:rFonts w:hint="eastAsia"/>
          <w:b/>
          <w:color w:val="000000" w:themeColor="text1"/>
          <w:sz w:val="32"/>
          <w:szCs w:val="32"/>
          <w:highlight w:val="none"/>
          <w:lang w:val="en-US" w:eastAsia="zh-CN"/>
          <w14:textFill>
            <w14:solidFill>
              <w14:schemeClr w14:val="tx1"/>
            </w14:solidFill>
          </w14:textFill>
        </w:rPr>
        <w:t>二〇</w:t>
      </w:r>
      <w:r>
        <w:rPr>
          <w:rFonts w:hint="eastAsia"/>
          <w:b/>
          <w:color w:val="000000" w:themeColor="text1"/>
          <w:sz w:val="32"/>
          <w:szCs w:val="32"/>
          <w:highlight w:val="none"/>
          <w:lang w:val="en-US" w:eastAsia="en-US"/>
          <w14:textFill>
            <w14:solidFill>
              <w14:schemeClr w14:val="tx1"/>
            </w14:solidFill>
          </w14:textFill>
        </w:rPr>
        <w:t>二</w:t>
      </w:r>
      <w:r>
        <w:rPr>
          <w:rFonts w:hint="eastAsia"/>
          <w:b/>
          <w:color w:val="000000" w:themeColor="text1"/>
          <w:sz w:val="32"/>
          <w:szCs w:val="32"/>
          <w:highlight w:val="none"/>
          <w:lang w:val="en-US" w:eastAsia="zh-CN"/>
          <w14:textFill>
            <w14:solidFill>
              <w14:schemeClr w14:val="tx1"/>
            </w14:solidFill>
          </w14:textFill>
        </w:rPr>
        <w:t>六</w:t>
      </w:r>
      <w:r>
        <w:rPr>
          <w:rFonts w:hint="eastAsia"/>
          <w:b/>
          <w:color w:val="000000" w:themeColor="text1"/>
          <w:sz w:val="32"/>
          <w:szCs w:val="32"/>
          <w:highlight w:val="none"/>
          <w:lang w:val="en-US" w:eastAsia="en-US"/>
          <w14:textFill>
            <w14:solidFill>
              <w14:schemeClr w14:val="tx1"/>
            </w14:solidFill>
          </w14:textFill>
        </w:rPr>
        <w:t>年</w:t>
      </w:r>
      <w:r>
        <w:rPr>
          <w:rFonts w:hint="eastAsia"/>
          <w:b/>
          <w:color w:val="auto"/>
          <w:sz w:val="32"/>
          <w:szCs w:val="32"/>
          <w:highlight w:val="none"/>
          <w:lang w:val="en-US" w:eastAsia="zh-CN"/>
        </w:rPr>
        <w:t>九</w:t>
      </w:r>
      <w:r>
        <w:rPr>
          <w:rFonts w:hint="eastAsia"/>
          <w:b/>
          <w:color w:val="auto"/>
          <w:sz w:val="32"/>
          <w:szCs w:val="32"/>
          <w:highlight w:val="none"/>
          <w:lang w:val="en-US" w:eastAsia="en-US"/>
        </w:rPr>
        <w:t>月</w:t>
      </w:r>
    </w:p>
    <w:p w14:paraId="6B84D0AC">
      <w:pPr>
        <w:keepNext w:val="0"/>
        <w:keepLines w:val="0"/>
        <w:pageBreakBefore w:val="0"/>
        <w:widowControl w:val="0"/>
        <w:kinsoku/>
        <w:wordWrap/>
        <w:overflowPunct/>
        <w:topLinePunct w:val="0"/>
        <w:autoSpaceDE/>
        <w:autoSpaceDN/>
        <w:bidi w:val="0"/>
        <w:adjustRightInd/>
        <w:snapToGrid/>
        <w:spacing w:before="0" w:beforeLines="80" w:line="800" w:lineRule="exact"/>
        <w:ind w:left="3528" w:leftChars="456" w:hanging="2570" w:hangingChars="800"/>
        <w:jc w:val="both"/>
        <w:textAlignment w:val="auto"/>
        <w:rPr>
          <w:rFonts w:hint="eastAsia"/>
          <w:b/>
          <w:color w:val="auto"/>
          <w:sz w:val="32"/>
          <w:szCs w:val="32"/>
          <w:highlight w:val="none"/>
        </w:rPr>
        <w:sectPr>
          <w:footerReference r:id="rId3" w:type="default"/>
          <w:pgSz w:w="11906" w:h="16839"/>
          <w:pgMar w:top="1431" w:right="1450" w:bottom="1156" w:left="1597" w:header="0" w:footer="994" w:gutter="0"/>
          <w:pgBorders>
            <w:top w:val="none" w:sz="0" w:space="0"/>
            <w:left w:val="none" w:sz="0" w:space="0"/>
            <w:bottom w:val="none" w:sz="0" w:space="0"/>
            <w:right w:val="none" w:sz="0" w:space="0"/>
          </w:pgBorders>
          <w:pgNumType w:fmt="decimal"/>
          <w:cols w:space="720" w:num="1"/>
        </w:sectPr>
      </w:pPr>
    </w:p>
    <w:p w14:paraId="4B53FFB8">
      <w:pPr>
        <w:keepNext w:val="0"/>
        <w:keepLines w:val="0"/>
        <w:pageBreakBefore w:val="0"/>
        <w:widowControl w:val="0"/>
        <w:kinsoku/>
        <w:wordWrap/>
        <w:overflowPunct/>
        <w:topLinePunct w:val="0"/>
        <w:autoSpaceDE/>
        <w:autoSpaceDN/>
        <w:bidi w:val="0"/>
        <w:adjustRightInd/>
        <w:snapToGrid/>
        <w:spacing w:after="313" w:afterLines="100" w:line="360" w:lineRule="auto"/>
        <w:jc w:val="center"/>
        <w:textAlignment w:val="auto"/>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目  录</w:t>
      </w:r>
    </w:p>
    <w:p w14:paraId="7C5D0E42">
      <w:pPr>
        <w:pStyle w:val="55"/>
        <w:tabs>
          <w:tab w:val="right" w:leader="dot" w:pos="8869"/>
        </w:tabs>
        <w:spacing w:line="360" w:lineRule="auto"/>
        <w:ind w:left="640" w:hanging="640"/>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instrText xml:space="preserve">TOC \o "1-3" \h \z \u</w:instrTex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instrText xml:space="preserve"> HYPERLINK \l "_Toc87345224" </w:instrTex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separate"/>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第一章</w:t>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 xml:space="preserve"> </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竞争性磋商公告</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ab/>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begin"/>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instrText xml:space="preserve"> PAGEREF _Toc87345224 \h </w:instrTex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separate"/>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end"/>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end"/>
      </w:r>
    </w:p>
    <w:p w14:paraId="1839FE66">
      <w:pPr>
        <w:pStyle w:val="55"/>
        <w:tabs>
          <w:tab w:val="right" w:leader="dot" w:pos="8869"/>
        </w:tabs>
        <w:spacing w:line="360" w:lineRule="auto"/>
        <w:ind w:left="420" w:hanging="420"/>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instrText xml:space="preserve"> HYPERLINK \l "_Toc87345225" </w:instrTex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separate"/>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第二章</w:t>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 xml:space="preserve"> </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采购需求</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ab/>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5</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end"/>
      </w:r>
    </w:p>
    <w:p w14:paraId="4A08F0CF">
      <w:pPr>
        <w:pStyle w:val="55"/>
        <w:tabs>
          <w:tab w:val="right" w:leader="dot" w:pos="8869"/>
        </w:tabs>
        <w:spacing w:line="360" w:lineRule="auto"/>
        <w:ind w:left="420" w:hanging="420"/>
        <w:rPr>
          <w:rStyle w:val="34"/>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instrText xml:space="preserve"> HYPERLINK \l "_Toc87345226" </w:instrTex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separate"/>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第三章</w:t>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 xml:space="preserve"> </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供应商须知</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ab/>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end"/>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22</w:t>
      </w:r>
    </w:p>
    <w:p w14:paraId="0B61932B">
      <w:pPr>
        <w:pStyle w:val="55"/>
        <w:tabs>
          <w:tab w:val="right" w:leader="dot" w:pos="8869"/>
        </w:tabs>
        <w:spacing w:line="360" w:lineRule="auto"/>
        <w:ind w:firstLine="480" w:firstLineChars="200"/>
        <w:rPr>
          <w:rStyle w:val="34"/>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instrText xml:space="preserve"> HYPERLINK \l "_Toc87345227" </w:instrTex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separate"/>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第一节</w:t>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 xml:space="preserve"> </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供应商须知前附表</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ab/>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end"/>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22</w:t>
      </w:r>
    </w:p>
    <w:p w14:paraId="549210EF">
      <w:pPr>
        <w:pStyle w:val="55"/>
        <w:tabs>
          <w:tab w:val="right" w:leader="dot" w:pos="8869"/>
        </w:tabs>
        <w:spacing w:line="360" w:lineRule="auto"/>
        <w:ind w:firstLine="480" w:firstLineChars="200"/>
        <w:rPr>
          <w:rStyle w:val="34"/>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instrText xml:space="preserve"> HYPERLINK \l "_Toc87345228" </w:instrTex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separate"/>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第二节</w:t>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 xml:space="preserve"> </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供应商须知正文</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ab/>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end"/>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29</w:t>
      </w:r>
    </w:p>
    <w:p w14:paraId="41FED98B">
      <w:pPr>
        <w:pStyle w:val="55"/>
        <w:tabs>
          <w:tab w:val="right" w:leader="dot" w:pos="8869"/>
        </w:tabs>
        <w:spacing w:line="360" w:lineRule="auto"/>
        <w:ind w:firstLine="720" w:firstLineChars="300"/>
        <w:rPr>
          <w:rStyle w:val="34"/>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instrText xml:space="preserve"> HYPERLINK \l "_Toc87345229" </w:instrTex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separate"/>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一、总则</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ab/>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end"/>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29</w:t>
      </w:r>
    </w:p>
    <w:p w14:paraId="210FFEB5">
      <w:pPr>
        <w:pStyle w:val="55"/>
        <w:tabs>
          <w:tab w:val="right" w:leader="dot" w:pos="8869"/>
        </w:tabs>
        <w:spacing w:line="360" w:lineRule="auto"/>
        <w:ind w:firstLine="720" w:firstLineChars="300"/>
        <w:rPr>
          <w:rStyle w:val="34"/>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instrText xml:space="preserve"> HYPERLINK \l "_Toc87345230" </w:instrTex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separate"/>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二、磋商文件</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ab/>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end"/>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31</w:t>
      </w:r>
    </w:p>
    <w:p w14:paraId="51D1ED21">
      <w:pPr>
        <w:pStyle w:val="55"/>
        <w:tabs>
          <w:tab w:val="right" w:leader="dot" w:pos="8869"/>
        </w:tabs>
        <w:spacing w:line="360" w:lineRule="auto"/>
        <w:ind w:firstLine="720" w:firstLineChars="300"/>
        <w:rPr>
          <w:rStyle w:val="34"/>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instrText xml:space="preserve"> HYPERLINK \l "_Toc87345231" </w:instrTex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separate"/>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三、响应文件的编制</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ab/>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end"/>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32</w:t>
      </w:r>
    </w:p>
    <w:p w14:paraId="7336F938">
      <w:pPr>
        <w:pStyle w:val="55"/>
        <w:tabs>
          <w:tab w:val="right" w:leader="dot" w:pos="8869"/>
        </w:tabs>
        <w:spacing w:line="360" w:lineRule="auto"/>
        <w:ind w:firstLine="720" w:firstLineChars="300"/>
        <w:rPr>
          <w:rStyle w:val="34"/>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instrText xml:space="preserve"> HYPERLINK \l "_Toc87345232" </w:instrTex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separate"/>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四、评审及磋商</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ab/>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end"/>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34</w:t>
      </w:r>
    </w:p>
    <w:p w14:paraId="04F3BC37">
      <w:pPr>
        <w:pStyle w:val="55"/>
        <w:tabs>
          <w:tab w:val="right" w:leader="dot" w:pos="8869"/>
        </w:tabs>
        <w:spacing w:line="360" w:lineRule="auto"/>
        <w:ind w:firstLine="720" w:firstLineChars="300"/>
        <w:rPr>
          <w:rStyle w:val="34"/>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instrText xml:space="preserve"> HYPERLINK \l "_Toc87345233" </w:instrTex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separate"/>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五、成交及合同</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ab/>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end"/>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35</w:t>
      </w:r>
    </w:p>
    <w:p w14:paraId="6BB15DC5">
      <w:pPr>
        <w:pStyle w:val="55"/>
        <w:tabs>
          <w:tab w:val="right" w:leader="dot" w:pos="8869"/>
        </w:tabs>
        <w:spacing w:line="360" w:lineRule="auto"/>
        <w:ind w:firstLine="720" w:firstLineChars="300"/>
        <w:rPr>
          <w:rStyle w:val="34"/>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instrText xml:space="preserve"> HYPERLINK \l "_Toc87345234" </w:instrTex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separate"/>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六、验收</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ab/>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end"/>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38</w:t>
      </w:r>
    </w:p>
    <w:p w14:paraId="5A9655B0">
      <w:pPr>
        <w:pStyle w:val="55"/>
        <w:tabs>
          <w:tab w:val="right" w:leader="dot" w:pos="8869"/>
        </w:tabs>
        <w:spacing w:line="360" w:lineRule="auto"/>
        <w:ind w:firstLine="720" w:firstLineChars="300"/>
        <w:rPr>
          <w:rStyle w:val="34"/>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instrText xml:space="preserve"> HYPERLINK \l "_Toc87345235" </w:instrTex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separate"/>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七、其他事项</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ab/>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end"/>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38</w:t>
      </w:r>
    </w:p>
    <w:p w14:paraId="346415BC">
      <w:pPr>
        <w:pStyle w:val="55"/>
        <w:tabs>
          <w:tab w:val="right" w:leader="dot" w:pos="8869"/>
        </w:tabs>
        <w:spacing w:line="360" w:lineRule="auto"/>
        <w:ind w:left="420" w:hanging="420"/>
        <w:rPr>
          <w:rStyle w:val="34"/>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instrText xml:space="preserve"> HYPERLINK \l "_Toc87345236" </w:instrTex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separate"/>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第四章</w:t>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 xml:space="preserve"> </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评审程序、评审方法和评审标准</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ab/>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end"/>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39</w:t>
      </w:r>
    </w:p>
    <w:p w14:paraId="5B0FFD51">
      <w:pPr>
        <w:pStyle w:val="55"/>
        <w:tabs>
          <w:tab w:val="right" w:leader="dot" w:pos="8869"/>
        </w:tabs>
        <w:spacing w:line="360" w:lineRule="auto"/>
        <w:ind w:firstLine="480" w:firstLineChars="200"/>
        <w:rPr>
          <w:rStyle w:val="34"/>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instrText xml:space="preserve"> HYPERLINK \l "_Toc87345237" </w:instrTex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separate"/>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第一节</w:t>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 xml:space="preserve"> </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评审程序和评审方法</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ab/>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end"/>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39</w:t>
      </w:r>
    </w:p>
    <w:p w14:paraId="5FC2DE46">
      <w:pPr>
        <w:pStyle w:val="55"/>
        <w:tabs>
          <w:tab w:val="right" w:leader="dot" w:pos="8869"/>
        </w:tabs>
        <w:spacing w:line="360" w:lineRule="auto"/>
        <w:ind w:firstLine="480" w:firstLineChars="200"/>
        <w:rPr>
          <w:rStyle w:val="34"/>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instrText xml:space="preserve"> HYPERLINK \l "_Toc87345238" </w:instrTex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separate"/>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第二节</w:t>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 xml:space="preserve"> </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评标报告</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ab/>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end"/>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47</w:t>
      </w:r>
    </w:p>
    <w:p w14:paraId="33AB0DB4">
      <w:pPr>
        <w:pStyle w:val="55"/>
        <w:tabs>
          <w:tab w:val="right" w:leader="dot" w:pos="8869"/>
        </w:tabs>
        <w:spacing w:line="360" w:lineRule="auto"/>
        <w:ind w:firstLine="480" w:firstLineChars="200"/>
        <w:rPr>
          <w:rStyle w:val="34"/>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instrText xml:space="preserve"> HYPERLINK \l "_Toc87345239" </w:instrTex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separate"/>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第三节</w:t>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 xml:space="preserve"> </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评审过程的保密与录像</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ab/>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end"/>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47</w:t>
      </w:r>
    </w:p>
    <w:p w14:paraId="51E2D57F">
      <w:pPr>
        <w:pStyle w:val="55"/>
        <w:tabs>
          <w:tab w:val="right" w:leader="dot" w:pos="8869"/>
        </w:tabs>
        <w:spacing w:line="360" w:lineRule="auto"/>
        <w:ind w:left="420" w:hanging="420"/>
        <w:rPr>
          <w:rStyle w:val="34"/>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instrText xml:space="preserve"> HYPERLINK \l "_Toc87345240" </w:instrTex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separate"/>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第五章</w:t>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 xml:space="preserve"> </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响应文件格式</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ab/>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end"/>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48</w:t>
      </w:r>
    </w:p>
    <w:p w14:paraId="71B0B339">
      <w:pPr>
        <w:pStyle w:val="55"/>
        <w:tabs>
          <w:tab w:val="right" w:leader="dot" w:pos="8869"/>
        </w:tabs>
        <w:spacing w:line="360" w:lineRule="auto"/>
        <w:ind w:firstLine="480" w:firstLineChars="200"/>
        <w:rPr>
          <w:rStyle w:val="34"/>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instrText xml:space="preserve"> HYPERLINK \l "_Toc87345241" </w:instrTex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separate"/>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第一节</w:t>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 xml:space="preserve"> </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封面格式</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ab/>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end"/>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48</w:t>
      </w:r>
    </w:p>
    <w:p w14:paraId="003AB540">
      <w:pPr>
        <w:pStyle w:val="55"/>
        <w:tabs>
          <w:tab w:val="right" w:leader="dot" w:pos="8869"/>
        </w:tabs>
        <w:spacing w:line="360" w:lineRule="auto"/>
        <w:ind w:firstLine="480" w:firstLineChars="200"/>
        <w:rPr>
          <w:rStyle w:val="34"/>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instrText xml:space="preserve"> HYPERLINK \l "_Toc87345242" </w:instrTex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separate"/>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第二节</w:t>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 xml:space="preserve"> </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资格证明文件格式</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ab/>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end"/>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49</w:t>
      </w:r>
    </w:p>
    <w:p w14:paraId="26E214F3">
      <w:pPr>
        <w:pStyle w:val="55"/>
        <w:tabs>
          <w:tab w:val="right" w:leader="dot" w:pos="8869"/>
        </w:tabs>
        <w:spacing w:line="360" w:lineRule="auto"/>
        <w:ind w:firstLine="480" w:firstLineChars="200"/>
        <w:rPr>
          <w:rStyle w:val="34"/>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instrText xml:space="preserve"> HYPERLINK \l "_Toc87345243" </w:instrTex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separate"/>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第三节</w:t>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 xml:space="preserve"> </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商务技术文件格式</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ab/>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end"/>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58</w:t>
      </w:r>
    </w:p>
    <w:p w14:paraId="3679E759">
      <w:pPr>
        <w:pStyle w:val="55"/>
        <w:tabs>
          <w:tab w:val="right" w:leader="dot" w:pos="8869"/>
        </w:tabs>
        <w:spacing w:line="360" w:lineRule="auto"/>
        <w:ind w:firstLine="480" w:firstLineChars="200"/>
        <w:rPr>
          <w:rStyle w:val="34"/>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instrText xml:space="preserve"> HYPERLINK \l "_Toc87345244" </w:instrTex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separate"/>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第四节</w:t>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 xml:space="preserve"> </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报价文件格式</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ab/>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end"/>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68</w:t>
      </w:r>
    </w:p>
    <w:p w14:paraId="4CB0EC1F">
      <w:pPr>
        <w:pStyle w:val="55"/>
        <w:tabs>
          <w:tab w:val="right" w:leader="dot" w:pos="8869"/>
        </w:tabs>
        <w:spacing w:line="360" w:lineRule="auto"/>
        <w:ind w:firstLine="480" w:firstLineChars="200"/>
        <w:rPr>
          <w:rStyle w:val="34"/>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instrText xml:space="preserve"> HYPERLINK \l "_Toc87345245" </w:instrTex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separate"/>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第五节</w:t>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 xml:space="preserve"> </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其他文书、文件格式</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ab/>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end"/>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73</w:t>
      </w:r>
    </w:p>
    <w:p w14:paraId="4534F0CC">
      <w:pPr>
        <w:pStyle w:val="55"/>
        <w:tabs>
          <w:tab w:val="right" w:leader="dot" w:pos="8869"/>
        </w:tabs>
        <w:spacing w:line="360" w:lineRule="auto"/>
        <w:ind w:left="420" w:hanging="420"/>
        <w:rPr>
          <w:rStyle w:val="34"/>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instrText xml:space="preserve"> HYPERLINK \l "_Toc87345246" </w:instrTex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separate"/>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第六章</w:t>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 xml:space="preserve"> </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合同文本</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ab/>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end"/>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76</w:t>
      </w:r>
    </w:p>
    <w:p w14:paraId="26127344">
      <w:pPr>
        <w:pStyle w:val="55"/>
        <w:tabs>
          <w:tab w:val="right" w:leader="dot" w:pos="8869"/>
        </w:tabs>
        <w:spacing w:line="360" w:lineRule="auto"/>
        <w:ind w:left="420" w:hanging="420"/>
        <w:rPr>
          <w:rStyle w:val="34"/>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instrText xml:space="preserve"> HYPERLINK \l "_Toc87345250" </w:instrTex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separate"/>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第七章</w:t>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 xml:space="preserve"> </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质疑、投诉材料格式</w:t>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ab/>
      </w:r>
      <w:r>
        <w:rPr>
          <w:rStyle w:val="3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end"/>
      </w:r>
      <w:r>
        <w:rPr>
          <w:rStyle w:val="3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90</w:t>
      </w:r>
    </w:p>
    <w:p w14:paraId="27591032">
      <w:pPr>
        <w:pStyle w:val="56"/>
        <w:spacing w:line="360" w:lineRule="auto"/>
        <w:rPr>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fldChar w:fldCharType="end"/>
      </w:r>
    </w:p>
    <w:p w14:paraId="351EADDE">
      <w:pPr>
        <w:spacing w:line="400" w:lineRule="exact"/>
        <w:rPr>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sectPr>
          <w:headerReference r:id="rId4" w:type="default"/>
          <w:footerReference r:id="rId5" w:type="default"/>
          <w:pgSz w:w="11906" w:h="16838"/>
          <w:pgMar w:top="1077" w:right="1304" w:bottom="1077" w:left="1417" w:header="851" w:footer="794" w:gutter="0"/>
          <w:pgBorders>
            <w:top w:val="none" w:sz="0" w:space="0"/>
            <w:left w:val="none" w:sz="0" w:space="0"/>
            <w:bottom w:val="none" w:sz="0" w:space="0"/>
            <w:right w:val="none" w:sz="0" w:space="0"/>
          </w:pgBorders>
          <w:pgNumType w:fmt="decimal" w:start="1"/>
          <w:cols w:space="720" w:num="1"/>
          <w:docGrid w:type="lines" w:linePitch="312" w:charSpace="0"/>
        </w:sectPr>
      </w:pPr>
    </w:p>
    <w:p w14:paraId="14C1E1D9">
      <w:pPr>
        <w:keepNext w:val="0"/>
        <w:keepLines w:val="0"/>
        <w:pageBreakBefore w:val="0"/>
        <w:widowControl w:val="0"/>
        <w:kinsoku/>
        <w:wordWrap/>
        <w:overflowPunct/>
        <w:topLinePunct w:val="0"/>
        <w:autoSpaceDE/>
        <w:autoSpaceDN/>
        <w:bidi w:val="0"/>
        <w:adjustRightInd/>
        <w:snapToGrid/>
        <w:spacing w:after="0" w:afterLines="30" w:line="560" w:lineRule="exact"/>
        <w:ind w:right="-17"/>
        <w:jc w:val="center"/>
        <w:textAlignment w:val="auto"/>
        <w:rPr>
          <w:rFonts w:hint="eastAsia" w:asciiTheme="minorEastAsia" w:hAnsiTheme="minorEastAsia" w:eastAsiaTheme="minorEastAsia" w:cstheme="minorEastAsia"/>
          <w:b/>
          <w:bCs/>
          <w:color w:val="000000" w:themeColor="text1"/>
          <w:sz w:val="32"/>
          <w:szCs w:val="32"/>
          <w:highlight w:val="none"/>
          <w14:textFill>
            <w14:solidFill>
              <w14:schemeClr w14:val="tx1"/>
            </w14:solidFill>
          </w14:textFill>
        </w:rPr>
      </w:pPr>
      <w:bookmarkStart w:id="0" w:name="_Toc87345224"/>
      <w:bookmarkEnd w:id="0"/>
      <w:bookmarkStart w:id="1" w:name="_Toc35393798"/>
      <w:bookmarkStart w:id="2" w:name="_Toc44229878"/>
      <w:bookmarkStart w:id="3" w:name="_Toc35393792"/>
      <w:bookmarkStart w:id="4" w:name="_Toc28359012"/>
      <w:bookmarkStart w:id="5" w:name="_Toc28359089"/>
      <w:bookmarkStart w:id="6" w:name="_Toc35393629"/>
      <w:bookmarkStart w:id="7" w:name="_Toc28359004"/>
      <w:bookmarkStart w:id="8" w:name="_Toc35393623"/>
      <w:bookmarkStart w:id="9" w:name="_Toc28359081"/>
      <w:r>
        <w:rPr>
          <w:rFonts w:hint="eastAsia" w:asciiTheme="minorEastAsia" w:hAnsiTheme="minorEastAsia" w:eastAsiaTheme="minorEastAsia" w:cstheme="minorEastAsia"/>
          <w:b/>
          <w:bCs/>
          <w:color w:val="000000" w:themeColor="text1"/>
          <w:sz w:val="36"/>
          <w:szCs w:val="36"/>
          <w:highlight w:val="none"/>
          <w14:textFill>
            <w14:solidFill>
              <w14:schemeClr w14:val="tx1"/>
            </w14:solidFill>
          </w14:textFill>
        </w:rPr>
        <w:t>第一章</w:t>
      </w:r>
      <w:r>
        <w:rPr>
          <w:rFonts w:hint="eastAsia" w:asciiTheme="minorEastAsia" w:hAnsiTheme="minorEastAsia" w:eastAsiaTheme="minorEastAsia" w:cstheme="minorEastAsia"/>
          <w:b/>
          <w:bCs/>
          <w:color w:val="000000" w:themeColor="text1"/>
          <w:sz w:val="36"/>
          <w:szCs w:val="36"/>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36"/>
          <w:szCs w:val="36"/>
          <w:highlight w:val="none"/>
          <w14:textFill>
            <w14:solidFill>
              <w14:schemeClr w14:val="tx1"/>
            </w14:solidFill>
          </w14:textFill>
        </w:rPr>
        <w:t>竞争性磋商公告</w:t>
      </w:r>
      <w:bookmarkEnd w:id="1"/>
      <w:bookmarkEnd w:id="2"/>
      <w:bookmarkEnd w:id="3"/>
      <w:bookmarkEnd w:id="4"/>
      <w:bookmarkEnd w:id="5"/>
      <w:bookmarkEnd w:id="6"/>
      <w:bookmarkEnd w:id="7"/>
      <w:bookmarkEnd w:id="8"/>
      <w:bookmarkEnd w:id="9"/>
    </w:p>
    <w:p w14:paraId="0BE7398A">
      <w:pPr>
        <w:spacing w:line="460" w:lineRule="exact"/>
        <w:ind w:right="-17"/>
        <w:jc w:val="center"/>
        <w:rPr>
          <w:rFonts w:hint="default" w:ascii="宋体" w:hAnsi="宋体" w:eastAsia="宋体" w:cs="宋体"/>
          <w:color w:val="000000" w:themeColor="text1"/>
          <w:sz w:val="30"/>
          <w:szCs w:val="30"/>
          <w:highlight w:val="none"/>
          <w:lang w:val="en-US" w:eastAsia="zh-CN"/>
          <w14:textFill>
            <w14:solidFill>
              <w14:schemeClr w14:val="tx1"/>
            </w14:solidFill>
          </w14:textFill>
        </w:rPr>
      </w:pPr>
      <w:r>
        <w:rPr>
          <w:rFonts w:hint="eastAsia" w:ascii="宋体" w:hAnsi="宋体" w:eastAsia="宋体" w:cs="宋体"/>
          <w:b/>
          <w:bCs/>
          <w:color w:val="000000" w:themeColor="text1"/>
          <w:spacing w:val="9"/>
          <w:sz w:val="30"/>
          <w:szCs w:val="30"/>
          <w:highlight w:val="none"/>
          <w:lang w:eastAsia="zh-CN"/>
          <w14:textFill>
            <w14:solidFill>
              <w14:schemeClr w14:val="tx1"/>
            </w14:solidFill>
          </w14:textFill>
        </w:rPr>
        <w:t>广西华诚达建设项目管理有限公司</w:t>
      </w:r>
      <w:r>
        <w:rPr>
          <w:rFonts w:ascii="宋体" w:hAnsi="宋体" w:eastAsia="宋体" w:cs="宋体"/>
          <w:b/>
          <w:bCs/>
          <w:color w:val="000000" w:themeColor="text1"/>
          <w:spacing w:val="9"/>
          <w:sz w:val="30"/>
          <w:szCs w:val="30"/>
          <w:highlight w:val="none"/>
          <w:lang w:eastAsia="zh-CN"/>
          <w14:textFill>
            <w14:solidFill>
              <w14:schemeClr w14:val="tx1"/>
            </w14:solidFill>
          </w14:textFill>
        </w:rPr>
        <w:t>关于</w:t>
      </w:r>
      <w:r>
        <w:rPr>
          <w:rFonts w:hint="eastAsia" w:ascii="宋体" w:hAnsi="宋体" w:cs="宋体"/>
          <w:b/>
          <w:bCs/>
          <w:color w:val="000000" w:themeColor="text1"/>
          <w:spacing w:val="9"/>
          <w:sz w:val="30"/>
          <w:szCs w:val="30"/>
          <w:highlight w:val="none"/>
          <w:lang w:eastAsia="zh-CN"/>
          <w14:textFill>
            <w14:solidFill>
              <w14:schemeClr w14:val="tx1"/>
            </w14:solidFill>
          </w14:textFill>
        </w:rPr>
        <w:t>钦州市精神病医院扩建项目检测</w:t>
      </w:r>
      <w:r>
        <w:rPr>
          <w:rFonts w:hint="eastAsia" w:ascii="宋体" w:hAnsi="宋体" w:eastAsia="宋体" w:cs="宋体"/>
          <w:b/>
          <w:bCs/>
          <w:color w:val="000000" w:themeColor="text1"/>
          <w:spacing w:val="9"/>
          <w:sz w:val="30"/>
          <w:szCs w:val="30"/>
          <w:highlight w:val="none"/>
          <w:lang w:eastAsia="zh-CN"/>
          <w14:textFill>
            <w14:solidFill>
              <w14:schemeClr w14:val="tx1"/>
            </w14:solidFill>
          </w14:textFill>
        </w:rPr>
        <w:t>的竞</w:t>
      </w:r>
      <w:r>
        <w:rPr>
          <w:rFonts w:ascii="宋体" w:hAnsi="宋体" w:eastAsia="宋体" w:cs="宋体"/>
          <w:b/>
          <w:bCs/>
          <w:color w:val="000000" w:themeColor="text1"/>
          <w:spacing w:val="6"/>
          <w:sz w:val="30"/>
          <w:szCs w:val="30"/>
          <w:highlight w:val="none"/>
          <w:lang w:eastAsia="zh-CN"/>
          <w14:textFill>
            <w14:solidFill>
              <w14:schemeClr w14:val="tx1"/>
            </w14:solidFill>
          </w14:textFill>
        </w:rPr>
        <w:t>争性磋商公告</w:t>
      </w:r>
    </w:p>
    <w:tbl>
      <w:tblPr>
        <w:tblStyle w:val="117"/>
        <w:tblW w:w="9183" w:type="dxa"/>
        <w:tblInd w:w="3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183"/>
      </w:tblGrid>
      <w:tr w14:paraId="6D128278">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957" w:hRule="atLeast"/>
        </w:trPr>
        <w:tc>
          <w:tcPr>
            <w:tcW w:w="9183" w:type="dxa"/>
          </w:tcPr>
          <w:p w14:paraId="7C598B8D">
            <w:pPr>
              <w:pStyle w:val="116"/>
              <w:keepNext w:val="0"/>
              <w:keepLines w:val="0"/>
              <w:pageBreakBefore w:val="0"/>
              <w:widowControl w:val="0"/>
              <w:kinsoku/>
              <w:wordWrap/>
              <w:overflowPunct/>
              <w:topLinePunct w:val="0"/>
              <w:autoSpaceDE/>
              <w:autoSpaceDN/>
              <w:bidi w:val="0"/>
              <w:adjustRightInd/>
              <w:snapToGrid/>
              <w:spacing w:line="440" w:lineRule="exact"/>
              <w:ind w:left="0" w:leftChars="0" w:right="0" w:firstLine="420" w:firstLineChars="200"/>
              <w:jc w:val="left"/>
              <w:textAlignment w:val="auto"/>
              <w:rPr>
                <w:rFonts w:hint="eastAsia"/>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项目概况                                      </w:t>
            </w:r>
          </w:p>
          <w:p w14:paraId="72D7A5AE">
            <w:pPr>
              <w:pStyle w:val="116"/>
              <w:keepNext w:val="0"/>
              <w:keepLines w:val="0"/>
              <w:pageBreakBefore w:val="0"/>
              <w:widowControl w:val="0"/>
              <w:kinsoku/>
              <w:wordWrap/>
              <w:overflowPunct/>
              <w:topLinePunct w:val="0"/>
              <w:autoSpaceDE/>
              <w:autoSpaceDN/>
              <w:bidi w:val="0"/>
              <w:adjustRightInd/>
              <w:snapToGrid/>
              <w:spacing w:line="440" w:lineRule="exact"/>
              <w:ind w:left="21" w:leftChars="10" w:right="21" w:rightChars="10" w:firstLine="420" w:firstLineChars="200"/>
              <w:jc w:val="left"/>
              <w:textAlignment w:val="auto"/>
              <w:rPr>
                <w:rFonts w:hint="eastAsia"/>
                <w:color w:val="000000" w:themeColor="text1"/>
                <w:sz w:val="21"/>
                <w:szCs w:val="21"/>
                <w:highlight w:val="none"/>
                <w:lang w:eastAsia="zh-CN"/>
                <w14:textFill>
                  <w14:solidFill>
                    <w14:schemeClr w14:val="tx1"/>
                  </w14:solidFill>
                </w14:textFill>
              </w:rPr>
            </w:pPr>
            <w:r>
              <w:rPr>
                <w:rFonts w:hint="eastAsia"/>
                <w:color w:val="auto"/>
                <w:sz w:val="21"/>
                <w:szCs w:val="21"/>
                <w:highlight w:val="none"/>
                <w:u w:val="single"/>
                <w:lang w:eastAsia="zh-CN"/>
              </w:rPr>
              <w:t>钦州市精神病医院扩建项目检测</w:t>
            </w:r>
            <w:r>
              <w:rPr>
                <w:rFonts w:hint="eastAsia"/>
                <w:color w:val="auto"/>
                <w:sz w:val="21"/>
                <w:szCs w:val="21"/>
                <w:highlight w:val="none"/>
                <w:lang w:eastAsia="zh-CN"/>
              </w:rPr>
              <w:t>项目的潜</w:t>
            </w:r>
            <w:r>
              <w:rPr>
                <w:rFonts w:hint="eastAsia"/>
                <w:color w:val="000000" w:themeColor="text1"/>
                <w:sz w:val="21"/>
                <w:szCs w:val="21"/>
                <w:highlight w:val="none"/>
                <w:lang w:eastAsia="zh-CN"/>
                <w14:textFill>
                  <w14:solidFill>
                    <w14:schemeClr w14:val="tx1"/>
                  </w14:solidFill>
                </w14:textFill>
              </w:rPr>
              <w:t>在供应商应在</w:t>
            </w:r>
            <w:r>
              <w:rPr>
                <w:rFonts w:hint="eastAsia"/>
                <w:color w:val="000000" w:themeColor="text1"/>
                <w:sz w:val="21"/>
                <w:szCs w:val="21"/>
                <w:highlight w:val="none"/>
                <w:u w:val="single"/>
                <w:lang w:eastAsia="zh-CN"/>
                <w14:textFill>
                  <w14:solidFill>
                    <w14:schemeClr w14:val="tx1"/>
                  </w14:solidFill>
                </w14:textFill>
              </w:rPr>
              <w:t>广西政府采购云平台</w:t>
            </w:r>
            <w:r>
              <w:rPr>
                <w:rFonts w:hint="eastAsia"/>
                <w:color w:val="000000" w:themeColor="text1"/>
                <w:sz w:val="21"/>
                <w:szCs w:val="21"/>
                <w:highlight w:val="none"/>
                <w:u w:val="none"/>
                <w:lang w:val="en-US" w:eastAsia="zh-CN"/>
                <w14:textFill>
                  <w14:solidFill>
                    <w14:schemeClr w14:val="tx1"/>
                  </w14:solidFill>
                </w14:textFill>
              </w:rPr>
              <w:t>线上</w:t>
            </w:r>
            <w:r>
              <w:rPr>
                <w:rFonts w:hint="eastAsia"/>
                <w:color w:val="000000" w:themeColor="text1"/>
                <w:sz w:val="21"/>
                <w:szCs w:val="21"/>
                <w:highlight w:val="none"/>
                <w:lang w:eastAsia="zh-CN"/>
                <w14:textFill>
                  <w14:solidFill>
                    <w14:schemeClr w14:val="tx1"/>
                  </w14:solidFill>
                </w14:textFill>
              </w:rPr>
              <w:t>获取采购文件，并于</w:t>
            </w:r>
            <w:r>
              <w:rPr>
                <w:rFonts w:hint="eastAsia"/>
                <w:color w:val="0000FF"/>
                <w:sz w:val="21"/>
                <w:szCs w:val="21"/>
                <w:highlight w:val="none"/>
                <w:u w:val="single"/>
                <w:lang w:eastAsia="zh-CN"/>
              </w:rPr>
              <w:t>2026年</w:t>
            </w:r>
            <w:r>
              <w:rPr>
                <w:rFonts w:hint="eastAsia"/>
                <w:color w:val="0000FF"/>
                <w:sz w:val="21"/>
                <w:szCs w:val="21"/>
                <w:highlight w:val="none"/>
                <w:u w:val="single"/>
                <w:lang w:val="en-US" w:eastAsia="zh-CN"/>
              </w:rPr>
              <w:t>09</w:t>
            </w:r>
            <w:r>
              <w:rPr>
                <w:rFonts w:hint="eastAsia"/>
                <w:color w:val="0000FF"/>
                <w:sz w:val="21"/>
                <w:szCs w:val="21"/>
                <w:highlight w:val="none"/>
                <w:u w:val="single"/>
                <w:lang w:eastAsia="zh-CN"/>
              </w:rPr>
              <w:t>月</w:t>
            </w:r>
            <w:r>
              <w:rPr>
                <w:rFonts w:hint="eastAsia"/>
                <w:color w:val="0000FF"/>
                <w:sz w:val="21"/>
                <w:szCs w:val="21"/>
                <w:highlight w:val="none"/>
                <w:u w:val="single"/>
                <w:lang w:val="en-US" w:eastAsia="zh-CN"/>
              </w:rPr>
              <w:t>15</w:t>
            </w:r>
            <w:r>
              <w:rPr>
                <w:rFonts w:hint="eastAsia"/>
                <w:color w:val="0000FF"/>
                <w:sz w:val="21"/>
                <w:szCs w:val="21"/>
                <w:highlight w:val="none"/>
                <w:u w:val="single"/>
                <w:lang w:eastAsia="zh-CN"/>
              </w:rPr>
              <w:t>日</w:t>
            </w:r>
            <w:r>
              <w:rPr>
                <w:rFonts w:hint="eastAsia"/>
                <w:color w:val="0000FF"/>
                <w:sz w:val="21"/>
                <w:szCs w:val="21"/>
                <w:highlight w:val="none"/>
                <w:u w:val="single"/>
                <w:lang w:val="en-US" w:eastAsia="zh-CN"/>
              </w:rPr>
              <w:t>15时30分</w:t>
            </w:r>
            <w:r>
              <w:rPr>
                <w:rFonts w:hint="eastAsia"/>
                <w:color w:val="000000" w:themeColor="text1"/>
                <w:sz w:val="21"/>
                <w:szCs w:val="21"/>
                <w:highlight w:val="none"/>
                <w:lang w:eastAsia="zh-CN"/>
                <w14:textFill>
                  <w14:solidFill>
                    <w14:schemeClr w14:val="tx1"/>
                  </w14:solidFill>
                </w14:textFill>
              </w:rPr>
              <w:t>（北京时间）前提交响应文件。  </w:t>
            </w:r>
          </w:p>
        </w:tc>
      </w:tr>
    </w:tbl>
    <w:p w14:paraId="2720B59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一、项目基本情况</w:t>
      </w:r>
    </w:p>
    <w:p w14:paraId="2B3A4E2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0000FF"/>
          <w:highlight w:val="none"/>
          <w:lang w:eastAsia="zh-CN"/>
        </w:rPr>
      </w:pPr>
      <w:r>
        <w:rPr>
          <w:rFonts w:hint="eastAsia" w:ascii="宋体" w:hAnsi="宋体" w:eastAsia="宋体" w:cs="宋体"/>
          <w:color w:val="000000" w:themeColor="text1"/>
          <w:highlight w:val="none"/>
          <w:lang w:eastAsia="zh-CN"/>
          <w14:textFill>
            <w14:solidFill>
              <w14:schemeClr w14:val="tx1"/>
            </w14:solidFill>
          </w14:textFill>
        </w:rPr>
        <w:t>项目编号：QZZC2026-C3-990275-GXHC</w:t>
      </w:r>
    </w:p>
    <w:p w14:paraId="4505C9F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项目名称：</w:t>
      </w:r>
      <w:r>
        <w:rPr>
          <w:rFonts w:hint="eastAsia" w:ascii="宋体" w:hAnsi="宋体" w:cs="宋体"/>
          <w:color w:val="000000" w:themeColor="text1"/>
          <w:highlight w:val="none"/>
          <w:lang w:eastAsia="zh-CN"/>
          <w14:textFill>
            <w14:solidFill>
              <w14:schemeClr w14:val="tx1"/>
            </w14:solidFill>
          </w14:textFill>
        </w:rPr>
        <w:t>钦州市精神病医院扩建项目检测</w:t>
      </w:r>
    </w:p>
    <w:p w14:paraId="38AA2E0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采购方式：竞争性磋商</w:t>
      </w:r>
    </w:p>
    <w:p w14:paraId="465627D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预算总金额（</w:t>
      </w:r>
      <w:r>
        <w:rPr>
          <w:rFonts w:hint="eastAsia" w:ascii="宋体" w:hAnsi="宋体" w:eastAsia="宋体" w:cs="宋体"/>
          <w:color w:val="000000" w:themeColor="text1"/>
          <w:highlight w:val="none"/>
          <w:lang w:val="en-US" w:eastAsia="zh-CN"/>
          <w14:textFill>
            <w14:solidFill>
              <w14:schemeClr w14:val="tx1"/>
            </w14:solidFill>
          </w14:textFill>
        </w:rPr>
        <w:t>元）</w:t>
      </w:r>
      <w:r>
        <w:rPr>
          <w:rFonts w:hint="eastAsia" w:ascii="宋体" w:hAnsi="宋体" w:cs="宋体"/>
          <w:color w:val="000000" w:themeColor="text1"/>
          <w:highlight w:val="none"/>
          <w:lang w:val="en-US" w:eastAsia="zh-CN"/>
          <w14:textFill>
            <w14:solidFill>
              <w14:schemeClr w14:val="tx1"/>
            </w14:solidFill>
          </w14:textFill>
        </w:rPr>
        <w:t>：746800.00</w:t>
      </w:r>
    </w:p>
    <w:p w14:paraId="7A1C0DC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采购需求：</w:t>
      </w:r>
    </w:p>
    <w:p w14:paraId="3EE88859">
      <w:pPr>
        <w:keepNext w:val="0"/>
        <w:keepLines w:val="0"/>
        <w:pageBreakBefore w:val="0"/>
        <w:widowControl w:val="0"/>
        <w:shd w:val="clear" w:fill="F1F1F1" w:themeFill="background1" w:themeFillShade="F2"/>
        <w:kinsoku/>
        <w:wordWrap/>
        <w:overflowPunct/>
        <w:topLinePunct w:val="0"/>
        <w:autoSpaceDE/>
        <w:autoSpaceDN/>
        <w:bidi w:val="0"/>
        <w:adjustRightInd/>
        <w:snapToGrid/>
        <w:spacing w:line="440" w:lineRule="exact"/>
        <w:textAlignment w:val="auto"/>
        <w:rPr>
          <w:rFonts w:hint="default"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eastAsia="zh-CN"/>
          <w14:textFill>
            <w14:solidFill>
              <w14:schemeClr w14:val="tx1"/>
            </w14:solidFill>
          </w14:textFill>
        </w:rPr>
        <w:t>标项名称：</w:t>
      </w:r>
      <w:r>
        <w:rPr>
          <w:rFonts w:hint="eastAsia" w:ascii="宋体" w:hAnsi="宋体" w:cs="宋体"/>
          <w:b w:val="0"/>
          <w:bCs w:val="0"/>
          <w:color w:val="000000" w:themeColor="text1"/>
          <w:highlight w:val="none"/>
          <w:lang w:eastAsia="zh-CN"/>
          <w14:textFill>
            <w14:solidFill>
              <w14:schemeClr w14:val="tx1"/>
            </w14:solidFill>
          </w14:textFill>
        </w:rPr>
        <w:t>钦州市精神病医院扩建项目检测</w:t>
      </w:r>
      <w:r>
        <w:rPr>
          <w:rFonts w:hint="eastAsia" w:ascii="宋体" w:hAnsi="宋体" w:eastAsia="宋体" w:cs="宋体"/>
          <w:b w:val="0"/>
          <w:bCs w:val="0"/>
          <w:color w:val="000000" w:themeColor="text1"/>
          <w:highlight w:val="none"/>
          <w:lang w:eastAsia="zh-CN"/>
          <w14:textFill>
            <w14:solidFill>
              <w14:schemeClr w14:val="tx1"/>
            </w14:solidFill>
          </w14:textFill>
        </w:rPr>
        <w:br w:type="textWrapping"/>
      </w:r>
      <w:r>
        <w:rPr>
          <w:rFonts w:hint="eastAsia" w:ascii="宋体" w:hAnsi="宋体" w:eastAsia="宋体" w:cs="宋体"/>
          <w:b w:val="0"/>
          <w:bCs w:val="0"/>
          <w:color w:val="000000" w:themeColor="text1"/>
          <w:highlight w:val="none"/>
          <w:lang w:eastAsia="zh-CN"/>
          <w14:textFill>
            <w14:solidFill>
              <w14:schemeClr w14:val="tx1"/>
            </w14:solidFill>
          </w14:textFill>
        </w:rPr>
        <w:t>数量：</w:t>
      </w:r>
      <w:r>
        <w:rPr>
          <w:rFonts w:hint="eastAsia" w:ascii="宋体" w:hAnsi="宋体" w:cs="宋体"/>
          <w:b w:val="0"/>
          <w:bCs w:val="0"/>
          <w:color w:val="000000" w:themeColor="text1"/>
          <w:highlight w:val="none"/>
          <w:lang w:eastAsia="zh-CN"/>
          <w14:textFill>
            <w14:solidFill>
              <w14:schemeClr w14:val="tx1"/>
            </w14:solidFill>
          </w14:textFill>
        </w:rPr>
        <w:t>不限</w:t>
      </w:r>
      <w:r>
        <w:rPr>
          <w:rFonts w:hint="eastAsia" w:ascii="宋体" w:hAnsi="宋体" w:eastAsia="宋体" w:cs="宋体"/>
          <w:b w:val="0"/>
          <w:bCs w:val="0"/>
          <w:color w:val="000000" w:themeColor="text1"/>
          <w:highlight w:val="none"/>
          <w:lang w:eastAsia="zh-CN"/>
          <w14:textFill>
            <w14:solidFill>
              <w14:schemeClr w14:val="tx1"/>
            </w14:solidFill>
          </w14:textFill>
        </w:rPr>
        <w:br w:type="textWrapping"/>
      </w:r>
      <w:r>
        <w:rPr>
          <w:rFonts w:hint="eastAsia" w:ascii="宋体" w:hAnsi="宋体" w:eastAsia="宋体" w:cs="宋体"/>
          <w:b w:val="0"/>
          <w:bCs w:val="0"/>
          <w:color w:val="000000" w:themeColor="text1"/>
          <w:highlight w:val="none"/>
          <w:lang w:eastAsia="zh-CN"/>
          <w14:textFill>
            <w14:solidFill>
              <w14:schemeClr w14:val="tx1"/>
            </w14:solidFill>
          </w14:textFill>
        </w:rPr>
        <w:t>预算金额（元）：</w:t>
      </w:r>
      <w:r>
        <w:rPr>
          <w:rFonts w:hint="eastAsia" w:ascii="宋体" w:hAnsi="宋体" w:cs="宋体"/>
          <w:b w:val="0"/>
          <w:bCs w:val="0"/>
          <w:color w:val="000000" w:themeColor="text1"/>
          <w:highlight w:val="none"/>
          <w:lang w:val="en-US" w:eastAsia="zh-CN"/>
          <w14:textFill>
            <w14:solidFill>
              <w14:schemeClr w14:val="tx1"/>
            </w14:solidFill>
          </w14:textFill>
        </w:rPr>
        <w:t>746800.00</w:t>
      </w:r>
    </w:p>
    <w:p w14:paraId="631FA6AB">
      <w:pPr>
        <w:keepNext w:val="0"/>
        <w:keepLines w:val="0"/>
        <w:pageBreakBefore w:val="0"/>
        <w:widowControl w:val="0"/>
        <w:shd w:val="clear" w:fill="F1F1F1" w:themeFill="background1" w:themeFillShade="F2"/>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highlight w:val="none"/>
          <w:lang w:eastAsia="zh-CN"/>
        </w:rPr>
      </w:pPr>
      <w:r>
        <w:rPr>
          <w:rFonts w:hint="eastAsia" w:ascii="宋体" w:hAnsi="宋体" w:eastAsia="宋体" w:cs="宋体"/>
          <w:b w:val="0"/>
          <w:bCs w:val="0"/>
          <w:color w:val="000000" w:themeColor="text1"/>
          <w:highlight w:val="none"/>
          <w:lang w:eastAsia="zh-CN"/>
          <w14:textFill>
            <w14:solidFill>
              <w14:schemeClr w14:val="tx1"/>
            </w14:solidFill>
          </w14:textFill>
        </w:rPr>
        <w:t>简要规格描述或项目基本概况介绍、</w:t>
      </w:r>
      <w:r>
        <w:rPr>
          <w:rFonts w:hint="eastAsia" w:ascii="宋体" w:hAnsi="宋体" w:eastAsia="宋体" w:cs="宋体"/>
          <w:b w:val="0"/>
          <w:bCs w:val="0"/>
          <w:color w:val="auto"/>
          <w:highlight w:val="none"/>
          <w:lang w:eastAsia="zh-CN"/>
        </w:rPr>
        <w:t>用途：</w:t>
      </w:r>
      <w:r>
        <w:rPr>
          <w:rFonts w:hint="eastAsia" w:ascii="宋体" w:hAnsi="宋体" w:cs="宋体"/>
          <w:b w:val="0"/>
          <w:bCs w:val="0"/>
          <w:color w:val="auto"/>
          <w:highlight w:val="none"/>
          <w:lang w:eastAsia="zh-CN"/>
        </w:rPr>
        <w:t>钦州市精神病医院扩建项目检测，</w:t>
      </w:r>
      <w:r>
        <w:rPr>
          <w:rFonts w:hint="eastAsia" w:ascii="宋体" w:hAnsi="宋体" w:eastAsia="宋体" w:cs="宋体"/>
          <w:b w:val="0"/>
          <w:bCs w:val="0"/>
          <w:color w:val="auto"/>
          <w:highlight w:val="none"/>
          <w:lang w:val="en-US" w:eastAsia="zh-CN"/>
        </w:rPr>
        <w:t>包括地基基础工程检测、见证取样检测、沉降观测、主体结构工程现场检测、建筑物附属设备安装工程检测、节能检测、室内环境检测、土壤氡及土工检测、消防检测、绿色建筑检测及根据国家相关规定或规范要求必须进行的其他检测等</w:t>
      </w:r>
      <w:r>
        <w:rPr>
          <w:rFonts w:hint="eastAsia" w:ascii="宋体" w:hAnsi="宋体" w:eastAsia="宋体" w:cs="宋体"/>
          <w:b w:val="0"/>
          <w:bCs w:val="0"/>
          <w:color w:val="auto"/>
          <w:highlight w:val="none"/>
          <w:lang w:eastAsia="zh-CN"/>
        </w:rPr>
        <w:t>。</w:t>
      </w:r>
    </w:p>
    <w:p w14:paraId="184F4F98">
      <w:pPr>
        <w:keepNext w:val="0"/>
        <w:keepLines w:val="0"/>
        <w:pageBreakBefore w:val="0"/>
        <w:widowControl w:val="0"/>
        <w:shd w:val="clear" w:fill="F1F1F1" w:themeFill="background1" w:themeFillShade="F2"/>
        <w:kinsoku/>
        <w:wordWrap/>
        <w:overflowPunct/>
        <w:topLinePunct w:val="0"/>
        <w:autoSpaceDE/>
        <w:autoSpaceDN/>
        <w:bidi w:val="0"/>
        <w:adjustRightInd/>
        <w:snapToGrid/>
        <w:spacing w:line="440" w:lineRule="exact"/>
        <w:textAlignment w:val="auto"/>
        <w:rPr>
          <w:rFonts w:hint="default"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t>最高限价（如有）：</w:t>
      </w:r>
      <w:r>
        <w:rPr>
          <w:rFonts w:hint="eastAsia" w:ascii="宋体" w:hAnsi="宋体" w:cs="宋体"/>
          <w:b w:val="0"/>
          <w:bCs w:val="0"/>
          <w:color w:val="auto"/>
          <w:highlight w:val="none"/>
          <w:lang w:val="en-US" w:eastAsia="zh-CN"/>
        </w:rPr>
        <w:t>746800.00</w:t>
      </w:r>
    </w:p>
    <w:p w14:paraId="2F95BB69">
      <w:pPr>
        <w:keepNext w:val="0"/>
        <w:keepLines w:val="0"/>
        <w:pageBreakBefore w:val="0"/>
        <w:widowControl w:val="0"/>
        <w:shd w:val="clear" w:fill="F1F1F1" w:themeFill="background1" w:themeFillShade="F2"/>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highlight w:val="none"/>
          <w:lang w:eastAsia="zh-CN"/>
        </w:rPr>
      </w:pPr>
      <w:r>
        <w:rPr>
          <w:rFonts w:hint="eastAsia" w:ascii="宋体" w:hAnsi="宋体" w:eastAsia="宋体" w:cs="宋体"/>
          <w:b w:val="0"/>
          <w:bCs w:val="0"/>
          <w:color w:val="auto"/>
          <w:highlight w:val="none"/>
          <w:lang w:eastAsia="zh-CN"/>
        </w:rPr>
        <w:t>合同履约期限：</w:t>
      </w:r>
      <w:r>
        <w:rPr>
          <w:rFonts w:hint="eastAsia" w:ascii="宋体" w:hAnsi="宋体" w:cs="宋体"/>
          <w:b w:val="0"/>
          <w:bCs w:val="0"/>
          <w:color w:val="auto"/>
          <w:highlight w:val="none"/>
          <w:lang w:val="en-US" w:eastAsia="zh-CN"/>
        </w:rPr>
        <w:t>自项目</w:t>
      </w:r>
      <w:r>
        <w:rPr>
          <w:rFonts w:hint="eastAsia" w:ascii="宋体" w:hAnsi="宋体" w:cs="宋体"/>
          <w:b w:val="0"/>
          <w:bCs w:val="0"/>
          <w:color w:val="auto"/>
          <w:highlight w:val="none"/>
          <w:lang w:eastAsia="zh-CN"/>
        </w:rPr>
        <w:t>合同签订</w:t>
      </w:r>
      <w:r>
        <w:rPr>
          <w:rFonts w:hint="eastAsia" w:ascii="宋体" w:hAnsi="宋体" w:cs="宋体"/>
          <w:b w:val="0"/>
          <w:bCs w:val="0"/>
          <w:color w:val="auto"/>
          <w:highlight w:val="none"/>
          <w:lang w:val="en-US" w:eastAsia="zh-CN"/>
        </w:rPr>
        <w:t>之日起</w:t>
      </w:r>
      <w:r>
        <w:rPr>
          <w:rFonts w:hint="eastAsia" w:ascii="宋体" w:hAnsi="宋体" w:cs="宋体"/>
          <w:b w:val="0"/>
          <w:bCs w:val="0"/>
          <w:color w:val="auto"/>
          <w:highlight w:val="none"/>
          <w:lang w:eastAsia="zh-CN"/>
        </w:rPr>
        <w:t>至工程完工</w:t>
      </w:r>
      <w:r>
        <w:rPr>
          <w:rFonts w:hint="eastAsia" w:ascii="宋体" w:hAnsi="宋体" w:cs="宋体"/>
          <w:b w:val="0"/>
          <w:bCs w:val="0"/>
          <w:color w:val="auto"/>
          <w:highlight w:val="none"/>
          <w:lang w:val="en-US" w:eastAsia="zh-CN"/>
        </w:rPr>
        <w:t>以及</w:t>
      </w:r>
      <w:r>
        <w:rPr>
          <w:rFonts w:hint="eastAsia" w:ascii="宋体" w:hAnsi="宋体" w:eastAsia="宋体"/>
          <w:color w:val="auto"/>
          <w:szCs w:val="21"/>
          <w:highlight w:val="none"/>
          <w:lang w:eastAsia="zh-CN"/>
        </w:rPr>
        <w:t>检测服务验收完毕止</w:t>
      </w:r>
      <w:r>
        <w:rPr>
          <w:rFonts w:hint="eastAsia" w:ascii="宋体" w:hAnsi="宋体" w:eastAsia="宋体" w:cs="宋体"/>
          <w:b w:val="0"/>
          <w:bCs w:val="0"/>
          <w:color w:val="auto"/>
          <w:highlight w:val="none"/>
          <w:lang w:eastAsia="zh-CN"/>
        </w:rPr>
        <w:t>。</w:t>
      </w:r>
    </w:p>
    <w:p w14:paraId="76A195C8">
      <w:pPr>
        <w:keepNext w:val="0"/>
        <w:keepLines w:val="0"/>
        <w:pageBreakBefore w:val="0"/>
        <w:widowControl w:val="0"/>
        <w:shd w:val="clear" w:fill="F1F1F1" w:themeFill="background1" w:themeFillShade="F2"/>
        <w:kinsoku/>
        <w:wordWrap/>
        <w:overflowPunct/>
        <w:topLinePunct w:val="0"/>
        <w:autoSpaceDE/>
        <w:autoSpaceDN/>
        <w:bidi w:val="0"/>
        <w:adjustRightInd/>
        <w:snapToGrid/>
        <w:spacing w:line="440" w:lineRule="exact"/>
        <w:textAlignment w:val="auto"/>
        <w:rPr>
          <w:rFonts w:hint="eastAsia" w:ascii="宋体" w:hAnsi="宋体" w:cs="宋体"/>
          <w:b w:val="0"/>
          <w:bCs w:val="0"/>
          <w:color w:val="auto"/>
          <w:highlight w:val="none"/>
          <w:lang w:eastAsia="zh-CN"/>
        </w:rPr>
      </w:pPr>
      <w:r>
        <w:rPr>
          <w:rFonts w:hint="eastAsia" w:ascii="宋体" w:hAnsi="宋体" w:eastAsia="宋体" w:cs="宋体"/>
          <w:b w:val="0"/>
          <w:bCs w:val="0"/>
          <w:color w:val="auto"/>
          <w:highlight w:val="none"/>
          <w:lang w:eastAsia="zh-CN"/>
        </w:rPr>
        <w:t>本标项（</w:t>
      </w:r>
      <w:r>
        <w:rPr>
          <w:rFonts w:hint="eastAsia" w:ascii="宋体" w:hAnsi="宋体" w:cs="宋体"/>
          <w:b w:val="0"/>
          <w:bCs w:val="0"/>
          <w:color w:val="auto"/>
          <w:highlight w:val="none"/>
          <w:lang w:val="en-US" w:eastAsia="zh-CN"/>
        </w:rPr>
        <w:t>是</w:t>
      </w:r>
      <w:r>
        <w:rPr>
          <w:rFonts w:hint="eastAsia" w:ascii="宋体" w:hAnsi="宋体" w:eastAsia="宋体" w:cs="宋体"/>
          <w:b w:val="0"/>
          <w:bCs w:val="0"/>
          <w:color w:val="auto"/>
          <w:highlight w:val="none"/>
          <w:lang w:eastAsia="zh-CN"/>
        </w:rPr>
        <w:t>）接受联合体投标</w:t>
      </w:r>
      <w:r>
        <w:rPr>
          <w:rFonts w:hint="eastAsia" w:ascii="宋体" w:hAnsi="宋体" w:cs="宋体"/>
          <w:b w:val="0"/>
          <w:bCs w:val="0"/>
          <w:color w:val="auto"/>
          <w:highlight w:val="none"/>
          <w:lang w:eastAsia="zh-CN"/>
        </w:rPr>
        <w:t>。</w:t>
      </w:r>
    </w:p>
    <w:p w14:paraId="766179E4">
      <w:pPr>
        <w:keepNext w:val="0"/>
        <w:keepLines w:val="0"/>
        <w:pageBreakBefore w:val="0"/>
        <w:widowControl w:val="0"/>
        <w:shd w:val="clear" w:fill="F1F1F1" w:themeFill="background1" w:themeFillShade="F2"/>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highlight w:val="none"/>
          <w:lang w:eastAsia="zh-CN"/>
        </w:rPr>
      </w:pPr>
      <w:r>
        <w:rPr>
          <w:rFonts w:hint="eastAsia" w:ascii="宋体" w:hAnsi="宋体" w:eastAsia="宋体" w:cs="宋体"/>
          <w:b w:val="0"/>
          <w:bCs w:val="0"/>
          <w:color w:val="auto"/>
          <w:highlight w:val="none"/>
          <w:lang w:eastAsia="zh-CN"/>
        </w:rPr>
        <w:t>备注：本项</w:t>
      </w:r>
      <w:r>
        <w:rPr>
          <w:rFonts w:hint="eastAsia" w:ascii="宋体" w:hAnsi="宋体" w:eastAsia="宋体" w:cs="宋体"/>
          <w:b w:val="0"/>
          <w:bCs w:val="0"/>
          <w:color w:val="auto"/>
          <w:highlight w:val="none"/>
          <w:lang w:val="en-US" w:eastAsia="zh-CN"/>
        </w:rPr>
        <w:t>目</w:t>
      </w:r>
      <w:r>
        <w:rPr>
          <w:rFonts w:hint="eastAsia" w:ascii="宋体" w:hAnsi="宋体" w:eastAsia="宋体" w:cs="宋体"/>
          <w:b w:val="0"/>
          <w:bCs w:val="0"/>
          <w:color w:val="auto"/>
          <w:highlight w:val="none"/>
          <w:lang w:eastAsia="zh-CN"/>
        </w:rPr>
        <w:t>接受联合体</w:t>
      </w:r>
      <w:r>
        <w:rPr>
          <w:rFonts w:hint="eastAsia" w:ascii="宋体" w:hAnsi="宋体" w:eastAsia="宋体" w:cs="宋体"/>
          <w:b w:val="0"/>
          <w:bCs w:val="0"/>
          <w:color w:val="auto"/>
          <w:highlight w:val="none"/>
          <w:lang w:val="en-US" w:eastAsia="zh-CN"/>
        </w:rPr>
        <w:t>竞</w:t>
      </w:r>
      <w:r>
        <w:rPr>
          <w:rFonts w:hint="eastAsia" w:ascii="宋体" w:hAnsi="宋体" w:eastAsia="宋体" w:cs="宋体"/>
          <w:b w:val="0"/>
          <w:bCs w:val="0"/>
          <w:color w:val="auto"/>
          <w:highlight w:val="none"/>
          <w:lang w:eastAsia="zh-CN"/>
        </w:rPr>
        <w:t>标。</w:t>
      </w:r>
    </w:p>
    <w:p w14:paraId="4CA2AC3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二、申请人的资格条件：</w:t>
      </w:r>
    </w:p>
    <w:p w14:paraId="7AA8B94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000000" w:themeColor="text1"/>
          <w:highlight w:val="none"/>
          <w:lang w:eastAsia="zh-CN"/>
          <w14:textFill>
            <w14:solidFill>
              <w14:schemeClr w14:val="tx1"/>
            </w14:solidFill>
          </w14:textFill>
        </w:rPr>
        <w:t>1.满足《中华人民共和国政府采</w:t>
      </w:r>
      <w:r>
        <w:rPr>
          <w:rFonts w:hint="eastAsia" w:ascii="宋体" w:hAnsi="宋体" w:eastAsia="宋体" w:cs="宋体"/>
          <w:color w:val="auto"/>
          <w:highlight w:val="none"/>
          <w:lang w:eastAsia="zh-CN"/>
        </w:rPr>
        <w:t>购法》第二十二条规定；</w:t>
      </w:r>
    </w:p>
    <w:p w14:paraId="7CE2D9B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eastAsia="zh-CN"/>
        </w:rPr>
        <w:t>2.落实政府采购政策需满足的资格要求：专门面向中小企业采购的项目（</w:t>
      </w:r>
      <w:r>
        <w:rPr>
          <w:rFonts w:hint="eastAsia" w:ascii="宋体" w:hAnsi="宋体" w:eastAsia="宋体" w:cs="宋体"/>
          <w:color w:val="auto"/>
          <w:highlight w:val="none"/>
          <w:lang w:val="en-US" w:eastAsia="zh-CN"/>
        </w:rPr>
        <w:t>供应商应为中小微企业或监狱企业或残疾人福利性单位）</w:t>
      </w:r>
      <w:r>
        <w:rPr>
          <w:rFonts w:hint="eastAsia" w:ascii="宋体" w:hAnsi="宋体" w:eastAsia="宋体" w:cs="宋体"/>
          <w:color w:val="auto"/>
          <w:highlight w:val="none"/>
          <w:lang w:eastAsia="zh-CN"/>
        </w:rPr>
        <w:t>；</w:t>
      </w:r>
    </w:p>
    <w:p w14:paraId="1D9A7480">
      <w:pPr>
        <w:keepNext w:val="0"/>
        <w:keepLines w:val="0"/>
        <w:pageBreakBefore w:val="0"/>
        <w:widowControl/>
        <w:suppressLineNumbers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3.本项目的特定资格要求：</w:t>
      </w:r>
      <w:r>
        <w:rPr>
          <w:rFonts w:hint="eastAsia" w:ascii="宋体" w:hAnsi="宋体" w:cs="宋体"/>
          <w:color w:val="auto"/>
          <w:highlight w:val="none"/>
          <w:lang w:val="en-US" w:eastAsia="zh-CN"/>
        </w:rPr>
        <w:t>供应商须</w:t>
      </w:r>
      <w:r>
        <w:rPr>
          <w:rFonts w:hint="eastAsia" w:ascii="宋体" w:hAnsi="宋体" w:eastAsia="宋体" w:cs="宋体"/>
          <w:color w:val="auto"/>
          <w:highlight w:val="none"/>
          <w:lang w:eastAsia="zh-CN"/>
        </w:rPr>
        <w:t>取得省级及以上行政审批部门颁发的相应建设工程质量检测资质证书，本次</w:t>
      </w:r>
      <w:r>
        <w:rPr>
          <w:rFonts w:hint="eastAsia" w:ascii="宋体" w:hAnsi="宋体" w:eastAsia="宋体" w:cs="宋体"/>
          <w:color w:val="auto"/>
          <w:highlight w:val="none"/>
          <w:lang w:val="en-US" w:eastAsia="zh-CN"/>
        </w:rPr>
        <w:t>竞争性磋商</w:t>
      </w:r>
      <w:r>
        <w:rPr>
          <w:rFonts w:hint="eastAsia" w:ascii="宋体" w:hAnsi="宋体" w:eastAsia="宋体" w:cs="宋体"/>
          <w:color w:val="auto"/>
          <w:highlight w:val="none"/>
          <w:lang w:eastAsia="zh-CN"/>
        </w:rPr>
        <w:t>要求资质证书具有：综合资质或专项资质（专项资质须包括：建筑材料及构配件、地基基础、市政工程材料、主体结构及装饰装修、建筑节能</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lang w:eastAsia="zh-CN"/>
        </w:rPr>
        <w:t>等资质范围。</w:t>
      </w:r>
    </w:p>
    <w:p w14:paraId="7464619F">
      <w:pPr>
        <w:pStyle w:val="21"/>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default"/>
          <w:color w:val="auto"/>
          <w:highlight w:val="none"/>
          <w:lang w:val="en-US" w:eastAsia="zh-CN"/>
        </w:rPr>
      </w:pPr>
      <w:r>
        <w:rPr>
          <w:rFonts w:hint="eastAsia" w:ascii="宋体" w:hAnsi="宋体" w:cs="宋体"/>
          <w:color w:val="auto"/>
          <w:highlight w:val="none"/>
          <w:lang w:val="en-US" w:eastAsia="zh-CN"/>
        </w:rPr>
        <w:t>4.</w:t>
      </w:r>
      <w:r>
        <w:rPr>
          <w:rFonts w:hint="eastAsia" w:ascii="宋体" w:hAnsi="宋体" w:eastAsia="宋体"/>
          <w:color w:val="auto"/>
          <w:szCs w:val="21"/>
          <w:highlight w:val="none"/>
        </w:rPr>
        <w:t>本项目的特定条件：无。</w:t>
      </w:r>
    </w:p>
    <w:p w14:paraId="551CBB9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三、获取竞争性磋商文件</w:t>
      </w:r>
    </w:p>
    <w:p w14:paraId="34BD466B">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both"/>
        <w:textAlignment w:val="auto"/>
        <w:rPr>
          <w:rFonts w:hint="eastAsia" w:ascii="宋体" w:hAnsi="宋体" w:eastAsia="宋体" w:cs="宋体"/>
          <w:snapToGrid/>
          <w:color w:val="000000" w:themeColor="text1"/>
          <w:kern w:val="2"/>
          <w:highlight w:val="none"/>
          <w:lang w:eastAsia="zh-CN"/>
          <w14:textFill>
            <w14:solidFill>
              <w14:schemeClr w14:val="tx1"/>
            </w14:solidFill>
          </w14:textFill>
        </w:rPr>
      </w:pPr>
      <w:r>
        <w:rPr>
          <w:rFonts w:hint="eastAsia" w:ascii="宋体" w:hAnsi="宋体" w:eastAsia="宋体" w:cs="宋体"/>
          <w:snapToGrid/>
          <w:color w:val="000000" w:themeColor="text1"/>
          <w:kern w:val="2"/>
          <w:highlight w:val="none"/>
          <w:lang w:eastAsia="zh-CN"/>
          <w14:textFill>
            <w14:solidFill>
              <w14:schemeClr w14:val="tx1"/>
            </w14:solidFill>
          </w14:textFill>
        </w:rPr>
        <w:t>时间：</w:t>
      </w:r>
      <w:r>
        <w:rPr>
          <w:rFonts w:hint="eastAsia" w:ascii="宋体" w:hAnsi="宋体" w:eastAsia="宋体" w:cs="宋体"/>
          <w:snapToGrid w:val="0"/>
          <w:color w:val="0000FF"/>
          <w:sz w:val="21"/>
          <w:szCs w:val="21"/>
          <w:highlight w:val="none"/>
          <w:u w:val="none"/>
          <w:lang w:val="en-US" w:eastAsia="zh-CN" w:bidi="ar-SA"/>
        </w:rPr>
        <w:t>2026年</w:t>
      </w:r>
      <w:r>
        <w:rPr>
          <w:rFonts w:hint="eastAsia" w:ascii="宋体" w:hAnsi="宋体" w:cs="宋体"/>
          <w:snapToGrid w:val="0"/>
          <w:color w:val="0000FF"/>
          <w:sz w:val="21"/>
          <w:szCs w:val="21"/>
          <w:highlight w:val="none"/>
          <w:u w:val="none"/>
          <w:lang w:val="en-US" w:eastAsia="zh-CN" w:bidi="ar-SA"/>
        </w:rPr>
        <w:t>09</w:t>
      </w:r>
      <w:r>
        <w:rPr>
          <w:rFonts w:hint="eastAsia" w:ascii="宋体" w:hAnsi="宋体" w:eastAsia="宋体" w:cs="宋体"/>
          <w:snapToGrid w:val="0"/>
          <w:color w:val="0000FF"/>
          <w:sz w:val="21"/>
          <w:szCs w:val="21"/>
          <w:highlight w:val="none"/>
          <w:u w:val="none"/>
          <w:lang w:val="en-US" w:eastAsia="zh-CN" w:bidi="ar-SA"/>
        </w:rPr>
        <w:t>月</w:t>
      </w:r>
      <w:r>
        <w:rPr>
          <w:rFonts w:hint="eastAsia" w:ascii="宋体" w:hAnsi="宋体" w:cs="宋体"/>
          <w:snapToGrid w:val="0"/>
          <w:color w:val="0000FF"/>
          <w:sz w:val="21"/>
          <w:szCs w:val="21"/>
          <w:highlight w:val="none"/>
          <w:u w:val="none"/>
          <w:lang w:val="en-US" w:eastAsia="zh-CN" w:bidi="ar-SA"/>
        </w:rPr>
        <w:t>04</w:t>
      </w:r>
      <w:r>
        <w:rPr>
          <w:rFonts w:hint="eastAsia" w:ascii="宋体" w:hAnsi="宋体" w:eastAsia="宋体" w:cs="宋体"/>
          <w:snapToGrid w:val="0"/>
          <w:color w:val="0000FF"/>
          <w:sz w:val="21"/>
          <w:szCs w:val="21"/>
          <w:highlight w:val="none"/>
          <w:u w:val="none"/>
          <w:lang w:val="en-US" w:eastAsia="zh-CN" w:bidi="ar-SA"/>
        </w:rPr>
        <w:t>日至2026年</w:t>
      </w:r>
      <w:r>
        <w:rPr>
          <w:rFonts w:hint="eastAsia" w:ascii="宋体" w:hAnsi="宋体" w:cs="宋体"/>
          <w:snapToGrid w:val="0"/>
          <w:color w:val="0000FF"/>
          <w:sz w:val="21"/>
          <w:szCs w:val="21"/>
          <w:highlight w:val="none"/>
          <w:u w:val="none"/>
          <w:lang w:val="en-US" w:eastAsia="zh-CN" w:bidi="ar-SA"/>
        </w:rPr>
        <w:t>09</w:t>
      </w:r>
      <w:r>
        <w:rPr>
          <w:rFonts w:hint="eastAsia" w:ascii="宋体" w:hAnsi="宋体" w:eastAsia="宋体" w:cs="宋体"/>
          <w:snapToGrid w:val="0"/>
          <w:color w:val="0000FF"/>
          <w:sz w:val="21"/>
          <w:szCs w:val="21"/>
          <w:highlight w:val="none"/>
          <w:u w:val="none"/>
          <w:lang w:val="en-US" w:eastAsia="zh-CN" w:bidi="ar-SA"/>
        </w:rPr>
        <w:t>月</w:t>
      </w:r>
      <w:r>
        <w:rPr>
          <w:rFonts w:hint="eastAsia" w:ascii="宋体" w:hAnsi="宋体" w:cs="宋体"/>
          <w:snapToGrid w:val="0"/>
          <w:color w:val="0000FF"/>
          <w:sz w:val="21"/>
          <w:szCs w:val="21"/>
          <w:highlight w:val="none"/>
          <w:u w:val="none"/>
          <w:lang w:val="en-US" w:eastAsia="zh-CN" w:bidi="ar-SA"/>
        </w:rPr>
        <w:t>11</w:t>
      </w:r>
      <w:r>
        <w:rPr>
          <w:rFonts w:hint="eastAsia" w:ascii="宋体" w:hAnsi="宋体" w:eastAsia="宋体" w:cs="宋体"/>
          <w:snapToGrid w:val="0"/>
          <w:color w:val="0000FF"/>
          <w:sz w:val="21"/>
          <w:szCs w:val="21"/>
          <w:highlight w:val="none"/>
          <w:u w:val="none"/>
          <w:lang w:val="en-US" w:eastAsia="zh-CN" w:bidi="ar-SA"/>
        </w:rPr>
        <w:t>日</w:t>
      </w:r>
      <w:r>
        <w:rPr>
          <w:rFonts w:hint="eastAsia" w:ascii="宋体" w:hAnsi="宋体" w:eastAsia="宋体" w:cs="宋体"/>
          <w:snapToGrid/>
          <w:color w:val="000000" w:themeColor="text1"/>
          <w:kern w:val="2"/>
          <w:highlight w:val="none"/>
          <w:lang w:eastAsia="zh-CN"/>
          <w14:textFill>
            <w14:solidFill>
              <w14:schemeClr w14:val="tx1"/>
            </w14:solidFill>
          </w14:textFill>
        </w:rPr>
        <w:t>，每天上午0</w:t>
      </w:r>
      <w:r>
        <w:rPr>
          <w:rFonts w:hint="eastAsia" w:ascii="宋体" w:hAnsi="宋体" w:cs="宋体"/>
          <w:snapToGrid/>
          <w:color w:val="000000" w:themeColor="text1"/>
          <w:kern w:val="2"/>
          <w:highlight w:val="none"/>
          <w:lang w:val="en-US" w:eastAsia="zh-CN"/>
          <w14:textFill>
            <w14:solidFill>
              <w14:schemeClr w14:val="tx1"/>
            </w14:solidFill>
          </w14:textFill>
        </w:rPr>
        <w:t>0</w:t>
      </w:r>
      <w:r>
        <w:rPr>
          <w:rFonts w:hint="eastAsia" w:ascii="宋体" w:hAnsi="宋体" w:eastAsia="宋体" w:cs="宋体"/>
          <w:snapToGrid/>
          <w:color w:val="000000" w:themeColor="text1"/>
          <w:kern w:val="2"/>
          <w:highlight w:val="none"/>
          <w:lang w:eastAsia="zh-CN"/>
          <w14:textFill>
            <w14:solidFill>
              <w14:schemeClr w14:val="tx1"/>
            </w14:solidFill>
          </w14:textFill>
        </w:rPr>
        <w:t>:00至12:00，下午12:00至</w:t>
      </w:r>
      <w:r>
        <w:rPr>
          <w:rFonts w:hint="eastAsia" w:ascii="宋体" w:hAnsi="宋体" w:eastAsia="宋体" w:cs="宋体"/>
          <w:snapToGrid/>
          <w:color w:val="000000" w:themeColor="text1"/>
          <w:kern w:val="2"/>
          <w:highlight w:val="none"/>
          <w:lang w:val="en-US" w:eastAsia="zh-CN"/>
          <w14:textFill>
            <w14:solidFill>
              <w14:schemeClr w14:val="tx1"/>
            </w14:solidFill>
          </w14:textFill>
        </w:rPr>
        <w:t>23</w:t>
      </w:r>
      <w:r>
        <w:rPr>
          <w:rFonts w:hint="eastAsia" w:ascii="宋体" w:hAnsi="宋体" w:eastAsia="宋体" w:cs="宋体"/>
          <w:snapToGrid/>
          <w:color w:val="000000" w:themeColor="text1"/>
          <w:kern w:val="2"/>
          <w:highlight w:val="none"/>
          <w:lang w:eastAsia="zh-CN"/>
          <w14:textFill>
            <w14:solidFill>
              <w14:schemeClr w14:val="tx1"/>
            </w14:solidFill>
          </w14:textFill>
        </w:rPr>
        <w:t>:</w:t>
      </w:r>
      <w:r>
        <w:rPr>
          <w:rFonts w:hint="eastAsia" w:ascii="宋体" w:hAnsi="宋体" w:eastAsia="宋体" w:cs="宋体"/>
          <w:snapToGrid/>
          <w:color w:val="000000" w:themeColor="text1"/>
          <w:kern w:val="2"/>
          <w:highlight w:val="none"/>
          <w:lang w:val="en-US" w:eastAsia="zh-CN"/>
          <w14:textFill>
            <w14:solidFill>
              <w14:schemeClr w14:val="tx1"/>
            </w14:solidFill>
          </w14:textFill>
        </w:rPr>
        <w:t>59</w:t>
      </w:r>
      <w:r>
        <w:rPr>
          <w:rFonts w:hint="eastAsia" w:ascii="宋体" w:hAnsi="宋体" w:eastAsia="宋体" w:cs="宋体"/>
          <w:snapToGrid/>
          <w:color w:val="000000" w:themeColor="text1"/>
          <w:kern w:val="2"/>
          <w:highlight w:val="none"/>
          <w:lang w:eastAsia="zh-CN"/>
          <w14:textFill>
            <w14:solidFill>
              <w14:schemeClr w14:val="tx1"/>
            </w14:solidFill>
          </w14:textFill>
        </w:rPr>
        <w:t>（北京时间，法定节假日除外）</w:t>
      </w:r>
    </w:p>
    <w:p w14:paraId="41A5596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eastAsia="zh-CN"/>
          <w14:textFill>
            <w14:solidFill>
              <w14:schemeClr w14:val="tx1"/>
            </w14:solidFill>
          </w14:textFill>
        </w:rPr>
        <w:t>地点：</w:t>
      </w:r>
      <w:r>
        <w:rPr>
          <w:rFonts w:hint="eastAsia" w:ascii="宋体" w:hAnsi="宋体" w:eastAsia="宋体" w:cs="宋体"/>
          <w:color w:val="000000" w:themeColor="text1"/>
          <w:highlight w:val="none"/>
          <w:lang w:eastAsia="zh-CN"/>
          <w14:textFill>
            <w14:solidFill>
              <w14:schemeClr w14:val="tx1"/>
            </w14:solidFill>
          </w14:textFill>
        </w:rPr>
        <w:t>广西政府采购云平台</w:t>
      </w:r>
      <w:r>
        <w:rPr>
          <w:rFonts w:ascii="仿宋" w:hAnsi="仿宋" w:eastAsia="仿宋" w:cs="仿宋"/>
          <w:i w:val="0"/>
          <w:iCs w:val="0"/>
          <w:caps w:val="0"/>
          <w:color w:val="000000" w:themeColor="text1"/>
          <w:spacing w:val="0"/>
          <w:sz w:val="21"/>
          <w:szCs w:val="21"/>
          <w:highlight w:val="none"/>
          <w14:textFill>
            <w14:solidFill>
              <w14:schemeClr w14:val="tx1"/>
            </w14:solidFill>
          </w14:textFill>
        </w:rPr>
        <w:t>（https://www.gcy.zfcg.gxzf.gov.cn/）</w:t>
      </w:r>
      <w:r>
        <w:rPr>
          <w:rFonts w:hint="eastAsia" w:ascii="仿宋" w:hAnsi="仿宋" w:eastAsia="仿宋" w:cs="仿宋"/>
          <w:i w:val="0"/>
          <w:iCs w:val="0"/>
          <w:caps w:val="0"/>
          <w:color w:val="000000" w:themeColor="text1"/>
          <w:spacing w:val="0"/>
          <w:sz w:val="21"/>
          <w:szCs w:val="21"/>
          <w:highlight w:val="none"/>
          <w14:textFill>
            <w14:solidFill>
              <w14:schemeClr w14:val="tx1"/>
            </w14:solidFill>
          </w14:textFill>
        </w:rPr>
        <w:t> </w:t>
      </w:r>
      <w:r>
        <w:rPr>
          <w:rFonts w:hint="eastAsia" w:ascii="宋体" w:hAnsi="宋体" w:eastAsia="宋体" w:cs="宋体"/>
          <w:color w:val="000000" w:themeColor="text1"/>
          <w:highlight w:val="none"/>
          <w:lang w:eastAsia="zh-CN"/>
          <w14:textFill>
            <w14:solidFill>
              <w14:schemeClr w14:val="tx1"/>
            </w14:solidFill>
          </w14:textFill>
        </w:rPr>
        <w:t> </w:t>
      </w:r>
    </w:p>
    <w:p w14:paraId="3719D1F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方式：供应商登录广西政府采购云平台</w:t>
      </w:r>
      <w:r>
        <w:rPr>
          <w:rFonts w:hint="eastAsia" w:ascii="宋体" w:hAnsi="宋体" w:eastAsia="宋体" w:cs="宋体"/>
          <w:color w:val="000000" w:themeColor="text1"/>
          <w:highlight w:val="none"/>
          <w:lang w:eastAsia="zh-CN"/>
          <w14:textFill>
            <w14:solidFill>
              <w14:schemeClr w14:val="tx1"/>
            </w14:solidFill>
          </w14:textFill>
        </w:rPr>
        <w:t>https://www.gcy.zfcg.gxzf.gov.cn/</w:t>
      </w:r>
      <w:r>
        <w:rPr>
          <w:rFonts w:hint="eastAsia" w:ascii="宋体" w:hAnsi="宋体" w:eastAsia="宋体" w:cs="宋体"/>
          <w:color w:val="000000" w:themeColor="text1"/>
          <w:highlight w:val="none"/>
          <w14:textFill>
            <w14:solidFill>
              <w14:schemeClr w14:val="tx1"/>
            </w14:solidFill>
          </w14:textFill>
        </w:rPr>
        <w:t>在线申请获取采购文件（进入“项目采购”应用，在获取采购文件菜单中选择项目，申请获取采购文件）  </w:t>
      </w:r>
    </w:p>
    <w:p w14:paraId="6766DCD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eastAsia="zh-CN"/>
          <w14:textFill>
            <w14:solidFill>
              <w14:schemeClr w14:val="tx1"/>
            </w14:solidFill>
          </w14:textFill>
        </w:rPr>
        <w:t>售价（元）：0</w:t>
      </w:r>
    </w:p>
    <w:p w14:paraId="489EF04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000000" w:themeColor="text1"/>
          <w:highlight w:val="none"/>
          <w:lang w:eastAsia="zh-CN"/>
          <w14:textFill>
            <w14:solidFill>
              <w14:schemeClr w14:val="tx1"/>
            </w14:solidFill>
          </w14:textFill>
        </w:rPr>
      </w:pPr>
      <w:bookmarkStart w:id="10" w:name="_Toc1606"/>
      <w:r>
        <w:rPr>
          <w:rFonts w:hint="eastAsia" w:ascii="宋体" w:hAnsi="宋体" w:eastAsia="宋体" w:cs="宋体"/>
          <w:b/>
          <w:bCs/>
          <w:color w:val="000000" w:themeColor="text1"/>
          <w:highlight w:val="none"/>
          <w:lang w:eastAsia="zh-CN"/>
          <w14:textFill>
            <w14:solidFill>
              <w14:schemeClr w14:val="tx1"/>
            </w14:solidFill>
          </w14:textFill>
        </w:rPr>
        <w:t>四、响应文件提交</w:t>
      </w:r>
      <w:bookmarkEnd w:id="10"/>
    </w:p>
    <w:p w14:paraId="2F5A39E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000000" w:themeColor="text1"/>
          <w:sz w:val="21"/>
          <w:highlight w:val="none"/>
          <w:lang w:eastAsia="zh-CN"/>
          <w14:textFill>
            <w14:solidFill>
              <w14:schemeClr w14:val="tx1"/>
            </w14:solidFill>
          </w14:textFill>
        </w:rPr>
      </w:pPr>
      <w:bookmarkStart w:id="11" w:name="_Toc29664"/>
      <w:bookmarkStart w:id="12" w:name="_Toc44405623"/>
      <w:bookmarkStart w:id="13" w:name="_Toc44229882"/>
      <w:r>
        <w:rPr>
          <w:rFonts w:hint="eastAsia" w:ascii="宋体" w:hAnsi="宋体" w:eastAsia="宋体" w:cs="宋体"/>
          <w:color w:val="000000" w:themeColor="text1"/>
          <w:sz w:val="21"/>
          <w:highlight w:val="none"/>
          <w:lang w:eastAsia="zh-CN"/>
          <w14:textFill>
            <w14:solidFill>
              <w14:schemeClr w14:val="tx1"/>
            </w14:solidFill>
          </w14:textFill>
        </w:rPr>
        <w:t>截止时间：</w:t>
      </w:r>
      <w:bookmarkEnd w:id="11"/>
      <w:r>
        <w:rPr>
          <w:rFonts w:hint="eastAsia" w:ascii="宋体" w:hAnsi="宋体" w:eastAsia="宋体" w:cs="宋体"/>
          <w:color w:val="0000FF"/>
          <w:sz w:val="21"/>
          <w:highlight w:val="none"/>
          <w:lang w:eastAsia="zh-CN"/>
        </w:rPr>
        <w:t>2026年</w:t>
      </w:r>
      <w:r>
        <w:rPr>
          <w:rFonts w:hint="eastAsia" w:ascii="宋体" w:hAnsi="宋体" w:eastAsia="宋体" w:cs="宋体"/>
          <w:color w:val="0000FF"/>
          <w:sz w:val="21"/>
          <w:highlight w:val="none"/>
          <w:lang w:val="en-US" w:eastAsia="zh-CN"/>
        </w:rPr>
        <w:t>09</w:t>
      </w:r>
      <w:r>
        <w:rPr>
          <w:rFonts w:hint="eastAsia" w:ascii="宋体" w:hAnsi="宋体" w:eastAsia="宋体" w:cs="宋体"/>
          <w:color w:val="0000FF"/>
          <w:sz w:val="21"/>
          <w:highlight w:val="none"/>
          <w:lang w:eastAsia="zh-CN"/>
        </w:rPr>
        <w:t>月</w:t>
      </w:r>
      <w:r>
        <w:rPr>
          <w:rFonts w:hint="eastAsia" w:ascii="宋体" w:hAnsi="宋体" w:eastAsia="宋体" w:cs="宋体"/>
          <w:color w:val="0000FF"/>
          <w:sz w:val="21"/>
          <w:highlight w:val="none"/>
          <w:lang w:val="en-US" w:eastAsia="zh-CN"/>
        </w:rPr>
        <w:t>15</w:t>
      </w:r>
      <w:r>
        <w:rPr>
          <w:rFonts w:hint="eastAsia" w:ascii="宋体" w:hAnsi="宋体" w:eastAsia="宋体" w:cs="宋体"/>
          <w:color w:val="0000FF"/>
          <w:sz w:val="21"/>
          <w:highlight w:val="none"/>
          <w:lang w:eastAsia="zh-CN"/>
        </w:rPr>
        <w:t>日</w:t>
      </w:r>
      <w:r>
        <w:rPr>
          <w:rFonts w:hint="eastAsia" w:ascii="宋体" w:hAnsi="宋体" w:eastAsia="宋体" w:cs="宋体"/>
          <w:color w:val="0000FF"/>
          <w:sz w:val="21"/>
          <w:highlight w:val="none"/>
          <w:lang w:val="en-US" w:eastAsia="zh-CN"/>
        </w:rPr>
        <w:t>15时30分</w:t>
      </w:r>
      <w:r>
        <w:rPr>
          <w:rFonts w:hint="eastAsia" w:ascii="宋体" w:hAnsi="宋体" w:eastAsia="宋体" w:cs="宋体"/>
          <w:color w:val="000000" w:themeColor="text1"/>
          <w:sz w:val="21"/>
          <w:highlight w:val="none"/>
          <w:lang w:eastAsia="zh-CN"/>
          <w14:textFill>
            <w14:solidFill>
              <w14:schemeClr w14:val="tx1"/>
            </w14:solidFill>
          </w14:textFill>
        </w:rPr>
        <w:t>（北京时间）</w:t>
      </w:r>
    </w:p>
    <w:p w14:paraId="3626CF5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000000" w:themeColor="text1"/>
          <w:sz w:val="21"/>
          <w:highlight w:val="none"/>
          <w:lang w:eastAsia="zh-CN"/>
          <w14:textFill>
            <w14:solidFill>
              <w14:schemeClr w14:val="tx1"/>
            </w14:solidFill>
          </w14:textFill>
        </w:rPr>
      </w:pPr>
      <w:bookmarkStart w:id="14" w:name="_Toc10412"/>
      <w:r>
        <w:rPr>
          <w:rFonts w:hint="eastAsia" w:ascii="宋体" w:hAnsi="宋体" w:eastAsia="宋体" w:cs="宋体"/>
          <w:color w:val="000000" w:themeColor="text1"/>
          <w:sz w:val="21"/>
          <w:highlight w:val="none"/>
          <w:lang w:eastAsia="zh-CN"/>
          <w14:textFill>
            <w14:solidFill>
              <w14:schemeClr w14:val="tx1"/>
            </w14:solidFill>
          </w14:textFill>
        </w:rPr>
        <w:t>地点（网址）：请登录广西政府采购云平台投标客户端</w:t>
      </w:r>
      <w:r>
        <w:rPr>
          <w:rFonts w:hint="eastAsia" w:ascii="宋体" w:hAnsi="宋体" w:cs="宋体"/>
          <w:color w:val="000000" w:themeColor="text1"/>
          <w:sz w:val="21"/>
          <w:highlight w:val="none"/>
          <w:lang w:val="en-US" w:eastAsia="zh-CN"/>
          <w14:textFill>
            <w14:solidFill>
              <w14:schemeClr w14:val="tx1"/>
            </w14:solidFill>
          </w14:textFill>
        </w:rPr>
        <w:t>在线响应</w:t>
      </w:r>
      <w:r>
        <w:rPr>
          <w:rFonts w:hint="eastAsia" w:ascii="宋体" w:hAnsi="宋体" w:eastAsia="宋体" w:cs="宋体"/>
          <w:color w:val="000000" w:themeColor="text1"/>
          <w:sz w:val="21"/>
          <w:highlight w:val="none"/>
          <w:lang w:eastAsia="zh-CN"/>
          <w14:textFill>
            <w14:solidFill>
              <w14:schemeClr w14:val="tx1"/>
            </w14:solidFill>
          </w14:textFill>
        </w:rPr>
        <w:t>  </w:t>
      </w:r>
      <w:bookmarkEnd w:id="14"/>
    </w:p>
    <w:p w14:paraId="18D6318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000000" w:themeColor="text1"/>
          <w:sz w:val="21"/>
          <w:highlight w:val="none"/>
          <w:lang w:eastAsia="zh-CN"/>
          <w14:textFill>
            <w14:solidFill>
              <w14:schemeClr w14:val="tx1"/>
            </w14:solidFill>
          </w14:textFill>
        </w:rPr>
      </w:pPr>
      <w:bookmarkStart w:id="15" w:name="_Toc5676"/>
      <w:r>
        <w:rPr>
          <w:rFonts w:hint="eastAsia" w:ascii="宋体" w:hAnsi="宋体" w:eastAsia="宋体" w:cs="宋体"/>
          <w:b/>
          <w:bCs/>
          <w:color w:val="000000" w:themeColor="text1"/>
          <w:sz w:val="21"/>
          <w:highlight w:val="none"/>
          <w:lang w:eastAsia="zh-CN"/>
          <w14:textFill>
            <w14:solidFill>
              <w14:schemeClr w14:val="tx1"/>
            </w14:solidFill>
          </w14:textFill>
        </w:rPr>
        <w:t>五、响应文件开启</w:t>
      </w:r>
      <w:bookmarkEnd w:id="12"/>
      <w:bookmarkEnd w:id="13"/>
      <w:bookmarkEnd w:id="15"/>
    </w:p>
    <w:p w14:paraId="1441D2C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000000" w:themeColor="text1"/>
          <w:sz w:val="21"/>
          <w:highlight w:val="none"/>
          <w:lang w:eastAsia="zh-CN"/>
          <w14:textFill>
            <w14:solidFill>
              <w14:schemeClr w14:val="tx1"/>
            </w14:solidFill>
          </w14:textFill>
        </w:rPr>
      </w:pPr>
      <w:r>
        <w:rPr>
          <w:rFonts w:hint="eastAsia" w:ascii="宋体" w:hAnsi="宋体" w:eastAsia="宋体" w:cs="宋体"/>
          <w:color w:val="000000" w:themeColor="text1"/>
          <w:sz w:val="21"/>
          <w:highlight w:val="none"/>
          <w:lang w:eastAsia="zh-CN"/>
          <w14:textFill>
            <w14:solidFill>
              <w14:schemeClr w14:val="tx1"/>
            </w14:solidFill>
          </w14:textFill>
        </w:rPr>
        <w:t>开启时间：</w:t>
      </w:r>
      <w:r>
        <w:rPr>
          <w:rFonts w:hint="eastAsia" w:ascii="宋体" w:hAnsi="宋体" w:eastAsia="宋体" w:cs="宋体"/>
          <w:color w:val="0000FF"/>
          <w:sz w:val="21"/>
          <w:highlight w:val="none"/>
          <w:lang w:eastAsia="zh-CN"/>
        </w:rPr>
        <w:t>2026年</w:t>
      </w:r>
      <w:r>
        <w:rPr>
          <w:rFonts w:hint="eastAsia" w:ascii="宋体" w:hAnsi="宋体" w:eastAsia="宋体" w:cs="宋体"/>
          <w:color w:val="0000FF"/>
          <w:sz w:val="21"/>
          <w:highlight w:val="none"/>
          <w:lang w:val="en-US" w:eastAsia="zh-CN"/>
        </w:rPr>
        <w:t>09</w:t>
      </w:r>
      <w:r>
        <w:rPr>
          <w:rFonts w:hint="eastAsia" w:ascii="宋体" w:hAnsi="宋体" w:eastAsia="宋体" w:cs="宋体"/>
          <w:color w:val="0000FF"/>
          <w:sz w:val="21"/>
          <w:highlight w:val="none"/>
          <w:lang w:eastAsia="zh-CN"/>
        </w:rPr>
        <w:t>月</w:t>
      </w:r>
      <w:r>
        <w:rPr>
          <w:rFonts w:hint="eastAsia" w:ascii="宋体" w:hAnsi="宋体" w:eastAsia="宋体" w:cs="宋体"/>
          <w:color w:val="0000FF"/>
          <w:sz w:val="21"/>
          <w:highlight w:val="none"/>
          <w:lang w:val="en-US" w:eastAsia="zh-CN"/>
        </w:rPr>
        <w:t>15</w:t>
      </w:r>
      <w:r>
        <w:rPr>
          <w:rFonts w:hint="eastAsia" w:ascii="宋体" w:hAnsi="宋体" w:eastAsia="宋体" w:cs="宋体"/>
          <w:color w:val="0000FF"/>
          <w:sz w:val="21"/>
          <w:highlight w:val="none"/>
          <w:lang w:eastAsia="zh-CN"/>
        </w:rPr>
        <w:t>日</w:t>
      </w:r>
      <w:r>
        <w:rPr>
          <w:rFonts w:hint="eastAsia" w:ascii="宋体" w:hAnsi="宋体" w:eastAsia="宋体" w:cs="宋体"/>
          <w:color w:val="0000FF"/>
          <w:sz w:val="21"/>
          <w:highlight w:val="none"/>
          <w:lang w:val="en-US" w:eastAsia="zh-CN"/>
        </w:rPr>
        <w:t>15时30分</w:t>
      </w:r>
      <w:r>
        <w:rPr>
          <w:rFonts w:hint="eastAsia" w:ascii="宋体" w:hAnsi="宋体" w:eastAsia="宋体" w:cs="宋体"/>
          <w:color w:val="000000" w:themeColor="text1"/>
          <w:sz w:val="21"/>
          <w:highlight w:val="none"/>
          <w:lang w:eastAsia="zh-CN"/>
          <w14:textFill>
            <w14:solidFill>
              <w14:schemeClr w14:val="tx1"/>
            </w14:solidFill>
          </w14:textFill>
        </w:rPr>
        <w:t>（北京时间）</w:t>
      </w:r>
    </w:p>
    <w:p w14:paraId="2748FE5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000000" w:themeColor="text1"/>
          <w:sz w:val="21"/>
          <w:highlight w:val="none"/>
          <w:lang w:eastAsia="zh-CN"/>
          <w14:textFill>
            <w14:solidFill>
              <w14:schemeClr w14:val="tx1"/>
            </w14:solidFill>
          </w14:textFill>
        </w:rPr>
      </w:pPr>
      <w:r>
        <w:rPr>
          <w:rFonts w:hint="eastAsia" w:ascii="宋体" w:hAnsi="宋体" w:eastAsia="宋体" w:cs="宋体"/>
          <w:color w:val="000000" w:themeColor="text1"/>
          <w:sz w:val="21"/>
          <w:highlight w:val="none"/>
          <w:lang w:eastAsia="zh-CN"/>
          <w14:textFill>
            <w14:solidFill>
              <w14:schemeClr w14:val="tx1"/>
            </w14:solidFill>
          </w14:textFill>
        </w:rPr>
        <w:t>地点：广西政府采购云平台电子开标大厅在线解密开启</w:t>
      </w:r>
    </w:p>
    <w:p w14:paraId="4EA08B8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六、公告期限</w:t>
      </w:r>
    </w:p>
    <w:p w14:paraId="23967DD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自本公告发布之日起5个工作日。</w:t>
      </w:r>
    </w:p>
    <w:p w14:paraId="4856B99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七、其他补充事宜</w:t>
      </w:r>
    </w:p>
    <w:p w14:paraId="7C75892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cs="宋体" w:eastAsiaTheme="minorEastAsia"/>
          <w:color w:val="auto"/>
          <w:highlight w:val="none"/>
          <w:lang w:eastAsia="zh-CN"/>
        </w:rPr>
      </w:pPr>
      <w:r>
        <w:rPr>
          <w:rFonts w:hint="eastAsia" w:ascii="宋体" w:hAnsi="宋体" w:eastAsia="宋体" w:cs="宋体"/>
          <w:color w:val="auto"/>
          <w:highlight w:val="none"/>
          <w:lang w:eastAsia="zh-CN"/>
        </w:rPr>
        <w:t>1.</w:t>
      </w:r>
      <w:r>
        <w:rPr>
          <w:rFonts w:hint="eastAsia" w:asciiTheme="minorEastAsia" w:hAnsiTheme="minorEastAsia" w:eastAsiaTheme="minorEastAsia" w:cstheme="minorEastAsia"/>
          <w:color w:val="auto"/>
          <w:kern w:val="0"/>
          <w:szCs w:val="21"/>
          <w:highlight w:val="none"/>
        </w:rPr>
        <w:t>磋商保证金：本项目不收取磋商保证金</w:t>
      </w:r>
      <w:r>
        <w:rPr>
          <w:rFonts w:hint="eastAsia" w:asciiTheme="minorEastAsia" w:hAnsiTheme="minorEastAsia" w:eastAsiaTheme="minorEastAsia" w:cstheme="minorEastAsia"/>
          <w:color w:val="auto"/>
          <w:kern w:val="0"/>
          <w:szCs w:val="21"/>
          <w:highlight w:val="none"/>
          <w:lang w:eastAsia="zh-CN"/>
        </w:rPr>
        <w:t>。</w:t>
      </w:r>
    </w:p>
    <w:p w14:paraId="465509A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2.</w:t>
      </w:r>
      <w:r>
        <w:rPr>
          <w:rFonts w:hint="eastAsia" w:ascii="宋体" w:hAnsi="宋体" w:eastAsia="宋体" w:cs="宋体"/>
          <w:color w:val="auto"/>
          <w:szCs w:val="21"/>
          <w:highlight w:val="none"/>
          <w:lang w:val="en-US" w:eastAsia="zh-CN"/>
        </w:rPr>
        <w:t>采购意向公开链接：http://www.ccgp-guangxi.gov.cn/site/detail?parentId=66485&amp;articleId=RIC3q6KBvRNcZN1yhw8IRA==</w:t>
      </w:r>
    </w:p>
    <w:p w14:paraId="06A9430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highlight w:val="none"/>
          <w:lang w:eastAsia="zh-CN"/>
        </w:rPr>
      </w:pPr>
      <w:r>
        <w:rPr>
          <w:rFonts w:hint="eastAsia" w:ascii="宋体" w:hAnsi="宋体" w:cs="宋体"/>
          <w:color w:val="auto"/>
          <w:highlight w:val="none"/>
          <w:lang w:val="en-US" w:eastAsia="zh-CN"/>
        </w:rPr>
        <w:t>3</w:t>
      </w:r>
      <w:r>
        <w:rPr>
          <w:rFonts w:hint="eastAsia" w:ascii="宋体" w:hAnsi="宋体" w:eastAsia="宋体" w:cs="宋体"/>
          <w:color w:val="auto"/>
          <w:highlight w:val="none"/>
          <w:lang w:val="en-US" w:eastAsia="zh-CN"/>
        </w:rPr>
        <w:t>.网上查询地址</w:t>
      </w:r>
      <w:r>
        <w:rPr>
          <w:rFonts w:hint="eastAsia" w:ascii="宋体" w:hAnsi="宋体" w:eastAsia="宋体" w:cs="宋体"/>
          <w:color w:val="auto"/>
          <w:highlight w:val="none"/>
          <w:lang w:eastAsia="zh-CN"/>
        </w:rPr>
        <w:t>：广西政府采购网、中国政府采购网。</w:t>
      </w:r>
    </w:p>
    <w:p w14:paraId="493CFB8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lang w:eastAsia="zh-CN"/>
        </w:rPr>
        <w:t>.本项目需要落实的政府采购政策：</w:t>
      </w:r>
    </w:p>
    <w:p w14:paraId="6928C76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（1）政府采购促进中小企业发展。</w:t>
      </w:r>
    </w:p>
    <w:p w14:paraId="6B3101C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（2）政府采购支持采用本国产品的政策。</w:t>
      </w:r>
    </w:p>
    <w:p w14:paraId="75AD6F1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（3）强制采购节能产品；优先采购节能产品、环境标志产品。</w:t>
      </w:r>
    </w:p>
    <w:p w14:paraId="2AB4A9F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（4）政府采购促进残疾人就业政策。</w:t>
      </w:r>
    </w:p>
    <w:p w14:paraId="08678C4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（5）政府采购支持监狱企业发展。</w:t>
      </w:r>
    </w:p>
    <w:p w14:paraId="3563401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供应商认为采购文件使自己的权益受到损害的，可以自获取采购文件之日或者采购文件公告期限届满之日（公告期限届满后获取采购文件的，以公告期限届满之日为准）起7个工作日内且应当在采购响应截止时间之前，以书面形式一次性向采购人和采购代理机构提出同一环节的质疑。否则，逾期的质疑</w:t>
      </w:r>
      <w:r>
        <w:rPr>
          <w:rFonts w:hint="eastAsia" w:asciiTheme="minorEastAsia" w:hAnsiTheme="minorEastAsia" w:eastAsiaTheme="minorEastAsia" w:cstheme="minorEastAsia"/>
          <w:color w:val="000000" w:themeColor="text1"/>
          <w:kern w:val="0"/>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采购人及</w:t>
      </w:r>
      <w:r>
        <w:rPr>
          <w:rFonts w:hint="eastAsia" w:asciiTheme="minorEastAsia" w:hAnsiTheme="minorEastAsia" w:eastAsiaTheme="minorEastAsia" w:cstheme="minorEastAsia"/>
          <w:color w:val="000000" w:themeColor="text1"/>
          <w:kern w:val="0"/>
          <w:szCs w:val="21"/>
          <w:highlight w:val="none"/>
          <w:lang w:eastAsia="zh-CN"/>
          <w14:textFill>
            <w14:solidFill>
              <w14:schemeClr w14:val="tx1"/>
            </w14:solidFill>
          </w14:textFill>
        </w:rPr>
        <w:t>采购</w:t>
      </w: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代理机构可不予接受。质疑供应商对采购人、采购代理机构的答复不满意或者采购人、采购代理机构未在规定的时间内作出答复的，可以在答复期满后十五个工作日内向同级政府采购监督管理部门投诉。</w:t>
      </w:r>
    </w:p>
    <w:p w14:paraId="59F07EE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 xml:space="preserve">.若对项目采购电子交易系统操作有疑问，可登录“广西政府采购云平台”（https：//www.gcy.zfcg.gxzf.gov.cn/），点击右侧咨询小采，获取采小蜜智能服务管家帮助，或拨打广西政府采购云平台服务热线95763获取热线服务帮助。 </w:t>
      </w:r>
    </w:p>
    <w:p w14:paraId="05AD30A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八、凡对本次采购提出询问，请按以下方式联系</w:t>
      </w:r>
    </w:p>
    <w:p w14:paraId="51E2001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1.采购人信息</w:t>
      </w:r>
    </w:p>
    <w:p w14:paraId="2AD29DC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 xml:space="preserve">名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lang w:eastAsia="zh-CN"/>
        </w:rPr>
        <w:t>称：</w:t>
      </w:r>
      <w:r>
        <w:rPr>
          <w:rFonts w:hint="eastAsia" w:ascii="宋体" w:hAnsi="宋体" w:cs="宋体"/>
          <w:color w:val="auto"/>
          <w:highlight w:val="none"/>
          <w:lang w:eastAsia="zh-CN"/>
        </w:rPr>
        <w:t>钦州市精神病医院</w:t>
      </w:r>
      <w:r>
        <w:rPr>
          <w:rFonts w:hint="eastAsia" w:ascii="宋体" w:hAnsi="宋体" w:eastAsia="宋体" w:cs="宋体"/>
          <w:color w:val="auto"/>
          <w:highlight w:val="none"/>
          <w:lang w:eastAsia="zh-CN"/>
        </w:rPr>
        <w:t xml:space="preserve">  </w:t>
      </w:r>
    </w:p>
    <w:p w14:paraId="264F432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 xml:space="preserve">地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lang w:eastAsia="zh-CN"/>
        </w:rPr>
        <w:t>址：</w:t>
      </w:r>
      <w:r>
        <w:rPr>
          <w:rFonts w:hint="eastAsia" w:ascii="宋体" w:hAnsi="宋体" w:cs="宋体"/>
          <w:color w:val="auto"/>
          <w:highlight w:val="none"/>
          <w:lang w:eastAsia="zh-CN"/>
        </w:rPr>
        <w:t>钦州市钦北区子材街道北营社区郑屋村</w:t>
      </w:r>
    </w:p>
    <w:p w14:paraId="136E4DC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项目联系人：</w:t>
      </w:r>
      <w:r>
        <w:rPr>
          <w:rFonts w:hint="eastAsia" w:ascii="宋体" w:hAnsi="宋体" w:cs="宋体"/>
          <w:color w:val="auto"/>
          <w:highlight w:val="none"/>
          <w:lang w:val="en-US" w:eastAsia="zh-CN"/>
        </w:rPr>
        <w:t>利炳华</w:t>
      </w:r>
      <w:r>
        <w:rPr>
          <w:rFonts w:hint="eastAsia" w:ascii="宋体" w:hAnsi="宋体" w:eastAsia="宋体" w:cs="宋体"/>
          <w:color w:val="auto"/>
          <w:highlight w:val="none"/>
          <w:lang w:eastAsia="zh-CN"/>
        </w:rPr>
        <w:t xml:space="preserve">    </w:t>
      </w:r>
    </w:p>
    <w:p w14:paraId="6046C31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项目联系电话：</w:t>
      </w:r>
      <w:r>
        <w:rPr>
          <w:rFonts w:hint="eastAsia" w:ascii="宋体" w:hAnsi="宋体" w:eastAsia="宋体" w:cs="宋体"/>
          <w:color w:val="auto"/>
          <w:lang w:val="en-US" w:eastAsia="zh-CN"/>
        </w:rPr>
        <w:t>0777-3759053</w:t>
      </w:r>
    </w:p>
    <w:p w14:paraId="0AF62AD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2.采购代理机构信息</w:t>
      </w:r>
    </w:p>
    <w:p w14:paraId="3CF8C6C5">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 xml:space="preserve">名 </w:t>
      </w:r>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 xml:space="preserve">称：广西华诚达建设项目管理有限公司 </w:t>
      </w:r>
    </w:p>
    <w:p w14:paraId="1CC0AC0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 xml:space="preserve">地 </w:t>
      </w:r>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址：钦州市钦北区小江街小江九巷1号二楼</w:t>
      </w:r>
    </w:p>
    <w:p w14:paraId="4CD4D02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项目联系人：庞秀玲</w:t>
      </w:r>
    </w:p>
    <w:p w14:paraId="4F6A69D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项目联系方式：0777-3601668</w:t>
      </w:r>
    </w:p>
    <w:p w14:paraId="3B72F1DA">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eastAsia" w:ascii="宋体" w:hAnsi="宋体" w:eastAsia="宋体" w:cs="宋体"/>
          <w:color w:val="000000" w:themeColor="text1"/>
          <w:highlight w:val="none"/>
          <w:lang w:eastAsia="zh-CN"/>
          <w14:textFill>
            <w14:solidFill>
              <w14:schemeClr w14:val="tx1"/>
            </w14:solidFill>
          </w14:textFill>
        </w:rPr>
      </w:pPr>
    </w:p>
    <w:p w14:paraId="06B61CF3">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eastAsia" w:ascii="宋体" w:hAnsi="宋体" w:eastAsia="宋体" w:cs="宋体"/>
          <w:color w:val="000000" w:themeColor="text1"/>
          <w:highlight w:val="none"/>
          <w:lang w:eastAsia="zh-CN"/>
          <w14:textFill>
            <w14:solidFill>
              <w14:schemeClr w14:val="tx1"/>
            </w14:solidFill>
          </w14:textFill>
        </w:rPr>
      </w:pPr>
    </w:p>
    <w:p w14:paraId="4C64A767">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广西华诚达建设项目管理有限公司</w:t>
      </w:r>
    </w:p>
    <w:p w14:paraId="7F01A4A6">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eastAsia" w:ascii="宋体" w:hAnsi="宋体" w:cs="宋体"/>
          <w:color w:val="0000FF"/>
          <w:highlight w:val="none"/>
          <w:lang w:val="en-US" w:eastAsia="zh-CN"/>
        </w:rPr>
      </w:pPr>
      <w:r>
        <w:rPr>
          <w:rFonts w:hint="eastAsia" w:ascii="宋体" w:hAnsi="宋体" w:cs="宋体"/>
          <w:color w:val="000000" w:themeColor="text1"/>
          <w:highlight w:val="none"/>
          <w:lang w:val="en-US" w:eastAsia="zh-CN"/>
          <w14:textFill>
            <w14:solidFill>
              <w14:schemeClr w14:val="tx1"/>
            </w14:solidFill>
          </w14:textFill>
        </w:rPr>
        <w:t xml:space="preserve">                                                     </w:t>
      </w:r>
      <w:r>
        <w:rPr>
          <w:rFonts w:hint="eastAsia" w:ascii="宋体" w:hAnsi="宋体" w:cs="宋体"/>
          <w:color w:val="0000FF"/>
          <w:highlight w:val="none"/>
          <w:lang w:val="en-US" w:eastAsia="zh-CN"/>
        </w:rPr>
        <w:t xml:space="preserve"> </w:t>
      </w:r>
      <w:r>
        <w:rPr>
          <w:rFonts w:hint="eastAsia" w:ascii="宋体" w:hAnsi="宋体" w:eastAsia="宋体" w:cs="宋体"/>
          <w:color w:val="0000FF"/>
          <w:highlight w:val="none"/>
          <w:lang w:val="en-US" w:eastAsia="zh-CN"/>
        </w:rPr>
        <w:t>2026年</w:t>
      </w:r>
      <w:r>
        <w:rPr>
          <w:rFonts w:hint="eastAsia" w:ascii="宋体" w:hAnsi="宋体" w:cs="宋体"/>
          <w:color w:val="0000FF"/>
          <w:highlight w:val="none"/>
          <w:lang w:val="en-US" w:eastAsia="zh-CN"/>
        </w:rPr>
        <w:t>09月04日</w:t>
      </w:r>
    </w:p>
    <w:p w14:paraId="1E64B6D7">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eastAsia" w:ascii="宋体" w:hAnsi="宋体" w:eastAsia="宋体" w:cs="宋体"/>
          <w:color w:val="0000FF"/>
          <w:highlight w:val="none"/>
          <w:lang w:val="en-US" w:eastAsia="zh-CN"/>
        </w:rPr>
        <w:sectPr>
          <w:footerReference r:id="rId6" w:type="default"/>
          <w:pgSz w:w="11906" w:h="16839"/>
          <w:pgMar w:top="1162" w:right="1247" w:bottom="1162" w:left="1417" w:header="0" w:footer="646" w:gutter="0"/>
          <w:pgBorders>
            <w:top w:val="none" w:sz="0" w:space="0"/>
            <w:left w:val="none" w:sz="0" w:space="0"/>
            <w:bottom w:val="none" w:sz="0" w:space="0"/>
            <w:right w:val="none" w:sz="0" w:space="0"/>
          </w:pgBorders>
          <w:pgNumType w:fmt="decimal"/>
          <w:cols w:space="720" w:num="1"/>
        </w:sectPr>
      </w:pPr>
    </w:p>
    <w:p w14:paraId="0ADA46EA">
      <w:pPr>
        <w:pStyle w:val="2"/>
        <w:keepNext/>
        <w:keepLines/>
        <w:pageBreakBefore w:val="0"/>
        <w:widowControl w:val="0"/>
        <w:kinsoku/>
        <w:wordWrap/>
        <w:overflowPunct/>
        <w:topLinePunct w:val="0"/>
        <w:autoSpaceDE/>
        <w:autoSpaceDN/>
        <w:bidi w:val="0"/>
        <w:adjustRightInd/>
        <w:snapToGrid/>
        <w:spacing w:before="0" w:after="0" w:line="700" w:lineRule="exact"/>
        <w:jc w:val="center"/>
        <w:textAlignment w:val="auto"/>
        <w:rPr>
          <w:rFonts w:hint="eastAsia" w:asciiTheme="minorEastAsia" w:hAnsiTheme="minorEastAsia" w:eastAsiaTheme="minorEastAsia" w:cstheme="minorEastAsia"/>
          <w:b/>
          <w:bCs w:val="0"/>
          <w:color w:val="000000" w:themeColor="text1"/>
          <w:sz w:val="36"/>
          <w:szCs w:val="36"/>
          <w:highlight w:val="none"/>
          <w14:textFill>
            <w14:solidFill>
              <w14:schemeClr w14:val="tx1"/>
            </w14:solidFill>
          </w14:textFill>
        </w:rPr>
      </w:pPr>
      <w:bookmarkStart w:id="16" w:name="_Toc87345225"/>
      <w:bookmarkEnd w:id="16"/>
      <w:r>
        <w:rPr>
          <w:rFonts w:hint="eastAsia" w:asciiTheme="minorEastAsia" w:hAnsiTheme="minorEastAsia" w:eastAsiaTheme="minorEastAsia" w:cstheme="minorEastAsia"/>
          <w:b/>
          <w:bCs w:val="0"/>
          <w:color w:val="000000" w:themeColor="text1"/>
          <w:sz w:val="36"/>
          <w:szCs w:val="36"/>
          <w:highlight w:val="none"/>
          <w14:textFill>
            <w14:solidFill>
              <w14:schemeClr w14:val="tx1"/>
            </w14:solidFill>
          </w14:textFill>
        </w:rPr>
        <w:t>第二章</w:t>
      </w:r>
      <w:r>
        <w:rPr>
          <w:rFonts w:hint="eastAsia" w:asciiTheme="minorEastAsia" w:hAnsiTheme="minorEastAsia" w:eastAsiaTheme="minorEastAsia" w:cstheme="minorEastAsia"/>
          <w:b/>
          <w:bCs w:val="0"/>
          <w:color w:val="000000" w:themeColor="text1"/>
          <w:sz w:val="36"/>
          <w:szCs w:val="36"/>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val="0"/>
          <w:color w:val="000000" w:themeColor="text1"/>
          <w:sz w:val="36"/>
          <w:szCs w:val="36"/>
          <w:highlight w:val="none"/>
          <w14:textFill>
            <w14:solidFill>
              <w14:schemeClr w14:val="tx1"/>
            </w14:solidFill>
          </w14:textFill>
        </w:rPr>
        <w:t>采购需求</w:t>
      </w:r>
    </w:p>
    <w:p w14:paraId="3D1E8156">
      <w:pPr>
        <w:wordWrap w:val="0"/>
        <w:spacing w:line="520" w:lineRule="exact"/>
        <w:jc w:val="left"/>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说明：</w:t>
      </w:r>
    </w:p>
    <w:p w14:paraId="3748048F">
      <w:pPr>
        <w:keepNext w:val="0"/>
        <w:keepLines w:val="0"/>
        <w:pageBreakBefore w:val="0"/>
        <w:widowControl w:val="0"/>
        <w:kinsoku/>
        <w:wordWrap w:val="0"/>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1.为落实政府采购政策需满足的要求</w:t>
      </w:r>
    </w:p>
    <w:p w14:paraId="0F9D2D25">
      <w:pPr>
        <w:keepNext w:val="0"/>
        <w:keepLines w:val="0"/>
        <w:pageBreakBefore w:val="0"/>
        <w:widowControl w:val="0"/>
        <w:kinsoku/>
        <w:wordWrap w:val="0"/>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（1）本竞争性磋商采购文件所称中小企业必须符合《政府采购促进中小企业发展管理办法》（财库〔2020〕46号）的规定。</w:t>
      </w:r>
    </w:p>
    <w:p w14:paraId="33C608FC">
      <w:pPr>
        <w:keepNext w:val="0"/>
        <w:keepLines w:val="0"/>
        <w:pageBreakBefore w:val="0"/>
        <w:widowControl w:val="0"/>
        <w:kinsoku/>
        <w:wordWrap w:val="0"/>
        <w:overflowPunct/>
        <w:topLinePunct w:val="0"/>
        <w:autoSpaceDE/>
        <w:autoSpaceDN/>
        <w:bidi w:val="0"/>
        <w:adjustRightInd/>
        <w:snapToGrid/>
        <w:spacing w:line="440" w:lineRule="exact"/>
        <w:ind w:firstLine="422" w:firstLineChars="200"/>
        <w:textAlignment w:val="auto"/>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2.“实质性要求”是指采购需求中带“▲”的条款或者不能负偏离的条款或者已经指明不满足按响应文件作无效处理的条款。</w:t>
      </w:r>
    </w:p>
    <w:p w14:paraId="78C561B5">
      <w:pPr>
        <w:pStyle w:val="11"/>
        <w:keepNext w:val="0"/>
        <w:keepLines w:val="0"/>
        <w:pageBreakBefore w:val="0"/>
        <w:widowControl w:val="0"/>
        <w:kinsoku/>
        <w:wordWrap w:val="0"/>
        <w:overflowPunct/>
        <w:topLinePunct w:val="0"/>
        <w:autoSpaceDE/>
        <w:autoSpaceDN/>
        <w:bidi w:val="0"/>
        <w:adjustRightInd/>
        <w:snapToGrid/>
        <w:spacing w:line="440" w:lineRule="exact"/>
        <w:ind w:firstLine="440" w:firstLineChars="200"/>
        <w:textAlignment w:val="auto"/>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pPr>
      <w:r>
        <w:rPr>
          <w:rFonts w:hint="eastAsia" w:ascii="宋体" w:hAnsi="宋体" w:eastAsia="宋体" w:cs="宋体"/>
          <w:color w:val="auto"/>
          <w:sz w:val="22"/>
          <w:szCs w:val="22"/>
          <w:highlight w:val="none"/>
        </w:rPr>
        <w:t>3.不需要</w:t>
      </w:r>
      <w:r>
        <w:rPr>
          <w:rFonts w:hint="eastAsia" w:ascii="宋体" w:hAnsi="宋体" w:cs="宋体"/>
          <w:color w:val="auto"/>
          <w:sz w:val="22"/>
          <w:szCs w:val="22"/>
          <w:highlight w:val="none"/>
          <w:lang w:val="en-US" w:eastAsia="zh-CN"/>
        </w:rPr>
        <w:t>竞标人</w:t>
      </w:r>
      <w:r>
        <w:rPr>
          <w:rFonts w:hint="eastAsia" w:ascii="宋体" w:hAnsi="宋体" w:eastAsia="宋体" w:cs="宋体"/>
          <w:color w:val="auto"/>
          <w:sz w:val="22"/>
          <w:szCs w:val="22"/>
          <w:highlight w:val="none"/>
        </w:rPr>
        <w:t>对采购需求响应为具体数值的，此采购需求的数值后将以◆号标注。</w:t>
      </w:r>
    </w:p>
    <w:p w14:paraId="3D14EBE9">
      <w:pPr>
        <w:pStyle w:val="11"/>
        <w:keepNext w:val="0"/>
        <w:keepLines w:val="0"/>
        <w:pageBreakBefore w:val="0"/>
        <w:widowControl w:val="0"/>
        <w:kinsoku/>
        <w:wordWrap w:val="0"/>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如供应商竞标产品存在侵犯他人的知识产权或者专利成果行为的，应承担相应法律责任。</w:t>
      </w:r>
    </w:p>
    <w:tbl>
      <w:tblPr>
        <w:tblStyle w:val="26"/>
        <w:tblW w:w="50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5"/>
        <w:gridCol w:w="487"/>
        <w:gridCol w:w="914"/>
        <w:gridCol w:w="476"/>
        <w:gridCol w:w="476"/>
        <w:gridCol w:w="5116"/>
        <w:gridCol w:w="1572"/>
      </w:tblGrid>
      <w:tr w14:paraId="3F56F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000" w:type="pct"/>
            <w:gridSpan w:val="7"/>
            <w:noWrap w:val="0"/>
            <w:vAlign w:val="center"/>
          </w:tcPr>
          <w:p w14:paraId="7243E356">
            <w:pPr>
              <w:spacing w:line="44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服务需求一览表</w:t>
            </w:r>
          </w:p>
        </w:tc>
      </w:tr>
      <w:tr w14:paraId="2B124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250" w:type="pct"/>
            <w:vMerge w:val="restart"/>
            <w:noWrap w:val="0"/>
            <w:vAlign w:val="center"/>
          </w:tcPr>
          <w:p w14:paraId="65D70EE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采购清单及服务参数</w:t>
            </w:r>
          </w:p>
        </w:tc>
        <w:tc>
          <w:tcPr>
            <w:tcW w:w="256" w:type="pct"/>
            <w:noWrap w:val="0"/>
            <w:tcMar>
              <w:top w:w="0" w:type="dxa"/>
              <w:left w:w="0" w:type="dxa"/>
              <w:bottom w:w="0" w:type="dxa"/>
              <w:right w:w="0" w:type="dxa"/>
            </w:tcMar>
            <w:vAlign w:val="center"/>
          </w:tcPr>
          <w:p w14:paraId="1FA3102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序</w:t>
            </w:r>
          </w:p>
          <w:p w14:paraId="0C198D7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号</w:t>
            </w:r>
          </w:p>
        </w:tc>
        <w:tc>
          <w:tcPr>
            <w:tcW w:w="480" w:type="pct"/>
            <w:noWrap w:val="0"/>
            <w:vAlign w:val="center"/>
          </w:tcPr>
          <w:p w14:paraId="0A12F8A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采购服务名称</w:t>
            </w:r>
          </w:p>
        </w:tc>
        <w:tc>
          <w:tcPr>
            <w:tcW w:w="250" w:type="pct"/>
            <w:noWrap w:val="0"/>
            <w:vAlign w:val="center"/>
          </w:tcPr>
          <w:p w14:paraId="1540338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单</w:t>
            </w:r>
          </w:p>
          <w:p w14:paraId="6D801E7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位</w:t>
            </w:r>
          </w:p>
        </w:tc>
        <w:tc>
          <w:tcPr>
            <w:tcW w:w="250" w:type="pct"/>
            <w:noWrap w:val="0"/>
            <w:vAlign w:val="center"/>
          </w:tcPr>
          <w:p w14:paraId="62C13EB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数</w:t>
            </w:r>
          </w:p>
          <w:p w14:paraId="58EBE82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量</w:t>
            </w:r>
          </w:p>
        </w:tc>
        <w:tc>
          <w:tcPr>
            <w:tcW w:w="2688" w:type="pct"/>
            <w:noWrap w:val="0"/>
            <w:vAlign w:val="center"/>
          </w:tcPr>
          <w:p w14:paraId="070438F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服务内容及要求</w:t>
            </w:r>
          </w:p>
        </w:tc>
        <w:tc>
          <w:tcPr>
            <w:tcW w:w="823" w:type="pct"/>
            <w:noWrap w:val="0"/>
            <w:vAlign w:val="center"/>
          </w:tcPr>
          <w:p w14:paraId="0FE4BEC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中小企业划分标准所属行业名称（行业名称及划分见本章其他附件</w:t>
            </w:r>
            <w:r>
              <w:rPr>
                <w:rFonts w:hint="eastAsia" w:asciiTheme="minorEastAsia" w:hAnsiTheme="minorEastAsia" w:eastAsiaTheme="minorEastAsia" w:cstheme="minorEastAsia"/>
                <w:b/>
                <w:bCs/>
                <w:color w:val="000000" w:themeColor="text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w:t>
            </w:r>
          </w:p>
        </w:tc>
      </w:tr>
      <w:tr w14:paraId="67046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50" w:type="pct"/>
            <w:vMerge w:val="continue"/>
            <w:noWrap w:val="0"/>
            <w:vAlign w:val="top"/>
          </w:tcPr>
          <w:p w14:paraId="59ED03B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pPr>
          </w:p>
        </w:tc>
        <w:tc>
          <w:tcPr>
            <w:tcW w:w="256" w:type="pct"/>
            <w:noWrap w:val="0"/>
            <w:vAlign w:val="center"/>
          </w:tcPr>
          <w:p w14:paraId="5C2251B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w:t>
            </w:r>
          </w:p>
        </w:tc>
        <w:tc>
          <w:tcPr>
            <w:tcW w:w="480" w:type="pct"/>
            <w:noWrap w:val="0"/>
            <w:vAlign w:val="center"/>
          </w:tcPr>
          <w:p w14:paraId="48D1000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钦州市精神病医院扩建项目检测</w:t>
            </w:r>
          </w:p>
        </w:tc>
        <w:tc>
          <w:tcPr>
            <w:tcW w:w="250" w:type="pct"/>
            <w:noWrap w:val="0"/>
            <w:vAlign w:val="center"/>
          </w:tcPr>
          <w:p w14:paraId="3E5D67D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项</w:t>
            </w:r>
          </w:p>
        </w:tc>
        <w:tc>
          <w:tcPr>
            <w:tcW w:w="250" w:type="pct"/>
            <w:noWrap w:val="0"/>
            <w:vAlign w:val="center"/>
          </w:tcPr>
          <w:p w14:paraId="469BAD4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w:t>
            </w:r>
          </w:p>
        </w:tc>
        <w:tc>
          <w:tcPr>
            <w:tcW w:w="2688" w:type="pct"/>
            <w:noWrap w:val="0"/>
            <w:vAlign w:val="center"/>
          </w:tcPr>
          <w:p w14:paraId="3E5F9544">
            <w:pPr>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t>一、项目概况</w:t>
            </w:r>
          </w:p>
          <w:p w14:paraId="79647D63">
            <w:pPr>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本项目建设单位为钦州市精神病医院，建设地点位于钦州市钦北区子材街道北营社区郑屋村。建设地点位于钦州市钦北区子材街道北营社区郑屋村。项目总建筑面积为28238.81㎡，1#综合大楼总建筑面积为27941.21㎡，其中地上总建筑面积为23729.62㎡，地下建筑面积为4211.59㎡，建筑占地面积为2369.75㎡，地上层数为14层，地下层数为1层，建设高度为57.15m，建筑结构形式为框架剪力墙结构；2#门卫室总建筑面积为45.60㎡，建筑占地面积</w:t>
            </w:r>
            <w:r>
              <w:rPr>
                <w:rFonts w:hint="eastAsia" w:asciiTheme="minorEastAsia" w:hAnsiTheme="minorEastAsia" w:eastAsiaTheme="minorEastAsia" w:cstheme="minorEastAsia"/>
                <w:color w:val="auto"/>
                <w:szCs w:val="21"/>
                <w:highlight w:val="none"/>
                <w:lang w:eastAsia="zh-CN"/>
              </w:rPr>
              <w:t>为45.60㎡，建筑层数为地上1层，建筑高度（室外地面到屋面女儿墙）为5.15m，建筑结构形式为框架结构；3#洗衣房、污物间总建筑面积为252.00㎡，建筑占地面积为252.00㎡，建筑层数为地上1层，建筑高度（室外地面到屋面女儿墙）为4.85m，建筑结构形式为框架结构。主要建设内容为设计图范围内的建筑、结构、电气、给排水以及室外总平配套道路铺装、绿化景观、给排水、电气、海绵城市等</w:t>
            </w:r>
            <w:r>
              <w:rPr>
                <w:rFonts w:hint="eastAsia" w:asciiTheme="minorEastAsia" w:hAnsiTheme="minorEastAsia" w:eastAsiaTheme="minorEastAsia" w:cstheme="minorEastAsia"/>
                <w:color w:val="auto"/>
                <w:szCs w:val="21"/>
                <w:highlight w:val="none"/>
              </w:rPr>
              <w:t>。</w:t>
            </w:r>
          </w:p>
          <w:p w14:paraId="48AB7C17">
            <w:pPr>
              <w:keepNext w:val="0"/>
              <w:keepLines w:val="0"/>
              <w:pageBreakBefore w:val="0"/>
              <w:kinsoku/>
              <w:wordWrap/>
              <w:overflowPunct/>
              <w:topLinePunct w:val="0"/>
              <w:autoSpaceDE/>
              <w:autoSpaceDN/>
              <w:bidi w:val="0"/>
              <w:adjustRightInd/>
              <w:snapToGrid/>
              <w:spacing w:line="400" w:lineRule="exact"/>
              <w:textAlignment w:val="auto"/>
              <w:rPr>
                <w:rFonts w:hint="default" w:asciiTheme="minorEastAsia" w:hAnsiTheme="minorEastAsia" w:eastAsiaTheme="minorEastAsia" w:cstheme="minorEastAsia"/>
                <w:b/>
                <w:color w:val="auto"/>
                <w:szCs w:val="21"/>
                <w:highlight w:val="none"/>
                <w:lang w:val="en-US" w:eastAsia="zh-CN"/>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b/>
                <w:color w:val="auto"/>
                <w:szCs w:val="21"/>
                <w:highlight w:val="none"/>
              </w:rPr>
              <w:t>二、</w:t>
            </w:r>
            <w:r>
              <w:rPr>
                <w:rFonts w:hint="eastAsia" w:asciiTheme="minorEastAsia" w:hAnsiTheme="minorEastAsia" w:eastAsiaTheme="minorEastAsia" w:cstheme="minorEastAsia"/>
                <w:b/>
                <w:color w:val="auto"/>
                <w:szCs w:val="21"/>
                <w:highlight w:val="none"/>
                <w:lang w:val="en-US" w:eastAsia="zh-CN"/>
              </w:rPr>
              <w:t>服务</w:t>
            </w:r>
            <w:r>
              <w:rPr>
                <w:rFonts w:hint="eastAsia" w:asciiTheme="minorEastAsia" w:hAnsiTheme="minorEastAsia" w:eastAsiaTheme="minorEastAsia" w:cstheme="minorEastAsia"/>
                <w:b/>
                <w:color w:val="auto"/>
                <w:szCs w:val="21"/>
                <w:highlight w:val="none"/>
              </w:rPr>
              <w:t>范围</w:t>
            </w:r>
            <w:r>
              <w:rPr>
                <w:rFonts w:hint="eastAsia" w:asciiTheme="minorEastAsia" w:hAnsiTheme="minorEastAsia" w:eastAsiaTheme="minorEastAsia" w:cstheme="minorEastAsia"/>
                <w:b/>
                <w:color w:val="auto"/>
                <w:szCs w:val="21"/>
                <w:highlight w:val="none"/>
                <w:lang w:val="en-US" w:eastAsia="zh-CN"/>
              </w:rPr>
              <w:t>及内容</w:t>
            </w:r>
          </w:p>
          <w:p w14:paraId="43A4554B">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1.本采购</w:t>
            </w:r>
            <w:r>
              <w:rPr>
                <w:rFonts w:hint="eastAsia" w:ascii="宋体" w:hAnsi="宋体" w:eastAsia="宋体"/>
                <w:color w:val="auto"/>
                <w:szCs w:val="21"/>
                <w:highlight w:val="none"/>
              </w:rPr>
              <w:t>项目检测服务</w:t>
            </w:r>
            <w:r>
              <w:rPr>
                <w:rFonts w:hint="eastAsia" w:ascii="宋体" w:hAnsi="宋体" w:eastAsia="宋体" w:cs="宋体"/>
                <w:b w:val="0"/>
                <w:bCs w:val="0"/>
                <w:color w:val="auto"/>
                <w:highlight w:val="none"/>
                <w:lang w:val="en-US" w:eastAsia="zh-CN"/>
              </w:rPr>
              <w:t>包括地基基础工程检测、见证取样检测、沉降观测、主体结构工程现场检测、建筑物附属设备安装工程检测、节能检测、室内环境检测、土壤氡及土工检测、消防检测、绿色建筑检测及根据国家相关规定或规范要求必须进行的其他检测等</w:t>
            </w:r>
            <w:r>
              <w:rPr>
                <w:rFonts w:hint="eastAsia" w:asciiTheme="minorEastAsia" w:hAnsiTheme="minorEastAsia" w:eastAsiaTheme="minorEastAsia" w:cstheme="minorEastAsia"/>
                <w:color w:val="auto"/>
                <w:szCs w:val="21"/>
                <w:highlight w:val="none"/>
              </w:rPr>
              <w:t>。</w:t>
            </w:r>
          </w:p>
          <w:p w14:paraId="6C37F3E0">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2.具体检测项目详见后附的“检测清单”。</w:t>
            </w:r>
          </w:p>
          <w:p w14:paraId="1E3C8D2A">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bCs/>
                <w:color w:val="auto"/>
                <w:szCs w:val="21"/>
                <w:highlight w:val="none"/>
                <w:lang w:val="en-US" w:eastAsia="zh-CN"/>
              </w:rPr>
            </w:pPr>
            <w:r>
              <w:rPr>
                <w:rFonts w:hint="eastAsia" w:asciiTheme="minorEastAsia" w:hAnsiTheme="minorEastAsia" w:eastAsiaTheme="minorEastAsia" w:cstheme="minorEastAsia"/>
                <w:b/>
                <w:bCs/>
                <w:color w:val="auto"/>
                <w:szCs w:val="21"/>
                <w:highlight w:val="none"/>
                <w:lang w:val="en-US" w:eastAsia="zh-CN"/>
              </w:rPr>
              <w:t>三、服务要求</w:t>
            </w:r>
          </w:p>
          <w:p w14:paraId="31981754">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Theme="minorEastAsia" w:hAnsiTheme="minorEastAsia" w:eastAsiaTheme="minorEastAsia" w:cstheme="minorEastAsia"/>
                <w:b/>
                <w:bCs/>
                <w:color w:val="000000" w:themeColor="text1"/>
                <w:szCs w:val="21"/>
                <w:highlight w:val="none"/>
                <w:lang w:val="en-US" w:eastAsia="zh-CN"/>
                <w14:textFill>
                  <w14:solidFill>
                    <w14:schemeClr w14:val="tx1"/>
                  </w14:solidFill>
                </w14:textFill>
              </w:rPr>
            </w:pPr>
            <w:r>
              <w:rPr>
                <w:rFonts w:hint="default" w:asciiTheme="minorEastAsia" w:hAnsiTheme="minorEastAsia" w:eastAsiaTheme="minorEastAsia" w:cstheme="minorEastAsia"/>
                <w:b w:val="0"/>
                <w:bCs w:val="0"/>
                <w:color w:val="auto"/>
                <w:szCs w:val="21"/>
                <w:highlight w:val="none"/>
                <w:lang w:val="en-US" w:eastAsia="zh-CN"/>
              </w:rPr>
              <w:t>按国家、省、市现行规范、标准和委托人要求的检测内容、完成时间进行检测，严格按《建设工程质量检测管理办法》规定执行，对</w:t>
            </w:r>
            <w:r>
              <w:rPr>
                <w:rFonts w:hint="eastAsia" w:asciiTheme="minorEastAsia" w:hAnsiTheme="minorEastAsia" w:eastAsiaTheme="minorEastAsia" w:cstheme="minorEastAsia"/>
                <w:b w:val="0"/>
                <w:bCs w:val="0"/>
                <w:color w:val="auto"/>
                <w:szCs w:val="21"/>
                <w:highlight w:val="none"/>
                <w:lang w:val="en-US" w:eastAsia="zh-CN"/>
              </w:rPr>
              <w:t>采购人</w:t>
            </w:r>
            <w:r>
              <w:rPr>
                <w:rFonts w:hint="default" w:asciiTheme="minorEastAsia" w:hAnsiTheme="minorEastAsia" w:eastAsiaTheme="minorEastAsia" w:cstheme="minorEastAsia"/>
                <w:b w:val="0"/>
                <w:bCs w:val="0"/>
                <w:color w:val="auto"/>
                <w:szCs w:val="21"/>
                <w:highlight w:val="none"/>
                <w:lang w:val="en-US" w:eastAsia="zh-CN"/>
              </w:rPr>
              <w:t>委托的检测项目进</w:t>
            </w:r>
            <w:r>
              <w:rPr>
                <w:rFonts w:hint="default" w:asciiTheme="minorEastAsia" w:hAnsiTheme="minorEastAsia" w:eastAsiaTheme="minorEastAsia" w:cstheme="minorEastAsia"/>
                <w:b w:val="0"/>
                <w:bCs w:val="0"/>
                <w:color w:val="000000" w:themeColor="text1"/>
                <w:szCs w:val="21"/>
                <w:highlight w:val="none"/>
                <w:lang w:val="en-US" w:eastAsia="zh-CN"/>
                <w14:textFill>
                  <w14:solidFill>
                    <w14:schemeClr w14:val="tx1"/>
                  </w14:solidFill>
                </w14:textFill>
              </w:rPr>
              <w:t>行客观公正检测，做到检测数据完整、准确、真实、清楚，</w:t>
            </w:r>
            <w:r>
              <w:rPr>
                <w:rFonts w:hint="eastAsia" w:ascii="宋体" w:hAnsi="宋体"/>
                <w:color w:val="auto"/>
                <w:szCs w:val="21"/>
                <w:highlight w:val="none"/>
                <w:lang w:eastAsia="zh-CN"/>
              </w:rPr>
              <w:t>满足工程质量验收的全部要求，</w:t>
            </w:r>
            <w:r>
              <w:rPr>
                <w:rFonts w:hint="default" w:asciiTheme="minorEastAsia" w:hAnsiTheme="minorEastAsia" w:eastAsiaTheme="minorEastAsia" w:cstheme="minorEastAsia"/>
                <w:b w:val="0"/>
                <w:bCs w:val="0"/>
                <w:color w:val="000000" w:themeColor="text1"/>
                <w:szCs w:val="21"/>
                <w:highlight w:val="none"/>
                <w:lang w:val="en-US" w:eastAsia="zh-CN"/>
                <w14:textFill>
                  <w14:solidFill>
                    <w14:schemeClr w14:val="tx1"/>
                  </w14:solidFill>
                </w14:textFill>
              </w:rPr>
              <w:t>工程检测质量符合规范标准</w:t>
            </w:r>
            <w:r>
              <w:rPr>
                <w:rFonts w:hint="eastAsia" w:asciiTheme="minorEastAsia" w:hAnsiTheme="minorEastAsia" w:eastAsiaTheme="minorEastAsia" w:cstheme="minorEastAsia"/>
                <w:b w:val="0"/>
                <w:bCs w:val="0"/>
                <w:color w:val="000000" w:themeColor="text1"/>
                <w:szCs w:val="21"/>
                <w:highlight w:val="none"/>
                <w:lang w:val="en-US" w:eastAsia="zh-CN"/>
                <w14:textFill>
                  <w14:solidFill>
                    <w14:schemeClr w14:val="tx1"/>
                  </w14:solidFill>
                </w14:textFill>
              </w:rPr>
              <w:t>。</w:t>
            </w:r>
          </w:p>
        </w:tc>
        <w:tc>
          <w:tcPr>
            <w:tcW w:w="823" w:type="pct"/>
            <w:noWrap w:val="0"/>
            <w:vAlign w:val="center"/>
          </w:tcPr>
          <w:p w14:paraId="10659BC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bCs/>
                <w:color w:val="auto"/>
                <w:szCs w:val="21"/>
                <w:highlight w:val="none"/>
                <w:lang w:val="en-US" w:eastAsia="zh-CN"/>
              </w:rPr>
              <w:t>建筑业</w:t>
            </w:r>
          </w:p>
        </w:tc>
      </w:tr>
      <w:tr w14:paraId="30E16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0" w:type="pct"/>
            <w:noWrap w:val="0"/>
            <w:vAlign w:val="center"/>
          </w:tcPr>
          <w:p w14:paraId="3BF0FB59">
            <w:pPr>
              <w:spacing w:line="44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商务条款</w:t>
            </w:r>
          </w:p>
        </w:tc>
        <w:tc>
          <w:tcPr>
            <w:tcW w:w="4749" w:type="pct"/>
            <w:gridSpan w:val="6"/>
            <w:noWrap w:val="0"/>
            <w:vAlign w:val="top"/>
          </w:tcPr>
          <w:p w14:paraId="10F85007">
            <w:pPr>
              <w:keepNext w:val="0"/>
              <w:keepLines w:val="0"/>
              <w:pageBreakBefore w:val="0"/>
              <w:widowControl w:val="0"/>
              <w:kinsoku/>
              <w:wordWrap/>
              <w:overflowPunct/>
              <w:topLinePunct w:val="0"/>
              <w:autoSpaceDE/>
              <w:autoSpaceDN/>
              <w:bidi w:val="0"/>
              <w:adjustRightInd/>
              <w:spacing w:line="400" w:lineRule="exact"/>
              <w:textAlignment w:val="auto"/>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一、合同签订期</w:t>
            </w:r>
            <w:r>
              <w:rPr>
                <w:rFonts w:hint="eastAsia" w:asciiTheme="minorEastAsia" w:hAnsiTheme="minorEastAsia" w:eastAsiaTheme="minorEastAsia" w:cstheme="minorEastAsia"/>
                <w:b/>
                <w:bCs/>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auto"/>
                <w:szCs w:val="21"/>
                <w:highlight w:val="none"/>
              </w:rPr>
              <w:t>自成交通知书发出之日起</w:t>
            </w:r>
            <w:r>
              <w:rPr>
                <w:rFonts w:hint="eastAsia" w:asciiTheme="minorEastAsia" w:hAnsiTheme="minorEastAsia" w:eastAsiaTheme="minorEastAsia" w:cstheme="minorEastAsia"/>
                <w:color w:val="auto"/>
                <w:szCs w:val="21"/>
                <w:highlight w:val="none"/>
                <w:u w:val="single"/>
              </w:rPr>
              <w:t>25</w:t>
            </w:r>
            <w:r>
              <w:rPr>
                <w:rFonts w:hint="eastAsia" w:asciiTheme="minorEastAsia" w:hAnsiTheme="minorEastAsia" w:eastAsiaTheme="minorEastAsia" w:cstheme="minorEastAsia"/>
                <w:color w:val="auto"/>
                <w:szCs w:val="21"/>
                <w:highlight w:val="none"/>
              </w:rPr>
              <w:t>日内</w:t>
            </w:r>
            <w:r>
              <w:rPr>
                <w:rFonts w:hint="eastAsia" w:asciiTheme="minorEastAsia" w:hAnsiTheme="minorEastAsia" w:eastAsiaTheme="minorEastAsia" w:cstheme="minorEastAsia"/>
                <w:color w:val="auto"/>
                <w:szCs w:val="21"/>
                <w:highlight w:val="none"/>
                <w:lang w:eastAsia="zh-CN"/>
              </w:rPr>
              <w:t>。</w:t>
            </w:r>
          </w:p>
          <w:p w14:paraId="7ED99F80">
            <w:pPr>
              <w:keepNext w:val="0"/>
              <w:keepLines w:val="0"/>
              <w:pageBreakBefore w:val="0"/>
              <w:widowControl w:val="0"/>
              <w:kinsoku/>
              <w:wordWrap/>
              <w:overflowPunct/>
              <w:topLinePunct w:val="0"/>
              <w:autoSpaceDE/>
              <w:autoSpaceDN/>
              <w:bidi w:val="0"/>
              <w:adjustRightInd/>
              <w:spacing w:line="400" w:lineRule="exact"/>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
                <w:bCs/>
                <w:color w:val="auto"/>
                <w:szCs w:val="21"/>
                <w:highlight w:val="none"/>
              </w:rPr>
              <w:t>二、检测服务期</w:t>
            </w:r>
            <w:r>
              <w:rPr>
                <w:rFonts w:hint="eastAsia" w:asciiTheme="minorEastAsia" w:hAnsiTheme="minorEastAsia" w:eastAsiaTheme="minorEastAsia" w:cstheme="minorEastAsia"/>
                <w:b/>
                <w:bCs/>
                <w:color w:val="auto"/>
                <w:szCs w:val="21"/>
                <w:highlight w:val="none"/>
                <w:lang w:eastAsia="zh-CN"/>
              </w:rPr>
              <w:t>：</w:t>
            </w:r>
            <w:r>
              <w:rPr>
                <w:rFonts w:hint="eastAsia" w:ascii="宋体" w:hAnsi="宋体" w:cs="宋体"/>
                <w:b w:val="0"/>
                <w:bCs w:val="0"/>
                <w:color w:val="auto"/>
                <w:highlight w:val="none"/>
                <w:lang w:val="en-US" w:eastAsia="zh-CN"/>
              </w:rPr>
              <w:t>自项目</w:t>
            </w:r>
            <w:r>
              <w:rPr>
                <w:rFonts w:hint="eastAsia" w:ascii="宋体" w:hAnsi="宋体" w:cs="宋体"/>
                <w:b w:val="0"/>
                <w:bCs w:val="0"/>
                <w:color w:val="auto"/>
                <w:highlight w:val="none"/>
                <w:lang w:eastAsia="zh-CN"/>
              </w:rPr>
              <w:t>合同签订</w:t>
            </w:r>
            <w:r>
              <w:rPr>
                <w:rFonts w:hint="eastAsia" w:ascii="宋体" w:hAnsi="宋体" w:cs="宋体"/>
                <w:b w:val="0"/>
                <w:bCs w:val="0"/>
                <w:color w:val="auto"/>
                <w:highlight w:val="none"/>
                <w:lang w:val="en-US" w:eastAsia="zh-CN"/>
              </w:rPr>
              <w:t>之日起</w:t>
            </w:r>
            <w:r>
              <w:rPr>
                <w:rFonts w:hint="eastAsia" w:ascii="宋体" w:hAnsi="宋体" w:cs="宋体"/>
                <w:b w:val="0"/>
                <w:bCs w:val="0"/>
                <w:color w:val="auto"/>
                <w:highlight w:val="none"/>
                <w:lang w:eastAsia="zh-CN"/>
              </w:rPr>
              <w:t>至工程完工</w:t>
            </w:r>
            <w:r>
              <w:rPr>
                <w:rFonts w:hint="eastAsia" w:ascii="宋体" w:hAnsi="宋体" w:cs="宋体"/>
                <w:b w:val="0"/>
                <w:bCs w:val="0"/>
                <w:color w:val="auto"/>
                <w:highlight w:val="none"/>
                <w:lang w:val="en-US" w:eastAsia="zh-CN"/>
              </w:rPr>
              <w:t>以及</w:t>
            </w:r>
            <w:r>
              <w:rPr>
                <w:rFonts w:hint="eastAsia" w:ascii="宋体" w:hAnsi="宋体" w:eastAsia="宋体"/>
                <w:color w:val="auto"/>
                <w:szCs w:val="21"/>
                <w:highlight w:val="none"/>
                <w:lang w:eastAsia="zh-CN"/>
              </w:rPr>
              <w:t>检测服务验收完毕止</w:t>
            </w:r>
            <w:r>
              <w:rPr>
                <w:rFonts w:hint="eastAsia" w:asciiTheme="minorEastAsia" w:hAnsiTheme="minorEastAsia" w:eastAsiaTheme="minorEastAsia" w:cstheme="minorEastAsia"/>
                <w:color w:val="auto"/>
                <w:szCs w:val="21"/>
                <w:highlight w:val="none"/>
              </w:rPr>
              <w:t>。</w:t>
            </w:r>
          </w:p>
          <w:p w14:paraId="575B18B5">
            <w:pPr>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三、</w:t>
            </w:r>
            <w:r>
              <w:rPr>
                <w:rFonts w:hint="eastAsia" w:asciiTheme="minorEastAsia" w:hAnsiTheme="minorEastAsia" w:eastAsiaTheme="minorEastAsia" w:cstheme="minorEastAsia"/>
                <w:b/>
                <w:bCs/>
                <w:color w:val="auto"/>
                <w:szCs w:val="21"/>
                <w:highlight w:val="none"/>
              </w:rPr>
              <w:t>服务地点：</w:t>
            </w:r>
            <w:r>
              <w:rPr>
                <w:rFonts w:hint="eastAsia" w:asciiTheme="minorEastAsia" w:hAnsiTheme="minorEastAsia" w:eastAsiaTheme="minorEastAsia" w:cstheme="minorEastAsia"/>
                <w:color w:val="auto"/>
                <w:szCs w:val="21"/>
                <w:highlight w:val="none"/>
                <w:lang w:val="en-US" w:eastAsia="zh-CN"/>
              </w:rPr>
              <w:t>采购人指定地点</w:t>
            </w:r>
            <w:r>
              <w:rPr>
                <w:rFonts w:hint="eastAsia" w:asciiTheme="minorEastAsia" w:hAnsiTheme="minorEastAsia" w:eastAsiaTheme="minorEastAsia" w:cstheme="minorEastAsia"/>
                <w:color w:val="auto"/>
                <w:szCs w:val="21"/>
                <w:highlight w:val="none"/>
              </w:rPr>
              <w:t>。</w:t>
            </w:r>
          </w:p>
          <w:p w14:paraId="451FCFCA">
            <w:pPr>
              <w:keepNext w:val="0"/>
              <w:keepLines w:val="0"/>
              <w:pageBreakBefore w:val="0"/>
              <w:widowControl w:val="0"/>
              <w:kinsoku/>
              <w:wordWrap/>
              <w:overflowPunct/>
              <w:topLinePunct w:val="0"/>
              <w:autoSpaceDE/>
              <w:autoSpaceDN/>
              <w:bidi w:val="0"/>
              <w:adjustRightInd/>
              <w:spacing w:line="400" w:lineRule="exact"/>
              <w:textAlignment w:val="auto"/>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lang w:val="en-US" w:eastAsia="zh-CN"/>
              </w:rPr>
              <w:t>四</w:t>
            </w:r>
            <w:r>
              <w:rPr>
                <w:rFonts w:hint="eastAsia" w:asciiTheme="minorEastAsia" w:hAnsiTheme="minorEastAsia" w:eastAsiaTheme="minorEastAsia" w:cstheme="minorEastAsia"/>
                <w:b/>
                <w:bCs/>
                <w:color w:val="auto"/>
                <w:szCs w:val="21"/>
                <w:highlight w:val="none"/>
              </w:rPr>
              <w:t xml:space="preserve">、验收标准、规范： </w:t>
            </w:r>
          </w:p>
          <w:p w14:paraId="50F8AE6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eastAsia="zh-CN"/>
              </w:rPr>
              <w:t>1.</w:t>
            </w:r>
            <w:r>
              <w:rPr>
                <w:rFonts w:hint="eastAsia" w:asciiTheme="minorEastAsia" w:hAnsiTheme="minorEastAsia" w:eastAsiaTheme="minorEastAsia" w:cstheme="minorEastAsia"/>
                <w:color w:val="auto"/>
                <w:szCs w:val="21"/>
                <w:highlight w:val="none"/>
              </w:rPr>
              <w:t>服务内容应与采购合同一致，交付服务指标达到规定的标准。</w:t>
            </w:r>
          </w:p>
          <w:p w14:paraId="1E4D161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eastAsia="zh-CN"/>
              </w:rPr>
              <w:t>2.</w:t>
            </w:r>
            <w:r>
              <w:rPr>
                <w:rFonts w:hint="eastAsia" w:asciiTheme="minorEastAsia" w:hAnsiTheme="minorEastAsia" w:eastAsiaTheme="minorEastAsia" w:cstheme="minorEastAsia"/>
                <w:color w:val="auto"/>
                <w:szCs w:val="21"/>
                <w:highlight w:val="none"/>
              </w:rPr>
              <w:t>技术资料、交付清单等资料齐全。在规定时间内完成服务成果自查及整改，并经采购人确认。产品或服务符合要求，才作为最终验收。</w:t>
            </w:r>
          </w:p>
          <w:p w14:paraId="18AB899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3</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成交供应商提供的产品或服务未达到采购文件规定要求，且对采购人造成损失的，由成交供应商承担一切责任，并赔偿所造成的损失。</w:t>
            </w:r>
          </w:p>
          <w:p w14:paraId="548D361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4.未尽事宜按照《关于印发广西壮族自治区政府采购项目履约验收管理办法的通知》[桂财采〔2015〕22号]《财政部关于进一步加强政府采购需求和履约验收管理的指导意见》[财库〔2016〕205号]规定执行。</w:t>
            </w:r>
          </w:p>
          <w:p w14:paraId="7EAA7F64">
            <w:pPr>
              <w:keepNext w:val="0"/>
              <w:keepLines w:val="0"/>
              <w:pageBreakBefore w:val="0"/>
              <w:widowControl w:val="0"/>
              <w:kinsoku/>
              <w:wordWrap/>
              <w:overflowPunct/>
              <w:topLinePunct w:val="0"/>
              <w:autoSpaceDE/>
              <w:autoSpaceDN/>
              <w:bidi w:val="0"/>
              <w:adjustRightInd/>
              <w:spacing w:line="400" w:lineRule="exact"/>
              <w:textAlignment w:val="auto"/>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lang w:val="en-US" w:eastAsia="zh-CN"/>
              </w:rPr>
              <w:t>五</w:t>
            </w:r>
            <w:r>
              <w:rPr>
                <w:rFonts w:hint="eastAsia" w:asciiTheme="minorEastAsia" w:hAnsiTheme="minorEastAsia" w:eastAsiaTheme="minorEastAsia" w:cstheme="minorEastAsia"/>
                <w:b/>
                <w:bCs/>
                <w:color w:val="auto"/>
                <w:szCs w:val="21"/>
                <w:highlight w:val="none"/>
              </w:rPr>
              <w:t>、售后服务要求：</w:t>
            </w:r>
          </w:p>
          <w:p w14:paraId="541D93C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auto"/>
                <w:szCs w:val="21"/>
                <w:highlight w:val="none"/>
                <w:lang w:eastAsia="zh-CN"/>
              </w:rPr>
              <w:t>1.</w:t>
            </w:r>
            <w:r>
              <w:rPr>
                <w:rFonts w:hint="eastAsia" w:asciiTheme="minorEastAsia" w:hAnsiTheme="minorEastAsia" w:eastAsiaTheme="minorEastAsia" w:cstheme="minorEastAsia"/>
                <w:color w:val="auto"/>
                <w:szCs w:val="21"/>
                <w:highlight w:val="none"/>
              </w:rPr>
              <w:t>故障响应时间：接到采购人处理问题通知后</w:t>
            </w:r>
            <w:r>
              <w:rPr>
                <w:rFonts w:hint="eastAsia" w:asciiTheme="minorEastAsia" w:hAnsiTheme="minorEastAsia" w:eastAsiaTheme="minorEastAsia" w:cstheme="minorEastAsia"/>
                <w:color w:val="auto"/>
                <w:szCs w:val="21"/>
                <w:highlight w:val="none"/>
                <w:lang w:val="en-US" w:eastAsia="zh-CN"/>
              </w:rPr>
              <w:t>4</w:t>
            </w:r>
            <w:r>
              <w:rPr>
                <w:rFonts w:hint="eastAsia" w:asciiTheme="minorEastAsia" w:hAnsiTheme="minorEastAsia" w:eastAsiaTheme="minorEastAsia" w:cstheme="minorEastAsia"/>
                <w:color w:val="auto"/>
                <w:szCs w:val="21"/>
                <w:highlight w:val="none"/>
              </w:rPr>
              <w:t>小时内到达采</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购人指定现场。</w:t>
            </w:r>
          </w:p>
          <w:p w14:paraId="25234AF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2.成交</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供应商应提交报告的种类、时间和份数：按规范及采购人要求的时限和份数提供检测报告、成果、文件；</w:t>
            </w:r>
            <w:r>
              <w:rPr>
                <w:rFonts w:hint="eastAsia" w:asciiTheme="minorEastAsia" w:hAnsiTheme="minorEastAsia" w:eastAsiaTheme="minorEastAsia" w:cstheme="minorEastAsia"/>
                <w:color w:val="auto"/>
                <w:szCs w:val="21"/>
                <w:highlight w:val="none"/>
                <w:lang w:val="en-US" w:eastAsia="zh-CN"/>
              </w:rPr>
              <w:t>供应商应</w:t>
            </w:r>
            <w:r>
              <w:rPr>
                <w:rFonts w:hint="eastAsia" w:asciiTheme="minorEastAsia" w:hAnsiTheme="minorEastAsia" w:eastAsiaTheme="minorEastAsia" w:cstheme="minorEastAsia"/>
                <w:color w:val="auto"/>
                <w:szCs w:val="21"/>
                <w:highlight w:val="none"/>
              </w:rPr>
              <w:t>建立检测档案及日常检测资料管理制度。检测合同、委托书、原始记录和检测报告等应按年度统一编号，编号必须连续，不得抽撤、涂改。自动采集数据的原始记录应打印存档或电子存档。存档检测报告和发出的检测报告应一致。</w:t>
            </w:r>
            <w:r>
              <w:rPr>
                <w:rFonts w:hint="eastAsia" w:asciiTheme="minorEastAsia" w:hAnsiTheme="minorEastAsia" w:eastAsiaTheme="minorEastAsia" w:cstheme="minorEastAsia"/>
                <w:color w:val="auto"/>
                <w:szCs w:val="21"/>
                <w:highlight w:val="none"/>
                <w:lang w:eastAsia="zh-CN"/>
              </w:rPr>
              <w:t>供应商</w:t>
            </w:r>
            <w:r>
              <w:rPr>
                <w:rFonts w:hint="eastAsia" w:asciiTheme="minorEastAsia" w:hAnsiTheme="minorEastAsia" w:eastAsiaTheme="minorEastAsia" w:cstheme="minorEastAsia"/>
                <w:color w:val="auto"/>
                <w:szCs w:val="21"/>
                <w:highlight w:val="none"/>
                <w:lang w:val="en-US" w:eastAsia="zh-CN"/>
              </w:rPr>
              <w:t>须按合同约定的提交报告事项</w:t>
            </w:r>
            <w:r>
              <w:rPr>
                <w:rFonts w:hint="eastAsia" w:asciiTheme="minorEastAsia" w:hAnsiTheme="minorEastAsia" w:eastAsiaTheme="minorEastAsia" w:cstheme="minorEastAsia"/>
                <w:color w:val="auto"/>
                <w:szCs w:val="21"/>
                <w:highlight w:val="none"/>
                <w:lang w:eastAsia="zh-CN"/>
              </w:rPr>
              <w:t>提供各阶段的检测报告。</w:t>
            </w:r>
          </w:p>
          <w:p w14:paraId="34BA10D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3.成交</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供应商须严格遵守国家、省、市档案保密制度及国家其他相关保密法规，对本项目中的文件、资料和相关数据信息进行保密，确保安全，不得私自复印和保留，不</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得</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 xml:space="preserve">泄露任何个人及单位信息，包括在合同期结束后承诺保密义务，并承担相应的涉密责任。涉及本项目的信息如有泄露，采购人有权追究法律责任，并要求供应商承担经济损失。 </w:t>
            </w:r>
          </w:p>
          <w:p w14:paraId="4A4C5424">
            <w:pPr>
              <w:keepNext w:val="0"/>
              <w:keepLines w:val="0"/>
              <w:pageBreakBefore w:val="0"/>
              <w:widowControl w:val="0"/>
              <w:kinsoku/>
              <w:wordWrap/>
              <w:overflowPunct/>
              <w:topLinePunct w:val="0"/>
              <w:autoSpaceDE/>
              <w:autoSpaceDN/>
              <w:bidi w:val="0"/>
              <w:adjustRightInd/>
              <w:spacing w:line="400" w:lineRule="exact"/>
              <w:textAlignment w:val="auto"/>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1"/>
                <w:highlight w:val="none"/>
                <w:lang w:val="en-US" w:eastAsia="zh-CN"/>
                <w14:textFill>
                  <w14:solidFill>
                    <w14:schemeClr w14:val="tx1"/>
                  </w14:solidFill>
                </w14:textFill>
              </w:rPr>
              <w:t>六</w:t>
            </w: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、其他要求：</w:t>
            </w:r>
          </w:p>
          <w:p w14:paraId="6BCEBA9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1.报价必须包括：包含（包括但不限于）本项目采购范围内的服务价款、服务所用耗材、人工费、管理费用、专用工具、保险、报送、维护、税金等全部费用，以及完成本项目服务所需的劳务费、技术服务费、资料收集、研究、指导、交通、通讯、差旅费、住宿费、办公场地、版权或知识产权、管理费、利润、税费等检测业务有关的一切费用，以及政策性文件规定及合同包含的风险、责任和各种应有的费用。</w:t>
            </w:r>
          </w:p>
          <w:p w14:paraId="668AD9B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付款方式：</w:t>
            </w:r>
          </w:p>
          <w:p w14:paraId="75281DEC">
            <w:pPr>
              <w:keepNext w:val="0"/>
              <w:keepLines w:val="0"/>
              <w:pageBreakBefore w:val="0"/>
              <w:widowControl w:val="0"/>
              <w:kinsoku/>
              <w:wordWrap/>
              <w:overflowPunct/>
              <w:topLinePunct w:val="0"/>
              <w:autoSpaceDE/>
              <w:autoSpaceDN/>
              <w:bidi w:val="0"/>
              <w:adjustRightInd/>
              <w:snapToGrid/>
              <w:spacing w:line="400" w:lineRule="exact"/>
              <w:ind w:left="420" w:leftChars="200" w:firstLine="0" w:firstLineChars="0"/>
              <w:textAlignment w:val="auto"/>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（1）本项目无预付款；</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br w:type="textWrapping"/>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（2）每完成一个单项检测并出具正式检测报告，成果资料经甲方审核通过，凭正式发票办理</w:t>
            </w:r>
          </w:p>
          <w:p w14:paraId="487F3E43">
            <w:pPr>
              <w:keepNext w:val="0"/>
              <w:keepLines w:val="0"/>
              <w:pageBreakBefore w:val="0"/>
              <w:widowControl w:val="0"/>
              <w:kinsoku/>
              <w:wordWrap/>
              <w:overflowPunct/>
              <w:topLinePunct w:val="0"/>
              <w:autoSpaceDE/>
              <w:autoSpaceDN/>
              <w:bidi w:val="0"/>
              <w:adjustRightInd/>
              <w:snapToGrid/>
              <w:spacing w:line="400" w:lineRule="exact"/>
              <w:ind w:left="420" w:hanging="420" w:hangingChars="200"/>
              <w:textAlignment w:val="auto"/>
              <w:rPr>
                <w:rFonts w:hint="eastAsia" w:asciiTheme="minorEastAsia" w:hAnsiTheme="minorEastAsia" w:eastAsiaTheme="minorEastAsia" w:cstheme="minorEastAsia"/>
                <w:b w:val="0"/>
                <w:color w:val="000000" w:themeColor="text1"/>
                <w:kern w:val="2"/>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进度款支付；</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br w:type="textWrapping"/>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（3）项目全部检测工作结束，完成项目结算，支付至结算审定金额的100%（无质保金模式）。3</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.验收考核过程中所产生的一切费用均由成交</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承担。报价时应考虑相关费用。</w:t>
            </w:r>
          </w:p>
          <w:p w14:paraId="3DD767B4">
            <w:pPr>
              <w:keepNext w:val="0"/>
              <w:keepLines w:val="0"/>
              <w:pageBreakBefore w:val="0"/>
              <w:widowControl w:val="0"/>
              <w:kinsoku/>
              <w:wordWrap/>
              <w:overflowPunct/>
              <w:topLinePunct w:val="0"/>
              <w:autoSpaceDE/>
              <w:autoSpaceDN/>
              <w:bidi w:val="0"/>
              <w:adjustRightInd/>
              <w:spacing w:line="400" w:lineRule="exact"/>
              <w:ind w:firstLine="420" w:firstLineChars="200"/>
              <w:textAlignment w:val="auto"/>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stheme="minorEastAsia"/>
                <w:b w:val="0"/>
                <w:color w:val="000000" w:themeColor="text1"/>
                <w:kern w:val="2"/>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highlight w:val="none"/>
                <w14:textFill>
                  <w14:solidFill>
                    <w14:schemeClr w14:val="tx1"/>
                  </w14:solidFill>
                </w14:textFill>
              </w:rPr>
              <w:t>如因</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成交</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highlight w:val="none"/>
                <w14:textFill>
                  <w14:solidFill>
                    <w14:schemeClr w14:val="tx1"/>
                  </w14:solidFill>
                </w14:textFill>
              </w:rPr>
              <w:t>原因导致检测结果或检测数量未通过项目地市级相关主管部门审核，需重新进行检测和增加检测数量的，由此产生的费用由</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成交</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highlight w:val="none"/>
                <w14:textFill>
                  <w14:solidFill>
                    <w14:schemeClr w14:val="tx1"/>
                  </w14:solidFill>
                </w14:textFill>
              </w:rPr>
              <w:t>承担</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p>
        </w:tc>
      </w:tr>
      <w:tr w14:paraId="76FDB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0" w:type="pct"/>
            <w:noWrap w:val="0"/>
            <w:vAlign w:val="center"/>
          </w:tcPr>
          <w:p w14:paraId="632961E5">
            <w:pPr>
              <w:spacing w:line="44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其他说明</w:t>
            </w:r>
          </w:p>
        </w:tc>
        <w:tc>
          <w:tcPr>
            <w:tcW w:w="4749" w:type="pct"/>
            <w:gridSpan w:val="6"/>
            <w:noWrap w:val="0"/>
            <w:vAlign w:val="top"/>
          </w:tcPr>
          <w:p w14:paraId="05F70616">
            <w:pPr>
              <w:keepNext w:val="0"/>
              <w:keepLines w:val="0"/>
              <w:pageBreakBefore w:val="0"/>
              <w:widowControl/>
              <w:shd w:val="clear" w:color="auto" w:fill="FFFFFF"/>
              <w:kinsoku/>
              <w:wordWrap/>
              <w:overflowPunct/>
              <w:topLinePunct w:val="0"/>
              <w:autoSpaceDE/>
              <w:autoSpaceDN/>
              <w:bidi w:val="0"/>
              <w:adjustRightInd/>
              <w:snapToGrid/>
              <w:spacing w:line="400" w:lineRule="exact"/>
              <w:ind w:left="0" w:leftChars="0" w:firstLine="420" w:firstLineChars="200"/>
              <w:jc w:val="left"/>
              <w:textAlignment w:val="auto"/>
              <w:rPr>
                <w:rFonts w:hint="eastAsia" w:ascii="宋体" w:hAnsi="宋体" w:eastAsia="宋体" w:cs="宋体"/>
                <w:bCs/>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kern w:val="0"/>
                <w:sz w:val="21"/>
                <w:szCs w:val="21"/>
                <w:highlight w:val="none"/>
                <w:lang w:val="en-US" w:eastAsia="zh-CN"/>
                <w14:textFill>
                  <w14:solidFill>
                    <w14:schemeClr w14:val="tx1"/>
                  </w14:solidFill>
                </w14:textFill>
              </w:rPr>
              <w:t>1.知识产权与版权归属</w:t>
            </w:r>
            <w:r>
              <w:rPr>
                <w:rFonts w:hint="eastAsia" w:ascii="宋体" w:hAnsi="宋体" w:cs="宋体"/>
                <w:bCs/>
                <w:color w:val="000000" w:themeColor="text1"/>
                <w:kern w:val="0"/>
                <w:sz w:val="21"/>
                <w:szCs w:val="21"/>
                <w:highlight w:val="none"/>
                <w:lang w:val="en-US" w:eastAsia="zh-CN"/>
                <w14:textFill>
                  <w14:solidFill>
                    <w14:schemeClr w14:val="tx1"/>
                  </w14:solidFill>
                </w14:textFill>
              </w:rPr>
              <w:t>：</w:t>
            </w:r>
          </w:p>
          <w:p w14:paraId="06C34A54">
            <w:pPr>
              <w:keepNext w:val="0"/>
              <w:keepLines w:val="0"/>
              <w:pageBreakBefore w:val="0"/>
              <w:widowControl/>
              <w:shd w:val="clear" w:color="auto" w:fill="FFFFFF"/>
              <w:kinsoku/>
              <w:wordWrap/>
              <w:overflowPunct/>
              <w:topLinePunct w:val="0"/>
              <w:autoSpaceDE/>
              <w:autoSpaceDN/>
              <w:bidi w:val="0"/>
              <w:adjustRightInd/>
              <w:snapToGrid/>
              <w:spacing w:line="400" w:lineRule="exact"/>
              <w:ind w:left="0" w:leftChars="0" w:firstLine="420" w:firstLineChars="200"/>
              <w:jc w:val="left"/>
              <w:textAlignment w:val="auto"/>
              <w:rPr>
                <w:rFonts w:hint="eastAsia" w:ascii="宋体" w:hAnsi="宋体" w:eastAsia="宋体" w:cs="宋体"/>
                <w:bCs/>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kern w:val="0"/>
                <w:sz w:val="21"/>
                <w:szCs w:val="21"/>
                <w:highlight w:val="none"/>
                <w:lang w:val="en-US" w:eastAsia="zh-CN"/>
                <w14:textFill>
                  <w14:solidFill>
                    <w14:schemeClr w14:val="tx1"/>
                  </w14:solidFill>
                </w14:textFill>
              </w:rPr>
              <w:t>（1）本项目产生成果的版权归采购人所有。</w:t>
            </w:r>
          </w:p>
          <w:p w14:paraId="4E2464DE">
            <w:pPr>
              <w:keepNext w:val="0"/>
              <w:keepLines w:val="0"/>
              <w:pageBreakBefore w:val="0"/>
              <w:widowControl/>
              <w:shd w:val="clear" w:color="auto" w:fill="FFFFFF"/>
              <w:kinsoku/>
              <w:wordWrap/>
              <w:overflowPunct/>
              <w:topLinePunct w:val="0"/>
              <w:autoSpaceDE/>
              <w:autoSpaceDN/>
              <w:bidi w:val="0"/>
              <w:adjustRightInd/>
              <w:snapToGrid/>
              <w:spacing w:line="400" w:lineRule="exact"/>
              <w:ind w:left="0" w:leftChars="0" w:firstLine="420" w:firstLineChars="200"/>
              <w:jc w:val="left"/>
              <w:textAlignment w:val="auto"/>
              <w:rPr>
                <w:rFonts w:hint="eastAsia" w:ascii="宋体" w:hAnsi="宋体" w:eastAsia="宋体" w:cs="宋体"/>
                <w:bCs/>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kern w:val="0"/>
                <w:sz w:val="21"/>
                <w:szCs w:val="21"/>
                <w:highlight w:val="none"/>
                <w:lang w:val="en-US" w:eastAsia="zh-CN"/>
                <w14:textFill>
                  <w14:solidFill>
                    <w14:schemeClr w14:val="tx1"/>
                  </w14:solidFill>
                </w14:textFill>
              </w:rPr>
              <w:t>（2）成交</w:t>
            </w:r>
            <w:r>
              <w:rPr>
                <w:rFonts w:hint="eastAsia" w:ascii="宋体" w:hAnsi="宋体" w:cs="宋体"/>
                <w:bCs/>
                <w:color w:val="000000" w:themeColor="text1"/>
                <w:kern w:val="0"/>
                <w:sz w:val="21"/>
                <w:szCs w:val="21"/>
                <w:highlight w:val="none"/>
                <w:lang w:val="en-US" w:eastAsia="zh-CN"/>
                <w14:textFill>
                  <w14:solidFill>
                    <w14:schemeClr w14:val="tx1"/>
                  </w14:solidFill>
                </w14:textFill>
              </w:rPr>
              <w:t>供应商</w:t>
            </w:r>
            <w:r>
              <w:rPr>
                <w:rFonts w:hint="eastAsia" w:ascii="宋体" w:hAnsi="宋体" w:eastAsia="宋体" w:cs="宋体"/>
                <w:bCs/>
                <w:color w:val="000000" w:themeColor="text1"/>
                <w:kern w:val="0"/>
                <w:sz w:val="21"/>
                <w:szCs w:val="21"/>
                <w:highlight w:val="none"/>
                <w:lang w:val="en-US" w:eastAsia="zh-CN"/>
                <w14:textFill>
                  <w14:solidFill>
                    <w14:schemeClr w14:val="tx1"/>
                  </w14:solidFill>
                </w14:textFill>
              </w:rPr>
              <w:t>不得在向采购人交付服务期内全部服务成果之前，将成果及非专利技术泄露或转让给第三方。</w:t>
            </w:r>
          </w:p>
          <w:p w14:paraId="485A6D97">
            <w:pPr>
              <w:keepNext w:val="0"/>
              <w:keepLines w:val="0"/>
              <w:pageBreakBefore w:val="0"/>
              <w:widowControl/>
              <w:shd w:val="clear" w:color="auto" w:fill="FFFFFF"/>
              <w:kinsoku/>
              <w:wordWrap/>
              <w:overflowPunct/>
              <w:topLinePunct w:val="0"/>
              <w:autoSpaceDE/>
              <w:autoSpaceDN/>
              <w:bidi w:val="0"/>
              <w:adjustRightInd/>
              <w:snapToGrid/>
              <w:spacing w:line="400" w:lineRule="exact"/>
              <w:ind w:left="0" w:leftChars="0" w:firstLine="420" w:firstLineChars="200"/>
              <w:jc w:val="left"/>
              <w:textAlignment w:val="auto"/>
              <w:rPr>
                <w:rFonts w:hint="eastAsia" w:ascii="宋体" w:hAnsi="宋体" w:eastAsia="宋体" w:cs="宋体"/>
                <w:bCs/>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kern w:val="0"/>
                <w:sz w:val="21"/>
                <w:szCs w:val="21"/>
                <w:highlight w:val="none"/>
                <w:lang w:val="en-US" w:eastAsia="zh-CN"/>
                <w14:textFill>
                  <w14:solidFill>
                    <w14:schemeClr w14:val="tx1"/>
                  </w14:solidFill>
                </w14:textFill>
              </w:rPr>
              <w:t>（3）成交</w:t>
            </w:r>
            <w:r>
              <w:rPr>
                <w:rFonts w:hint="eastAsia" w:ascii="宋体" w:hAnsi="宋体" w:cs="宋体"/>
                <w:bCs/>
                <w:color w:val="000000" w:themeColor="text1"/>
                <w:kern w:val="0"/>
                <w:sz w:val="21"/>
                <w:szCs w:val="21"/>
                <w:highlight w:val="none"/>
                <w:lang w:val="en-US" w:eastAsia="zh-CN"/>
                <w14:textFill>
                  <w14:solidFill>
                    <w14:schemeClr w14:val="tx1"/>
                  </w14:solidFill>
                </w14:textFill>
              </w:rPr>
              <w:t>供应商</w:t>
            </w:r>
            <w:r>
              <w:rPr>
                <w:rFonts w:hint="eastAsia" w:ascii="宋体" w:hAnsi="宋体" w:eastAsia="宋体" w:cs="宋体"/>
                <w:bCs/>
                <w:color w:val="000000" w:themeColor="text1"/>
                <w:kern w:val="0"/>
                <w:sz w:val="21"/>
                <w:szCs w:val="21"/>
                <w:highlight w:val="none"/>
                <w:lang w:val="en-US" w:eastAsia="zh-CN"/>
                <w14:textFill>
                  <w14:solidFill>
                    <w14:schemeClr w14:val="tx1"/>
                  </w14:solidFill>
                </w14:textFill>
              </w:rPr>
              <w:t>保证最终提供给采购人的服务成果不得包含任何第三方的知识产权或引起任何第三方基于该产品知识产权的指控。如有任何指控，所产生的一切经济损失和法律责任等后果均由成交</w:t>
            </w:r>
            <w:r>
              <w:rPr>
                <w:rFonts w:hint="eastAsia" w:ascii="宋体" w:hAnsi="宋体" w:cs="宋体"/>
                <w:bCs/>
                <w:color w:val="000000" w:themeColor="text1"/>
                <w:kern w:val="0"/>
                <w:sz w:val="21"/>
                <w:szCs w:val="21"/>
                <w:highlight w:val="none"/>
                <w:lang w:val="en-US" w:eastAsia="zh-CN"/>
                <w14:textFill>
                  <w14:solidFill>
                    <w14:schemeClr w14:val="tx1"/>
                  </w14:solidFill>
                </w14:textFill>
              </w:rPr>
              <w:t>供应商</w:t>
            </w:r>
            <w:r>
              <w:rPr>
                <w:rFonts w:hint="eastAsia" w:ascii="宋体" w:hAnsi="宋体" w:eastAsia="宋体" w:cs="宋体"/>
                <w:bCs/>
                <w:color w:val="000000" w:themeColor="text1"/>
                <w:kern w:val="0"/>
                <w:sz w:val="21"/>
                <w:szCs w:val="21"/>
                <w:highlight w:val="none"/>
                <w:lang w:val="en-US" w:eastAsia="zh-CN"/>
                <w14:textFill>
                  <w14:solidFill>
                    <w14:schemeClr w14:val="tx1"/>
                  </w14:solidFill>
                </w14:textFill>
              </w:rPr>
              <w:t>无条件承担。</w:t>
            </w:r>
          </w:p>
          <w:p w14:paraId="31743B7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成交</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 xml:space="preserve">供应商承担参与实施本项目人员的工资、福利、意外保险及其他社会保险等，承担项目实施期间所发生的安全责任事故、用工意外伤害等事故责任。 </w:t>
            </w:r>
          </w:p>
          <w:p w14:paraId="163E8069">
            <w:pPr>
              <w:keepNext w:val="0"/>
              <w:keepLines w:val="0"/>
              <w:pageBreakBefore w:val="0"/>
              <w:widowControl/>
              <w:shd w:val="clear" w:color="auto" w:fill="FFFFFF"/>
              <w:kinsoku/>
              <w:wordWrap/>
              <w:overflowPunct/>
              <w:topLinePunct w:val="0"/>
              <w:autoSpaceDE/>
              <w:autoSpaceDN/>
              <w:bidi w:val="0"/>
              <w:adjustRightInd/>
              <w:snapToGrid/>
              <w:spacing w:line="400" w:lineRule="exact"/>
              <w:ind w:left="0" w:leftChars="0" w:firstLine="420" w:firstLineChars="200"/>
              <w:jc w:val="left"/>
              <w:textAlignment w:val="auto"/>
              <w:rPr>
                <w:rFonts w:hint="eastAsia" w:ascii="宋体" w:hAnsi="宋体" w:eastAsia="宋体" w:cs="宋体"/>
                <w:bCs/>
                <w:color w:val="000000" w:themeColor="text1"/>
                <w:kern w:val="0"/>
                <w:sz w:val="21"/>
                <w:szCs w:val="21"/>
                <w:highlight w:val="none"/>
                <w:lang w:val="en-US" w:eastAsia="zh-CN"/>
                <w14:textFill>
                  <w14:solidFill>
                    <w14:schemeClr w14:val="tx1"/>
                  </w14:solidFill>
                </w14:textFill>
              </w:rPr>
            </w:pPr>
            <w:r>
              <w:rPr>
                <w:rFonts w:hint="eastAsia" w:ascii="宋体" w:hAnsi="宋体" w:cs="宋体"/>
                <w:bCs/>
                <w:color w:val="000000" w:themeColor="text1"/>
                <w:kern w:val="0"/>
                <w:sz w:val="21"/>
                <w:szCs w:val="21"/>
                <w:highlight w:val="none"/>
                <w:lang w:val="en-US" w:eastAsia="zh-CN"/>
                <w14:textFill>
                  <w14:solidFill>
                    <w14:schemeClr w14:val="tx1"/>
                  </w14:solidFill>
                </w14:textFill>
              </w:rPr>
              <w:t>3</w:t>
            </w:r>
            <w:r>
              <w:rPr>
                <w:rFonts w:hint="eastAsia" w:ascii="宋体" w:hAnsi="宋体" w:eastAsia="宋体" w:cs="宋体"/>
                <w:bCs/>
                <w:color w:val="000000" w:themeColor="text1"/>
                <w:kern w:val="0"/>
                <w:sz w:val="21"/>
                <w:szCs w:val="21"/>
                <w:highlight w:val="none"/>
                <w:lang w:val="en-US" w:eastAsia="zh-CN"/>
                <w14:textFill>
                  <w14:solidFill>
                    <w14:schemeClr w14:val="tx1"/>
                  </w14:solidFill>
                </w14:textFill>
              </w:rPr>
              <w:t>.除</w:t>
            </w:r>
            <w:r>
              <w:rPr>
                <w:rFonts w:hint="eastAsia" w:ascii="宋体" w:hAnsi="宋体" w:cs="宋体"/>
                <w:bCs/>
                <w:color w:val="000000" w:themeColor="text1"/>
                <w:kern w:val="0"/>
                <w:sz w:val="21"/>
                <w:szCs w:val="21"/>
                <w:highlight w:val="none"/>
                <w:lang w:val="en-US" w:eastAsia="zh-CN"/>
                <w14:textFill>
                  <w14:solidFill>
                    <w14:schemeClr w14:val="tx1"/>
                  </w14:solidFill>
                </w14:textFill>
              </w:rPr>
              <w:t>采购</w:t>
            </w:r>
            <w:r>
              <w:rPr>
                <w:rFonts w:hint="eastAsia" w:ascii="宋体" w:hAnsi="宋体" w:eastAsia="宋体" w:cs="宋体"/>
                <w:bCs/>
                <w:color w:val="000000" w:themeColor="text1"/>
                <w:kern w:val="0"/>
                <w:sz w:val="21"/>
                <w:szCs w:val="21"/>
                <w:highlight w:val="none"/>
                <w:lang w:val="en-US" w:eastAsia="zh-CN"/>
                <w14:textFill>
                  <w14:solidFill>
                    <w14:schemeClr w14:val="tx1"/>
                  </w14:solidFill>
                </w14:textFill>
              </w:rPr>
              <w:t>文件另有规定外，若出现有关</w:t>
            </w:r>
            <w:r>
              <w:rPr>
                <w:rFonts w:hint="eastAsia" w:ascii="宋体" w:hAnsi="宋体" w:cs="宋体"/>
                <w:bCs/>
                <w:color w:val="000000" w:themeColor="text1"/>
                <w:kern w:val="0"/>
                <w:sz w:val="21"/>
                <w:szCs w:val="21"/>
                <w:highlight w:val="none"/>
                <w:lang w:val="en-US" w:eastAsia="zh-CN"/>
                <w14:textFill>
                  <w14:solidFill>
                    <w14:schemeClr w14:val="tx1"/>
                  </w14:solidFill>
                </w14:textFill>
              </w:rPr>
              <w:t>法律法规</w:t>
            </w:r>
            <w:r>
              <w:rPr>
                <w:rFonts w:hint="eastAsia" w:ascii="宋体" w:hAnsi="宋体" w:eastAsia="宋体" w:cs="宋体"/>
                <w:bCs/>
                <w:color w:val="000000" w:themeColor="text1"/>
                <w:kern w:val="0"/>
                <w:sz w:val="21"/>
                <w:szCs w:val="21"/>
                <w:highlight w:val="none"/>
                <w:lang w:val="en-US" w:eastAsia="zh-CN"/>
                <w14:textFill>
                  <w14:solidFill>
                    <w14:schemeClr w14:val="tx1"/>
                  </w14:solidFill>
                </w14:textFill>
              </w:rPr>
              <w:t>和规章有强制性规定但</w:t>
            </w:r>
            <w:r>
              <w:rPr>
                <w:rFonts w:hint="eastAsia" w:ascii="宋体" w:hAnsi="宋体" w:cs="宋体"/>
                <w:bCs/>
                <w:color w:val="000000" w:themeColor="text1"/>
                <w:kern w:val="0"/>
                <w:sz w:val="21"/>
                <w:szCs w:val="21"/>
                <w:highlight w:val="none"/>
                <w:lang w:val="en-US" w:eastAsia="zh-CN"/>
                <w14:textFill>
                  <w14:solidFill>
                    <w14:schemeClr w14:val="tx1"/>
                  </w14:solidFill>
                </w14:textFill>
              </w:rPr>
              <w:t>采购</w:t>
            </w:r>
            <w:r>
              <w:rPr>
                <w:rFonts w:hint="eastAsia" w:ascii="宋体" w:hAnsi="宋体" w:eastAsia="宋体" w:cs="宋体"/>
                <w:bCs/>
                <w:color w:val="000000" w:themeColor="text1"/>
                <w:kern w:val="0"/>
                <w:sz w:val="21"/>
                <w:szCs w:val="21"/>
                <w:highlight w:val="none"/>
                <w:lang w:val="en-US" w:eastAsia="zh-CN"/>
                <w14:textFill>
                  <w14:solidFill>
                    <w14:schemeClr w14:val="tx1"/>
                  </w14:solidFill>
                </w14:textFill>
              </w:rPr>
              <w:t>文件未列明的情形，则</w:t>
            </w:r>
            <w:r>
              <w:rPr>
                <w:rFonts w:hint="eastAsia" w:ascii="宋体" w:hAnsi="宋体" w:cs="宋体"/>
                <w:bCs/>
                <w:color w:val="000000" w:themeColor="text1"/>
                <w:kern w:val="0"/>
                <w:sz w:val="21"/>
                <w:szCs w:val="21"/>
                <w:highlight w:val="none"/>
                <w:lang w:val="en-US" w:eastAsia="zh-CN"/>
                <w14:textFill>
                  <w14:solidFill>
                    <w14:schemeClr w14:val="tx1"/>
                  </w14:solidFill>
                </w14:textFill>
              </w:rPr>
              <w:t>供应商</w:t>
            </w:r>
            <w:r>
              <w:rPr>
                <w:rFonts w:hint="eastAsia" w:ascii="宋体" w:hAnsi="宋体" w:eastAsia="宋体" w:cs="宋体"/>
                <w:bCs/>
                <w:color w:val="000000" w:themeColor="text1"/>
                <w:kern w:val="0"/>
                <w:sz w:val="21"/>
                <w:szCs w:val="21"/>
                <w:highlight w:val="none"/>
                <w:lang w:val="en-US" w:eastAsia="zh-CN"/>
                <w14:textFill>
                  <w14:solidFill>
                    <w14:schemeClr w14:val="tx1"/>
                  </w14:solidFill>
                </w14:textFill>
              </w:rPr>
              <w:t>应按照有关</w:t>
            </w:r>
            <w:r>
              <w:rPr>
                <w:rFonts w:hint="eastAsia" w:ascii="宋体" w:hAnsi="宋体" w:cs="宋体"/>
                <w:bCs/>
                <w:color w:val="000000" w:themeColor="text1"/>
                <w:kern w:val="0"/>
                <w:sz w:val="21"/>
                <w:szCs w:val="21"/>
                <w:highlight w:val="none"/>
                <w:lang w:val="en-US" w:eastAsia="zh-CN"/>
                <w14:textFill>
                  <w14:solidFill>
                    <w14:schemeClr w14:val="tx1"/>
                  </w14:solidFill>
                </w14:textFill>
              </w:rPr>
              <w:t>法律法规</w:t>
            </w:r>
            <w:r>
              <w:rPr>
                <w:rFonts w:hint="eastAsia" w:ascii="宋体" w:hAnsi="宋体" w:eastAsia="宋体" w:cs="宋体"/>
                <w:bCs/>
                <w:color w:val="000000" w:themeColor="text1"/>
                <w:kern w:val="0"/>
                <w:sz w:val="21"/>
                <w:szCs w:val="21"/>
                <w:highlight w:val="none"/>
                <w:lang w:val="en-US" w:eastAsia="zh-CN"/>
                <w14:textFill>
                  <w14:solidFill>
                    <w14:schemeClr w14:val="tx1"/>
                  </w14:solidFill>
                </w14:textFill>
              </w:rPr>
              <w:t>和规章强制性规定执行。</w:t>
            </w:r>
          </w:p>
          <w:p w14:paraId="723EC73F">
            <w:pPr>
              <w:keepNext w:val="0"/>
              <w:keepLines w:val="0"/>
              <w:pageBreakBefore w:val="0"/>
              <w:widowControl/>
              <w:shd w:val="clear" w:color="auto" w:fill="FFFFFF"/>
              <w:kinsoku/>
              <w:wordWrap/>
              <w:overflowPunct/>
              <w:topLinePunct w:val="0"/>
              <w:autoSpaceDE/>
              <w:autoSpaceDN/>
              <w:bidi w:val="0"/>
              <w:adjustRightInd/>
              <w:snapToGrid/>
              <w:spacing w:line="400" w:lineRule="exact"/>
              <w:ind w:left="0" w:leftChars="0" w:firstLine="420" w:firstLineChars="200"/>
              <w:jc w:val="left"/>
              <w:textAlignment w:val="auto"/>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pPr>
            <w:r>
              <w:rPr>
                <w:rFonts w:hint="eastAsia" w:ascii="宋体" w:hAnsi="宋体" w:eastAsia="宋体" w:cs="宋体"/>
                <w:bCs/>
                <w:color w:val="000000" w:themeColor="text1"/>
                <w:kern w:val="0"/>
                <w:sz w:val="21"/>
                <w:szCs w:val="21"/>
                <w:highlight w:val="none"/>
                <w:lang w:val="en-US" w:eastAsia="zh-CN"/>
                <w14:textFill>
                  <w14:solidFill>
                    <w14:schemeClr w14:val="tx1"/>
                  </w14:solidFill>
                </w14:textFill>
              </w:rPr>
              <w:t>4.供应商在磋商活动中提供任何虚假材料，其磋商无效。</w:t>
            </w:r>
          </w:p>
        </w:tc>
      </w:tr>
    </w:tbl>
    <w:p w14:paraId="21187574">
      <w:pPr>
        <w:rPr>
          <w:rFonts w:hint="eastAsia" w:asciiTheme="minorEastAsia" w:hAnsiTheme="minorEastAsia" w:eastAsiaTheme="minorEastAsia" w:cstheme="minorEastAsia"/>
          <w:color w:val="000000" w:themeColor="text1"/>
          <w:highlight w:val="none"/>
          <w14:textFill>
            <w14:solidFill>
              <w14:schemeClr w14:val="tx1"/>
            </w14:solidFill>
          </w14:textFill>
        </w:rPr>
      </w:pPr>
    </w:p>
    <w:p w14:paraId="7BC854BA">
      <w:pPr>
        <w:tabs>
          <w:tab w:val="left" w:pos="180"/>
          <w:tab w:val="left" w:pos="1620"/>
        </w:tabs>
        <w:spacing w:line="360" w:lineRule="auto"/>
        <w:ind w:firstLine="422" w:firstLineChars="200"/>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p>
    <w:p w14:paraId="4A6A2687">
      <w:pPr>
        <w:pStyle w:val="21"/>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p>
    <w:p w14:paraId="242EB267">
      <w:pP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p>
    <w:p w14:paraId="070CA35F">
      <w:pPr>
        <w:pStyle w:val="21"/>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p>
    <w:p w14:paraId="7EE58C0C">
      <w:pP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p>
    <w:p w14:paraId="5E4C8622">
      <w:pPr>
        <w:pStyle w:val="21"/>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p>
    <w:p w14:paraId="1781C7C3">
      <w:pP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p>
    <w:p w14:paraId="699B1470">
      <w:pP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p>
    <w:p w14:paraId="14DD1555">
      <w:pP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p>
    <w:p w14:paraId="12F1BCFE">
      <w:pP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p>
    <w:p w14:paraId="667B8CD3">
      <w:pPr>
        <w:pStyle w:val="21"/>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p>
    <w:p w14:paraId="35C0A417">
      <w:pPr>
        <w:rPr>
          <w:rFonts w:hint="eastAsia" w:asciiTheme="minorEastAsia" w:hAnsiTheme="minorEastAsia" w:eastAsiaTheme="minorEastAsia" w:cstheme="minorEastAsia"/>
          <w:b/>
          <w:bCs/>
          <w:color w:val="000000" w:themeColor="text1"/>
          <w:sz w:val="32"/>
          <w:szCs w:val="32"/>
          <w:highlight w:val="none"/>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32"/>
          <w:szCs w:val="32"/>
          <w:highlight w:val="none"/>
          <w14:textFill>
            <w14:solidFill>
              <w14:schemeClr w14:val="tx1"/>
            </w14:solidFill>
          </w14:textFill>
        </w:rPr>
        <w:t>附：检测</w:t>
      </w:r>
      <w:r>
        <w:rPr>
          <w:rFonts w:hint="eastAsia" w:asciiTheme="minorEastAsia" w:hAnsiTheme="minorEastAsia" w:eastAsiaTheme="minorEastAsia" w:cstheme="minorEastAsia"/>
          <w:b/>
          <w:bCs/>
          <w:color w:val="000000" w:themeColor="text1"/>
          <w:sz w:val="32"/>
          <w:szCs w:val="32"/>
          <w:highlight w:val="none"/>
          <w:lang w:eastAsia="zh-CN"/>
          <w14:textFill>
            <w14:solidFill>
              <w14:schemeClr w14:val="tx1"/>
            </w14:solidFill>
          </w14:textFill>
        </w:rPr>
        <w:t>清单</w:t>
      </w:r>
    </w:p>
    <w:p w14:paraId="0CB40614">
      <w:pPr>
        <w:pStyle w:val="118"/>
        <w:keepNext w:val="0"/>
        <w:keepLines w:val="0"/>
        <w:pageBreakBefore w:val="0"/>
        <w:widowControl w:val="0"/>
        <w:tabs>
          <w:tab w:val="left" w:pos="-1486"/>
          <w:tab w:val="left" w:pos="-142"/>
        </w:tabs>
        <w:kinsoku/>
        <w:wordWrap/>
        <w:overflowPunct/>
        <w:topLinePunct w:val="0"/>
        <w:autoSpaceDE/>
        <w:autoSpaceDN/>
        <w:bidi w:val="0"/>
        <w:adjustRightInd/>
        <w:snapToGrid/>
        <w:spacing w:before="0" w:after="0" w:line="560" w:lineRule="exact"/>
        <w:ind w:left="6" w:leftChars="0" w:hanging="6" w:firstLineChars="0"/>
        <w:jc w:val="center"/>
        <w:textAlignment w:val="auto"/>
        <w:rPr>
          <w:rFonts w:hint="eastAsia" w:ascii="宋体" w:hAnsi="宋体" w:eastAsia="宋体" w:cs="宋体"/>
          <w:b/>
          <w:bCs w:val="0"/>
          <w:color w:val="000000" w:themeColor="text1"/>
          <w:sz w:val="30"/>
          <w:szCs w:val="30"/>
          <w:highlight w:val="none"/>
          <w14:textFill>
            <w14:solidFill>
              <w14:schemeClr w14:val="tx1"/>
            </w14:solidFill>
          </w14:textFill>
        </w:rPr>
      </w:pPr>
      <w:r>
        <w:rPr>
          <w:rFonts w:hint="eastAsia" w:ascii="宋体" w:hAnsi="宋体" w:eastAsia="宋体" w:cs="宋体"/>
          <w:b/>
          <w:bCs w:val="0"/>
          <w:color w:val="000000" w:themeColor="text1"/>
          <w:sz w:val="30"/>
          <w:szCs w:val="30"/>
          <w:highlight w:val="none"/>
          <w:lang w:eastAsia="zh-CN"/>
          <w14:textFill>
            <w14:solidFill>
              <w14:schemeClr w14:val="tx1"/>
            </w14:solidFill>
          </w14:textFill>
        </w:rPr>
        <w:t>（</w:t>
      </w:r>
      <w:r>
        <w:rPr>
          <w:rFonts w:hint="eastAsia" w:ascii="宋体" w:hAnsi="宋体" w:eastAsia="宋体" w:cs="宋体"/>
          <w:b/>
          <w:bCs w:val="0"/>
          <w:color w:val="000000" w:themeColor="text1"/>
          <w:sz w:val="30"/>
          <w:szCs w:val="30"/>
          <w:highlight w:val="none"/>
          <w:lang w:val="en-US" w:eastAsia="zh-CN"/>
          <w14:textFill>
            <w14:solidFill>
              <w14:schemeClr w14:val="tx1"/>
            </w14:solidFill>
          </w14:textFill>
        </w:rPr>
        <w:t>一</w:t>
      </w:r>
      <w:r>
        <w:rPr>
          <w:rFonts w:hint="eastAsia" w:ascii="宋体" w:hAnsi="宋体" w:eastAsia="宋体" w:cs="宋体"/>
          <w:b/>
          <w:bCs w:val="0"/>
          <w:color w:val="000000" w:themeColor="text1"/>
          <w:sz w:val="30"/>
          <w:szCs w:val="30"/>
          <w:highlight w:val="none"/>
          <w:lang w:eastAsia="zh-CN"/>
          <w14:textFill>
            <w14:solidFill>
              <w14:schemeClr w14:val="tx1"/>
            </w14:solidFill>
          </w14:textFill>
        </w:rPr>
        <w:t>）</w:t>
      </w:r>
      <w:r>
        <w:rPr>
          <w:rFonts w:hint="eastAsia" w:ascii="宋体" w:hAnsi="宋体" w:eastAsia="宋体" w:cs="宋体"/>
          <w:b/>
          <w:bCs w:val="0"/>
          <w:color w:val="000000" w:themeColor="text1"/>
          <w:sz w:val="30"/>
          <w:szCs w:val="30"/>
          <w:highlight w:val="none"/>
          <w14:textFill>
            <w14:solidFill>
              <w14:schemeClr w14:val="tx1"/>
            </w14:solidFill>
          </w14:textFill>
        </w:rPr>
        <w:t>地基基础检测</w:t>
      </w:r>
    </w:p>
    <w:p w14:paraId="794AD29C">
      <w:pPr>
        <w:pStyle w:val="12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textAlignment w:val="auto"/>
        <w:rPr>
          <w:rFonts w:hint="eastAsia" w:asciiTheme="minorEastAsia" w:hAnsiTheme="minorEastAsia" w:eastAsiaTheme="minorEastAsia" w:cstheme="minorEastAsia"/>
          <w:b/>
          <w:bCs/>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b/>
          <w:bCs/>
          <w:color w:val="000000" w:themeColor="text1"/>
          <w:kern w:val="2"/>
          <w:sz w:val="24"/>
          <w:szCs w:val="24"/>
          <w:highlight w:val="none"/>
          <w:lang w:val="en-US" w:eastAsia="zh-CN" w:bidi="ar-SA"/>
          <w14:textFill>
            <w14:solidFill>
              <w14:schemeClr w14:val="tx1"/>
            </w14:solidFill>
          </w14:textFill>
        </w:rPr>
        <w:t>1.浅层平板载荷试验</w:t>
      </w:r>
    </w:p>
    <w:tbl>
      <w:tblPr>
        <w:tblStyle w:val="26"/>
        <w:tblpPr w:leftFromText="181" w:rightFromText="181" w:vertAnchor="text" w:horzAnchor="margin" w:tblpXSpec="center" w:tblpY="1"/>
        <w:tblOverlap w:val="never"/>
        <w:tblW w:w="49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0"/>
        <w:gridCol w:w="924"/>
        <w:gridCol w:w="960"/>
        <w:gridCol w:w="1080"/>
        <w:gridCol w:w="1068"/>
        <w:gridCol w:w="1008"/>
        <w:gridCol w:w="1212"/>
        <w:gridCol w:w="1045"/>
      </w:tblGrid>
      <w:tr w14:paraId="445DC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5000" w:type="pct"/>
            <w:gridSpan w:val="8"/>
            <w:shd w:val="clear" w:color="auto" w:fill="auto"/>
            <w:vAlign w:val="center"/>
          </w:tcPr>
          <w:p w14:paraId="33A2253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lang w:eastAsia="zh-CN"/>
              </w:rPr>
              <w:t>浅层平板载荷试验数量表</w:t>
            </w:r>
          </w:p>
        </w:tc>
      </w:tr>
      <w:tr w14:paraId="461A5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1" w:type="pct"/>
            <w:shd w:val="clear" w:color="auto" w:fill="auto"/>
            <w:vAlign w:val="center"/>
          </w:tcPr>
          <w:p w14:paraId="00924197">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ascii="宋体" w:hAnsi="宋体" w:cs="宋体"/>
                <w:color w:val="auto"/>
                <w:kern w:val="0"/>
                <w:sz w:val="21"/>
                <w:szCs w:val="21"/>
              </w:rPr>
            </w:pPr>
            <w:r>
              <w:rPr>
                <w:rFonts w:hint="eastAsia" w:ascii="宋体" w:hAnsi="宋体" w:cs="宋体"/>
                <w:color w:val="auto"/>
                <w:kern w:val="0"/>
                <w:sz w:val="21"/>
                <w:szCs w:val="21"/>
              </w:rPr>
              <w:t>栋号</w:t>
            </w:r>
          </w:p>
        </w:tc>
        <w:tc>
          <w:tcPr>
            <w:tcW w:w="497" w:type="pct"/>
            <w:shd w:val="clear" w:color="auto" w:fill="auto"/>
            <w:vAlign w:val="center"/>
          </w:tcPr>
          <w:p w14:paraId="1826CBCB">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ascii="宋体" w:hAnsi="宋体" w:cs="宋体"/>
                <w:color w:val="auto"/>
                <w:kern w:val="0"/>
                <w:sz w:val="21"/>
                <w:szCs w:val="21"/>
              </w:rPr>
            </w:pPr>
            <w:r>
              <w:rPr>
                <w:rFonts w:hint="eastAsia" w:ascii="宋体" w:hAnsi="宋体" w:cs="宋体"/>
                <w:color w:val="auto"/>
                <w:kern w:val="0"/>
                <w:sz w:val="21"/>
                <w:szCs w:val="21"/>
              </w:rPr>
              <w:t>检测项目序号</w:t>
            </w:r>
          </w:p>
        </w:tc>
        <w:tc>
          <w:tcPr>
            <w:tcW w:w="516" w:type="pct"/>
            <w:shd w:val="clear" w:color="auto" w:fill="auto"/>
            <w:vAlign w:val="center"/>
          </w:tcPr>
          <w:p w14:paraId="3355F6CC">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ascii="宋体" w:hAnsi="宋体" w:cs="宋体"/>
                <w:color w:val="auto"/>
                <w:kern w:val="0"/>
                <w:sz w:val="21"/>
                <w:szCs w:val="21"/>
              </w:rPr>
            </w:pPr>
            <w:r>
              <w:rPr>
                <w:rFonts w:hint="eastAsia" w:ascii="宋体" w:hAnsi="宋体" w:cs="宋体"/>
                <w:color w:val="auto"/>
                <w:kern w:val="0"/>
                <w:sz w:val="21"/>
                <w:szCs w:val="21"/>
              </w:rPr>
              <w:t>试验数量（</w:t>
            </w:r>
            <w:r>
              <w:rPr>
                <w:rFonts w:hint="eastAsia" w:ascii="宋体" w:hAnsi="宋体" w:cs="宋体"/>
                <w:color w:val="auto"/>
                <w:kern w:val="0"/>
                <w:sz w:val="21"/>
                <w:szCs w:val="21"/>
                <w:lang w:val="en-US" w:eastAsia="zh-CN"/>
              </w:rPr>
              <w:t>点</w:t>
            </w:r>
            <w:r>
              <w:rPr>
                <w:rFonts w:hint="eastAsia" w:ascii="宋体" w:hAnsi="宋体" w:cs="宋体"/>
                <w:color w:val="auto"/>
                <w:kern w:val="0"/>
                <w:sz w:val="21"/>
                <w:szCs w:val="21"/>
              </w:rPr>
              <w:t>）</w:t>
            </w:r>
          </w:p>
        </w:tc>
        <w:tc>
          <w:tcPr>
            <w:tcW w:w="581" w:type="pct"/>
            <w:shd w:val="clear" w:color="auto" w:fill="auto"/>
            <w:vAlign w:val="center"/>
          </w:tcPr>
          <w:p w14:paraId="306B19C1">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ascii="宋体" w:hAnsi="宋体" w:cs="宋体"/>
                <w:color w:val="auto"/>
                <w:kern w:val="0"/>
                <w:sz w:val="21"/>
                <w:szCs w:val="21"/>
              </w:rPr>
            </w:pPr>
            <w:r>
              <w:rPr>
                <w:rFonts w:hint="eastAsia" w:ascii="宋体" w:hAnsi="宋体" w:cs="宋体"/>
                <w:color w:val="auto"/>
                <w:kern w:val="0"/>
                <w:sz w:val="21"/>
                <w:szCs w:val="21"/>
              </w:rPr>
              <w:t>承载力特征值（</w:t>
            </w:r>
            <w:r>
              <w:rPr>
                <w:rFonts w:hint="eastAsia" w:ascii="宋体" w:hAnsi="宋体"/>
                <w:color w:val="auto"/>
                <w:spacing w:val="4"/>
                <w:sz w:val="24"/>
                <w:lang w:val="en-US" w:eastAsia="zh-CN"/>
              </w:rPr>
              <w:t>kPa</w:t>
            </w:r>
            <w:r>
              <w:rPr>
                <w:rFonts w:hint="eastAsia" w:ascii="宋体" w:hAnsi="宋体" w:cs="宋体"/>
                <w:color w:val="auto"/>
                <w:kern w:val="0"/>
                <w:sz w:val="21"/>
                <w:szCs w:val="21"/>
              </w:rPr>
              <w:t>）</w:t>
            </w:r>
          </w:p>
        </w:tc>
        <w:tc>
          <w:tcPr>
            <w:tcW w:w="574" w:type="pct"/>
            <w:shd w:val="clear" w:color="auto" w:fill="auto"/>
            <w:vAlign w:val="center"/>
          </w:tcPr>
          <w:p w14:paraId="0E654E60">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ascii="宋体" w:hAnsi="宋体" w:cs="宋体"/>
                <w:color w:val="auto"/>
                <w:kern w:val="0"/>
                <w:sz w:val="21"/>
                <w:szCs w:val="21"/>
              </w:rPr>
            </w:pPr>
            <w:r>
              <w:rPr>
                <w:rFonts w:hint="eastAsia" w:ascii="Times New Roman" w:hAnsi="Times New Roman" w:cs="Times New Roman"/>
                <w:color w:val="auto"/>
                <w:spacing w:val="4"/>
                <w:sz w:val="21"/>
                <w:szCs w:val="21"/>
              </w:rPr>
              <w:t>试验压板面积（m</w:t>
            </w:r>
            <w:r>
              <w:rPr>
                <w:rFonts w:hint="eastAsia" w:ascii="Times New Roman" w:hAnsi="Times New Roman" w:cs="Times New Roman"/>
                <w:color w:val="auto"/>
                <w:spacing w:val="4"/>
                <w:sz w:val="21"/>
                <w:szCs w:val="21"/>
                <w:vertAlign w:val="superscript"/>
              </w:rPr>
              <w:t>2</w:t>
            </w:r>
            <w:r>
              <w:rPr>
                <w:rFonts w:hint="eastAsia" w:ascii="Times New Roman" w:hAnsi="Times New Roman" w:cs="Times New Roman"/>
                <w:color w:val="auto"/>
                <w:spacing w:val="4"/>
                <w:sz w:val="21"/>
                <w:szCs w:val="21"/>
              </w:rPr>
              <w:t>）</w:t>
            </w:r>
          </w:p>
        </w:tc>
        <w:tc>
          <w:tcPr>
            <w:tcW w:w="542" w:type="pct"/>
            <w:shd w:val="clear" w:color="auto" w:fill="auto"/>
            <w:vAlign w:val="center"/>
          </w:tcPr>
          <w:p w14:paraId="137D0BF6">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ascii="宋体" w:hAnsi="宋体" w:cs="宋体"/>
                <w:color w:val="auto"/>
                <w:kern w:val="0"/>
                <w:sz w:val="21"/>
                <w:szCs w:val="21"/>
              </w:rPr>
            </w:pPr>
            <w:r>
              <w:rPr>
                <w:rFonts w:hint="eastAsia" w:ascii="宋体" w:hAnsi="宋体" w:cs="宋体"/>
                <w:color w:val="auto"/>
                <w:kern w:val="0"/>
                <w:sz w:val="21"/>
                <w:szCs w:val="21"/>
              </w:rPr>
              <w:t>加荷最大值（kN</w:t>
            </w:r>
            <w:r>
              <w:rPr>
                <w:rFonts w:hint="eastAsia" w:ascii="宋体" w:hAnsi="宋体" w:cs="宋体"/>
                <w:color w:val="auto"/>
                <w:kern w:val="0"/>
                <w:sz w:val="21"/>
                <w:szCs w:val="21"/>
                <w:lang w:eastAsia="zh-CN"/>
              </w:rPr>
              <w:t>）</w:t>
            </w:r>
          </w:p>
        </w:tc>
        <w:tc>
          <w:tcPr>
            <w:tcW w:w="652" w:type="pct"/>
            <w:shd w:val="clear" w:color="auto" w:fill="auto"/>
            <w:vAlign w:val="center"/>
          </w:tcPr>
          <w:p w14:paraId="45DC2242">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rPr>
              <w:t>收费单价</w:t>
            </w:r>
          </w:p>
          <w:p w14:paraId="67BAB314">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rPr>
              <w:t>（元/</w:t>
            </w:r>
            <w:r>
              <w:rPr>
                <w:rFonts w:hint="eastAsia" w:ascii="宋体" w:hAnsi="宋体" w:cs="宋体"/>
                <w:color w:val="auto"/>
                <w:kern w:val="0"/>
                <w:sz w:val="21"/>
                <w:szCs w:val="21"/>
                <w:lang w:val="en-US" w:eastAsia="zh-CN"/>
              </w:rPr>
              <w:t>测点</w:t>
            </w:r>
            <w:r>
              <w:rPr>
                <w:rFonts w:hint="eastAsia" w:ascii="宋体" w:hAnsi="宋体" w:cs="宋体"/>
                <w:color w:val="auto"/>
                <w:kern w:val="0"/>
                <w:sz w:val="21"/>
                <w:szCs w:val="21"/>
              </w:rPr>
              <w:t>）</w:t>
            </w:r>
          </w:p>
        </w:tc>
        <w:tc>
          <w:tcPr>
            <w:tcW w:w="562" w:type="pct"/>
            <w:shd w:val="clear" w:color="auto" w:fill="auto"/>
            <w:vAlign w:val="center"/>
          </w:tcPr>
          <w:p w14:paraId="12751612">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lang w:eastAsia="zh-CN"/>
              </w:rPr>
              <w:t>小</w:t>
            </w:r>
            <w:r>
              <w:rPr>
                <w:rFonts w:hint="eastAsia" w:ascii="宋体" w:hAnsi="宋体" w:cs="宋体"/>
                <w:color w:val="auto"/>
                <w:kern w:val="0"/>
                <w:sz w:val="21"/>
                <w:szCs w:val="21"/>
              </w:rPr>
              <w:t>计</w:t>
            </w:r>
          </w:p>
          <w:p w14:paraId="430F7B34">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rPr>
              <w:t>（元）</w:t>
            </w:r>
          </w:p>
        </w:tc>
      </w:tr>
      <w:tr w14:paraId="5567B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1" w:type="pct"/>
            <w:shd w:val="clear" w:color="auto" w:fill="auto"/>
            <w:vAlign w:val="center"/>
          </w:tcPr>
          <w:p w14:paraId="4731E6E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lang w:eastAsia="zh-CN"/>
              </w:rPr>
            </w:pPr>
            <w:r>
              <w:rPr>
                <w:rFonts w:hint="eastAsia" w:ascii="宋体" w:hAnsi="宋体" w:cs="宋体"/>
                <w:color w:val="auto"/>
                <w:kern w:val="0"/>
                <w:sz w:val="21"/>
                <w:szCs w:val="21"/>
                <w:lang w:val="en-US" w:eastAsia="zh-CN"/>
              </w:rPr>
              <w:t>1#综合大楼</w:t>
            </w:r>
          </w:p>
        </w:tc>
        <w:tc>
          <w:tcPr>
            <w:tcW w:w="497" w:type="pct"/>
            <w:vMerge w:val="restart"/>
            <w:shd w:val="clear" w:color="auto" w:fill="auto"/>
            <w:vAlign w:val="center"/>
          </w:tcPr>
          <w:p w14:paraId="4BFE11A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lang w:val="en-US" w:eastAsia="zh-CN"/>
              </w:rPr>
              <w:t>1.3.1</w:t>
            </w:r>
          </w:p>
        </w:tc>
        <w:tc>
          <w:tcPr>
            <w:tcW w:w="516" w:type="pct"/>
            <w:shd w:val="clear" w:color="auto" w:fill="auto"/>
            <w:vAlign w:val="center"/>
          </w:tcPr>
          <w:p w14:paraId="62A3E04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5</w:t>
            </w:r>
          </w:p>
        </w:tc>
        <w:tc>
          <w:tcPr>
            <w:tcW w:w="581" w:type="pct"/>
            <w:shd w:val="clear" w:color="auto" w:fill="auto"/>
            <w:vAlign w:val="center"/>
          </w:tcPr>
          <w:p w14:paraId="25E0823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rPr>
              <w:t>450</w:t>
            </w:r>
          </w:p>
        </w:tc>
        <w:tc>
          <w:tcPr>
            <w:tcW w:w="574" w:type="pct"/>
            <w:shd w:val="clear" w:color="auto" w:fill="auto"/>
            <w:vAlign w:val="center"/>
          </w:tcPr>
          <w:p w14:paraId="5C16CE8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rPr>
              <w:t>0.25</w:t>
            </w:r>
          </w:p>
        </w:tc>
        <w:tc>
          <w:tcPr>
            <w:tcW w:w="542" w:type="pct"/>
            <w:shd w:val="clear" w:color="auto" w:fill="auto"/>
            <w:vAlign w:val="center"/>
          </w:tcPr>
          <w:p w14:paraId="13B3770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lang w:val="en-US" w:eastAsia="zh-CN"/>
              </w:rPr>
              <w:t>225</w:t>
            </w:r>
          </w:p>
        </w:tc>
        <w:tc>
          <w:tcPr>
            <w:tcW w:w="652" w:type="pct"/>
            <w:shd w:val="clear" w:color="auto" w:fill="auto"/>
            <w:vAlign w:val="center"/>
          </w:tcPr>
          <w:p w14:paraId="401F548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cs="宋体"/>
                <w:color w:val="auto"/>
                <w:kern w:val="0"/>
                <w:sz w:val="21"/>
                <w:szCs w:val="21"/>
                <w:lang w:val="en-US" w:eastAsia="zh-CN"/>
              </w:rPr>
            </w:pPr>
          </w:p>
        </w:tc>
        <w:tc>
          <w:tcPr>
            <w:tcW w:w="562" w:type="pct"/>
            <w:shd w:val="clear" w:color="auto" w:fill="auto"/>
            <w:vAlign w:val="center"/>
          </w:tcPr>
          <w:p w14:paraId="4A853CC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cs="宋体"/>
                <w:color w:val="auto"/>
                <w:kern w:val="0"/>
                <w:sz w:val="21"/>
                <w:szCs w:val="21"/>
                <w:lang w:val="en-US" w:eastAsia="zh-CN"/>
              </w:rPr>
            </w:pPr>
          </w:p>
        </w:tc>
      </w:tr>
      <w:tr w14:paraId="196A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1" w:type="pct"/>
            <w:shd w:val="clear" w:color="auto" w:fill="auto"/>
            <w:vAlign w:val="center"/>
          </w:tcPr>
          <w:p w14:paraId="3FF0B21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lang w:val="en-US" w:eastAsia="zh-CN"/>
              </w:rPr>
              <w:t>3#洗衣房、污物间</w:t>
            </w:r>
          </w:p>
        </w:tc>
        <w:tc>
          <w:tcPr>
            <w:tcW w:w="497" w:type="pct"/>
            <w:vMerge w:val="continue"/>
            <w:shd w:val="clear" w:color="auto" w:fill="auto"/>
            <w:vAlign w:val="center"/>
          </w:tcPr>
          <w:p w14:paraId="013ADDA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516" w:type="pct"/>
            <w:shd w:val="clear" w:color="auto" w:fill="auto"/>
            <w:vAlign w:val="center"/>
          </w:tcPr>
          <w:p w14:paraId="536FF7A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lang w:val="en-US" w:eastAsia="zh-CN"/>
              </w:rPr>
              <w:t>3</w:t>
            </w:r>
          </w:p>
        </w:tc>
        <w:tc>
          <w:tcPr>
            <w:tcW w:w="581" w:type="pct"/>
            <w:shd w:val="clear" w:color="auto" w:fill="auto"/>
            <w:vAlign w:val="center"/>
          </w:tcPr>
          <w:p w14:paraId="454C67D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rPr>
              <w:t>450</w:t>
            </w:r>
          </w:p>
        </w:tc>
        <w:tc>
          <w:tcPr>
            <w:tcW w:w="574" w:type="pct"/>
            <w:shd w:val="clear" w:color="auto" w:fill="auto"/>
            <w:vAlign w:val="center"/>
          </w:tcPr>
          <w:p w14:paraId="00C31DF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rPr>
              <w:t>0.25</w:t>
            </w:r>
          </w:p>
        </w:tc>
        <w:tc>
          <w:tcPr>
            <w:tcW w:w="542" w:type="pct"/>
            <w:shd w:val="clear" w:color="auto" w:fill="auto"/>
            <w:vAlign w:val="center"/>
          </w:tcPr>
          <w:p w14:paraId="76C661B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lang w:val="en-US" w:eastAsia="zh-CN"/>
              </w:rPr>
              <w:t>225</w:t>
            </w:r>
          </w:p>
        </w:tc>
        <w:tc>
          <w:tcPr>
            <w:tcW w:w="652" w:type="pct"/>
            <w:shd w:val="clear" w:color="auto" w:fill="auto"/>
            <w:vAlign w:val="center"/>
          </w:tcPr>
          <w:p w14:paraId="2D6D1F3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lang w:val="en-US" w:eastAsia="zh-CN"/>
              </w:rPr>
            </w:pPr>
          </w:p>
        </w:tc>
        <w:tc>
          <w:tcPr>
            <w:tcW w:w="562" w:type="pct"/>
            <w:shd w:val="clear" w:color="auto" w:fill="auto"/>
            <w:vAlign w:val="center"/>
          </w:tcPr>
          <w:p w14:paraId="33B8CC6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lang w:val="en-US" w:eastAsia="zh-CN"/>
              </w:rPr>
            </w:pPr>
          </w:p>
        </w:tc>
      </w:tr>
      <w:tr w14:paraId="49B40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4437" w:type="pct"/>
            <w:gridSpan w:val="7"/>
            <w:shd w:val="clear" w:color="auto" w:fill="auto"/>
            <w:vAlign w:val="center"/>
          </w:tcPr>
          <w:p w14:paraId="0343065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浅层平板载荷试验实物工作费</w:t>
            </w:r>
          </w:p>
        </w:tc>
        <w:tc>
          <w:tcPr>
            <w:tcW w:w="562" w:type="pct"/>
            <w:shd w:val="clear" w:color="auto" w:fill="auto"/>
            <w:vAlign w:val="center"/>
          </w:tcPr>
          <w:p w14:paraId="3726AD7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lang w:val="en-US" w:eastAsia="zh-CN"/>
              </w:rPr>
            </w:pPr>
          </w:p>
        </w:tc>
      </w:tr>
      <w:tr w14:paraId="3D99A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4437" w:type="pct"/>
            <w:gridSpan w:val="7"/>
            <w:shd w:val="clear" w:color="auto" w:fill="auto"/>
            <w:vAlign w:val="center"/>
          </w:tcPr>
          <w:p w14:paraId="0AD4402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浅层平板载荷试验技术工作费（22%）</w:t>
            </w:r>
          </w:p>
        </w:tc>
        <w:tc>
          <w:tcPr>
            <w:tcW w:w="562" w:type="pct"/>
            <w:shd w:val="clear" w:color="auto" w:fill="auto"/>
            <w:vAlign w:val="center"/>
          </w:tcPr>
          <w:p w14:paraId="206894E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lang w:val="en-US" w:eastAsia="zh-CN"/>
              </w:rPr>
            </w:pPr>
          </w:p>
        </w:tc>
      </w:tr>
      <w:tr w14:paraId="099C8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4437" w:type="pct"/>
            <w:gridSpan w:val="7"/>
            <w:shd w:val="clear" w:color="auto" w:fill="auto"/>
            <w:vAlign w:val="center"/>
          </w:tcPr>
          <w:p w14:paraId="7E9E3A5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浅层平板载荷静载荷试验总费用</w:t>
            </w:r>
          </w:p>
        </w:tc>
        <w:tc>
          <w:tcPr>
            <w:tcW w:w="562" w:type="pct"/>
            <w:shd w:val="clear" w:color="auto" w:fill="auto"/>
            <w:vAlign w:val="center"/>
          </w:tcPr>
          <w:p w14:paraId="57D9AEB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lang w:val="en-US" w:eastAsia="zh-CN"/>
              </w:rPr>
            </w:pPr>
          </w:p>
        </w:tc>
      </w:tr>
      <w:tr w14:paraId="19AAF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4437" w:type="pct"/>
            <w:gridSpan w:val="7"/>
            <w:shd w:val="clear" w:color="auto" w:fill="auto"/>
            <w:vAlign w:val="center"/>
          </w:tcPr>
          <w:p w14:paraId="1C7131D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浅层平板载荷试验总费用下浮55%计算（元）</w:t>
            </w:r>
          </w:p>
        </w:tc>
        <w:tc>
          <w:tcPr>
            <w:tcW w:w="562" w:type="pct"/>
            <w:shd w:val="clear" w:color="auto" w:fill="auto"/>
            <w:vAlign w:val="center"/>
          </w:tcPr>
          <w:p w14:paraId="528FADC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lang w:val="en-US" w:eastAsia="zh-CN"/>
              </w:rPr>
            </w:pPr>
          </w:p>
        </w:tc>
      </w:tr>
      <w:tr w14:paraId="46028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8"/>
            <w:shd w:val="clear" w:color="auto" w:fill="auto"/>
            <w:vAlign w:val="center"/>
          </w:tcPr>
          <w:p w14:paraId="6D05BE4A">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注：1.</w:t>
            </w:r>
            <w:r>
              <w:rPr>
                <w:rFonts w:hint="eastAsia" w:ascii="宋体" w:hAnsi="宋体" w:cs="宋体"/>
                <w:color w:val="auto"/>
                <w:kern w:val="0"/>
                <w:sz w:val="21"/>
                <w:szCs w:val="21"/>
                <w:lang w:val="en-US" w:eastAsia="zh-CN" w:bidi="ar"/>
              </w:rPr>
              <w:t>根据《建筑地基检测技术规范》JGJ340-2015第4.1.4条 土（岩）地基载荷试验，单位工程检测数量为每500m</w:t>
            </w:r>
            <w:r>
              <w:rPr>
                <w:rFonts w:hint="eastAsia" w:ascii="宋体" w:hAnsi="宋体" w:cs="宋体"/>
                <w:color w:val="auto"/>
                <w:kern w:val="0"/>
                <w:sz w:val="21"/>
                <w:szCs w:val="21"/>
                <w:vertAlign w:val="superscript"/>
                <w:lang w:val="en-US" w:eastAsia="zh-CN" w:bidi="ar"/>
              </w:rPr>
              <w:t>2</w:t>
            </w:r>
            <w:r>
              <w:rPr>
                <w:rFonts w:hint="eastAsia" w:ascii="宋体" w:hAnsi="宋体" w:cs="宋体"/>
                <w:color w:val="auto"/>
                <w:kern w:val="0"/>
                <w:sz w:val="21"/>
                <w:szCs w:val="21"/>
                <w:lang w:val="en-US" w:eastAsia="zh-CN" w:bidi="ar"/>
              </w:rPr>
              <w:t>不应少于1点，且总点数不应少于3点；</w:t>
            </w:r>
          </w:p>
          <w:p w14:paraId="7EB313C3">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2.</w:t>
            </w:r>
            <w:r>
              <w:rPr>
                <w:rFonts w:hint="eastAsia" w:ascii="宋体" w:hAnsi="宋体" w:cs="宋体"/>
                <w:color w:val="auto"/>
                <w:kern w:val="0"/>
                <w:sz w:val="21"/>
                <w:szCs w:val="21"/>
                <w:lang w:val="en-US" w:eastAsia="zh-CN" w:bidi="ar"/>
              </w:rPr>
              <w:t>浅层平板载荷试验</w:t>
            </w:r>
            <w:r>
              <w:rPr>
                <w:rFonts w:hint="eastAsia" w:ascii="宋体" w:hAnsi="宋体" w:eastAsia="宋体" w:cs="宋体"/>
                <w:color w:val="auto"/>
                <w:kern w:val="0"/>
                <w:sz w:val="21"/>
                <w:szCs w:val="21"/>
                <w:lang w:val="en-US" w:eastAsia="zh-CN" w:bidi="ar"/>
              </w:rPr>
              <w:t>承压板面积不应小于0.25㎡，</w:t>
            </w:r>
            <w:r>
              <w:rPr>
                <w:rFonts w:hint="eastAsia" w:ascii="宋体" w:hAnsi="宋体" w:cs="宋体"/>
                <w:color w:val="auto"/>
                <w:kern w:val="0"/>
                <w:sz w:val="21"/>
                <w:szCs w:val="21"/>
                <w:lang w:val="en-US" w:eastAsia="zh-CN" w:bidi="ar"/>
              </w:rPr>
              <w:t>强夯地基承压板面积不应小于2</w:t>
            </w:r>
            <w:r>
              <w:rPr>
                <w:rFonts w:hint="eastAsia" w:ascii="宋体" w:hAnsi="宋体" w:eastAsia="宋体" w:cs="宋体"/>
                <w:color w:val="auto"/>
                <w:kern w:val="0"/>
                <w:sz w:val="21"/>
                <w:szCs w:val="21"/>
                <w:lang w:val="en-US" w:eastAsia="zh-CN" w:bidi="ar"/>
              </w:rPr>
              <w:t>㎡</w:t>
            </w:r>
            <w:r>
              <w:rPr>
                <w:rFonts w:hint="eastAsia" w:ascii="宋体" w:hAnsi="宋体" w:cs="宋体"/>
                <w:color w:val="auto"/>
                <w:kern w:val="0"/>
                <w:sz w:val="21"/>
                <w:szCs w:val="21"/>
                <w:lang w:val="en-US" w:eastAsia="zh-CN" w:bidi="ar"/>
              </w:rPr>
              <w:t>，</w:t>
            </w:r>
            <w:r>
              <w:rPr>
                <w:rFonts w:hint="eastAsia" w:ascii="宋体" w:hAnsi="宋体" w:eastAsia="宋体" w:cs="宋体"/>
                <w:color w:val="auto"/>
                <w:kern w:val="0"/>
                <w:sz w:val="21"/>
                <w:szCs w:val="21"/>
                <w:lang w:val="en-US" w:eastAsia="zh-CN" w:bidi="ar"/>
              </w:rPr>
              <w:t>加荷最大值=承载力特征值×2×承压板面积0.25</w:t>
            </w:r>
            <w:r>
              <w:rPr>
                <w:rFonts w:hint="eastAsia" w:ascii="宋体" w:hAnsi="宋体" w:cs="宋体"/>
                <w:color w:val="auto"/>
                <w:kern w:val="0"/>
                <w:sz w:val="21"/>
                <w:szCs w:val="21"/>
                <w:lang w:val="en-US" w:eastAsia="zh-CN" w:bidi="ar"/>
              </w:rPr>
              <w:t>、2</w:t>
            </w:r>
            <w:r>
              <w:rPr>
                <w:rFonts w:hint="eastAsia" w:ascii="宋体" w:hAnsi="宋体" w:eastAsia="宋体" w:cs="宋体"/>
                <w:color w:val="auto"/>
                <w:kern w:val="0"/>
                <w:sz w:val="21"/>
                <w:szCs w:val="21"/>
                <w:lang w:val="en-US" w:eastAsia="zh-CN" w:bidi="ar"/>
              </w:rPr>
              <w:t>㎡；</w:t>
            </w:r>
          </w:p>
          <w:p w14:paraId="2DA363CA">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3.不包含试坑开挖、桩头处理、锚桩及焊接费；</w:t>
            </w:r>
          </w:p>
          <w:p w14:paraId="1DD091E1">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4.试验数量以实际发生量为准。</w:t>
            </w:r>
          </w:p>
        </w:tc>
      </w:tr>
    </w:tbl>
    <w:p w14:paraId="7FC52FC2">
      <w:pPr>
        <w:pStyle w:val="12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textAlignment w:val="auto"/>
        <w:rPr>
          <w:rFonts w:hint="eastAsia" w:asciiTheme="minorEastAsia" w:hAnsiTheme="minorEastAsia" w:eastAsiaTheme="minorEastAsia" w:cstheme="minorEastAsia"/>
          <w:b/>
          <w:bCs/>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b/>
          <w:bCs/>
          <w:color w:val="000000" w:themeColor="text1"/>
          <w:kern w:val="2"/>
          <w:sz w:val="24"/>
          <w:szCs w:val="24"/>
          <w:highlight w:val="none"/>
          <w:lang w:val="en-US" w:eastAsia="zh-CN" w:bidi="ar-SA"/>
          <w14:textFill>
            <w14:solidFill>
              <w14:schemeClr w14:val="tx1"/>
            </w14:solidFill>
          </w14:textFill>
        </w:rPr>
        <w:t>2.静载试验平台吊装及运输</w:t>
      </w:r>
    </w:p>
    <w:tbl>
      <w:tblPr>
        <w:tblStyle w:val="26"/>
        <w:tblW w:w="92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9"/>
        <w:gridCol w:w="1324"/>
        <w:gridCol w:w="1515"/>
        <w:gridCol w:w="810"/>
        <w:gridCol w:w="810"/>
        <w:gridCol w:w="810"/>
        <w:gridCol w:w="942"/>
        <w:gridCol w:w="1128"/>
        <w:gridCol w:w="1284"/>
      </w:tblGrid>
      <w:tr w14:paraId="7F43F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9262" w:type="dxa"/>
            <w:gridSpan w:val="9"/>
            <w:tcBorders>
              <w:tl2br w:val="nil"/>
              <w:tr2bl w:val="nil"/>
            </w:tcBorders>
            <w:shd w:val="clear" w:color="auto" w:fill="auto"/>
            <w:vAlign w:val="center"/>
          </w:tcPr>
          <w:p w14:paraId="75C59F4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r>
              <w:rPr>
                <w:rFonts w:hint="eastAsia" w:ascii="宋体" w:hAnsi="宋体" w:eastAsia="宋体" w:cs="宋体"/>
                <w:color w:val="auto"/>
                <w:kern w:val="0"/>
                <w:sz w:val="21"/>
                <w:szCs w:val="21"/>
              </w:rPr>
              <w:t>静载试验平台吊装及运输数量表</w:t>
            </w:r>
          </w:p>
        </w:tc>
      </w:tr>
      <w:tr w14:paraId="11CB1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1963" w:type="dxa"/>
            <w:gridSpan w:val="2"/>
            <w:tcBorders>
              <w:tl2br w:val="nil"/>
              <w:tr2bl w:val="nil"/>
            </w:tcBorders>
            <w:shd w:val="clear" w:color="auto" w:fill="auto"/>
            <w:vAlign w:val="center"/>
          </w:tcPr>
          <w:p w14:paraId="2F644604">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hint="eastAsia" w:ascii="宋体" w:hAnsi="宋体" w:cs="宋体"/>
                <w:color w:val="auto"/>
                <w:kern w:val="0"/>
                <w:sz w:val="21"/>
                <w:szCs w:val="21"/>
              </w:rPr>
            </w:pPr>
            <w:r>
              <w:rPr>
                <w:rFonts w:hint="eastAsia" w:ascii="宋体" w:hAnsi="宋体" w:eastAsia="宋体" w:cs="宋体"/>
                <w:color w:val="auto"/>
                <w:kern w:val="0"/>
                <w:sz w:val="21"/>
                <w:szCs w:val="21"/>
              </w:rPr>
              <w:t>单</w:t>
            </w:r>
            <w:r>
              <w:rPr>
                <w:rFonts w:hint="eastAsia" w:ascii="宋体" w:hAnsi="宋体" w:eastAsia="宋体" w:cs="宋体"/>
                <w:color w:val="auto"/>
                <w:kern w:val="0"/>
                <w:sz w:val="21"/>
                <w:szCs w:val="21"/>
                <w:lang w:eastAsia="zh-CN"/>
              </w:rPr>
              <w:t>元工程</w:t>
            </w:r>
          </w:p>
        </w:tc>
        <w:tc>
          <w:tcPr>
            <w:tcW w:w="1515" w:type="dxa"/>
            <w:tcBorders>
              <w:tl2br w:val="nil"/>
              <w:tr2bl w:val="nil"/>
            </w:tcBorders>
            <w:shd w:val="clear" w:color="auto" w:fill="auto"/>
            <w:vAlign w:val="center"/>
          </w:tcPr>
          <w:p w14:paraId="33504808">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hint="eastAsia" w:ascii="宋体" w:hAnsi="宋体" w:cs="宋体"/>
                <w:color w:val="auto"/>
                <w:kern w:val="0"/>
                <w:sz w:val="21"/>
                <w:szCs w:val="21"/>
              </w:rPr>
            </w:pPr>
            <w:r>
              <w:rPr>
                <w:rFonts w:hint="eastAsia" w:ascii="宋体" w:hAnsi="宋体" w:eastAsia="宋体" w:cs="宋体"/>
                <w:color w:val="auto"/>
                <w:kern w:val="0"/>
                <w:sz w:val="21"/>
                <w:szCs w:val="21"/>
              </w:rPr>
              <w:t>检测项目</w:t>
            </w:r>
          </w:p>
        </w:tc>
        <w:tc>
          <w:tcPr>
            <w:tcW w:w="810" w:type="dxa"/>
            <w:tcBorders>
              <w:tl2br w:val="nil"/>
              <w:tr2bl w:val="nil"/>
            </w:tcBorders>
            <w:shd w:val="clear" w:color="auto" w:fill="auto"/>
            <w:vAlign w:val="center"/>
          </w:tcPr>
          <w:p w14:paraId="00C751AC">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hint="eastAsia" w:ascii="宋体" w:hAnsi="宋体" w:cs="宋体"/>
                <w:color w:val="auto"/>
                <w:kern w:val="0"/>
                <w:sz w:val="21"/>
                <w:szCs w:val="21"/>
              </w:rPr>
            </w:pPr>
            <w:r>
              <w:rPr>
                <w:rFonts w:hint="eastAsia" w:ascii="宋体" w:hAnsi="宋体" w:eastAsia="宋体" w:cs="宋体"/>
                <w:color w:val="auto"/>
                <w:kern w:val="0"/>
                <w:sz w:val="21"/>
                <w:szCs w:val="21"/>
              </w:rPr>
              <w:t>检测项目序号</w:t>
            </w:r>
          </w:p>
        </w:tc>
        <w:tc>
          <w:tcPr>
            <w:tcW w:w="810" w:type="dxa"/>
            <w:tcBorders>
              <w:tl2br w:val="nil"/>
              <w:tr2bl w:val="nil"/>
            </w:tcBorders>
            <w:shd w:val="clear" w:color="auto" w:fill="auto"/>
            <w:vAlign w:val="center"/>
          </w:tcPr>
          <w:p w14:paraId="4D2EE62E">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hint="eastAsia" w:ascii="宋体" w:hAnsi="宋体" w:cs="宋体"/>
                <w:color w:val="auto"/>
                <w:kern w:val="0"/>
                <w:sz w:val="21"/>
                <w:szCs w:val="21"/>
              </w:rPr>
            </w:pPr>
            <w:r>
              <w:rPr>
                <w:rFonts w:hint="eastAsia" w:ascii="宋体" w:hAnsi="宋体" w:eastAsia="宋体" w:cs="宋体"/>
                <w:color w:val="auto"/>
                <w:kern w:val="0"/>
                <w:sz w:val="21"/>
                <w:szCs w:val="21"/>
              </w:rPr>
              <w:t>试验数量（次）</w:t>
            </w:r>
          </w:p>
        </w:tc>
        <w:tc>
          <w:tcPr>
            <w:tcW w:w="810" w:type="dxa"/>
            <w:tcBorders>
              <w:tl2br w:val="nil"/>
              <w:tr2bl w:val="nil"/>
            </w:tcBorders>
            <w:shd w:val="clear" w:color="auto" w:fill="auto"/>
            <w:vAlign w:val="center"/>
          </w:tcPr>
          <w:p w14:paraId="0E64E46D">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hint="default" w:eastAsia="宋体"/>
                <w:color w:val="auto"/>
                <w:lang w:val="en-US" w:eastAsia="zh-CN"/>
              </w:rPr>
            </w:pPr>
            <w:r>
              <w:rPr>
                <w:rFonts w:hint="eastAsia" w:ascii="宋体" w:hAnsi="宋体" w:eastAsia="宋体" w:cs="宋体"/>
                <w:color w:val="auto"/>
                <w:kern w:val="0"/>
                <w:sz w:val="21"/>
                <w:szCs w:val="21"/>
              </w:rPr>
              <w:t>特征值</w:t>
            </w:r>
            <w:r>
              <w:rPr>
                <w:rFonts w:hint="eastAsia" w:ascii="宋体" w:hAnsi="宋体" w:cs="宋体"/>
                <w:color w:val="auto"/>
                <w:kern w:val="0"/>
                <w:sz w:val="21"/>
                <w:szCs w:val="21"/>
                <w:lang w:eastAsia="zh-CN"/>
              </w:rPr>
              <w:t>（</w:t>
            </w:r>
            <w:r>
              <w:rPr>
                <w:rFonts w:hint="eastAsia" w:ascii="宋体" w:hAnsi="宋体" w:cs="宋体"/>
                <w:color w:val="auto"/>
                <w:kern w:val="0"/>
                <w:sz w:val="21"/>
                <w:szCs w:val="21"/>
                <w:lang w:val="en-US" w:eastAsia="zh-CN"/>
              </w:rPr>
              <w:t>kPa</w:t>
            </w:r>
            <w:r>
              <w:rPr>
                <w:rFonts w:hint="eastAsia" w:ascii="宋体" w:hAnsi="宋体" w:cs="宋体"/>
                <w:color w:val="auto"/>
                <w:kern w:val="0"/>
                <w:sz w:val="21"/>
                <w:szCs w:val="21"/>
                <w:lang w:eastAsia="zh-CN"/>
              </w:rPr>
              <w:t>）</w:t>
            </w:r>
          </w:p>
        </w:tc>
        <w:tc>
          <w:tcPr>
            <w:tcW w:w="942" w:type="dxa"/>
            <w:tcBorders>
              <w:tl2br w:val="nil"/>
              <w:tr2bl w:val="nil"/>
            </w:tcBorders>
            <w:shd w:val="clear" w:color="auto" w:fill="auto"/>
            <w:vAlign w:val="center"/>
          </w:tcPr>
          <w:p w14:paraId="39EC9438">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hint="eastAsia" w:ascii="宋体" w:hAnsi="宋体" w:cs="宋体"/>
                <w:color w:val="auto"/>
                <w:kern w:val="0"/>
                <w:sz w:val="21"/>
                <w:szCs w:val="21"/>
              </w:rPr>
            </w:pPr>
            <w:r>
              <w:rPr>
                <w:rFonts w:hint="eastAsia" w:ascii="宋体" w:hAnsi="宋体" w:eastAsia="宋体" w:cs="宋体"/>
                <w:color w:val="auto"/>
                <w:kern w:val="0"/>
                <w:sz w:val="21"/>
                <w:szCs w:val="21"/>
              </w:rPr>
              <w:t>设备总吨位（吨）</w:t>
            </w:r>
          </w:p>
        </w:tc>
        <w:tc>
          <w:tcPr>
            <w:tcW w:w="1128" w:type="dxa"/>
            <w:tcBorders>
              <w:tl2br w:val="nil"/>
              <w:tr2bl w:val="nil"/>
            </w:tcBorders>
            <w:shd w:val="clear" w:color="auto" w:fill="auto"/>
            <w:vAlign w:val="center"/>
          </w:tcPr>
          <w:p w14:paraId="41214E3D">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单价</w:t>
            </w:r>
          </w:p>
          <w:p w14:paraId="0CB4729D">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color w:val="auto"/>
              </w:rPr>
            </w:pPr>
            <w:r>
              <w:rPr>
                <w:rFonts w:hint="eastAsia" w:ascii="宋体" w:hAnsi="宋体" w:eastAsia="宋体" w:cs="宋体"/>
                <w:color w:val="auto"/>
                <w:kern w:val="0"/>
                <w:sz w:val="21"/>
                <w:szCs w:val="21"/>
              </w:rPr>
              <w:t>（元/次）</w:t>
            </w:r>
          </w:p>
        </w:tc>
        <w:tc>
          <w:tcPr>
            <w:tcW w:w="1284" w:type="dxa"/>
            <w:tcBorders>
              <w:tl2br w:val="nil"/>
              <w:tr2bl w:val="nil"/>
            </w:tcBorders>
            <w:shd w:val="clear" w:color="auto" w:fill="auto"/>
            <w:vAlign w:val="center"/>
          </w:tcPr>
          <w:p w14:paraId="7A0E0EA9">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小计</w:t>
            </w:r>
          </w:p>
          <w:p w14:paraId="55538EF0">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color w:val="auto"/>
              </w:rPr>
            </w:pPr>
            <w:r>
              <w:rPr>
                <w:rFonts w:hint="eastAsia" w:ascii="宋体" w:hAnsi="宋体" w:eastAsia="宋体" w:cs="宋体"/>
                <w:color w:val="auto"/>
                <w:kern w:val="0"/>
                <w:sz w:val="21"/>
                <w:szCs w:val="21"/>
              </w:rPr>
              <w:t>（元）</w:t>
            </w:r>
          </w:p>
        </w:tc>
      </w:tr>
      <w:tr w14:paraId="2214D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639" w:type="dxa"/>
            <w:vMerge w:val="restart"/>
            <w:tcBorders>
              <w:tl2br w:val="nil"/>
              <w:tr2bl w:val="nil"/>
            </w:tcBorders>
            <w:shd w:val="clear" w:color="auto" w:fill="auto"/>
            <w:vAlign w:val="center"/>
          </w:tcPr>
          <w:p w14:paraId="787AA4A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浅层平板载荷试验</w:t>
            </w:r>
          </w:p>
        </w:tc>
        <w:tc>
          <w:tcPr>
            <w:tcW w:w="1324" w:type="dxa"/>
            <w:tcBorders>
              <w:tl2br w:val="nil"/>
              <w:tr2bl w:val="nil"/>
            </w:tcBorders>
            <w:shd w:val="clear" w:color="auto" w:fill="auto"/>
            <w:vAlign w:val="center"/>
          </w:tcPr>
          <w:p w14:paraId="30D5C55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rPr>
              <w:t>1#综合大楼</w:t>
            </w:r>
          </w:p>
        </w:tc>
        <w:tc>
          <w:tcPr>
            <w:tcW w:w="1515" w:type="dxa"/>
            <w:vMerge w:val="restart"/>
            <w:tcBorders>
              <w:tl2br w:val="nil"/>
              <w:tr2bl w:val="nil"/>
            </w:tcBorders>
            <w:shd w:val="clear" w:color="auto" w:fill="auto"/>
            <w:vAlign w:val="center"/>
          </w:tcPr>
          <w:p w14:paraId="79DBA64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试验平台（配重及相关试验设备）吊装（安装、拆卸一次）</w:t>
            </w:r>
          </w:p>
        </w:tc>
        <w:tc>
          <w:tcPr>
            <w:tcW w:w="810" w:type="dxa"/>
            <w:vMerge w:val="restart"/>
            <w:tcBorders>
              <w:tl2br w:val="nil"/>
              <w:tr2bl w:val="nil"/>
            </w:tcBorders>
            <w:shd w:val="clear" w:color="auto" w:fill="auto"/>
            <w:vAlign w:val="center"/>
          </w:tcPr>
          <w:p w14:paraId="50F093A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eastAsia="宋体" w:cs="宋体"/>
                <w:i w:val="0"/>
                <w:color w:val="auto"/>
                <w:kern w:val="0"/>
                <w:sz w:val="21"/>
                <w:szCs w:val="21"/>
                <w:u w:val="none"/>
                <w:lang w:val="en-US" w:eastAsia="zh-CN" w:bidi="ar"/>
              </w:rPr>
              <w:t>1.3.4</w:t>
            </w:r>
          </w:p>
        </w:tc>
        <w:tc>
          <w:tcPr>
            <w:tcW w:w="810" w:type="dxa"/>
            <w:tcBorders>
              <w:tl2br w:val="nil"/>
              <w:tr2bl w:val="nil"/>
            </w:tcBorders>
            <w:shd w:val="clear" w:color="auto" w:fill="auto"/>
            <w:vAlign w:val="center"/>
          </w:tcPr>
          <w:p w14:paraId="332CE59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5</w:t>
            </w:r>
          </w:p>
        </w:tc>
        <w:tc>
          <w:tcPr>
            <w:tcW w:w="810" w:type="dxa"/>
            <w:tcBorders>
              <w:tl2br w:val="nil"/>
              <w:tr2bl w:val="nil"/>
            </w:tcBorders>
            <w:shd w:val="clear" w:color="auto" w:fill="auto"/>
            <w:vAlign w:val="center"/>
          </w:tcPr>
          <w:p w14:paraId="2FDBB61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rPr>
              <w:t>450</w:t>
            </w:r>
          </w:p>
        </w:tc>
        <w:tc>
          <w:tcPr>
            <w:tcW w:w="942" w:type="dxa"/>
            <w:tcBorders>
              <w:tl2br w:val="nil"/>
              <w:tr2bl w:val="nil"/>
            </w:tcBorders>
            <w:shd w:val="clear" w:color="auto" w:fill="auto"/>
            <w:vAlign w:val="center"/>
          </w:tcPr>
          <w:p w14:paraId="7D69902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27</w:t>
            </w:r>
          </w:p>
        </w:tc>
        <w:tc>
          <w:tcPr>
            <w:tcW w:w="1128" w:type="dxa"/>
            <w:vMerge w:val="restart"/>
            <w:tcBorders>
              <w:tl2br w:val="nil"/>
              <w:tr2bl w:val="nil"/>
            </w:tcBorders>
            <w:shd w:val="clear" w:color="auto" w:fill="auto"/>
            <w:vAlign w:val="center"/>
          </w:tcPr>
          <w:p w14:paraId="1C1174E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p>
        </w:tc>
        <w:tc>
          <w:tcPr>
            <w:tcW w:w="1284" w:type="dxa"/>
            <w:tcBorders>
              <w:tl2br w:val="nil"/>
              <w:tr2bl w:val="nil"/>
            </w:tcBorders>
            <w:shd w:val="clear" w:color="auto" w:fill="auto"/>
            <w:vAlign w:val="center"/>
          </w:tcPr>
          <w:p w14:paraId="56EB141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p>
        </w:tc>
      </w:tr>
      <w:tr w14:paraId="3D1C3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39" w:type="dxa"/>
            <w:vMerge w:val="continue"/>
            <w:tcBorders>
              <w:tl2br w:val="nil"/>
              <w:tr2bl w:val="nil"/>
            </w:tcBorders>
            <w:shd w:val="clear" w:color="auto" w:fill="auto"/>
            <w:vAlign w:val="center"/>
          </w:tcPr>
          <w:p w14:paraId="16631C3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p>
        </w:tc>
        <w:tc>
          <w:tcPr>
            <w:tcW w:w="1324" w:type="dxa"/>
            <w:tcBorders>
              <w:tl2br w:val="nil"/>
              <w:tr2bl w:val="nil"/>
            </w:tcBorders>
            <w:shd w:val="clear" w:color="auto" w:fill="auto"/>
            <w:vAlign w:val="center"/>
          </w:tcPr>
          <w:p w14:paraId="4AB0D0D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rPr>
              <w:t>3#洗衣房、污物间</w:t>
            </w:r>
          </w:p>
        </w:tc>
        <w:tc>
          <w:tcPr>
            <w:tcW w:w="1515" w:type="dxa"/>
            <w:vMerge w:val="continue"/>
            <w:tcBorders>
              <w:tl2br w:val="nil"/>
              <w:tr2bl w:val="nil"/>
            </w:tcBorders>
            <w:shd w:val="clear" w:color="auto" w:fill="auto"/>
            <w:vAlign w:val="center"/>
          </w:tcPr>
          <w:p w14:paraId="3A65CE5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rPr>
            </w:pPr>
          </w:p>
        </w:tc>
        <w:tc>
          <w:tcPr>
            <w:tcW w:w="810" w:type="dxa"/>
            <w:vMerge w:val="continue"/>
            <w:tcBorders>
              <w:tl2br w:val="nil"/>
              <w:tr2bl w:val="nil"/>
            </w:tcBorders>
            <w:shd w:val="clear" w:color="auto" w:fill="auto"/>
            <w:vAlign w:val="center"/>
          </w:tcPr>
          <w:p w14:paraId="336476E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lang w:val="en-US" w:eastAsia="zh-CN"/>
              </w:rPr>
            </w:pPr>
          </w:p>
        </w:tc>
        <w:tc>
          <w:tcPr>
            <w:tcW w:w="810" w:type="dxa"/>
            <w:tcBorders>
              <w:tl2br w:val="nil"/>
              <w:tr2bl w:val="nil"/>
            </w:tcBorders>
            <w:shd w:val="clear" w:color="auto" w:fill="auto"/>
            <w:vAlign w:val="center"/>
          </w:tcPr>
          <w:p w14:paraId="264A5A0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3</w:t>
            </w:r>
          </w:p>
        </w:tc>
        <w:tc>
          <w:tcPr>
            <w:tcW w:w="810" w:type="dxa"/>
            <w:tcBorders>
              <w:tl2br w:val="nil"/>
              <w:tr2bl w:val="nil"/>
            </w:tcBorders>
            <w:shd w:val="clear" w:color="auto" w:fill="auto"/>
            <w:vAlign w:val="center"/>
          </w:tcPr>
          <w:p w14:paraId="79CE0F9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rPr>
              <w:t>450</w:t>
            </w:r>
          </w:p>
        </w:tc>
        <w:tc>
          <w:tcPr>
            <w:tcW w:w="942" w:type="dxa"/>
            <w:tcBorders>
              <w:tl2br w:val="nil"/>
              <w:tr2bl w:val="nil"/>
            </w:tcBorders>
            <w:shd w:val="clear" w:color="auto" w:fill="auto"/>
            <w:vAlign w:val="center"/>
          </w:tcPr>
          <w:p w14:paraId="3214477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27</w:t>
            </w:r>
          </w:p>
        </w:tc>
        <w:tc>
          <w:tcPr>
            <w:tcW w:w="1128" w:type="dxa"/>
            <w:vMerge w:val="continue"/>
            <w:tcBorders>
              <w:tl2br w:val="nil"/>
              <w:tr2bl w:val="nil"/>
            </w:tcBorders>
            <w:shd w:val="clear" w:color="auto" w:fill="auto"/>
            <w:vAlign w:val="center"/>
          </w:tcPr>
          <w:p w14:paraId="64CC29A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284" w:type="dxa"/>
            <w:tcBorders>
              <w:tl2br w:val="nil"/>
              <w:tr2bl w:val="nil"/>
            </w:tcBorders>
            <w:shd w:val="clear" w:color="auto" w:fill="auto"/>
            <w:vAlign w:val="center"/>
          </w:tcPr>
          <w:p w14:paraId="76AD9E9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r>
      <w:tr w14:paraId="1BBB2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39" w:type="dxa"/>
            <w:vMerge w:val="continue"/>
            <w:tcBorders>
              <w:tl2br w:val="nil"/>
              <w:tr2bl w:val="nil"/>
            </w:tcBorders>
            <w:shd w:val="clear" w:color="auto" w:fill="auto"/>
            <w:vAlign w:val="center"/>
          </w:tcPr>
          <w:p w14:paraId="1C90860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rPr>
            </w:pPr>
          </w:p>
        </w:tc>
        <w:tc>
          <w:tcPr>
            <w:tcW w:w="2839" w:type="dxa"/>
            <w:gridSpan w:val="2"/>
            <w:tcBorders>
              <w:tl2br w:val="nil"/>
              <w:tr2bl w:val="nil"/>
            </w:tcBorders>
            <w:shd w:val="clear" w:color="auto" w:fill="auto"/>
            <w:vAlign w:val="center"/>
          </w:tcPr>
          <w:p w14:paraId="44C2C75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rPr>
            </w:pPr>
            <w:r>
              <w:rPr>
                <w:rFonts w:hint="eastAsia" w:ascii="宋体" w:hAnsi="宋体" w:eastAsia="宋体" w:cs="宋体"/>
                <w:color w:val="auto"/>
                <w:kern w:val="0"/>
                <w:sz w:val="21"/>
                <w:szCs w:val="21"/>
              </w:rPr>
              <w:t>试验平台</w:t>
            </w:r>
            <w:r>
              <w:rPr>
                <w:rFonts w:hint="eastAsia" w:ascii="宋体" w:hAnsi="宋体" w:cs="宋体"/>
                <w:color w:val="auto"/>
                <w:kern w:val="0"/>
                <w:sz w:val="21"/>
                <w:szCs w:val="21"/>
                <w:lang w:eastAsia="zh-CN"/>
              </w:rPr>
              <w:t>（</w:t>
            </w:r>
            <w:r>
              <w:rPr>
                <w:rFonts w:hint="eastAsia" w:ascii="宋体" w:hAnsi="宋体" w:eastAsia="宋体" w:cs="宋体"/>
                <w:color w:val="auto"/>
                <w:kern w:val="0"/>
                <w:sz w:val="21"/>
                <w:szCs w:val="21"/>
              </w:rPr>
              <w:t>配重及相关试验设备</w:t>
            </w:r>
            <w:r>
              <w:rPr>
                <w:rFonts w:hint="eastAsia" w:ascii="宋体" w:hAnsi="宋体" w:cs="宋体"/>
                <w:color w:val="auto"/>
                <w:kern w:val="0"/>
                <w:sz w:val="21"/>
                <w:szCs w:val="21"/>
                <w:lang w:eastAsia="zh-CN"/>
              </w:rPr>
              <w:t>）</w:t>
            </w:r>
            <w:r>
              <w:rPr>
                <w:rFonts w:hint="eastAsia" w:ascii="宋体" w:hAnsi="宋体" w:eastAsia="宋体" w:cs="宋体"/>
                <w:color w:val="auto"/>
                <w:kern w:val="0"/>
                <w:sz w:val="21"/>
                <w:szCs w:val="21"/>
              </w:rPr>
              <w:t>运输</w:t>
            </w:r>
            <w:r>
              <w:rPr>
                <w:rFonts w:hint="eastAsia" w:ascii="宋体" w:hAnsi="宋体" w:cs="宋体"/>
                <w:color w:val="auto"/>
                <w:kern w:val="0"/>
                <w:sz w:val="21"/>
                <w:szCs w:val="21"/>
                <w:lang w:eastAsia="zh-CN"/>
              </w:rPr>
              <w:t>（</w:t>
            </w:r>
            <w:r>
              <w:rPr>
                <w:rFonts w:hint="eastAsia" w:ascii="宋体" w:hAnsi="宋体" w:eastAsia="宋体" w:cs="宋体"/>
                <w:color w:val="auto"/>
                <w:kern w:val="0"/>
                <w:sz w:val="21"/>
                <w:szCs w:val="21"/>
              </w:rPr>
              <w:t>装车、运输、卸车一次</w:t>
            </w:r>
            <w:r>
              <w:rPr>
                <w:rFonts w:hint="eastAsia" w:ascii="宋体" w:hAnsi="宋体" w:cs="宋体"/>
                <w:color w:val="auto"/>
                <w:kern w:val="0"/>
                <w:sz w:val="21"/>
                <w:szCs w:val="21"/>
                <w:lang w:eastAsia="zh-CN"/>
              </w:rPr>
              <w:t>）</w:t>
            </w:r>
          </w:p>
        </w:tc>
        <w:tc>
          <w:tcPr>
            <w:tcW w:w="810" w:type="dxa"/>
            <w:tcBorders>
              <w:tl2br w:val="nil"/>
              <w:tr2bl w:val="nil"/>
            </w:tcBorders>
            <w:shd w:val="clear" w:color="auto" w:fill="auto"/>
            <w:vAlign w:val="center"/>
          </w:tcPr>
          <w:p w14:paraId="5DE1F53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eastAsia="宋体" w:cs="宋体"/>
                <w:i w:val="0"/>
                <w:color w:val="auto"/>
                <w:kern w:val="0"/>
                <w:sz w:val="21"/>
                <w:szCs w:val="21"/>
                <w:u w:val="none"/>
                <w:lang w:val="en-US" w:eastAsia="zh-CN" w:bidi="ar"/>
              </w:rPr>
              <w:t>1.3.5</w:t>
            </w:r>
          </w:p>
        </w:tc>
        <w:tc>
          <w:tcPr>
            <w:tcW w:w="810" w:type="dxa"/>
            <w:tcBorders>
              <w:tl2br w:val="nil"/>
              <w:tr2bl w:val="nil"/>
            </w:tcBorders>
            <w:shd w:val="clear" w:color="auto" w:fill="auto"/>
            <w:vAlign w:val="center"/>
          </w:tcPr>
          <w:p w14:paraId="5FAF1BE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1</w:t>
            </w:r>
          </w:p>
        </w:tc>
        <w:tc>
          <w:tcPr>
            <w:tcW w:w="810" w:type="dxa"/>
            <w:tcBorders>
              <w:tl2br w:val="nil"/>
              <w:tr2bl w:val="nil"/>
            </w:tcBorders>
            <w:shd w:val="clear" w:color="auto" w:fill="auto"/>
            <w:vAlign w:val="center"/>
          </w:tcPr>
          <w:p w14:paraId="5216430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eastAsia="宋体"/>
                <w:color w:val="auto"/>
                <w:lang w:val="en-US" w:eastAsia="zh-CN"/>
              </w:rPr>
            </w:pPr>
            <w:r>
              <w:rPr>
                <w:rFonts w:hint="eastAsia"/>
                <w:color w:val="auto"/>
                <w:lang w:val="en-US" w:eastAsia="zh-CN"/>
              </w:rPr>
              <w:t>/</w:t>
            </w:r>
          </w:p>
        </w:tc>
        <w:tc>
          <w:tcPr>
            <w:tcW w:w="942" w:type="dxa"/>
            <w:tcBorders>
              <w:tl2br w:val="nil"/>
              <w:tr2bl w:val="nil"/>
            </w:tcBorders>
            <w:shd w:val="clear" w:color="auto" w:fill="auto"/>
            <w:vAlign w:val="center"/>
          </w:tcPr>
          <w:p w14:paraId="5BD63F2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100以内</w:t>
            </w:r>
          </w:p>
        </w:tc>
        <w:tc>
          <w:tcPr>
            <w:tcW w:w="1128" w:type="dxa"/>
            <w:tcBorders>
              <w:tl2br w:val="nil"/>
              <w:tr2bl w:val="nil"/>
            </w:tcBorders>
            <w:shd w:val="clear" w:color="auto" w:fill="auto"/>
            <w:vAlign w:val="center"/>
          </w:tcPr>
          <w:p w14:paraId="05F5223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eastAsia="宋体"/>
                <w:color w:val="auto"/>
                <w:lang w:val="en-US" w:eastAsia="zh-CN"/>
              </w:rPr>
            </w:pPr>
          </w:p>
        </w:tc>
        <w:tc>
          <w:tcPr>
            <w:tcW w:w="1284" w:type="dxa"/>
            <w:tcBorders>
              <w:tl2br w:val="nil"/>
              <w:tr2bl w:val="nil"/>
            </w:tcBorders>
            <w:shd w:val="clear" w:color="auto" w:fill="auto"/>
            <w:vAlign w:val="center"/>
          </w:tcPr>
          <w:p w14:paraId="23D2B4F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eastAsia="宋体"/>
                <w:color w:val="auto"/>
                <w:lang w:val="en-US" w:eastAsia="zh-CN"/>
              </w:rPr>
            </w:pPr>
          </w:p>
        </w:tc>
      </w:tr>
      <w:tr w14:paraId="220AE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9262" w:type="dxa"/>
            <w:gridSpan w:val="9"/>
            <w:tcBorders>
              <w:tl2br w:val="nil"/>
              <w:tr2bl w:val="nil"/>
            </w:tcBorders>
            <w:shd w:val="clear" w:color="auto" w:fill="auto"/>
            <w:vAlign w:val="center"/>
          </w:tcPr>
          <w:p w14:paraId="31D9558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静载试验平台吊装及运输</w:t>
            </w:r>
            <w:r>
              <w:rPr>
                <w:rFonts w:hint="eastAsia" w:ascii="宋体" w:hAnsi="宋体" w:cs="宋体"/>
                <w:color w:val="auto"/>
                <w:kern w:val="0"/>
                <w:sz w:val="21"/>
                <w:szCs w:val="21"/>
                <w:lang w:eastAsia="zh-CN"/>
              </w:rPr>
              <w:t>总</w:t>
            </w:r>
            <w:r>
              <w:rPr>
                <w:rFonts w:hint="eastAsia" w:ascii="宋体" w:hAnsi="宋体" w:eastAsia="宋体" w:cs="宋体"/>
                <w:color w:val="auto"/>
                <w:kern w:val="0"/>
                <w:sz w:val="21"/>
                <w:szCs w:val="21"/>
              </w:rPr>
              <w:t>费用合计（元）</w:t>
            </w:r>
          </w:p>
        </w:tc>
      </w:tr>
      <w:tr w14:paraId="0226C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9262" w:type="dxa"/>
            <w:gridSpan w:val="9"/>
            <w:tcBorders>
              <w:tl2br w:val="nil"/>
              <w:tr2bl w:val="nil"/>
            </w:tcBorders>
            <w:shd w:val="clear" w:color="auto" w:fill="auto"/>
            <w:vAlign w:val="center"/>
          </w:tcPr>
          <w:p w14:paraId="7D9D5A7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静载试验平台吊装及运输</w:t>
            </w:r>
            <w:r>
              <w:rPr>
                <w:rFonts w:hint="eastAsia" w:ascii="宋体" w:hAnsi="宋体" w:cs="宋体"/>
                <w:color w:val="auto"/>
                <w:kern w:val="0"/>
                <w:sz w:val="21"/>
                <w:szCs w:val="21"/>
                <w:lang w:eastAsia="zh-CN"/>
              </w:rPr>
              <w:t>总费用</w:t>
            </w:r>
            <w:r>
              <w:rPr>
                <w:rFonts w:hint="eastAsia" w:ascii="宋体" w:hAnsi="宋体" w:eastAsia="宋体" w:cs="宋体"/>
                <w:color w:val="auto"/>
                <w:kern w:val="0"/>
                <w:sz w:val="21"/>
                <w:szCs w:val="21"/>
              </w:rPr>
              <w:t>下浮</w:t>
            </w:r>
            <w:r>
              <w:rPr>
                <w:rFonts w:hint="eastAsia" w:ascii="宋体" w:hAnsi="宋体" w:cs="宋体"/>
                <w:color w:val="auto"/>
                <w:kern w:val="0"/>
                <w:sz w:val="21"/>
                <w:szCs w:val="21"/>
                <w:lang w:val="en-US" w:eastAsia="zh-CN"/>
              </w:rPr>
              <w:t>70</w:t>
            </w:r>
            <w:r>
              <w:rPr>
                <w:rFonts w:hint="eastAsia" w:ascii="宋体" w:hAnsi="宋体" w:eastAsia="宋体" w:cs="宋体"/>
                <w:color w:val="auto"/>
                <w:kern w:val="0"/>
                <w:sz w:val="21"/>
                <w:szCs w:val="21"/>
              </w:rPr>
              <w:t>%</w:t>
            </w:r>
            <w:r>
              <w:rPr>
                <w:rFonts w:hint="eastAsia" w:ascii="宋体" w:hAnsi="宋体" w:cs="宋体"/>
                <w:color w:val="auto"/>
                <w:kern w:val="0"/>
                <w:sz w:val="21"/>
                <w:szCs w:val="21"/>
                <w:lang w:eastAsia="zh-CN"/>
              </w:rPr>
              <w:t>计算</w:t>
            </w:r>
            <w:r>
              <w:rPr>
                <w:rFonts w:hint="eastAsia" w:ascii="宋体" w:hAnsi="宋体" w:eastAsia="宋体" w:cs="宋体"/>
                <w:color w:val="auto"/>
                <w:kern w:val="0"/>
                <w:sz w:val="21"/>
                <w:szCs w:val="21"/>
              </w:rPr>
              <w:t>（元）</w:t>
            </w:r>
          </w:p>
        </w:tc>
      </w:tr>
      <w:tr w14:paraId="5EFDE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9262" w:type="dxa"/>
            <w:gridSpan w:val="9"/>
            <w:tcBorders>
              <w:tl2br w:val="nil"/>
              <w:tr2bl w:val="nil"/>
            </w:tcBorders>
            <w:shd w:val="clear" w:color="auto" w:fill="auto"/>
            <w:vAlign w:val="center"/>
          </w:tcPr>
          <w:p w14:paraId="425E6873">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rPr>
              <w:t>注</w:t>
            </w:r>
            <w:r>
              <w:rPr>
                <w:rFonts w:hint="eastAsia" w:ascii="宋体" w:hAnsi="宋体" w:eastAsia="宋体" w:cs="宋体"/>
                <w:color w:val="0000FF"/>
                <w:kern w:val="0"/>
                <w:sz w:val="21"/>
                <w:szCs w:val="21"/>
                <w:lang w:val="en-US" w:eastAsia="zh-CN" w:bidi="ar"/>
              </w:rPr>
              <w:t>：</w:t>
            </w:r>
            <w:r>
              <w:rPr>
                <w:rFonts w:hint="eastAsia" w:ascii="宋体" w:hAnsi="宋体" w:eastAsia="宋体" w:cs="宋体"/>
                <w:color w:val="auto"/>
                <w:kern w:val="0"/>
                <w:sz w:val="21"/>
                <w:szCs w:val="21"/>
                <w:lang w:val="en-US" w:eastAsia="zh-CN" w:bidi="ar"/>
              </w:rPr>
              <w:t>1.按每个试验点依据设计图纸确定的设备总吨位，则设备总吨位=特征值*2（极限值系数）×1.2（安全系数）/10（重力系数约值）；</w:t>
            </w:r>
          </w:p>
          <w:p w14:paraId="04C5076C">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bidi="ar"/>
              </w:rPr>
              <w:t>2.以实际发生量为准。</w:t>
            </w:r>
          </w:p>
        </w:tc>
      </w:tr>
    </w:tbl>
    <w:p w14:paraId="6658B7AD">
      <w:pPr>
        <w:pStyle w:val="118"/>
        <w:keepNext w:val="0"/>
        <w:keepLines w:val="0"/>
        <w:pageBreakBefore w:val="0"/>
        <w:widowControl w:val="0"/>
        <w:tabs>
          <w:tab w:val="left" w:pos="-1486"/>
          <w:tab w:val="left" w:pos="-142"/>
        </w:tabs>
        <w:kinsoku/>
        <w:wordWrap/>
        <w:overflowPunct/>
        <w:topLinePunct w:val="0"/>
        <w:autoSpaceDE/>
        <w:autoSpaceDN/>
        <w:bidi w:val="0"/>
        <w:adjustRightInd/>
        <w:snapToGrid/>
        <w:spacing w:before="100" w:beforeLines="30" w:after="67" w:afterLines="20" w:line="560" w:lineRule="exact"/>
        <w:ind w:left="6" w:leftChars="0" w:hanging="6" w:firstLineChars="0"/>
        <w:jc w:val="center"/>
        <w:textAlignment w:val="auto"/>
        <w:rPr>
          <w:rFonts w:hint="eastAsia" w:ascii="宋体" w:hAnsi="宋体" w:eastAsia="宋体" w:cs="宋体"/>
          <w:b/>
          <w:bCs w:val="0"/>
          <w:color w:val="000000" w:themeColor="text1"/>
          <w:sz w:val="28"/>
          <w:szCs w:val="28"/>
          <w:highlight w:val="none"/>
          <w14:textFill>
            <w14:solidFill>
              <w14:schemeClr w14:val="tx1"/>
            </w14:solidFill>
          </w14:textFill>
        </w:rPr>
      </w:pPr>
      <w:r>
        <w:rPr>
          <w:rFonts w:hint="eastAsia" w:ascii="宋体" w:hAnsi="宋体" w:eastAsia="宋体" w:cs="宋体"/>
          <w:b/>
          <w:bCs w:val="0"/>
          <w:color w:val="000000" w:themeColor="text1"/>
          <w:sz w:val="28"/>
          <w:szCs w:val="28"/>
          <w:highlight w:val="none"/>
          <w14:textFill>
            <w14:solidFill>
              <w14:schemeClr w14:val="tx1"/>
            </w14:solidFill>
          </w14:textFill>
        </w:rPr>
        <w:t>（二）</w:t>
      </w:r>
      <w:r>
        <w:rPr>
          <w:rFonts w:hint="eastAsia" w:ascii="宋体" w:hAnsi="宋体" w:eastAsia="宋体" w:cs="宋体"/>
          <w:b/>
          <w:bCs w:val="0"/>
          <w:color w:val="000000" w:themeColor="text1"/>
          <w:sz w:val="28"/>
          <w:szCs w:val="28"/>
          <w:highlight w:val="none"/>
          <w:lang w:eastAsia="zh-CN"/>
          <w14:textFill>
            <w14:solidFill>
              <w14:schemeClr w14:val="tx1"/>
            </w14:solidFill>
          </w14:textFill>
        </w:rPr>
        <w:t>建筑工程材料试验</w:t>
      </w:r>
    </w:p>
    <w:tbl>
      <w:tblPr>
        <w:tblStyle w:val="26"/>
        <w:tblW w:w="92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750"/>
        <w:gridCol w:w="22"/>
        <w:gridCol w:w="1140"/>
        <w:gridCol w:w="1005"/>
        <w:gridCol w:w="2085"/>
        <w:gridCol w:w="675"/>
        <w:gridCol w:w="675"/>
        <w:gridCol w:w="975"/>
        <w:gridCol w:w="1085"/>
      </w:tblGrid>
      <w:tr w14:paraId="04EAD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9224" w:type="dxa"/>
            <w:gridSpan w:val="10"/>
            <w:shd w:val="clear" w:color="auto" w:fill="auto"/>
            <w:vAlign w:val="center"/>
          </w:tcPr>
          <w:p w14:paraId="1A13C54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lang w:eastAsia="zh-CN"/>
              </w:rPr>
            </w:pPr>
            <w:r>
              <w:rPr>
                <w:rFonts w:hint="eastAsia" w:ascii="宋体" w:hAnsi="宋体" w:cs="宋体"/>
                <w:color w:val="auto"/>
                <w:kern w:val="0"/>
                <w:sz w:val="21"/>
                <w:szCs w:val="21"/>
                <w:lang w:eastAsia="zh-CN"/>
              </w:rPr>
              <w:t>建筑工程材料试验数量表</w:t>
            </w:r>
          </w:p>
        </w:tc>
      </w:tr>
      <w:tr w14:paraId="1CF1C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724" w:type="dxa"/>
            <w:gridSpan w:val="4"/>
            <w:vMerge w:val="restart"/>
            <w:shd w:val="clear" w:color="auto" w:fill="auto"/>
            <w:vAlign w:val="center"/>
          </w:tcPr>
          <w:p w14:paraId="66311B6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rPr>
              <w:t>检测项目</w:t>
            </w:r>
          </w:p>
        </w:tc>
        <w:tc>
          <w:tcPr>
            <w:tcW w:w="1005" w:type="dxa"/>
            <w:vMerge w:val="restart"/>
            <w:shd w:val="clear" w:color="auto" w:fill="auto"/>
            <w:vAlign w:val="center"/>
          </w:tcPr>
          <w:p w14:paraId="0298919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rPr>
              <w:t>检测项目序号</w:t>
            </w:r>
          </w:p>
        </w:tc>
        <w:tc>
          <w:tcPr>
            <w:tcW w:w="2085" w:type="dxa"/>
            <w:vMerge w:val="restart"/>
            <w:shd w:val="clear" w:color="auto" w:fill="auto"/>
            <w:vAlign w:val="center"/>
          </w:tcPr>
          <w:p w14:paraId="1A8D50C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rPr>
              <w:t>抽检频率</w:t>
            </w:r>
          </w:p>
        </w:tc>
        <w:tc>
          <w:tcPr>
            <w:tcW w:w="675" w:type="dxa"/>
            <w:vMerge w:val="restart"/>
            <w:shd w:val="clear" w:color="auto" w:fill="auto"/>
            <w:vAlign w:val="center"/>
          </w:tcPr>
          <w:p w14:paraId="7FDF60E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rPr>
              <w:t>抽检数量</w:t>
            </w:r>
          </w:p>
        </w:tc>
        <w:tc>
          <w:tcPr>
            <w:tcW w:w="675" w:type="dxa"/>
            <w:vMerge w:val="restart"/>
            <w:shd w:val="clear" w:color="auto" w:fill="auto"/>
            <w:vAlign w:val="center"/>
          </w:tcPr>
          <w:p w14:paraId="4DD0CF1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rPr>
              <w:t>计费单位</w:t>
            </w:r>
          </w:p>
        </w:tc>
        <w:tc>
          <w:tcPr>
            <w:tcW w:w="975" w:type="dxa"/>
            <w:vMerge w:val="restart"/>
            <w:shd w:val="clear" w:color="auto" w:fill="auto"/>
            <w:vAlign w:val="center"/>
          </w:tcPr>
          <w:p w14:paraId="492A8B3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rPr>
              <w:t>单价（元）</w:t>
            </w:r>
          </w:p>
        </w:tc>
        <w:tc>
          <w:tcPr>
            <w:tcW w:w="1085" w:type="dxa"/>
            <w:vMerge w:val="restart"/>
            <w:shd w:val="clear" w:color="auto" w:fill="auto"/>
            <w:vAlign w:val="center"/>
          </w:tcPr>
          <w:p w14:paraId="55DA8CE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lang w:eastAsia="zh-CN"/>
              </w:rPr>
              <w:t>小</w:t>
            </w:r>
            <w:r>
              <w:rPr>
                <w:rFonts w:hint="eastAsia" w:ascii="宋体" w:hAnsi="宋体" w:cs="宋体"/>
                <w:color w:val="auto"/>
                <w:kern w:val="0"/>
                <w:sz w:val="21"/>
                <w:szCs w:val="21"/>
              </w:rPr>
              <w:t>计</w:t>
            </w:r>
          </w:p>
          <w:p w14:paraId="3149ADC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rPr>
              <w:t>（元）</w:t>
            </w:r>
          </w:p>
        </w:tc>
      </w:tr>
      <w:tr w14:paraId="657EC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724" w:type="dxa"/>
            <w:gridSpan w:val="4"/>
            <w:vMerge w:val="continue"/>
            <w:shd w:val="clear" w:color="auto" w:fill="auto"/>
            <w:vAlign w:val="center"/>
          </w:tcPr>
          <w:p w14:paraId="7894CD2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1005" w:type="dxa"/>
            <w:vMerge w:val="continue"/>
            <w:shd w:val="clear" w:color="auto" w:fill="auto"/>
            <w:vAlign w:val="center"/>
          </w:tcPr>
          <w:p w14:paraId="506105A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2085" w:type="dxa"/>
            <w:vMerge w:val="continue"/>
            <w:shd w:val="clear" w:color="auto" w:fill="auto"/>
            <w:vAlign w:val="center"/>
          </w:tcPr>
          <w:p w14:paraId="69F22D7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675" w:type="dxa"/>
            <w:vMerge w:val="continue"/>
            <w:shd w:val="clear" w:color="auto" w:fill="auto"/>
            <w:vAlign w:val="center"/>
          </w:tcPr>
          <w:p w14:paraId="756DF90F">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675" w:type="dxa"/>
            <w:vMerge w:val="continue"/>
            <w:shd w:val="clear" w:color="auto" w:fill="auto"/>
            <w:vAlign w:val="center"/>
          </w:tcPr>
          <w:p w14:paraId="1F0FCCB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975" w:type="dxa"/>
            <w:vMerge w:val="continue"/>
            <w:shd w:val="clear" w:color="auto" w:fill="auto"/>
            <w:vAlign w:val="center"/>
          </w:tcPr>
          <w:p w14:paraId="756C152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1085" w:type="dxa"/>
            <w:vMerge w:val="continue"/>
            <w:shd w:val="clear" w:color="auto" w:fill="auto"/>
            <w:vAlign w:val="center"/>
          </w:tcPr>
          <w:p w14:paraId="421BCE6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r>
      <w:tr w14:paraId="421FE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724" w:type="dxa"/>
            <w:gridSpan w:val="4"/>
            <w:vMerge w:val="continue"/>
            <w:shd w:val="clear" w:color="auto" w:fill="auto"/>
            <w:vAlign w:val="center"/>
          </w:tcPr>
          <w:p w14:paraId="0E43F78F">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1005" w:type="dxa"/>
            <w:vMerge w:val="continue"/>
            <w:shd w:val="clear" w:color="auto" w:fill="auto"/>
            <w:vAlign w:val="center"/>
          </w:tcPr>
          <w:p w14:paraId="49ADE3E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2085" w:type="dxa"/>
            <w:vMerge w:val="continue"/>
            <w:shd w:val="clear" w:color="auto" w:fill="auto"/>
            <w:vAlign w:val="center"/>
          </w:tcPr>
          <w:p w14:paraId="4E18FBB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675" w:type="dxa"/>
            <w:vMerge w:val="continue"/>
            <w:shd w:val="clear" w:color="auto" w:fill="auto"/>
            <w:vAlign w:val="center"/>
          </w:tcPr>
          <w:p w14:paraId="5D7224C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675" w:type="dxa"/>
            <w:vMerge w:val="continue"/>
            <w:shd w:val="clear" w:color="auto" w:fill="auto"/>
            <w:vAlign w:val="center"/>
          </w:tcPr>
          <w:p w14:paraId="32DDEDBF">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975" w:type="dxa"/>
            <w:vMerge w:val="continue"/>
            <w:shd w:val="clear" w:color="auto" w:fill="auto"/>
            <w:vAlign w:val="center"/>
          </w:tcPr>
          <w:p w14:paraId="6633A08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1085" w:type="dxa"/>
            <w:vMerge w:val="continue"/>
            <w:shd w:val="clear" w:color="auto" w:fill="auto"/>
            <w:vAlign w:val="center"/>
          </w:tcPr>
          <w:p w14:paraId="7AE3D66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r>
      <w:tr w14:paraId="71CB1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12" w:type="dxa"/>
            <w:vMerge w:val="restart"/>
            <w:shd w:val="clear" w:color="auto" w:fill="auto"/>
            <w:vAlign w:val="center"/>
          </w:tcPr>
          <w:p w14:paraId="5A0B014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lang w:eastAsia="zh-CN"/>
              </w:rPr>
            </w:pPr>
            <w:r>
              <w:rPr>
                <w:rFonts w:hint="eastAsia" w:ascii="宋体" w:hAnsi="宋体" w:cs="宋体"/>
                <w:color w:val="auto"/>
                <w:kern w:val="0"/>
                <w:sz w:val="21"/>
                <w:szCs w:val="21"/>
              </w:rPr>
              <w:t>砂</w:t>
            </w:r>
            <w:r>
              <w:rPr>
                <w:rFonts w:hint="eastAsia" w:ascii="宋体" w:hAnsi="宋体" w:cs="宋体"/>
                <w:color w:val="auto"/>
                <w:kern w:val="0"/>
                <w:sz w:val="21"/>
                <w:szCs w:val="21"/>
                <w:lang w:eastAsia="zh-CN"/>
              </w:rPr>
              <w:t>（</w:t>
            </w:r>
            <w:r>
              <w:rPr>
                <w:rFonts w:hint="eastAsia" w:ascii="宋体" w:hAnsi="宋体" w:cs="宋体"/>
                <w:color w:val="auto"/>
                <w:kern w:val="0"/>
                <w:sz w:val="21"/>
                <w:szCs w:val="21"/>
                <w:lang w:val="en-US" w:eastAsia="zh-CN"/>
              </w:rPr>
              <w:t>细集料</w:t>
            </w:r>
            <w:r>
              <w:rPr>
                <w:rFonts w:hint="eastAsia" w:ascii="宋体" w:hAnsi="宋体" w:cs="宋体"/>
                <w:color w:val="auto"/>
                <w:kern w:val="0"/>
                <w:sz w:val="21"/>
                <w:szCs w:val="21"/>
                <w:lang w:eastAsia="zh-CN"/>
              </w:rPr>
              <w:t>）</w:t>
            </w:r>
          </w:p>
          <w:p w14:paraId="149F6E9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1912" w:type="dxa"/>
            <w:gridSpan w:val="3"/>
            <w:shd w:val="clear" w:color="auto" w:fill="auto"/>
            <w:vAlign w:val="center"/>
          </w:tcPr>
          <w:p w14:paraId="3BBD87FC">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cs="宋体"/>
                <w:color w:val="auto"/>
                <w:kern w:val="0"/>
                <w:sz w:val="21"/>
                <w:szCs w:val="21"/>
              </w:rPr>
            </w:pPr>
            <w:r>
              <w:rPr>
                <w:rFonts w:hint="eastAsia" w:ascii="宋体" w:hAnsi="宋体" w:eastAsia="宋体" w:cs="宋体"/>
                <w:color w:val="auto"/>
                <w:spacing w:val="-1"/>
                <w:sz w:val="21"/>
                <w:szCs w:val="21"/>
              </w:rPr>
              <w:t>表观</w:t>
            </w:r>
            <w:r>
              <w:rPr>
                <w:rFonts w:hint="eastAsia" w:cs="宋体"/>
                <w:color w:val="auto"/>
                <w:spacing w:val="-1"/>
                <w:sz w:val="21"/>
                <w:szCs w:val="21"/>
                <w:lang w:eastAsia="zh-CN"/>
              </w:rPr>
              <w:t>（相对）</w:t>
            </w:r>
            <w:r>
              <w:rPr>
                <w:rFonts w:hint="eastAsia" w:ascii="宋体" w:hAnsi="宋体" w:eastAsia="宋体" w:cs="宋体"/>
                <w:color w:val="auto"/>
                <w:spacing w:val="-1"/>
                <w:sz w:val="21"/>
                <w:szCs w:val="21"/>
              </w:rPr>
              <w:t>密度</w:t>
            </w:r>
          </w:p>
        </w:tc>
        <w:tc>
          <w:tcPr>
            <w:tcW w:w="1005" w:type="dxa"/>
            <w:shd w:val="clear" w:color="auto" w:fill="auto"/>
            <w:vAlign w:val="center"/>
          </w:tcPr>
          <w:p w14:paraId="5E35B31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rPr>
              <w:t>4.3.1</w:t>
            </w:r>
          </w:p>
        </w:tc>
        <w:tc>
          <w:tcPr>
            <w:tcW w:w="2085" w:type="dxa"/>
            <w:vMerge w:val="restart"/>
            <w:shd w:val="clear" w:color="auto" w:fill="auto"/>
            <w:vAlign w:val="center"/>
          </w:tcPr>
          <w:p w14:paraId="49C1ADB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rPr>
              <w:t>以400m</w:t>
            </w:r>
            <w:r>
              <w:rPr>
                <w:rFonts w:hint="eastAsia" w:ascii="宋体" w:hAnsi="宋体" w:cs="宋体"/>
                <w:color w:val="auto"/>
                <w:kern w:val="0"/>
                <w:sz w:val="21"/>
                <w:szCs w:val="21"/>
                <w:vertAlign w:val="superscript"/>
              </w:rPr>
              <w:t>3</w:t>
            </w:r>
            <w:r>
              <w:rPr>
                <w:rFonts w:hint="eastAsia" w:ascii="宋体" w:hAnsi="宋体" w:cs="宋体"/>
                <w:color w:val="auto"/>
                <w:kern w:val="0"/>
                <w:sz w:val="21"/>
                <w:szCs w:val="21"/>
              </w:rPr>
              <w:t>或600t同产地同规格且同一次进场的为一验收批</w:t>
            </w:r>
          </w:p>
        </w:tc>
        <w:tc>
          <w:tcPr>
            <w:tcW w:w="675" w:type="dxa"/>
            <w:shd w:val="clear" w:color="auto" w:fill="auto"/>
            <w:vAlign w:val="center"/>
          </w:tcPr>
          <w:p w14:paraId="0E0C444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4BDD49B8">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cs="宋体"/>
                <w:color w:val="auto"/>
                <w:kern w:val="0"/>
                <w:sz w:val="21"/>
                <w:szCs w:val="21"/>
              </w:rPr>
            </w:pPr>
            <w:r>
              <w:rPr>
                <w:rFonts w:hint="eastAsia" w:ascii="宋体" w:hAnsi="宋体" w:eastAsia="宋体" w:cs="宋体"/>
                <w:color w:val="auto"/>
                <w:sz w:val="21"/>
                <w:szCs w:val="21"/>
              </w:rPr>
              <w:t>项</w:t>
            </w:r>
          </w:p>
        </w:tc>
        <w:tc>
          <w:tcPr>
            <w:tcW w:w="975" w:type="dxa"/>
            <w:shd w:val="clear" w:color="auto" w:fill="auto"/>
            <w:vAlign w:val="center"/>
          </w:tcPr>
          <w:p w14:paraId="4FD52F7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029CE62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p>
        </w:tc>
      </w:tr>
      <w:tr w14:paraId="292D4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2" w:type="dxa"/>
            <w:vMerge w:val="continue"/>
            <w:shd w:val="clear" w:color="auto" w:fill="auto"/>
            <w:vAlign w:val="center"/>
          </w:tcPr>
          <w:p w14:paraId="3DDDEFB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1912" w:type="dxa"/>
            <w:gridSpan w:val="3"/>
            <w:shd w:val="clear" w:color="auto" w:fill="auto"/>
            <w:vAlign w:val="center"/>
          </w:tcPr>
          <w:p w14:paraId="3922762B">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cs="宋体"/>
                <w:color w:val="auto"/>
                <w:kern w:val="0"/>
                <w:sz w:val="21"/>
                <w:szCs w:val="21"/>
              </w:rPr>
            </w:pPr>
            <w:r>
              <w:rPr>
                <w:rFonts w:hint="eastAsia" w:ascii="宋体" w:hAnsi="宋体" w:eastAsia="宋体" w:cs="宋体"/>
                <w:color w:val="auto"/>
                <w:spacing w:val="-1"/>
                <w:sz w:val="21"/>
                <w:szCs w:val="21"/>
              </w:rPr>
              <w:t>堆积密度</w:t>
            </w:r>
          </w:p>
        </w:tc>
        <w:tc>
          <w:tcPr>
            <w:tcW w:w="1005" w:type="dxa"/>
            <w:shd w:val="clear" w:color="auto" w:fill="auto"/>
            <w:vAlign w:val="center"/>
          </w:tcPr>
          <w:p w14:paraId="3409E8ED">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cs="宋体"/>
                <w:color w:val="auto"/>
                <w:kern w:val="0"/>
                <w:sz w:val="21"/>
                <w:szCs w:val="21"/>
              </w:rPr>
            </w:pPr>
            <w:r>
              <w:rPr>
                <w:rFonts w:hint="eastAsia" w:ascii="宋体" w:hAnsi="宋体" w:eastAsia="宋体" w:cs="宋体"/>
                <w:color w:val="auto"/>
                <w:spacing w:val="-1"/>
                <w:sz w:val="21"/>
                <w:szCs w:val="21"/>
              </w:rPr>
              <w:t>4.3.2</w:t>
            </w:r>
          </w:p>
        </w:tc>
        <w:tc>
          <w:tcPr>
            <w:tcW w:w="2085" w:type="dxa"/>
            <w:vMerge w:val="continue"/>
            <w:shd w:val="clear" w:color="auto" w:fill="auto"/>
            <w:vAlign w:val="center"/>
          </w:tcPr>
          <w:p w14:paraId="24DCB11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rPr>
            </w:pPr>
          </w:p>
        </w:tc>
        <w:tc>
          <w:tcPr>
            <w:tcW w:w="675" w:type="dxa"/>
            <w:shd w:val="clear" w:color="auto" w:fill="auto"/>
            <w:vAlign w:val="center"/>
          </w:tcPr>
          <w:p w14:paraId="69FA679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09FB16DE">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cs="宋体"/>
                <w:color w:val="auto"/>
                <w:kern w:val="0"/>
                <w:sz w:val="21"/>
                <w:szCs w:val="21"/>
              </w:rPr>
            </w:pPr>
            <w:r>
              <w:rPr>
                <w:rFonts w:hint="eastAsia" w:ascii="宋体" w:hAnsi="宋体" w:eastAsia="宋体" w:cs="宋体"/>
                <w:color w:val="auto"/>
                <w:sz w:val="21"/>
                <w:szCs w:val="21"/>
              </w:rPr>
              <w:t>项</w:t>
            </w:r>
          </w:p>
        </w:tc>
        <w:tc>
          <w:tcPr>
            <w:tcW w:w="975" w:type="dxa"/>
            <w:shd w:val="clear" w:color="auto" w:fill="auto"/>
            <w:vAlign w:val="center"/>
          </w:tcPr>
          <w:p w14:paraId="5F349D1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2DE7D93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p>
        </w:tc>
      </w:tr>
      <w:tr w14:paraId="6C8D3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2" w:type="dxa"/>
            <w:vMerge w:val="continue"/>
            <w:shd w:val="clear" w:color="auto" w:fill="auto"/>
            <w:vAlign w:val="center"/>
          </w:tcPr>
          <w:p w14:paraId="38F44AF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1912" w:type="dxa"/>
            <w:gridSpan w:val="3"/>
            <w:shd w:val="clear" w:color="auto" w:fill="auto"/>
            <w:vAlign w:val="center"/>
          </w:tcPr>
          <w:p w14:paraId="3BAE024F">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cs="宋体"/>
                <w:color w:val="auto"/>
                <w:kern w:val="0"/>
                <w:sz w:val="21"/>
                <w:szCs w:val="21"/>
              </w:rPr>
            </w:pPr>
            <w:r>
              <w:rPr>
                <w:rFonts w:hint="eastAsia" w:ascii="宋体" w:hAnsi="宋体" w:eastAsia="宋体" w:cs="宋体"/>
                <w:color w:val="auto"/>
                <w:spacing w:val="-1"/>
                <w:sz w:val="21"/>
                <w:szCs w:val="21"/>
              </w:rPr>
              <w:t>空隙率</w:t>
            </w:r>
          </w:p>
        </w:tc>
        <w:tc>
          <w:tcPr>
            <w:tcW w:w="1005" w:type="dxa"/>
            <w:shd w:val="clear" w:color="auto" w:fill="auto"/>
            <w:vAlign w:val="center"/>
          </w:tcPr>
          <w:p w14:paraId="19ADEF26">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cs="宋体"/>
                <w:color w:val="auto"/>
                <w:kern w:val="0"/>
                <w:sz w:val="21"/>
                <w:szCs w:val="21"/>
              </w:rPr>
            </w:pPr>
            <w:r>
              <w:rPr>
                <w:rFonts w:hint="eastAsia" w:ascii="宋体" w:hAnsi="宋体" w:eastAsia="宋体" w:cs="宋体"/>
                <w:color w:val="auto"/>
                <w:spacing w:val="-1"/>
                <w:sz w:val="21"/>
                <w:szCs w:val="21"/>
              </w:rPr>
              <w:t>4.3.3</w:t>
            </w:r>
          </w:p>
        </w:tc>
        <w:tc>
          <w:tcPr>
            <w:tcW w:w="2085" w:type="dxa"/>
            <w:vMerge w:val="continue"/>
            <w:shd w:val="clear" w:color="auto" w:fill="auto"/>
            <w:vAlign w:val="center"/>
          </w:tcPr>
          <w:p w14:paraId="16AA3F5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rPr>
            </w:pPr>
          </w:p>
        </w:tc>
        <w:tc>
          <w:tcPr>
            <w:tcW w:w="675" w:type="dxa"/>
            <w:shd w:val="clear" w:color="auto" w:fill="auto"/>
            <w:vAlign w:val="center"/>
          </w:tcPr>
          <w:p w14:paraId="3E9A0C6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09130B68">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cs="宋体"/>
                <w:color w:val="auto"/>
                <w:kern w:val="0"/>
                <w:sz w:val="21"/>
                <w:szCs w:val="21"/>
              </w:rPr>
            </w:pPr>
            <w:r>
              <w:rPr>
                <w:rFonts w:hint="eastAsia" w:ascii="宋体" w:hAnsi="宋体" w:eastAsia="宋体" w:cs="宋体"/>
                <w:color w:val="auto"/>
                <w:sz w:val="21"/>
                <w:szCs w:val="21"/>
              </w:rPr>
              <w:t>项</w:t>
            </w:r>
          </w:p>
        </w:tc>
        <w:tc>
          <w:tcPr>
            <w:tcW w:w="975" w:type="dxa"/>
            <w:shd w:val="clear" w:color="auto" w:fill="auto"/>
            <w:vAlign w:val="center"/>
          </w:tcPr>
          <w:p w14:paraId="4D37848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1C0CF15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p>
        </w:tc>
      </w:tr>
      <w:tr w14:paraId="0EF72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2" w:type="dxa"/>
            <w:vMerge w:val="continue"/>
            <w:shd w:val="clear" w:color="auto" w:fill="auto"/>
            <w:vAlign w:val="center"/>
          </w:tcPr>
          <w:p w14:paraId="49FAEC2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912" w:type="dxa"/>
            <w:gridSpan w:val="3"/>
            <w:shd w:val="clear" w:color="auto" w:fill="auto"/>
            <w:vAlign w:val="center"/>
          </w:tcPr>
          <w:p w14:paraId="569F4B7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颗粒级配（干筛法）</w:t>
            </w:r>
          </w:p>
        </w:tc>
        <w:tc>
          <w:tcPr>
            <w:tcW w:w="1005" w:type="dxa"/>
            <w:shd w:val="clear" w:color="auto" w:fill="auto"/>
            <w:vAlign w:val="center"/>
          </w:tcPr>
          <w:p w14:paraId="6F4485E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4.3.4</w:t>
            </w:r>
          </w:p>
        </w:tc>
        <w:tc>
          <w:tcPr>
            <w:tcW w:w="2085" w:type="dxa"/>
            <w:vMerge w:val="continue"/>
            <w:shd w:val="clear" w:color="auto" w:fill="auto"/>
            <w:vAlign w:val="center"/>
          </w:tcPr>
          <w:p w14:paraId="348B5E3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675" w:type="dxa"/>
            <w:shd w:val="clear" w:color="auto" w:fill="auto"/>
            <w:vAlign w:val="center"/>
          </w:tcPr>
          <w:p w14:paraId="28F4B49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77154F2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项</w:t>
            </w:r>
          </w:p>
        </w:tc>
        <w:tc>
          <w:tcPr>
            <w:tcW w:w="975" w:type="dxa"/>
            <w:shd w:val="clear" w:color="auto" w:fill="auto"/>
            <w:vAlign w:val="center"/>
          </w:tcPr>
          <w:p w14:paraId="09EC272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13B29FC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p>
        </w:tc>
      </w:tr>
      <w:tr w14:paraId="2BE9C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2" w:type="dxa"/>
            <w:vMerge w:val="continue"/>
            <w:shd w:val="clear" w:color="auto" w:fill="auto"/>
            <w:vAlign w:val="center"/>
          </w:tcPr>
          <w:p w14:paraId="19C65D7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1912" w:type="dxa"/>
            <w:gridSpan w:val="3"/>
            <w:shd w:val="clear" w:color="auto" w:fill="auto"/>
            <w:vAlign w:val="center"/>
          </w:tcPr>
          <w:p w14:paraId="32DF42C4">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cs="宋体"/>
                <w:color w:val="auto"/>
                <w:kern w:val="0"/>
                <w:sz w:val="21"/>
                <w:szCs w:val="21"/>
              </w:rPr>
            </w:pPr>
            <w:r>
              <w:rPr>
                <w:rFonts w:hint="eastAsia" w:ascii="宋体" w:hAnsi="宋体" w:eastAsia="宋体" w:cs="宋体"/>
                <w:color w:val="auto"/>
                <w:spacing w:val="-1"/>
                <w:sz w:val="21"/>
                <w:szCs w:val="21"/>
              </w:rPr>
              <w:t>含泥量</w:t>
            </w:r>
          </w:p>
        </w:tc>
        <w:tc>
          <w:tcPr>
            <w:tcW w:w="1005" w:type="dxa"/>
            <w:shd w:val="clear" w:color="auto" w:fill="auto"/>
            <w:vAlign w:val="center"/>
          </w:tcPr>
          <w:p w14:paraId="4A339FB8">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cs="宋体"/>
                <w:color w:val="auto"/>
                <w:kern w:val="0"/>
                <w:sz w:val="21"/>
                <w:szCs w:val="21"/>
              </w:rPr>
            </w:pPr>
            <w:r>
              <w:rPr>
                <w:rFonts w:hint="eastAsia" w:ascii="宋体" w:hAnsi="宋体" w:eastAsia="宋体" w:cs="宋体"/>
                <w:color w:val="auto"/>
                <w:spacing w:val="-1"/>
                <w:sz w:val="21"/>
                <w:szCs w:val="21"/>
                <w:lang w:val="en-US" w:eastAsia="zh-CN"/>
              </w:rPr>
              <w:t>4</w:t>
            </w:r>
            <w:r>
              <w:rPr>
                <w:rFonts w:hint="eastAsia" w:ascii="宋体" w:hAnsi="宋体" w:eastAsia="宋体" w:cs="宋体"/>
                <w:color w:val="auto"/>
                <w:spacing w:val="-1"/>
                <w:sz w:val="21"/>
                <w:szCs w:val="21"/>
              </w:rPr>
              <w:t>.3.5</w:t>
            </w:r>
          </w:p>
        </w:tc>
        <w:tc>
          <w:tcPr>
            <w:tcW w:w="2085" w:type="dxa"/>
            <w:vMerge w:val="continue"/>
            <w:shd w:val="clear" w:color="auto" w:fill="auto"/>
            <w:vAlign w:val="center"/>
          </w:tcPr>
          <w:p w14:paraId="35E76B3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rPr>
            </w:pPr>
          </w:p>
        </w:tc>
        <w:tc>
          <w:tcPr>
            <w:tcW w:w="675" w:type="dxa"/>
            <w:shd w:val="clear" w:color="auto" w:fill="auto"/>
            <w:vAlign w:val="center"/>
          </w:tcPr>
          <w:p w14:paraId="2611BFE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45768EDC">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cs="宋体"/>
                <w:color w:val="auto"/>
                <w:kern w:val="0"/>
                <w:sz w:val="21"/>
                <w:szCs w:val="21"/>
              </w:rPr>
            </w:pPr>
            <w:r>
              <w:rPr>
                <w:rFonts w:hint="eastAsia" w:ascii="宋体" w:hAnsi="宋体" w:eastAsia="宋体" w:cs="宋体"/>
                <w:color w:val="auto"/>
                <w:sz w:val="21"/>
                <w:szCs w:val="21"/>
              </w:rPr>
              <w:t>项</w:t>
            </w:r>
          </w:p>
        </w:tc>
        <w:tc>
          <w:tcPr>
            <w:tcW w:w="975" w:type="dxa"/>
            <w:shd w:val="clear" w:color="auto" w:fill="auto"/>
            <w:vAlign w:val="center"/>
          </w:tcPr>
          <w:p w14:paraId="104C8A8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33A8ACB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p>
        </w:tc>
      </w:tr>
      <w:tr w14:paraId="6AE1A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2" w:type="dxa"/>
            <w:vMerge w:val="continue"/>
            <w:shd w:val="clear" w:color="auto" w:fill="auto"/>
            <w:vAlign w:val="center"/>
          </w:tcPr>
          <w:p w14:paraId="2B2BC01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1912" w:type="dxa"/>
            <w:gridSpan w:val="3"/>
            <w:shd w:val="clear" w:color="auto" w:fill="auto"/>
            <w:vAlign w:val="center"/>
          </w:tcPr>
          <w:p w14:paraId="4F63D817">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cs="宋体"/>
                <w:color w:val="auto"/>
                <w:kern w:val="0"/>
                <w:sz w:val="21"/>
                <w:szCs w:val="21"/>
              </w:rPr>
            </w:pPr>
            <w:r>
              <w:rPr>
                <w:rFonts w:hint="eastAsia" w:ascii="宋体" w:hAnsi="宋体" w:eastAsia="宋体" w:cs="宋体"/>
                <w:color w:val="auto"/>
                <w:spacing w:val="-1"/>
                <w:sz w:val="21"/>
                <w:szCs w:val="21"/>
              </w:rPr>
              <w:t>泥块含量</w:t>
            </w:r>
          </w:p>
        </w:tc>
        <w:tc>
          <w:tcPr>
            <w:tcW w:w="1005" w:type="dxa"/>
            <w:shd w:val="clear" w:color="auto" w:fill="auto"/>
            <w:vAlign w:val="center"/>
          </w:tcPr>
          <w:p w14:paraId="4BA0479F">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spacing w:val="-1"/>
                <w:sz w:val="21"/>
                <w:szCs w:val="21"/>
              </w:rPr>
              <w:t>4.3.</w:t>
            </w:r>
            <w:r>
              <w:rPr>
                <w:rFonts w:hint="eastAsia" w:ascii="宋体" w:hAnsi="宋体" w:eastAsia="宋体" w:cs="宋体"/>
                <w:color w:val="auto"/>
                <w:spacing w:val="-1"/>
                <w:sz w:val="21"/>
                <w:szCs w:val="21"/>
                <w:lang w:val="en-US" w:eastAsia="zh-CN"/>
              </w:rPr>
              <w:t>7</w:t>
            </w:r>
          </w:p>
        </w:tc>
        <w:tc>
          <w:tcPr>
            <w:tcW w:w="2085" w:type="dxa"/>
            <w:vMerge w:val="continue"/>
            <w:shd w:val="clear" w:color="auto" w:fill="auto"/>
            <w:vAlign w:val="center"/>
          </w:tcPr>
          <w:p w14:paraId="38C15CD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rPr>
            </w:pPr>
          </w:p>
        </w:tc>
        <w:tc>
          <w:tcPr>
            <w:tcW w:w="675" w:type="dxa"/>
            <w:shd w:val="clear" w:color="auto" w:fill="auto"/>
            <w:vAlign w:val="center"/>
          </w:tcPr>
          <w:p w14:paraId="25C922A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7A7CC677">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cs="宋体"/>
                <w:color w:val="auto"/>
                <w:kern w:val="0"/>
                <w:sz w:val="21"/>
                <w:szCs w:val="21"/>
              </w:rPr>
            </w:pPr>
            <w:r>
              <w:rPr>
                <w:rFonts w:hint="eastAsia" w:ascii="宋体" w:hAnsi="宋体" w:eastAsia="宋体" w:cs="宋体"/>
                <w:color w:val="auto"/>
                <w:sz w:val="21"/>
                <w:szCs w:val="21"/>
              </w:rPr>
              <w:t>项</w:t>
            </w:r>
          </w:p>
        </w:tc>
        <w:tc>
          <w:tcPr>
            <w:tcW w:w="975" w:type="dxa"/>
            <w:shd w:val="clear" w:color="auto" w:fill="auto"/>
            <w:vAlign w:val="center"/>
          </w:tcPr>
          <w:p w14:paraId="16CA8B3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2E98DD2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p>
        </w:tc>
      </w:tr>
      <w:tr w14:paraId="302B0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4A2C9B1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1912" w:type="dxa"/>
            <w:gridSpan w:val="3"/>
            <w:shd w:val="clear" w:color="auto" w:fill="auto"/>
            <w:vAlign w:val="center"/>
          </w:tcPr>
          <w:p w14:paraId="11D36145">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spacing w:val="-1"/>
                <w:sz w:val="21"/>
                <w:szCs w:val="21"/>
                <w:lang w:eastAsia="zh-CN"/>
              </w:rPr>
              <w:t>氯离子含量</w:t>
            </w:r>
          </w:p>
        </w:tc>
        <w:tc>
          <w:tcPr>
            <w:tcW w:w="1005" w:type="dxa"/>
            <w:shd w:val="clear" w:color="auto" w:fill="auto"/>
            <w:vAlign w:val="center"/>
          </w:tcPr>
          <w:p w14:paraId="0882168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4.3.8</w:t>
            </w:r>
          </w:p>
        </w:tc>
        <w:tc>
          <w:tcPr>
            <w:tcW w:w="2085" w:type="dxa"/>
            <w:vMerge w:val="continue"/>
            <w:shd w:val="clear" w:color="auto" w:fill="auto"/>
            <w:vAlign w:val="center"/>
          </w:tcPr>
          <w:p w14:paraId="03CA186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rPr>
            </w:pPr>
          </w:p>
        </w:tc>
        <w:tc>
          <w:tcPr>
            <w:tcW w:w="675" w:type="dxa"/>
            <w:shd w:val="clear" w:color="auto" w:fill="auto"/>
            <w:vAlign w:val="center"/>
          </w:tcPr>
          <w:p w14:paraId="7A05F30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34A30F32">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cs="宋体"/>
                <w:color w:val="auto"/>
                <w:kern w:val="0"/>
                <w:sz w:val="21"/>
                <w:szCs w:val="21"/>
              </w:rPr>
            </w:pPr>
            <w:r>
              <w:rPr>
                <w:rFonts w:hint="eastAsia" w:ascii="宋体" w:hAnsi="宋体" w:eastAsia="宋体" w:cs="宋体"/>
                <w:color w:val="auto"/>
                <w:sz w:val="21"/>
                <w:szCs w:val="21"/>
              </w:rPr>
              <w:t>项</w:t>
            </w:r>
          </w:p>
        </w:tc>
        <w:tc>
          <w:tcPr>
            <w:tcW w:w="975" w:type="dxa"/>
            <w:shd w:val="clear" w:color="auto" w:fill="auto"/>
            <w:vAlign w:val="center"/>
          </w:tcPr>
          <w:p w14:paraId="783C903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704888A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p>
        </w:tc>
      </w:tr>
      <w:tr w14:paraId="23AC2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812" w:type="dxa"/>
            <w:vMerge w:val="restart"/>
            <w:shd w:val="clear" w:color="auto" w:fill="auto"/>
            <w:vAlign w:val="center"/>
          </w:tcPr>
          <w:p w14:paraId="27DAD56F">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val="en-US" w:eastAsia="zh-CN"/>
              </w:rPr>
              <w:t>水泥</w:t>
            </w:r>
          </w:p>
        </w:tc>
        <w:tc>
          <w:tcPr>
            <w:tcW w:w="1912" w:type="dxa"/>
            <w:gridSpan w:val="3"/>
            <w:shd w:val="clear" w:color="auto" w:fill="auto"/>
            <w:vAlign w:val="center"/>
          </w:tcPr>
          <w:p w14:paraId="4A36C726">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eastAsia="zh-CN"/>
              </w:rPr>
              <w:t>凝结时间</w:t>
            </w:r>
          </w:p>
        </w:tc>
        <w:tc>
          <w:tcPr>
            <w:tcW w:w="1005" w:type="dxa"/>
            <w:shd w:val="clear" w:color="auto" w:fill="auto"/>
            <w:vAlign w:val="center"/>
          </w:tcPr>
          <w:p w14:paraId="0B73270D">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eastAsia="zh-CN"/>
              </w:rPr>
              <w:t>4.1.1</w:t>
            </w:r>
          </w:p>
        </w:tc>
        <w:tc>
          <w:tcPr>
            <w:tcW w:w="2085" w:type="dxa"/>
            <w:vMerge w:val="restart"/>
            <w:shd w:val="clear" w:color="auto" w:fill="auto"/>
            <w:vAlign w:val="center"/>
          </w:tcPr>
          <w:p w14:paraId="568B2522">
            <w:pPr>
              <w:pStyle w:val="116"/>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eastAsia="zh-CN"/>
              </w:rPr>
              <w:t>以同品种、同标号、同一出厂编号且同一次进场的，袋装水泥不超过200t</w:t>
            </w:r>
            <w:r>
              <w:rPr>
                <w:rFonts w:hint="eastAsia" w:cs="宋体"/>
                <w:color w:val="auto"/>
                <w:spacing w:val="-1"/>
                <w:sz w:val="21"/>
                <w:szCs w:val="21"/>
                <w:lang w:eastAsia="zh-CN"/>
              </w:rPr>
              <w:t>，</w:t>
            </w:r>
            <w:r>
              <w:rPr>
                <w:rFonts w:hint="eastAsia" w:ascii="宋体" w:hAnsi="宋体" w:eastAsia="宋体" w:cs="宋体"/>
                <w:color w:val="auto"/>
                <w:spacing w:val="-1"/>
                <w:sz w:val="21"/>
                <w:szCs w:val="21"/>
                <w:lang w:eastAsia="zh-CN"/>
              </w:rPr>
              <w:t>散装水泥不超过500t为一批</w:t>
            </w:r>
          </w:p>
        </w:tc>
        <w:tc>
          <w:tcPr>
            <w:tcW w:w="675" w:type="dxa"/>
            <w:shd w:val="clear" w:color="auto" w:fill="auto"/>
            <w:vAlign w:val="center"/>
          </w:tcPr>
          <w:p w14:paraId="5FF67528">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r>
              <w:rPr>
                <w:rFonts w:hint="eastAsia" w:cs="宋体"/>
                <w:color w:val="auto"/>
                <w:spacing w:val="-1"/>
                <w:sz w:val="21"/>
                <w:szCs w:val="21"/>
                <w:lang w:val="en-US" w:eastAsia="zh-CN"/>
              </w:rPr>
              <w:t>4</w:t>
            </w:r>
          </w:p>
        </w:tc>
        <w:tc>
          <w:tcPr>
            <w:tcW w:w="675" w:type="dxa"/>
            <w:shd w:val="clear" w:color="auto" w:fill="auto"/>
            <w:vAlign w:val="center"/>
          </w:tcPr>
          <w:p w14:paraId="49C05398">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eastAsia="zh-CN"/>
              </w:rPr>
              <w:t>项</w:t>
            </w:r>
          </w:p>
        </w:tc>
        <w:tc>
          <w:tcPr>
            <w:tcW w:w="975" w:type="dxa"/>
            <w:shd w:val="clear" w:color="auto" w:fill="auto"/>
            <w:vAlign w:val="center"/>
          </w:tcPr>
          <w:p w14:paraId="6D0ACBB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19FAC555">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p>
        </w:tc>
      </w:tr>
      <w:tr w14:paraId="6EA4F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812" w:type="dxa"/>
            <w:vMerge w:val="continue"/>
            <w:shd w:val="clear" w:color="auto" w:fill="auto"/>
            <w:textDirection w:val="tbRlV"/>
            <w:vAlign w:val="center"/>
          </w:tcPr>
          <w:p w14:paraId="4FB04D98">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p>
        </w:tc>
        <w:tc>
          <w:tcPr>
            <w:tcW w:w="1912" w:type="dxa"/>
            <w:gridSpan w:val="3"/>
            <w:shd w:val="clear" w:color="auto" w:fill="auto"/>
            <w:vAlign w:val="center"/>
          </w:tcPr>
          <w:p w14:paraId="7F744CA9">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eastAsia="zh-CN"/>
              </w:rPr>
              <w:t>标准稠度用水量</w:t>
            </w:r>
          </w:p>
        </w:tc>
        <w:tc>
          <w:tcPr>
            <w:tcW w:w="1005" w:type="dxa"/>
            <w:shd w:val="clear" w:color="auto" w:fill="auto"/>
            <w:vAlign w:val="center"/>
          </w:tcPr>
          <w:p w14:paraId="49D56E1A">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eastAsia="zh-CN"/>
              </w:rPr>
              <w:t>4.1.2</w:t>
            </w:r>
          </w:p>
        </w:tc>
        <w:tc>
          <w:tcPr>
            <w:tcW w:w="2085" w:type="dxa"/>
            <w:vMerge w:val="continue"/>
            <w:shd w:val="clear" w:color="auto" w:fill="auto"/>
            <w:vAlign w:val="center"/>
          </w:tcPr>
          <w:p w14:paraId="7B432F6C">
            <w:pPr>
              <w:pStyle w:val="116"/>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eastAsia="zh-CN"/>
              </w:rPr>
            </w:pPr>
          </w:p>
        </w:tc>
        <w:tc>
          <w:tcPr>
            <w:tcW w:w="675" w:type="dxa"/>
            <w:shd w:val="clear" w:color="auto" w:fill="auto"/>
            <w:vAlign w:val="center"/>
          </w:tcPr>
          <w:p w14:paraId="2EBF9258">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r>
              <w:rPr>
                <w:rFonts w:hint="eastAsia" w:cs="宋体"/>
                <w:color w:val="auto"/>
                <w:spacing w:val="-1"/>
                <w:sz w:val="21"/>
                <w:szCs w:val="21"/>
                <w:lang w:val="en-US" w:eastAsia="zh-CN"/>
              </w:rPr>
              <w:t>4</w:t>
            </w:r>
          </w:p>
        </w:tc>
        <w:tc>
          <w:tcPr>
            <w:tcW w:w="675" w:type="dxa"/>
            <w:shd w:val="clear" w:color="auto" w:fill="auto"/>
            <w:vAlign w:val="center"/>
          </w:tcPr>
          <w:p w14:paraId="4400A906">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eastAsia="zh-CN"/>
              </w:rPr>
              <w:t>项</w:t>
            </w:r>
          </w:p>
        </w:tc>
        <w:tc>
          <w:tcPr>
            <w:tcW w:w="975" w:type="dxa"/>
            <w:shd w:val="clear" w:color="auto" w:fill="auto"/>
            <w:vAlign w:val="center"/>
          </w:tcPr>
          <w:p w14:paraId="069F934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21C697F5">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p>
        </w:tc>
      </w:tr>
      <w:tr w14:paraId="19807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812" w:type="dxa"/>
            <w:vMerge w:val="continue"/>
            <w:shd w:val="clear" w:color="auto" w:fill="auto"/>
            <w:textDirection w:val="tbRlV"/>
            <w:vAlign w:val="center"/>
          </w:tcPr>
          <w:p w14:paraId="0103CDB0">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p>
        </w:tc>
        <w:tc>
          <w:tcPr>
            <w:tcW w:w="1912" w:type="dxa"/>
            <w:gridSpan w:val="3"/>
            <w:shd w:val="clear" w:color="auto" w:fill="auto"/>
            <w:vAlign w:val="center"/>
          </w:tcPr>
          <w:p w14:paraId="4D981745">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eastAsia="zh-CN"/>
              </w:rPr>
              <w:t>安定性</w:t>
            </w:r>
          </w:p>
        </w:tc>
        <w:tc>
          <w:tcPr>
            <w:tcW w:w="1005" w:type="dxa"/>
            <w:shd w:val="clear" w:color="auto" w:fill="auto"/>
            <w:vAlign w:val="center"/>
          </w:tcPr>
          <w:p w14:paraId="6F413185">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eastAsia="zh-CN"/>
              </w:rPr>
              <w:t>4.1.3</w:t>
            </w:r>
          </w:p>
        </w:tc>
        <w:tc>
          <w:tcPr>
            <w:tcW w:w="2085" w:type="dxa"/>
            <w:vMerge w:val="continue"/>
            <w:shd w:val="clear" w:color="auto" w:fill="auto"/>
            <w:vAlign w:val="center"/>
          </w:tcPr>
          <w:p w14:paraId="3F520CF4">
            <w:pPr>
              <w:pStyle w:val="116"/>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eastAsia="zh-CN"/>
              </w:rPr>
            </w:pPr>
          </w:p>
        </w:tc>
        <w:tc>
          <w:tcPr>
            <w:tcW w:w="675" w:type="dxa"/>
            <w:shd w:val="clear" w:color="auto" w:fill="auto"/>
            <w:vAlign w:val="center"/>
          </w:tcPr>
          <w:p w14:paraId="6C733527">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r>
              <w:rPr>
                <w:rFonts w:hint="eastAsia" w:cs="宋体"/>
                <w:color w:val="auto"/>
                <w:spacing w:val="-1"/>
                <w:sz w:val="21"/>
                <w:szCs w:val="21"/>
                <w:lang w:val="en-US" w:eastAsia="zh-CN"/>
              </w:rPr>
              <w:t>4</w:t>
            </w:r>
          </w:p>
        </w:tc>
        <w:tc>
          <w:tcPr>
            <w:tcW w:w="675" w:type="dxa"/>
            <w:shd w:val="clear" w:color="auto" w:fill="auto"/>
            <w:vAlign w:val="center"/>
          </w:tcPr>
          <w:p w14:paraId="14F05893">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eastAsia="zh-CN"/>
              </w:rPr>
              <w:t>项</w:t>
            </w:r>
          </w:p>
        </w:tc>
        <w:tc>
          <w:tcPr>
            <w:tcW w:w="975" w:type="dxa"/>
            <w:shd w:val="clear" w:color="auto" w:fill="auto"/>
            <w:vAlign w:val="center"/>
          </w:tcPr>
          <w:p w14:paraId="485F213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14263817">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p>
        </w:tc>
      </w:tr>
      <w:tr w14:paraId="3DDC2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textDirection w:val="tbRlV"/>
            <w:vAlign w:val="center"/>
          </w:tcPr>
          <w:p w14:paraId="52C84057">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p>
        </w:tc>
        <w:tc>
          <w:tcPr>
            <w:tcW w:w="1912" w:type="dxa"/>
            <w:gridSpan w:val="3"/>
            <w:shd w:val="clear" w:color="auto" w:fill="auto"/>
            <w:vAlign w:val="center"/>
          </w:tcPr>
          <w:p w14:paraId="1E62F94F">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eastAsia="zh-CN"/>
              </w:rPr>
              <w:t>胶砂强度</w:t>
            </w:r>
          </w:p>
        </w:tc>
        <w:tc>
          <w:tcPr>
            <w:tcW w:w="1005" w:type="dxa"/>
            <w:shd w:val="clear" w:color="auto" w:fill="auto"/>
            <w:vAlign w:val="center"/>
          </w:tcPr>
          <w:p w14:paraId="680D3B37">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eastAsia="zh-CN"/>
              </w:rPr>
              <w:t>4.1.4</w:t>
            </w:r>
          </w:p>
        </w:tc>
        <w:tc>
          <w:tcPr>
            <w:tcW w:w="2085" w:type="dxa"/>
            <w:vMerge w:val="continue"/>
            <w:shd w:val="clear" w:color="auto" w:fill="auto"/>
            <w:vAlign w:val="center"/>
          </w:tcPr>
          <w:p w14:paraId="333122A4">
            <w:pPr>
              <w:pStyle w:val="116"/>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eastAsia="zh-CN"/>
              </w:rPr>
            </w:pPr>
          </w:p>
        </w:tc>
        <w:tc>
          <w:tcPr>
            <w:tcW w:w="675" w:type="dxa"/>
            <w:shd w:val="clear" w:color="auto" w:fill="auto"/>
            <w:vAlign w:val="center"/>
          </w:tcPr>
          <w:p w14:paraId="5552BF2F">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r>
              <w:rPr>
                <w:rFonts w:hint="eastAsia" w:cs="宋体"/>
                <w:color w:val="auto"/>
                <w:spacing w:val="-1"/>
                <w:sz w:val="21"/>
                <w:szCs w:val="21"/>
                <w:lang w:val="en-US" w:eastAsia="zh-CN"/>
              </w:rPr>
              <w:t>4</w:t>
            </w:r>
          </w:p>
        </w:tc>
        <w:tc>
          <w:tcPr>
            <w:tcW w:w="675" w:type="dxa"/>
            <w:shd w:val="clear" w:color="auto" w:fill="auto"/>
            <w:vAlign w:val="center"/>
          </w:tcPr>
          <w:p w14:paraId="5907C345">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eastAsia="zh-CN"/>
              </w:rPr>
              <w:t>项</w:t>
            </w:r>
          </w:p>
        </w:tc>
        <w:tc>
          <w:tcPr>
            <w:tcW w:w="975" w:type="dxa"/>
            <w:shd w:val="clear" w:color="auto" w:fill="auto"/>
            <w:vAlign w:val="center"/>
          </w:tcPr>
          <w:p w14:paraId="428C00B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11740248">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p>
        </w:tc>
      </w:tr>
      <w:tr w14:paraId="45DC6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restart"/>
            <w:shd w:val="clear" w:color="auto" w:fill="auto"/>
            <w:vAlign w:val="center"/>
          </w:tcPr>
          <w:p w14:paraId="757AEE67">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eastAsia="zh-CN"/>
              </w:rPr>
              <w:t>混凝土</w:t>
            </w:r>
          </w:p>
        </w:tc>
        <w:tc>
          <w:tcPr>
            <w:tcW w:w="1912" w:type="dxa"/>
            <w:gridSpan w:val="3"/>
            <w:shd w:val="clear" w:color="auto" w:fill="auto"/>
            <w:vAlign w:val="center"/>
          </w:tcPr>
          <w:p w14:paraId="1EC79120">
            <w:pPr>
              <w:pStyle w:val="116"/>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eastAsia="zh-CN"/>
              </w:rPr>
              <w:t>立方体抗压强度（每组3件）</w:t>
            </w:r>
          </w:p>
        </w:tc>
        <w:tc>
          <w:tcPr>
            <w:tcW w:w="1005" w:type="dxa"/>
            <w:shd w:val="clear" w:color="auto" w:fill="auto"/>
            <w:vAlign w:val="center"/>
          </w:tcPr>
          <w:p w14:paraId="36CF965B">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eastAsia="zh-CN"/>
              </w:rPr>
              <w:t>4.7.2</w:t>
            </w:r>
          </w:p>
        </w:tc>
        <w:tc>
          <w:tcPr>
            <w:tcW w:w="2085" w:type="dxa"/>
            <w:vMerge w:val="restart"/>
            <w:shd w:val="clear" w:color="auto" w:fill="auto"/>
            <w:vAlign w:val="center"/>
          </w:tcPr>
          <w:p w14:paraId="2089A824">
            <w:pPr>
              <w:pStyle w:val="116"/>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eastAsia="zh-CN"/>
              </w:rPr>
              <w:t>每100盘但不</w:t>
            </w:r>
            <w:r>
              <w:rPr>
                <w:rFonts w:hint="eastAsia" w:cs="宋体"/>
                <w:color w:val="auto"/>
                <w:spacing w:val="-1"/>
                <w:sz w:val="21"/>
                <w:szCs w:val="21"/>
                <w:lang w:eastAsia="zh-CN"/>
              </w:rPr>
              <w:t>超过</w:t>
            </w:r>
            <w:r>
              <w:rPr>
                <w:rFonts w:hint="eastAsia" w:ascii="宋体" w:hAnsi="宋体" w:eastAsia="宋体" w:cs="宋体"/>
                <w:color w:val="auto"/>
                <w:spacing w:val="-1"/>
                <w:sz w:val="21"/>
                <w:szCs w:val="21"/>
                <w:lang w:eastAsia="zh-CN"/>
              </w:rPr>
              <w:t>100m</w:t>
            </w:r>
            <w:r>
              <w:rPr>
                <w:rFonts w:hint="eastAsia" w:ascii="宋体" w:hAnsi="宋体" w:eastAsia="宋体" w:cs="宋体"/>
                <w:color w:val="auto"/>
                <w:spacing w:val="-1"/>
                <w:sz w:val="21"/>
                <w:szCs w:val="21"/>
                <w:vertAlign w:val="superscript"/>
                <w:lang w:eastAsia="zh-CN"/>
              </w:rPr>
              <w:t>3</w:t>
            </w:r>
            <w:r>
              <w:rPr>
                <w:rFonts w:hint="eastAsia" w:ascii="宋体" w:hAnsi="宋体" w:eastAsia="宋体" w:cs="宋体"/>
                <w:color w:val="auto"/>
                <w:spacing w:val="-1"/>
                <w:sz w:val="21"/>
                <w:szCs w:val="21"/>
                <w:lang w:eastAsia="zh-CN"/>
              </w:rPr>
              <w:t>的同配比混凝土取样不少于1组；每一工作班拌制的同配合比混凝土取样不少于1组；同时还应考虑为检验结构或构件施工阶段混凝土强度所必需的试件组数；同一工程、同一混凝土等级、同一抗渗等级的混凝土，每台班不超过500m³</w:t>
            </w:r>
            <w:r>
              <w:rPr>
                <w:rFonts w:hint="eastAsia" w:cs="宋体"/>
                <w:color w:val="auto"/>
                <w:spacing w:val="-1"/>
                <w:sz w:val="21"/>
                <w:szCs w:val="21"/>
                <w:lang w:eastAsia="zh-CN"/>
              </w:rPr>
              <w:t>，</w:t>
            </w:r>
            <w:r>
              <w:rPr>
                <w:rFonts w:hint="eastAsia" w:ascii="宋体" w:hAnsi="宋体" w:eastAsia="宋体" w:cs="宋体"/>
                <w:color w:val="auto"/>
                <w:spacing w:val="-1"/>
                <w:sz w:val="21"/>
                <w:szCs w:val="21"/>
                <w:lang w:eastAsia="zh-CN"/>
              </w:rPr>
              <w:t>至少留置1组试块，且每单位工程不得少于两组。采用预拌混凝土</w:t>
            </w:r>
          </w:p>
        </w:tc>
        <w:tc>
          <w:tcPr>
            <w:tcW w:w="675" w:type="dxa"/>
            <w:shd w:val="clear" w:color="auto" w:fill="auto"/>
            <w:vAlign w:val="center"/>
          </w:tcPr>
          <w:p w14:paraId="09628A21">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r>
              <w:rPr>
                <w:rFonts w:hint="eastAsia" w:cs="宋体"/>
                <w:color w:val="auto"/>
                <w:spacing w:val="-1"/>
                <w:sz w:val="21"/>
                <w:szCs w:val="21"/>
                <w:lang w:val="en-US" w:eastAsia="zh-CN"/>
              </w:rPr>
              <w:t>220</w:t>
            </w:r>
          </w:p>
        </w:tc>
        <w:tc>
          <w:tcPr>
            <w:tcW w:w="675" w:type="dxa"/>
            <w:shd w:val="clear" w:color="auto" w:fill="auto"/>
            <w:vAlign w:val="center"/>
          </w:tcPr>
          <w:p w14:paraId="1E659FC5">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val="en-US" w:eastAsia="zh-CN"/>
              </w:rPr>
              <w:t>组</w:t>
            </w:r>
          </w:p>
        </w:tc>
        <w:tc>
          <w:tcPr>
            <w:tcW w:w="975" w:type="dxa"/>
            <w:shd w:val="clear" w:color="auto" w:fill="auto"/>
            <w:vAlign w:val="center"/>
          </w:tcPr>
          <w:p w14:paraId="12BF752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2DCACFB9">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p>
        </w:tc>
      </w:tr>
      <w:tr w14:paraId="1D367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76EB9807">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p>
        </w:tc>
        <w:tc>
          <w:tcPr>
            <w:tcW w:w="1912" w:type="dxa"/>
            <w:gridSpan w:val="3"/>
            <w:shd w:val="clear" w:color="auto" w:fill="auto"/>
            <w:vAlign w:val="center"/>
          </w:tcPr>
          <w:p w14:paraId="4396FE0B">
            <w:pPr>
              <w:pStyle w:val="116"/>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eastAsia="zh-CN"/>
              </w:rPr>
              <w:t>标准养护（抗压试块</w:t>
            </w:r>
            <w:r>
              <w:rPr>
                <w:rFonts w:hint="eastAsia" w:cs="宋体"/>
                <w:color w:val="auto"/>
                <w:spacing w:val="-1"/>
                <w:sz w:val="21"/>
                <w:szCs w:val="21"/>
                <w:lang w:eastAsia="zh-CN"/>
              </w:rPr>
              <w:t>）</w:t>
            </w:r>
            <w:r>
              <w:rPr>
                <w:rFonts w:hint="eastAsia" w:ascii="宋体" w:hAnsi="宋体" w:eastAsia="宋体" w:cs="宋体"/>
                <w:color w:val="auto"/>
                <w:spacing w:val="-1"/>
                <w:sz w:val="21"/>
                <w:szCs w:val="21"/>
                <w:lang w:eastAsia="zh-CN"/>
              </w:rPr>
              <w:t>（每组3件）</w:t>
            </w:r>
          </w:p>
        </w:tc>
        <w:tc>
          <w:tcPr>
            <w:tcW w:w="1005" w:type="dxa"/>
            <w:shd w:val="clear" w:color="auto" w:fill="auto"/>
            <w:vAlign w:val="center"/>
          </w:tcPr>
          <w:p w14:paraId="389E982B">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eastAsia="zh-CN"/>
              </w:rPr>
              <w:t>4.7.11</w:t>
            </w:r>
          </w:p>
        </w:tc>
        <w:tc>
          <w:tcPr>
            <w:tcW w:w="2085" w:type="dxa"/>
            <w:vMerge w:val="continue"/>
            <w:shd w:val="clear" w:color="auto" w:fill="auto"/>
            <w:vAlign w:val="center"/>
          </w:tcPr>
          <w:p w14:paraId="1511B2D1">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p>
        </w:tc>
        <w:tc>
          <w:tcPr>
            <w:tcW w:w="675" w:type="dxa"/>
            <w:shd w:val="clear" w:color="auto" w:fill="auto"/>
            <w:vAlign w:val="center"/>
          </w:tcPr>
          <w:p w14:paraId="51F700D2">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r>
              <w:rPr>
                <w:rFonts w:hint="eastAsia" w:cs="宋体"/>
                <w:color w:val="auto"/>
                <w:spacing w:val="-1"/>
                <w:sz w:val="21"/>
                <w:szCs w:val="21"/>
                <w:lang w:val="en-US" w:eastAsia="zh-CN"/>
              </w:rPr>
              <w:t>220</w:t>
            </w:r>
          </w:p>
        </w:tc>
        <w:tc>
          <w:tcPr>
            <w:tcW w:w="675" w:type="dxa"/>
            <w:shd w:val="clear" w:color="auto" w:fill="auto"/>
            <w:vAlign w:val="center"/>
          </w:tcPr>
          <w:p w14:paraId="01C20FD9">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val="en-US" w:eastAsia="zh-CN"/>
              </w:rPr>
              <w:t>组</w:t>
            </w:r>
          </w:p>
        </w:tc>
        <w:tc>
          <w:tcPr>
            <w:tcW w:w="975" w:type="dxa"/>
            <w:shd w:val="clear" w:color="auto" w:fill="auto"/>
            <w:vAlign w:val="center"/>
          </w:tcPr>
          <w:p w14:paraId="665D22F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4F672C05">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p>
        </w:tc>
      </w:tr>
      <w:tr w14:paraId="2C017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61DE1AE3">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p>
        </w:tc>
        <w:tc>
          <w:tcPr>
            <w:tcW w:w="1912" w:type="dxa"/>
            <w:gridSpan w:val="3"/>
            <w:shd w:val="clear" w:color="auto" w:fill="auto"/>
            <w:vAlign w:val="center"/>
          </w:tcPr>
          <w:p w14:paraId="6DFEB6B5">
            <w:pPr>
              <w:pStyle w:val="116"/>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eastAsia="zh-CN"/>
              </w:rPr>
              <w:t>抗渗等级（抗渗等级≤P8）（每组6件）</w:t>
            </w:r>
          </w:p>
        </w:tc>
        <w:tc>
          <w:tcPr>
            <w:tcW w:w="1005" w:type="dxa"/>
            <w:shd w:val="clear" w:color="auto" w:fill="auto"/>
            <w:vAlign w:val="center"/>
          </w:tcPr>
          <w:p w14:paraId="6137BF1F">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eastAsia="zh-CN"/>
              </w:rPr>
              <w:t>4.7.9</w:t>
            </w:r>
          </w:p>
        </w:tc>
        <w:tc>
          <w:tcPr>
            <w:tcW w:w="2085" w:type="dxa"/>
            <w:vMerge w:val="continue"/>
            <w:shd w:val="clear" w:color="auto" w:fill="auto"/>
            <w:vAlign w:val="center"/>
          </w:tcPr>
          <w:p w14:paraId="6404216B">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p>
        </w:tc>
        <w:tc>
          <w:tcPr>
            <w:tcW w:w="675" w:type="dxa"/>
            <w:shd w:val="clear" w:color="auto" w:fill="auto"/>
            <w:vAlign w:val="center"/>
          </w:tcPr>
          <w:p w14:paraId="2D4873F8">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cs="宋体"/>
                <w:color w:val="auto"/>
                <w:spacing w:val="-1"/>
                <w:sz w:val="21"/>
                <w:szCs w:val="21"/>
                <w:lang w:val="en-US" w:eastAsia="zh-CN"/>
              </w:rPr>
              <w:t>3</w:t>
            </w:r>
            <w:r>
              <w:rPr>
                <w:rFonts w:hint="eastAsia" w:ascii="宋体" w:hAnsi="宋体" w:eastAsia="宋体" w:cs="宋体"/>
                <w:color w:val="auto"/>
                <w:spacing w:val="-1"/>
                <w:sz w:val="21"/>
                <w:szCs w:val="21"/>
                <w:lang w:val="en-US" w:eastAsia="zh-CN"/>
              </w:rPr>
              <w:t>0</w:t>
            </w:r>
          </w:p>
        </w:tc>
        <w:tc>
          <w:tcPr>
            <w:tcW w:w="675" w:type="dxa"/>
            <w:shd w:val="clear" w:color="auto" w:fill="auto"/>
            <w:vAlign w:val="center"/>
          </w:tcPr>
          <w:p w14:paraId="20720E52">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val="en-US" w:eastAsia="zh-CN"/>
              </w:rPr>
              <w:t>组</w:t>
            </w:r>
          </w:p>
        </w:tc>
        <w:tc>
          <w:tcPr>
            <w:tcW w:w="975" w:type="dxa"/>
            <w:shd w:val="clear" w:color="auto" w:fill="auto"/>
            <w:vAlign w:val="center"/>
          </w:tcPr>
          <w:p w14:paraId="572B52D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0A178725">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p>
        </w:tc>
      </w:tr>
      <w:tr w14:paraId="01DFF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4FEADBA6">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p>
        </w:tc>
        <w:tc>
          <w:tcPr>
            <w:tcW w:w="1912" w:type="dxa"/>
            <w:gridSpan w:val="3"/>
            <w:shd w:val="clear" w:color="auto" w:fill="auto"/>
            <w:vAlign w:val="center"/>
          </w:tcPr>
          <w:p w14:paraId="2F2D6883">
            <w:pPr>
              <w:pStyle w:val="116"/>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eastAsia="zh-CN"/>
              </w:rPr>
              <w:t>标准养护（抗渗试块</w:t>
            </w:r>
            <w:r>
              <w:rPr>
                <w:rFonts w:hint="eastAsia" w:cs="宋体"/>
                <w:color w:val="auto"/>
                <w:spacing w:val="-1"/>
                <w:sz w:val="21"/>
                <w:szCs w:val="21"/>
                <w:lang w:eastAsia="zh-CN"/>
              </w:rPr>
              <w:t>）（</w:t>
            </w:r>
            <w:r>
              <w:rPr>
                <w:rFonts w:hint="eastAsia" w:ascii="宋体" w:hAnsi="宋体" w:eastAsia="宋体" w:cs="宋体"/>
                <w:color w:val="auto"/>
                <w:spacing w:val="-1"/>
                <w:sz w:val="21"/>
                <w:szCs w:val="21"/>
                <w:lang w:eastAsia="zh-CN"/>
              </w:rPr>
              <w:t>每组6件）</w:t>
            </w:r>
          </w:p>
        </w:tc>
        <w:tc>
          <w:tcPr>
            <w:tcW w:w="1005" w:type="dxa"/>
            <w:shd w:val="clear" w:color="auto" w:fill="auto"/>
            <w:vAlign w:val="center"/>
          </w:tcPr>
          <w:p w14:paraId="04DE0E74">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eastAsia="zh-CN"/>
              </w:rPr>
              <w:t>4.7.11</w:t>
            </w:r>
          </w:p>
        </w:tc>
        <w:tc>
          <w:tcPr>
            <w:tcW w:w="2085" w:type="dxa"/>
            <w:vMerge w:val="continue"/>
            <w:shd w:val="clear" w:color="auto" w:fill="auto"/>
            <w:vAlign w:val="center"/>
          </w:tcPr>
          <w:p w14:paraId="0F26259C">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p>
        </w:tc>
        <w:tc>
          <w:tcPr>
            <w:tcW w:w="675" w:type="dxa"/>
            <w:shd w:val="clear" w:color="auto" w:fill="auto"/>
            <w:vAlign w:val="center"/>
          </w:tcPr>
          <w:p w14:paraId="70CB493A">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cs="宋体"/>
                <w:color w:val="auto"/>
                <w:spacing w:val="-1"/>
                <w:sz w:val="21"/>
                <w:szCs w:val="21"/>
                <w:lang w:val="en-US" w:eastAsia="zh-CN"/>
              </w:rPr>
              <w:t>3</w:t>
            </w:r>
            <w:r>
              <w:rPr>
                <w:rFonts w:hint="eastAsia" w:ascii="宋体" w:hAnsi="宋体" w:eastAsia="宋体" w:cs="宋体"/>
                <w:color w:val="auto"/>
                <w:spacing w:val="-1"/>
                <w:sz w:val="21"/>
                <w:szCs w:val="21"/>
                <w:lang w:val="en-US" w:eastAsia="zh-CN"/>
              </w:rPr>
              <w:t>0</w:t>
            </w:r>
          </w:p>
        </w:tc>
        <w:tc>
          <w:tcPr>
            <w:tcW w:w="675" w:type="dxa"/>
            <w:shd w:val="clear" w:color="auto" w:fill="auto"/>
            <w:vAlign w:val="center"/>
          </w:tcPr>
          <w:p w14:paraId="5E0F73E9">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val="en-US" w:eastAsia="zh-CN"/>
              </w:rPr>
              <w:t>组</w:t>
            </w:r>
          </w:p>
        </w:tc>
        <w:tc>
          <w:tcPr>
            <w:tcW w:w="975" w:type="dxa"/>
            <w:shd w:val="clear" w:color="auto" w:fill="auto"/>
            <w:vAlign w:val="center"/>
          </w:tcPr>
          <w:p w14:paraId="2D8A806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p>
        </w:tc>
        <w:tc>
          <w:tcPr>
            <w:tcW w:w="1085" w:type="dxa"/>
            <w:shd w:val="clear" w:color="auto" w:fill="auto"/>
            <w:vAlign w:val="center"/>
          </w:tcPr>
          <w:p w14:paraId="0CF2C029">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p>
        </w:tc>
      </w:tr>
      <w:tr w14:paraId="3AA8B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54952193">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p>
        </w:tc>
        <w:tc>
          <w:tcPr>
            <w:tcW w:w="1912" w:type="dxa"/>
            <w:gridSpan w:val="3"/>
            <w:shd w:val="clear" w:color="auto" w:fill="auto"/>
            <w:vAlign w:val="center"/>
          </w:tcPr>
          <w:p w14:paraId="050A9A93">
            <w:pPr>
              <w:pStyle w:val="116"/>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eastAsia="zh-CN"/>
              </w:rPr>
              <w:t>氯离子含量（硬化后）</w:t>
            </w:r>
          </w:p>
        </w:tc>
        <w:tc>
          <w:tcPr>
            <w:tcW w:w="1005" w:type="dxa"/>
            <w:shd w:val="clear" w:color="auto" w:fill="auto"/>
            <w:vAlign w:val="center"/>
          </w:tcPr>
          <w:p w14:paraId="62CE44BE">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eastAsia="zh-CN"/>
              </w:rPr>
              <w:t>4.7.</w:t>
            </w:r>
            <w:r>
              <w:rPr>
                <w:rFonts w:hint="eastAsia" w:cs="宋体"/>
                <w:color w:val="auto"/>
                <w:spacing w:val="-1"/>
                <w:sz w:val="21"/>
                <w:szCs w:val="21"/>
                <w:lang w:val="en-US" w:eastAsia="zh-CN"/>
              </w:rPr>
              <w:t>1</w:t>
            </w:r>
            <w:r>
              <w:rPr>
                <w:rFonts w:hint="eastAsia" w:ascii="宋体" w:hAnsi="宋体" w:eastAsia="宋体" w:cs="宋体"/>
                <w:color w:val="auto"/>
                <w:spacing w:val="-1"/>
                <w:sz w:val="21"/>
                <w:szCs w:val="21"/>
                <w:lang w:eastAsia="zh-CN"/>
              </w:rPr>
              <w:t>2</w:t>
            </w:r>
          </w:p>
        </w:tc>
        <w:tc>
          <w:tcPr>
            <w:tcW w:w="2085" w:type="dxa"/>
            <w:shd w:val="clear" w:color="auto" w:fill="auto"/>
            <w:vAlign w:val="center"/>
          </w:tcPr>
          <w:p w14:paraId="46CE5EC7">
            <w:pPr>
              <w:pStyle w:val="116"/>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eastAsia="zh-CN"/>
              </w:rPr>
              <w:t>每个规格等级为一组</w:t>
            </w:r>
          </w:p>
        </w:tc>
        <w:tc>
          <w:tcPr>
            <w:tcW w:w="675" w:type="dxa"/>
            <w:shd w:val="clear" w:color="auto" w:fill="auto"/>
            <w:vAlign w:val="center"/>
          </w:tcPr>
          <w:p w14:paraId="7DB40D32">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val="en-US" w:eastAsia="zh-CN"/>
              </w:rPr>
              <w:t>7</w:t>
            </w:r>
          </w:p>
        </w:tc>
        <w:tc>
          <w:tcPr>
            <w:tcW w:w="675" w:type="dxa"/>
            <w:shd w:val="clear" w:color="auto" w:fill="auto"/>
            <w:vAlign w:val="center"/>
          </w:tcPr>
          <w:p w14:paraId="56D6C3F0">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eastAsia="zh-CN"/>
              </w:rPr>
              <w:t>组</w:t>
            </w:r>
          </w:p>
        </w:tc>
        <w:tc>
          <w:tcPr>
            <w:tcW w:w="975" w:type="dxa"/>
            <w:shd w:val="clear" w:color="auto" w:fill="auto"/>
            <w:vAlign w:val="center"/>
          </w:tcPr>
          <w:p w14:paraId="0DBC568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604F6004">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p>
        </w:tc>
      </w:tr>
      <w:tr w14:paraId="0583B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restart"/>
            <w:shd w:val="clear" w:color="auto" w:fill="auto"/>
            <w:vAlign w:val="center"/>
          </w:tcPr>
          <w:p w14:paraId="1676150B">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val="en-US" w:eastAsia="zh-CN"/>
              </w:rPr>
              <w:t>砂浆</w:t>
            </w:r>
          </w:p>
        </w:tc>
        <w:tc>
          <w:tcPr>
            <w:tcW w:w="1912" w:type="dxa"/>
            <w:gridSpan w:val="3"/>
            <w:shd w:val="clear" w:color="auto" w:fill="auto"/>
            <w:vAlign w:val="center"/>
          </w:tcPr>
          <w:p w14:paraId="750DBACA">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val="en-US" w:eastAsia="zh-CN"/>
              </w:rPr>
              <w:t>试块抗压强度</w:t>
            </w:r>
          </w:p>
        </w:tc>
        <w:tc>
          <w:tcPr>
            <w:tcW w:w="1005" w:type="dxa"/>
            <w:shd w:val="clear" w:color="auto" w:fill="auto"/>
            <w:vAlign w:val="center"/>
          </w:tcPr>
          <w:p w14:paraId="231A66C6">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val="en-US" w:eastAsia="zh-CN"/>
              </w:rPr>
              <w:t>4.8.3</w:t>
            </w:r>
          </w:p>
        </w:tc>
        <w:tc>
          <w:tcPr>
            <w:tcW w:w="2085" w:type="dxa"/>
            <w:vMerge w:val="restart"/>
            <w:shd w:val="clear" w:color="auto" w:fill="auto"/>
            <w:vAlign w:val="center"/>
          </w:tcPr>
          <w:p w14:paraId="30027895">
            <w:pPr>
              <w:pStyle w:val="116"/>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val="en-US" w:eastAsia="zh-CN"/>
              </w:rPr>
              <w:t>砌筑砂浆按每一个台班，同一配合比，同一层砌体或250</w:t>
            </w:r>
            <w:r>
              <w:rPr>
                <w:rFonts w:hint="eastAsia" w:ascii="宋体" w:hAnsi="宋体" w:eastAsia="宋体" w:cs="宋体"/>
                <w:color w:val="auto"/>
                <w:spacing w:val="-1"/>
                <w:sz w:val="21"/>
                <w:szCs w:val="21"/>
                <w:lang w:eastAsia="zh-CN"/>
              </w:rPr>
              <w:t>m³</w:t>
            </w:r>
            <w:r>
              <w:rPr>
                <w:rFonts w:hint="eastAsia" w:ascii="宋体" w:hAnsi="宋体" w:eastAsia="宋体" w:cs="宋体"/>
                <w:color w:val="auto"/>
                <w:spacing w:val="-1"/>
                <w:sz w:val="21"/>
                <w:szCs w:val="21"/>
                <w:lang w:val="en-US" w:eastAsia="zh-CN"/>
              </w:rPr>
              <w:t>砌体取1组试块。</w:t>
            </w:r>
          </w:p>
        </w:tc>
        <w:tc>
          <w:tcPr>
            <w:tcW w:w="675" w:type="dxa"/>
            <w:shd w:val="clear" w:color="auto" w:fill="auto"/>
            <w:vAlign w:val="center"/>
          </w:tcPr>
          <w:p w14:paraId="1FBF3655">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1</w:t>
            </w:r>
            <w:r>
              <w:rPr>
                <w:rFonts w:hint="eastAsia" w:cs="宋体"/>
                <w:color w:val="auto"/>
                <w:spacing w:val="-1"/>
                <w:sz w:val="21"/>
                <w:szCs w:val="21"/>
                <w:lang w:val="en-US" w:eastAsia="zh-CN"/>
              </w:rPr>
              <w:t>50</w:t>
            </w:r>
          </w:p>
        </w:tc>
        <w:tc>
          <w:tcPr>
            <w:tcW w:w="675" w:type="dxa"/>
            <w:shd w:val="clear" w:color="auto" w:fill="auto"/>
            <w:vAlign w:val="center"/>
          </w:tcPr>
          <w:p w14:paraId="461A89F0">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val="en-US" w:eastAsia="zh-CN"/>
              </w:rPr>
              <w:t>组</w:t>
            </w:r>
          </w:p>
        </w:tc>
        <w:tc>
          <w:tcPr>
            <w:tcW w:w="975" w:type="dxa"/>
            <w:shd w:val="clear" w:color="auto" w:fill="auto"/>
            <w:vAlign w:val="center"/>
          </w:tcPr>
          <w:p w14:paraId="5A57319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7649F7D0">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p>
        </w:tc>
      </w:tr>
      <w:tr w14:paraId="429BC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1EE0B437">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p>
        </w:tc>
        <w:tc>
          <w:tcPr>
            <w:tcW w:w="1912" w:type="dxa"/>
            <w:gridSpan w:val="3"/>
            <w:shd w:val="clear" w:color="auto" w:fill="auto"/>
            <w:vAlign w:val="center"/>
          </w:tcPr>
          <w:p w14:paraId="074AFC56">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val="en-US" w:eastAsia="zh-CN"/>
              </w:rPr>
              <w:t>标准养护（每组3件）</w:t>
            </w:r>
          </w:p>
        </w:tc>
        <w:tc>
          <w:tcPr>
            <w:tcW w:w="1005" w:type="dxa"/>
            <w:shd w:val="clear" w:color="auto" w:fill="auto"/>
            <w:vAlign w:val="center"/>
          </w:tcPr>
          <w:p w14:paraId="58220CD6">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val="en-US" w:eastAsia="zh-CN"/>
              </w:rPr>
              <w:t>4.8.6</w:t>
            </w:r>
          </w:p>
        </w:tc>
        <w:tc>
          <w:tcPr>
            <w:tcW w:w="2085" w:type="dxa"/>
            <w:vMerge w:val="continue"/>
            <w:shd w:val="clear" w:color="auto" w:fill="auto"/>
            <w:vAlign w:val="center"/>
          </w:tcPr>
          <w:p w14:paraId="43FB3FD5">
            <w:pPr>
              <w:pStyle w:val="116"/>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eastAsia="zh-CN"/>
              </w:rPr>
            </w:pPr>
          </w:p>
        </w:tc>
        <w:tc>
          <w:tcPr>
            <w:tcW w:w="675" w:type="dxa"/>
            <w:shd w:val="clear" w:color="auto" w:fill="auto"/>
            <w:vAlign w:val="center"/>
          </w:tcPr>
          <w:p w14:paraId="1DDB0D28">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1</w:t>
            </w:r>
            <w:r>
              <w:rPr>
                <w:rFonts w:hint="eastAsia" w:cs="宋体"/>
                <w:color w:val="auto"/>
                <w:spacing w:val="-1"/>
                <w:sz w:val="21"/>
                <w:szCs w:val="21"/>
                <w:lang w:val="en-US" w:eastAsia="zh-CN"/>
              </w:rPr>
              <w:t>50</w:t>
            </w:r>
          </w:p>
        </w:tc>
        <w:tc>
          <w:tcPr>
            <w:tcW w:w="675" w:type="dxa"/>
            <w:shd w:val="clear" w:color="auto" w:fill="auto"/>
            <w:vAlign w:val="center"/>
          </w:tcPr>
          <w:p w14:paraId="0E070322">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r>
              <w:rPr>
                <w:rFonts w:hint="eastAsia" w:ascii="宋体" w:hAnsi="宋体" w:eastAsia="宋体" w:cs="宋体"/>
                <w:color w:val="auto"/>
                <w:spacing w:val="-1"/>
                <w:sz w:val="21"/>
                <w:szCs w:val="21"/>
                <w:lang w:val="en-US" w:eastAsia="zh-CN"/>
              </w:rPr>
              <w:t>组</w:t>
            </w:r>
          </w:p>
        </w:tc>
        <w:tc>
          <w:tcPr>
            <w:tcW w:w="975" w:type="dxa"/>
            <w:shd w:val="clear" w:color="auto" w:fill="auto"/>
            <w:vAlign w:val="center"/>
          </w:tcPr>
          <w:p w14:paraId="4FF7379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1925D53C">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eastAsia="zh-CN"/>
              </w:rPr>
            </w:pPr>
          </w:p>
        </w:tc>
      </w:tr>
      <w:tr w14:paraId="56F3E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restart"/>
            <w:shd w:val="clear" w:color="auto" w:fill="auto"/>
            <w:vAlign w:val="center"/>
          </w:tcPr>
          <w:p w14:paraId="3F50AFAC">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钢管</w:t>
            </w:r>
          </w:p>
        </w:tc>
        <w:tc>
          <w:tcPr>
            <w:tcW w:w="1912" w:type="dxa"/>
            <w:gridSpan w:val="3"/>
            <w:shd w:val="clear" w:color="auto" w:fill="auto"/>
            <w:vAlign w:val="center"/>
          </w:tcPr>
          <w:p w14:paraId="6CFCA361">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屈服强度</w:t>
            </w:r>
          </w:p>
        </w:tc>
        <w:tc>
          <w:tcPr>
            <w:tcW w:w="1005" w:type="dxa"/>
            <w:shd w:val="clear" w:color="auto" w:fill="auto"/>
            <w:vAlign w:val="center"/>
          </w:tcPr>
          <w:p w14:paraId="488665D9">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4.11.3</w:t>
            </w:r>
          </w:p>
        </w:tc>
        <w:tc>
          <w:tcPr>
            <w:tcW w:w="2085" w:type="dxa"/>
            <w:vMerge w:val="restart"/>
            <w:shd w:val="clear" w:color="auto" w:fill="auto"/>
            <w:vAlign w:val="center"/>
          </w:tcPr>
          <w:p w14:paraId="1F8D902E">
            <w:pPr>
              <w:pStyle w:val="116"/>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cs="宋体"/>
                <w:color w:val="auto"/>
                <w:kern w:val="0"/>
                <w:sz w:val="21"/>
                <w:szCs w:val="21"/>
              </w:rPr>
              <w:t>同牌号、等级、尺寸为一批</w:t>
            </w:r>
          </w:p>
        </w:tc>
        <w:tc>
          <w:tcPr>
            <w:tcW w:w="675" w:type="dxa"/>
            <w:shd w:val="clear" w:color="auto" w:fill="auto"/>
            <w:vAlign w:val="center"/>
          </w:tcPr>
          <w:p w14:paraId="09A2047D">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cs="宋体"/>
                <w:color w:val="auto"/>
                <w:spacing w:val="-1"/>
                <w:sz w:val="21"/>
                <w:szCs w:val="21"/>
                <w:lang w:val="en-US" w:eastAsia="zh-CN"/>
              </w:rPr>
              <w:t>4</w:t>
            </w:r>
          </w:p>
        </w:tc>
        <w:tc>
          <w:tcPr>
            <w:tcW w:w="675" w:type="dxa"/>
            <w:shd w:val="clear" w:color="auto" w:fill="auto"/>
            <w:vAlign w:val="center"/>
          </w:tcPr>
          <w:p w14:paraId="69391549">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项</w:t>
            </w:r>
          </w:p>
        </w:tc>
        <w:tc>
          <w:tcPr>
            <w:tcW w:w="975" w:type="dxa"/>
            <w:shd w:val="clear" w:color="auto" w:fill="auto"/>
            <w:vAlign w:val="center"/>
          </w:tcPr>
          <w:p w14:paraId="74EE0D9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198FCF75">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r>
      <w:tr w14:paraId="34D53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4DD87DC3">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1912" w:type="dxa"/>
            <w:gridSpan w:val="3"/>
            <w:shd w:val="clear" w:color="auto" w:fill="auto"/>
            <w:vAlign w:val="center"/>
          </w:tcPr>
          <w:p w14:paraId="2B3ECC7E">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抗拉强度</w:t>
            </w:r>
          </w:p>
        </w:tc>
        <w:tc>
          <w:tcPr>
            <w:tcW w:w="1005" w:type="dxa"/>
            <w:shd w:val="clear" w:color="auto" w:fill="auto"/>
            <w:vAlign w:val="center"/>
          </w:tcPr>
          <w:p w14:paraId="4CF8B726">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4.11.3</w:t>
            </w:r>
          </w:p>
        </w:tc>
        <w:tc>
          <w:tcPr>
            <w:tcW w:w="2085" w:type="dxa"/>
            <w:vMerge w:val="continue"/>
            <w:shd w:val="clear" w:color="auto" w:fill="auto"/>
            <w:vAlign w:val="center"/>
          </w:tcPr>
          <w:p w14:paraId="584E87E6">
            <w:pPr>
              <w:pStyle w:val="116"/>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675" w:type="dxa"/>
            <w:shd w:val="clear" w:color="auto" w:fill="auto"/>
            <w:vAlign w:val="center"/>
          </w:tcPr>
          <w:p w14:paraId="35C43572">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cs="宋体"/>
                <w:color w:val="auto"/>
                <w:spacing w:val="-1"/>
                <w:sz w:val="21"/>
                <w:szCs w:val="21"/>
                <w:lang w:val="en-US" w:eastAsia="zh-CN"/>
              </w:rPr>
              <w:t>4</w:t>
            </w:r>
          </w:p>
        </w:tc>
        <w:tc>
          <w:tcPr>
            <w:tcW w:w="675" w:type="dxa"/>
            <w:shd w:val="clear" w:color="auto" w:fill="auto"/>
            <w:vAlign w:val="center"/>
          </w:tcPr>
          <w:p w14:paraId="11C2A180">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项</w:t>
            </w:r>
          </w:p>
        </w:tc>
        <w:tc>
          <w:tcPr>
            <w:tcW w:w="975" w:type="dxa"/>
            <w:shd w:val="clear" w:color="auto" w:fill="auto"/>
            <w:vAlign w:val="center"/>
          </w:tcPr>
          <w:p w14:paraId="74A3BE6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5B7F2710">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r>
      <w:tr w14:paraId="7A79E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13D97F07">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1912" w:type="dxa"/>
            <w:gridSpan w:val="3"/>
            <w:shd w:val="clear" w:color="auto" w:fill="auto"/>
            <w:vAlign w:val="center"/>
          </w:tcPr>
          <w:p w14:paraId="0642A7D6">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断后伸长率</w:t>
            </w:r>
          </w:p>
        </w:tc>
        <w:tc>
          <w:tcPr>
            <w:tcW w:w="1005" w:type="dxa"/>
            <w:shd w:val="clear" w:color="auto" w:fill="auto"/>
            <w:vAlign w:val="center"/>
          </w:tcPr>
          <w:p w14:paraId="4B64CCD7">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4.11.3</w:t>
            </w:r>
          </w:p>
        </w:tc>
        <w:tc>
          <w:tcPr>
            <w:tcW w:w="2085" w:type="dxa"/>
            <w:vMerge w:val="continue"/>
            <w:shd w:val="clear" w:color="auto" w:fill="auto"/>
            <w:vAlign w:val="center"/>
          </w:tcPr>
          <w:p w14:paraId="7E3CE789">
            <w:pPr>
              <w:pStyle w:val="116"/>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675" w:type="dxa"/>
            <w:shd w:val="clear" w:color="auto" w:fill="auto"/>
            <w:vAlign w:val="center"/>
          </w:tcPr>
          <w:p w14:paraId="2A2A5F98">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cs="宋体"/>
                <w:color w:val="auto"/>
                <w:spacing w:val="-1"/>
                <w:sz w:val="21"/>
                <w:szCs w:val="21"/>
                <w:lang w:val="en-US" w:eastAsia="zh-CN"/>
              </w:rPr>
              <w:t>4</w:t>
            </w:r>
          </w:p>
        </w:tc>
        <w:tc>
          <w:tcPr>
            <w:tcW w:w="675" w:type="dxa"/>
            <w:shd w:val="clear" w:color="auto" w:fill="auto"/>
            <w:vAlign w:val="center"/>
          </w:tcPr>
          <w:p w14:paraId="6139FC24">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项</w:t>
            </w:r>
          </w:p>
        </w:tc>
        <w:tc>
          <w:tcPr>
            <w:tcW w:w="975" w:type="dxa"/>
            <w:shd w:val="clear" w:color="auto" w:fill="auto"/>
            <w:vAlign w:val="center"/>
          </w:tcPr>
          <w:p w14:paraId="7C3789C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264EA43D">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r>
      <w:tr w14:paraId="54738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2F3CA9E7">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1912" w:type="dxa"/>
            <w:gridSpan w:val="3"/>
            <w:shd w:val="clear" w:color="auto" w:fill="auto"/>
            <w:vAlign w:val="center"/>
          </w:tcPr>
          <w:p w14:paraId="363A0819">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弯曲</w:t>
            </w:r>
          </w:p>
        </w:tc>
        <w:tc>
          <w:tcPr>
            <w:tcW w:w="1005" w:type="dxa"/>
            <w:shd w:val="clear" w:color="auto" w:fill="auto"/>
            <w:vAlign w:val="center"/>
          </w:tcPr>
          <w:p w14:paraId="6E05A30B">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4.11.3</w:t>
            </w:r>
          </w:p>
        </w:tc>
        <w:tc>
          <w:tcPr>
            <w:tcW w:w="2085" w:type="dxa"/>
            <w:vMerge w:val="continue"/>
            <w:shd w:val="clear" w:color="auto" w:fill="auto"/>
            <w:vAlign w:val="center"/>
          </w:tcPr>
          <w:p w14:paraId="12FFD693">
            <w:pPr>
              <w:pStyle w:val="116"/>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675" w:type="dxa"/>
            <w:shd w:val="clear" w:color="auto" w:fill="auto"/>
            <w:vAlign w:val="center"/>
          </w:tcPr>
          <w:p w14:paraId="626A3970">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cs="宋体"/>
                <w:color w:val="auto"/>
                <w:spacing w:val="-1"/>
                <w:sz w:val="21"/>
                <w:szCs w:val="21"/>
                <w:lang w:val="en-US" w:eastAsia="zh-CN"/>
              </w:rPr>
              <w:t>4</w:t>
            </w:r>
          </w:p>
        </w:tc>
        <w:tc>
          <w:tcPr>
            <w:tcW w:w="675" w:type="dxa"/>
            <w:shd w:val="clear" w:color="auto" w:fill="auto"/>
            <w:vAlign w:val="center"/>
          </w:tcPr>
          <w:p w14:paraId="649975D2">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项</w:t>
            </w:r>
          </w:p>
        </w:tc>
        <w:tc>
          <w:tcPr>
            <w:tcW w:w="975" w:type="dxa"/>
            <w:shd w:val="clear" w:color="auto" w:fill="auto"/>
            <w:vAlign w:val="center"/>
          </w:tcPr>
          <w:p w14:paraId="273B4C2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5A009EE7">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r>
      <w:tr w14:paraId="249A8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restart"/>
            <w:shd w:val="clear" w:color="auto" w:fill="auto"/>
            <w:vAlign w:val="center"/>
          </w:tcPr>
          <w:p w14:paraId="5C2ADA3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rPr>
              <w:t>钢筋机械连接</w:t>
            </w:r>
          </w:p>
        </w:tc>
        <w:tc>
          <w:tcPr>
            <w:tcW w:w="772" w:type="dxa"/>
            <w:gridSpan w:val="2"/>
            <w:vMerge w:val="restart"/>
            <w:shd w:val="clear" w:color="auto" w:fill="auto"/>
            <w:vAlign w:val="center"/>
          </w:tcPr>
          <w:p w14:paraId="7E4CC7F7">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拉伸试验</w:t>
            </w:r>
          </w:p>
        </w:tc>
        <w:tc>
          <w:tcPr>
            <w:tcW w:w="1140" w:type="dxa"/>
            <w:shd w:val="clear" w:color="auto" w:fill="auto"/>
            <w:vAlign w:val="center"/>
          </w:tcPr>
          <w:p w14:paraId="5710F4EF">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(d≤12mm)</w:t>
            </w:r>
          </w:p>
        </w:tc>
        <w:tc>
          <w:tcPr>
            <w:tcW w:w="1005" w:type="dxa"/>
            <w:vMerge w:val="restart"/>
            <w:shd w:val="clear" w:color="auto" w:fill="auto"/>
            <w:vAlign w:val="center"/>
          </w:tcPr>
          <w:p w14:paraId="3BAA0E94">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p w14:paraId="337D2FA6">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p w14:paraId="23903EA0">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4.14.1</w:t>
            </w:r>
          </w:p>
        </w:tc>
        <w:tc>
          <w:tcPr>
            <w:tcW w:w="2085" w:type="dxa"/>
            <w:vMerge w:val="restart"/>
            <w:shd w:val="clear" w:color="auto" w:fill="auto"/>
            <w:vAlign w:val="center"/>
          </w:tcPr>
          <w:p w14:paraId="59F3D45F">
            <w:pPr>
              <w:pStyle w:val="116"/>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cs="宋体"/>
                <w:color w:val="auto"/>
                <w:kern w:val="0"/>
                <w:sz w:val="21"/>
                <w:szCs w:val="21"/>
              </w:rPr>
              <w:t>以同一牌号、同一厂家、同一炉罐号、同一规格、同一进场时间的不大于60t的钢筋为一批（每组8根，2根拉伸，1根反向弯曲，5根重量偏差）</w:t>
            </w:r>
          </w:p>
        </w:tc>
        <w:tc>
          <w:tcPr>
            <w:tcW w:w="675" w:type="dxa"/>
            <w:shd w:val="clear" w:color="auto" w:fill="auto"/>
            <w:vAlign w:val="center"/>
          </w:tcPr>
          <w:p w14:paraId="62A131CD">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r>
              <w:rPr>
                <w:rFonts w:hint="eastAsia" w:cs="宋体"/>
                <w:color w:val="auto"/>
                <w:spacing w:val="-1"/>
                <w:sz w:val="21"/>
                <w:szCs w:val="21"/>
                <w:lang w:val="en-US" w:eastAsia="zh-CN"/>
              </w:rPr>
              <w:t>80</w:t>
            </w:r>
          </w:p>
        </w:tc>
        <w:tc>
          <w:tcPr>
            <w:tcW w:w="675" w:type="dxa"/>
            <w:shd w:val="clear" w:color="auto" w:fill="auto"/>
            <w:vAlign w:val="center"/>
          </w:tcPr>
          <w:p w14:paraId="627FEC3F">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根</w:t>
            </w:r>
          </w:p>
        </w:tc>
        <w:tc>
          <w:tcPr>
            <w:tcW w:w="975" w:type="dxa"/>
            <w:shd w:val="clear" w:color="auto" w:fill="auto"/>
            <w:vAlign w:val="center"/>
          </w:tcPr>
          <w:p w14:paraId="1C9D1EE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16ACA664">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p>
        </w:tc>
      </w:tr>
      <w:tr w14:paraId="31CE7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4610C88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772" w:type="dxa"/>
            <w:gridSpan w:val="2"/>
            <w:vMerge w:val="continue"/>
            <w:shd w:val="clear" w:color="auto" w:fill="auto"/>
            <w:vAlign w:val="center"/>
          </w:tcPr>
          <w:p w14:paraId="5C6111D1">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1140" w:type="dxa"/>
            <w:shd w:val="clear" w:color="auto" w:fill="auto"/>
            <w:vAlign w:val="center"/>
          </w:tcPr>
          <w:p w14:paraId="417FB0AD">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(12＜d≤20)</w:t>
            </w:r>
          </w:p>
        </w:tc>
        <w:tc>
          <w:tcPr>
            <w:tcW w:w="1005" w:type="dxa"/>
            <w:vMerge w:val="continue"/>
            <w:shd w:val="clear" w:color="auto" w:fill="auto"/>
            <w:vAlign w:val="center"/>
          </w:tcPr>
          <w:p w14:paraId="584C52E3">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2085" w:type="dxa"/>
            <w:vMerge w:val="continue"/>
            <w:shd w:val="clear" w:color="auto" w:fill="auto"/>
            <w:vAlign w:val="center"/>
          </w:tcPr>
          <w:p w14:paraId="267D6694">
            <w:pPr>
              <w:pStyle w:val="116"/>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675" w:type="dxa"/>
            <w:shd w:val="clear" w:color="auto" w:fill="auto"/>
            <w:vAlign w:val="center"/>
          </w:tcPr>
          <w:p w14:paraId="0F8BEFF7">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r>
              <w:rPr>
                <w:rFonts w:hint="eastAsia" w:cs="宋体"/>
                <w:color w:val="auto"/>
                <w:spacing w:val="-1"/>
                <w:sz w:val="21"/>
                <w:szCs w:val="21"/>
                <w:lang w:val="en-US" w:eastAsia="zh-CN"/>
              </w:rPr>
              <w:t>80</w:t>
            </w:r>
          </w:p>
        </w:tc>
        <w:tc>
          <w:tcPr>
            <w:tcW w:w="675" w:type="dxa"/>
            <w:shd w:val="clear" w:color="auto" w:fill="auto"/>
            <w:vAlign w:val="center"/>
          </w:tcPr>
          <w:p w14:paraId="2AD47395">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根</w:t>
            </w:r>
          </w:p>
        </w:tc>
        <w:tc>
          <w:tcPr>
            <w:tcW w:w="975" w:type="dxa"/>
            <w:shd w:val="clear" w:color="auto" w:fill="auto"/>
            <w:vAlign w:val="center"/>
          </w:tcPr>
          <w:p w14:paraId="6CF4D33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35841A09">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p>
        </w:tc>
      </w:tr>
      <w:tr w14:paraId="439F4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3B88FB4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772" w:type="dxa"/>
            <w:gridSpan w:val="2"/>
            <w:vMerge w:val="continue"/>
            <w:shd w:val="clear" w:color="auto" w:fill="auto"/>
            <w:noWrap/>
            <w:vAlign w:val="center"/>
          </w:tcPr>
          <w:p w14:paraId="6F87CD91">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1140" w:type="dxa"/>
            <w:shd w:val="clear" w:color="auto" w:fill="auto"/>
            <w:vAlign w:val="center"/>
          </w:tcPr>
          <w:p w14:paraId="4DCDE97F">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(20＜d≤28)</w:t>
            </w:r>
          </w:p>
        </w:tc>
        <w:tc>
          <w:tcPr>
            <w:tcW w:w="1005" w:type="dxa"/>
            <w:vMerge w:val="continue"/>
            <w:shd w:val="clear" w:color="auto" w:fill="auto"/>
            <w:vAlign w:val="center"/>
          </w:tcPr>
          <w:p w14:paraId="4A0A4178">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2085" w:type="dxa"/>
            <w:vMerge w:val="continue"/>
            <w:shd w:val="clear" w:color="auto" w:fill="auto"/>
            <w:vAlign w:val="center"/>
          </w:tcPr>
          <w:p w14:paraId="33C0CB43">
            <w:pPr>
              <w:pStyle w:val="116"/>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675" w:type="dxa"/>
            <w:shd w:val="clear" w:color="auto" w:fill="auto"/>
            <w:vAlign w:val="center"/>
          </w:tcPr>
          <w:p w14:paraId="45B7B52A">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r>
              <w:rPr>
                <w:rFonts w:hint="eastAsia" w:cs="宋体"/>
                <w:color w:val="auto"/>
                <w:spacing w:val="-1"/>
                <w:sz w:val="21"/>
                <w:szCs w:val="21"/>
                <w:lang w:val="en-US" w:eastAsia="zh-CN"/>
              </w:rPr>
              <w:t>40</w:t>
            </w:r>
          </w:p>
        </w:tc>
        <w:tc>
          <w:tcPr>
            <w:tcW w:w="675" w:type="dxa"/>
            <w:shd w:val="clear" w:color="auto" w:fill="auto"/>
            <w:vAlign w:val="center"/>
          </w:tcPr>
          <w:p w14:paraId="1B8D0A69">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根</w:t>
            </w:r>
          </w:p>
        </w:tc>
        <w:tc>
          <w:tcPr>
            <w:tcW w:w="975" w:type="dxa"/>
            <w:shd w:val="clear" w:color="auto" w:fill="auto"/>
            <w:vAlign w:val="center"/>
          </w:tcPr>
          <w:p w14:paraId="1E325FA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61173410">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p>
        </w:tc>
      </w:tr>
      <w:tr w14:paraId="3F6A4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48C4704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772" w:type="dxa"/>
            <w:gridSpan w:val="2"/>
            <w:vMerge w:val="restart"/>
            <w:shd w:val="clear" w:color="auto" w:fill="auto"/>
            <w:vAlign w:val="center"/>
          </w:tcPr>
          <w:p w14:paraId="37BC9B66">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反向弯曲</w:t>
            </w:r>
          </w:p>
        </w:tc>
        <w:tc>
          <w:tcPr>
            <w:tcW w:w="1140" w:type="dxa"/>
            <w:shd w:val="clear" w:color="auto" w:fill="auto"/>
            <w:vAlign w:val="center"/>
          </w:tcPr>
          <w:p w14:paraId="3985441D">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(d≤12mm)</w:t>
            </w:r>
          </w:p>
        </w:tc>
        <w:tc>
          <w:tcPr>
            <w:tcW w:w="1005" w:type="dxa"/>
            <w:vMerge w:val="restart"/>
            <w:shd w:val="clear" w:color="auto" w:fill="auto"/>
            <w:vAlign w:val="center"/>
          </w:tcPr>
          <w:p w14:paraId="5A5B3B9E">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p w14:paraId="63A902D6">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4.14.3</w:t>
            </w:r>
          </w:p>
        </w:tc>
        <w:tc>
          <w:tcPr>
            <w:tcW w:w="2085" w:type="dxa"/>
            <w:vMerge w:val="continue"/>
            <w:shd w:val="clear" w:color="auto" w:fill="auto"/>
            <w:vAlign w:val="center"/>
          </w:tcPr>
          <w:p w14:paraId="2B201855">
            <w:pPr>
              <w:pStyle w:val="116"/>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675" w:type="dxa"/>
            <w:shd w:val="clear" w:color="auto" w:fill="auto"/>
            <w:vAlign w:val="center"/>
          </w:tcPr>
          <w:p w14:paraId="76F41310">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r>
              <w:rPr>
                <w:rFonts w:hint="eastAsia" w:cs="宋体"/>
                <w:color w:val="auto"/>
                <w:spacing w:val="-1"/>
                <w:sz w:val="21"/>
                <w:szCs w:val="21"/>
                <w:lang w:val="en-US" w:eastAsia="zh-CN"/>
              </w:rPr>
              <w:t>40</w:t>
            </w:r>
          </w:p>
        </w:tc>
        <w:tc>
          <w:tcPr>
            <w:tcW w:w="675" w:type="dxa"/>
            <w:shd w:val="clear" w:color="auto" w:fill="auto"/>
            <w:vAlign w:val="center"/>
          </w:tcPr>
          <w:p w14:paraId="48039A91">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根</w:t>
            </w:r>
          </w:p>
        </w:tc>
        <w:tc>
          <w:tcPr>
            <w:tcW w:w="975" w:type="dxa"/>
            <w:shd w:val="clear" w:color="auto" w:fill="auto"/>
            <w:vAlign w:val="center"/>
          </w:tcPr>
          <w:p w14:paraId="2889764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629E833E">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r>
      <w:tr w14:paraId="6CE3E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16F6C0B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772" w:type="dxa"/>
            <w:gridSpan w:val="2"/>
            <w:vMerge w:val="continue"/>
            <w:shd w:val="clear" w:color="auto" w:fill="auto"/>
            <w:vAlign w:val="center"/>
          </w:tcPr>
          <w:p w14:paraId="1A921F08">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1140" w:type="dxa"/>
            <w:shd w:val="clear" w:color="auto" w:fill="auto"/>
            <w:vAlign w:val="center"/>
          </w:tcPr>
          <w:p w14:paraId="2BA1910E">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(12＜d≤20)</w:t>
            </w:r>
          </w:p>
        </w:tc>
        <w:tc>
          <w:tcPr>
            <w:tcW w:w="1005" w:type="dxa"/>
            <w:vMerge w:val="continue"/>
            <w:shd w:val="clear" w:color="auto" w:fill="auto"/>
            <w:vAlign w:val="center"/>
          </w:tcPr>
          <w:p w14:paraId="5012B9EF">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2085" w:type="dxa"/>
            <w:vMerge w:val="continue"/>
            <w:shd w:val="clear" w:color="auto" w:fill="auto"/>
            <w:vAlign w:val="center"/>
          </w:tcPr>
          <w:p w14:paraId="002E2537">
            <w:pPr>
              <w:pStyle w:val="116"/>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675" w:type="dxa"/>
            <w:shd w:val="clear" w:color="auto" w:fill="auto"/>
            <w:vAlign w:val="center"/>
          </w:tcPr>
          <w:p w14:paraId="512D306B">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r>
              <w:rPr>
                <w:rFonts w:hint="eastAsia" w:cs="宋体"/>
                <w:color w:val="auto"/>
                <w:spacing w:val="-1"/>
                <w:sz w:val="21"/>
                <w:szCs w:val="21"/>
                <w:lang w:val="en-US" w:eastAsia="zh-CN"/>
              </w:rPr>
              <w:t>40</w:t>
            </w:r>
          </w:p>
        </w:tc>
        <w:tc>
          <w:tcPr>
            <w:tcW w:w="675" w:type="dxa"/>
            <w:shd w:val="clear" w:color="auto" w:fill="auto"/>
            <w:vAlign w:val="center"/>
          </w:tcPr>
          <w:p w14:paraId="7E32E5D3">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根</w:t>
            </w:r>
          </w:p>
        </w:tc>
        <w:tc>
          <w:tcPr>
            <w:tcW w:w="975" w:type="dxa"/>
            <w:shd w:val="clear" w:color="auto" w:fill="auto"/>
            <w:vAlign w:val="center"/>
          </w:tcPr>
          <w:p w14:paraId="0419411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01401A1A">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r>
      <w:tr w14:paraId="72DA3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0EB6F10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772" w:type="dxa"/>
            <w:gridSpan w:val="2"/>
            <w:vMerge w:val="continue"/>
            <w:shd w:val="clear" w:color="auto" w:fill="auto"/>
            <w:vAlign w:val="center"/>
          </w:tcPr>
          <w:p w14:paraId="39A624BE">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1140" w:type="dxa"/>
            <w:shd w:val="clear" w:color="auto" w:fill="auto"/>
            <w:vAlign w:val="center"/>
          </w:tcPr>
          <w:p w14:paraId="5EE695BC">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(20＜d≤28)</w:t>
            </w:r>
          </w:p>
        </w:tc>
        <w:tc>
          <w:tcPr>
            <w:tcW w:w="1005" w:type="dxa"/>
            <w:vMerge w:val="continue"/>
            <w:shd w:val="clear" w:color="auto" w:fill="auto"/>
            <w:vAlign w:val="center"/>
          </w:tcPr>
          <w:p w14:paraId="3D69C34E">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2085" w:type="dxa"/>
            <w:vMerge w:val="continue"/>
            <w:shd w:val="clear" w:color="auto" w:fill="auto"/>
            <w:vAlign w:val="center"/>
          </w:tcPr>
          <w:p w14:paraId="3949CB99">
            <w:pPr>
              <w:pStyle w:val="116"/>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675" w:type="dxa"/>
            <w:shd w:val="clear" w:color="auto" w:fill="auto"/>
            <w:vAlign w:val="center"/>
          </w:tcPr>
          <w:p w14:paraId="3D5D543C">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r>
              <w:rPr>
                <w:rFonts w:hint="eastAsia" w:cs="宋体"/>
                <w:color w:val="auto"/>
                <w:spacing w:val="-1"/>
                <w:sz w:val="21"/>
                <w:szCs w:val="21"/>
                <w:lang w:val="en-US" w:eastAsia="zh-CN"/>
              </w:rPr>
              <w:t>20</w:t>
            </w:r>
          </w:p>
        </w:tc>
        <w:tc>
          <w:tcPr>
            <w:tcW w:w="675" w:type="dxa"/>
            <w:shd w:val="clear" w:color="auto" w:fill="auto"/>
            <w:vAlign w:val="center"/>
          </w:tcPr>
          <w:p w14:paraId="3D779E0C">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根</w:t>
            </w:r>
          </w:p>
        </w:tc>
        <w:tc>
          <w:tcPr>
            <w:tcW w:w="975" w:type="dxa"/>
            <w:shd w:val="clear" w:color="auto" w:fill="auto"/>
            <w:vAlign w:val="center"/>
          </w:tcPr>
          <w:p w14:paraId="7C6275E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42897463">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r>
      <w:tr w14:paraId="1E721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76841A9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772" w:type="dxa"/>
            <w:gridSpan w:val="2"/>
            <w:vMerge w:val="restart"/>
            <w:shd w:val="clear" w:color="auto" w:fill="auto"/>
            <w:vAlign w:val="center"/>
          </w:tcPr>
          <w:p w14:paraId="72A18A8B">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重量偏差检测</w:t>
            </w:r>
          </w:p>
        </w:tc>
        <w:tc>
          <w:tcPr>
            <w:tcW w:w="1140" w:type="dxa"/>
            <w:shd w:val="clear" w:color="auto" w:fill="auto"/>
            <w:vAlign w:val="center"/>
          </w:tcPr>
          <w:p w14:paraId="33B067FC">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d≤20mm</w:t>
            </w:r>
          </w:p>
        </w:tc>
        <w:tc>
          <w:tcPr>
            <w:tcW w:w="1005" w:type="dxa"/>
            <w:vMerge w:val="restart"/>
            <w:shd w:val="clear" w:color="auto" w:fill="auto"/>
            <w:vAlign w:val="center"/>
          </w:tcPr>
          <w:p w14:paraId="18C61D76">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4.14.4</w:t>
            </w:r>
          </w:p>
        </w:tc>
        <w:tc>
          <w:tcPr>
            <w:tcW w:w="2085" w:type="dxa"/>
            <w:vMerge w:val="continue"/>
            <w:shd w:val="clear" w:color="auto" w:fill="auto"/>
            <w:vAlign w:val="center"/>
          </w:tcPr>
          <w:p w14:paraId="2A711510">
            <w:pPr>
              <w:pStyle w:val="116"/>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675" w:type="dxa"/>
            <w:shd w:val="clear" w:color="auto" w:fill="auto"/>
            <w:vAlign w:val="center"/>
          </w:tcPr>
          <w:p w14:paraId="52C20A74">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r>
              <w:rPr>
                <w:rFonts w:hint="eastAsia" w:cs="宋体"/>
                <w:color w:val="auto"/>
                <w:spacing w:val="-1"/>
                <w:sz w:val="21"/>
                <w:szCs w:val="21"/>
                <w:lang w:val="en-US" w:eastAsia="zh-CN"/>
              </w:rPr>
              <w:t>400</w:t>
            </w:r>
          </w:p>
        </w:tc>
        <w:tc>
          <w:tcPr>
            <w:tcW w:w="675" w:type="dxa"/>
            <w:shd w:val="clear" w:color="auto" w:fill="auto"/>
            <w:vAlign w:val="center"/>
          </w:tcPr>
          <w:p w14:paraId="74C3CBBA">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根</w:t>
            </w:r>
          </w:p>
        </w:tc>
        <w:tc>
          <w:tcPr>
            <w:tcW w:w="975" w:type="dxa"/>
            <w:shd w:val="clear" w:color="auto" w:fill="auto"/>
            <w:vAlign w:val="center"/>
          </w:tcPr>
          <w:p w14:paraId="4128CA0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58E315A1">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r>
      <w:tr w14:paraId="61A75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64F930C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772" w:type="dxa"/>
            <w:gridSpan w:val="2"/>
            <w:vMerge w:val="continue"/>
            <w:shd w:val="clear" w:color="auto" w:fill="auto"/>
            <w:vAlign w:val="center"/>
          </w:tcPr>
          <w:p w14:paraId="68A55FAD">
            <w:pPr>
              <w:pStyle w:val="116"/>
              <w:keepNext w:val="0"/>
              <w:keepLines w:val="0"/>
              <w:pageBreakBefore w:val="0"/>
              <w:kinsoku/>
              <w:wordWrap/>
              <w:overflowPunct/>
              <w:topLinePunct w:val="0"/>
              <w:autoSpaceDE/>
              <w:autoSpaceDN/>
              <w:bidi w:val="0"/>
              <w:adjustRightInd/>
              <w:snapToGrid/>
              <w:spacing w:line="400" w:lineRule="exact"/>
              <w:ind w:left="130" w:leftChars="0" w:right="119" w:rightChars="0" w:firstLine="420" w:firstLineChars="200"/>
              <w:jc w:val="center"/>
              <w:textAlignment w:val="auto"/>
              <w:rPr>
                <w:rFonts w:hint="eastAsia" w:ascii="宋体" w:hAnsi="宋体" w:cs="宋体"/>
                <w:color w:val="auto"/>
                <w:kern w:val="0"/>
                <w:sz w:val="21"/>
                <w:szCs w:val="21"/>
              </w:rPr>
            </w:pPr>
          </w:p>
        </w:tc>
        <w:tc>
          <w:tcPr>
            <w:tcW w:w="1140" w:type="dxa"/>
            <w:shd w:val="clear" w:color="auto" w:fill="auto"/>
            <w:vAlign w:val="center"/>
          </w:tcPr>
          <w:p w14:paraId="173AE036">
            <w:pPr>
              <w:pStyle w:val="116"/>
              <w:keepNext w:val="0"/>
              <w:keepLines w:val="0"/>
              <w:pageBreakBefore w:val="0"/>
              <w:kinsoku/>
              <w:wordWrap/>
              <w:overflowPunct/>
              <w:topLinePunct w:val="0"/>
              <w:autoSpaceDE/>
              <w:autoSpaceDN/>
              <w:bidi w:val="0"/>
              <w:adjustRightInd/>
              <w:snapToGrid/>
              <w:spacing w:line="400" w:lineRule="exact"/>
              <w:ind w:left="0" w:leftChars="0" w:right="119" w:rightChars="0" w:firstLine="0" w:firstLineChars="0"/>
              <w:jc w:val="center"/>
              <w:textAlignment w:val="auto"/>
              <w:rPr>
                <w:rFonts w:hint="eastAsia" w:ascii="宋体" w:hAnsi="宋体" w:cs="宋体"/>
                <w:color w:val="auto"/>
                <w:kern w:val="0"/>
                <w:sz w:val="21"/>
                <w:szCs w:val="21"/>
              </w:rPr>
            </w:pPr>
            <w:r>
              <w:rPr>
                <w:rFonts w:hint="eastAsia" w:ascii="宋体" w:hAnsi="宋体" w:eastAsia="宋体" w:cs="宋体"/>
                <w:color w:val="auto"/>
                <w:spacing w:val="-1"/>
                <w:sz w:val="21"/>
                <w:szCs w:val="21"/>
                <w:lang w:val="en-US" w:eastAsia="zh-CN"/>
              </w:rPr>
              <w:t>d&gt;20mm</w:t>
            </w:r>
          </w:p>
        </w:tc>
        <w:tc>
          <w:tcPr>
            <w:tcW w:w="1005" w:type="dxa"/>
            <w:vMerge w:val="continue"/>
            <w:shd w:val="clear" w:color="auto" w:fill="auto"/>
            <w:vAlign w:val="center"/>
          </w:tcPr>
          <w:p w14:paraId="4485B9DB">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2085" w:type="dxa"/>
            <w:vMerge w:val="continue"/>
            <w:shd w:val="clear" w:color="auto" w:fill="auto"/>
            <w:vAlign w:val="center"/>
          </w:tcPr>
          <w:p w14:paraId="43FF1FCA">
            <w:pPr>
              <w:pStyle w:val="116"/>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675" w:type="dxa"/>
            <w:shd w:val="clear" w:color="auto" w:fill="auto"/>
            <w:vAlign w:val="center"/>
          </w:tcPr>
          <w:p w14:paraId="24A0B61F">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r>
              <w:rPr>
                <w:rFonts w:hint="eastAsia" w:cs="宋体"/>
                <w:color w:val="auto"/>
                <w:spacing w:val="-1"/>
                <w:sz w:val="21"/>
                <w:szCs w:val="21"/>
                <w:lang w:val="en-US" w:eastAsia="zh-CN"/>
              </w:rPr>
              <w:t>100</w:t>
            </w:r>
          </w:p>
        </w:tc>
        <w:tc>
          <w:tcPr>
            <w:tcW w:w="675" w:type="dxa"/>
            <w:shd w:val="clear" w:color="auto" w:fill="auto"/>
            <w:vAlign w:val="center"/>
          </w:tcPr>
          <w:p w14:paraId="6351E31F">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根</w:t>
            </w:r>
          </w:p>
        </w:tc>
        <w:tc>
          <w:tcPr>
            <w:tcW w:w="975" w:type="dxa"/>
            <w:shd w:val="clear" w:color="auto" w:fill="auto"/>
            <w:vAlign w:val="center"/>
          </w:tcPr>
          <w:p w14:paraId="46E66A3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372A10C2">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p>
        </w:tc>
      </w:tr>
      <w:tr w14:paraId="1AA32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restart"/>
            <w:shd w:val="clear" w:color="auto" w:fill="auto"/>
            <w:vAlign w:val="center"/>
          </w:tcPr>
          <w:p w14:paraId="73884D31">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cs="宋体"/>
                <w:color w:val="auto"/>
                <w:spacing w:val="-1"/>
                <w:sz w:val="21"/>
                <w:szCs w:val="21"/>
                <w:lang w:val="en-US" w:eastAsia="zh-CN"/>
              </w:rPr>
              <w:t>钢</w:t>
            </w:r>
            <w:r>
              <w:rPr>
                <w:rFonts w:hint="eastAsia" w:ascii="宋体" w:hAnsi="宋体" w:eastAsia="宋体" w:cs="宋体"/>
                <w:color w:val="auto"/>
                <w:spacing w:val="-1"/>
                <w:sz w:val="21"/>
                <w:szCs w:val="21"/>
                <w:lang w:val="en-US" w:eastAsia="zh-CN"/>
              </w:rPr>
              <w:t>筋</w:t>
            </w:r>
            <w:r>
              <w:rPr>
                <w:rFonts w:hint="eastAsia" w:cs="宋体"/>
                <w:color w:val="auto"/>
                <w:spacing w:val="-1"/>
                <w:sz w:val="21"/>
                <w:szCs w:val="21"/>
                <w:lang w:val="en-US" w:eastAsia="zh-CN"/>
              </w:rPr>
              <w:t>焊接接头</w:t>
            </w:r>
          </w:p>
        </w:tc>
        <w:tc>
          <w:tcPr>
            <w:tcW w:w="772" w:type="dxa"/>
            <w:gridSpan w:val="2"/>
            <w:vMerge w:val="restart"/>
            <w:shd w:val="clear" w:color="auto" w:fill="auto"/>
            <w:vAlign w:val="center"/>
          </w:tcPr>
          <w:p w14:paraId="5172A1F0">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cs="宋体"/>
                <w:color w:val="auto"/>
                <w:spacing w:val="-1"/>
                <w:sz w:val="21"/>
                <w:szCs w:val="21"/>
                <w:lang w:val="en-US" w:eastAsia="zh-CN"/>
              </w:rPr>
              <w:t>拉伸试验</w:t>
            </w:r>
          </w:p>
        </w:tc>
        <w:tc>
          <w:tcPr>
            <w:tcW w:w="1140" w:type="dxa"/>
            <w:shd w:val="clear" w:color="auto" w:fill="auto"/>
            <w:vAlign w:val="center"/>
          </w:tcPr>
          <w:p w14:paraId="634927F4">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(12＜d≤20)</w:t>
            </w:r>
          </w:p>
        </w:tc>
        <w:tc>
          <w:tcPr>
            <w:tcW w:w="1005" w:type="dxa"/>
            <w:vMerge w:val="restart"/>
            <w:shd w:val="clear" w:color="auto" w:fill="auto"/>
            <w:vAlign w:val="center"/>
          </w:tcPr>
          <w:p w14:paraId="526D6E33">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en-US"/>
              </w:rPr>
              <w:t>4.14.1</w:t>
            </w:r>
          </w:p>
        </w:tc>
        <w:tc>
          <w:tcPr>
            <w:tcW w:w="2085" w:type="dxa"/>
            <w:vMerge w:val="restart"/>
            <w:shd w:val="clear" w:color="auto" w:fill="auto"/>
            <w:vAlign w:val="center"/>
          </w:tcPr>
          <w:p w14:paraId="2C1B0F23">
            <w:pPr>
              <w:pStyle w:val="116"/>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现浇钢筋混凝土结构中以同一焊工完成的300个同级别，同直径钢筋焊接接头为一批，房屋结构中以不超过连二楼层中300个同级别，同直径钢筋焊接接头为一批。</w:t>
            </w:r>
          </w:p>
        </w:tc>
        <w:tc>
          <w:tcPr>
            <w:tcW w:w="675" w:type="dxa"/>
            <w:shd w:val="clear" w:color="auto" w:fill="auto"/>
            <w:vAlign w:val="center"/>
          </w:tcPr>
          <w:p w14:paraId="7E5D0B62">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r>
              <w:rPr>
                <w:rFonts w:hint="eastAsia" w:cs="宋体"/>
                <w:color w:val="auto"/>
                <w:spacing w:val="-1"/>
                <w:sz w:val="21"/>
                <w:szCs w:val="21"/>
                <w:lang w:val="en-US" w:eastAsia="zh-CN"/>
              </w:rPr>
              <w:t>310</w:t>
            </w:r>
          </w:p>
        </w:tc>
        <w:tc>
          <w:tcPr>
            <w:tcW w:w="675" w:type="dxa"/>
            <w:shd w:val="clear" w:color="auto" w:fill="auto"/>
            <w:vAlign w:val="center"/>
          </w:tcPr>
          <w:p w14:paraId="2BE32DF5">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根</w:t>
            </w:r>
          </w:p>
        </w:tc>
        <w:tc>
          <w:tcPr>
            <w:tcW w:w="975" w:type="dxa"/>
            <w:shd w:val="clear" w:color="auto" w:fill="auto"/>
            <w:vAlign w:val="center"/>
          </w:tcPr>
          <w:p w14:paraId="5B72ED2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16FF267F">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r>
      <w:tr w14:paraId="7A8F0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48B0ED22">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772" w:type="dxa"/>
            <w:gridSpan w:val="2"/>
            <w:vMerge w:val="continue"/>
            <w:shd w:val="clear" w:color="auto" w:fill="auto"/>
            <w:vAlign w:val="center"/>
          </w:tcPr>
          <w:p w14:paraId="490B195E">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1140" w:type="dxa"/>
            <w:shd w:val="clear" w:color="auto" w:fill="auto"/>
            <w:vAlign w:val="center"/>
          </w:tcPr>
          <w:p w14:paraId="6BF6E25F">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(20＜d≤28)</w:t>
            </w:r>
          </w:p>
        </w:tc>
        <w:tc>
          <w:tcPr>
            <w:tcW w:w="1005" w:type="dxa"/>
            <w:vMerge w:val="continue"/>
            <w:shd w:val="clear" w:color="auto" w:fill="auto"/>
            <w:vAlign w:val="center"/>
          </w:tcPr>
          <w:p w14:paraId="6CB69816">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2085" w:type="dxa"/>
            <w:vMerge w:val="continue"/>
            <w:shd w:val="clear" w:color="auto" w:fill="auto"/>
            <w:vAlign w:val="center"/>
          </w:tcPr>
          <w:p w14:paraId="0C34AE47">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675" w:type="dxa"/>
            <w:shd w:val="clear" w:color="auto" w:fill="auto"/>
            <w:vAlign w:val="center"/>
          </w:tcPr>
          <w:p w14:paraId="18DA6D5A">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r>
              <w:rPr>
                <w:rFonts w:hint="eastAsia" w:cs="宋体"/>
                <w:color w:val="auto"/>
                <w:spacing w:val="-1"/>
                <w:sz w:val="21"/>
                <w:szCs w:val="21"/>
                <w:lang w:val="en-US" w:eastAsia="zh-CN"/>
              </w:rPr>
              <w:t>120</w:t>
            </w:r>
          </w:p>
        </w:tc>
        <w:tc>
          <w:tcPr>
            <w:tcW w:w="675" w:type="dxa"/>
            <w:shd w:val="clear" w:color="auto" w:fill="auto"/>
            <w:vAlign w:val="center"/>
          </w:tcPr>
          <w:p w14:paraId="5C3C0EDE">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根</w:t>
            </w:r>
          </w:p>
        </w:tc>
        <w:tc>
          <w:tcPr>
            <w:tcW w:w="975" w:type="dxa"/>
            <w:shd w:val="clear" w:color="auto" w:fill="auto"/>
            <w:vAlign w:val="center"/>
          </w:tcPr>
          <w:p w14:paraId="0010BBE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7BA1F8BB">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r>
      <w:tr w14:paraId="19C90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restart"/>
            <w:shd w:val="clear" w:color="auto" w:fill="auto"/>
            <w:vAlign w:val="center"/>
          </w:tcPr>
          <w:p w14:paraId="1FEBD8E7">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砖</w:t>
            </w:r>
          </w:p>
        </w:tc>
        <w:tc>
          <w:tcPr>
            <w:tcW w:w="1912" w:type="dxa"/>
            <w:gridSpan w:val="3"/>
            <w:shd w:val="clear" w:color="auto" w:fill="auto"/>
            <w:vAlign w:val="center"/>
          </w:tcPr>
          <w:p w14:paraId="10826F08">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抗压强度</w:t>
            </w:r>
          </w:p>
        </w:tc>
        <w:tc>
          <w:tcPr>
            <w:tcW w:w="1005" w:type="dxa"/>
            <w:shd w:val="clear" w:color="auto" w:fill="auto"/>
            <w:vAlign w:val="center"/>
          </w:tcPr>
          <w:p w14:paraId="207D46B0">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4.17.1</w:t>
            </w:r>
          </w:p>
        </w:tc>
        <w:tc>
          <w:tcPr>
            <w:tcW w:w="2085" w:type="dxa"/>
            <w:vMerge w:val="restart"/>
            <w:shd w:val="clear" w:color="auto" w:fill="auto"/>
            <w:vAlign w:val="center"/>
          </w:tcPr>
          <w:p w14:paraId="44650DD5">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cs="宋体"/>
                <w:color w:val="auto"/>
                <w:kern w:val="0"/>
                <w:sz w:val="21"/>
                <w:szCs w:val="21"/>
              </w:rPr>
              <w:t>每批5万块抽检一组</w:t>
            </w:r>
          </w:p>
        </w:tc>
        <w:tc>
          <w:tcPr>
            <w:tcW w:w="675" w:type="dxa"/>
            <w:shd w:val="clear" w:color="auto" w:fill="auto"/>
            <w:vAlign w:val="center"/>
          </w:tcPr>
          <w:p w14:paraId="3A217119">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6</w:t>
            </w:r>
          </w:p>
        </w:tc>
        <w:tc>
          <w:tcPr>
            <w:tcW w:w="675" w:type="dxa"/>
            <w:shd w:val="clear" w:color="auto" w:fill="auto"/>
            <w:vAlign w:val="center"/>
          </w:tcPr>
          <w:p w14:paraId="52CF5185">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组</w:t>
            </w:r>
          </w:p>
        </w:tc>
        <w:tc>
          <w:tcPr>
            <w:tcW w:w="975" w:type="dxa"/>
            <w:shd w:val="clear" w:color="auto" w:fill="auto"/>
            <w:vAlign w:val="center"/>
          </w:tcPr>
          <w:p w14:paraId="6E640C8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7E23F171">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r>
      <w:tr w14:paraId="0E803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4C5FB8CC">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1912" w:type="dxa"/>
            <w:gridSpan w:val="3"/>
            <w:shd w:val="clear" w:color="auto" w:fill="auto"/>
            <w:vAlign w:val="center"/>
          </w:tcPr>
          <w:p w14:paraId="660D312B">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孔洞率</w:t>
            </w:r>
          </w:p>
        </w:tc>
        <w:tc>
          <w:tcPr>
            <w:tcW w:w="1005" w:type="dxa"/>
            <w:shd w:val="clear" w:color="auto" w:fill="auto"/>
            <w:vAlign w:val="center"/>
          </w:tcPr>
          <w:p w14:paraId="0FCC4715">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4.17.2</w:t>
            </w:r>
          </w:p>
        </w:tc>
        <w:tc>
          <w:tcPr>
            <w:tcW w:w="2085" w:type="dxa"/>
            <w:vMerge w:val="continue"/>
            <w:shd w:val="clear" w:color="auto" w:fill="auto"/>
            <w:vAlign w:val="center"/>
          </w:tcPr>
          <w:p w14:paraId="7AF0E3AE">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675" w:type="dxa"/>
            <w:shd w:val="clear" w:color="auto" w:fill="auto"/>
            <w:vAlign w:val="center"/>
          </w:tcPr>
          <w:p w14:paraId="6B058409">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6</w:t>
            </w:r>
          </w:p>
        </w:tc>
        <w:tc>
          <w:tcPr>
            <w:tcW w:w="675" w:type="dxa"/>
            <w:shd w:val="clear" w:color="auto" w:fill="auto"/>
            <w:vAlign w:val="center"/>
          </w:tcPr>
          <w:p w14:paraId="5D42F479">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组</w:t>
            </w:r>
          </w:p>
        </w:tc>
        <w:tc>
          <w:tcPr>
            <w:tcW w:w="975" w:type="dxa"/>
            <w:shd w:val="clear" w:color="auto" w:fill="auto"/>
            <w:vAlign w:val="center"/>
          </w:tcPr>
          <w:p w14:paraId="25929AA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367B5E87">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r>
      <w:tr w14:paraId="4AF7D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0D500ED9">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1912" w:type="dxa"/>
            <w:gridSpan w:val="3"/>
            <w:shd w:val="clear" w:color="auto" w:fill="auto"/>
            <w:vAlign w:val="center"/>
          </w:tcPr>
          <w:p w14:paraId="6EC00BAD">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规格尺寸及外观质量</w:t>
            </w:r>
          </w:p>
        </w:tc>
        <w:tc>
          <w:tcPr>
            <w:tcW w:w="1005" w:type="dxa"/>
            <w:shd w:val="clear" w:color="auto" w:fill="auto"/>
            <w:vAlign w:val="center"/>
          </w:tcPr>
          <w:p w14:paraId="12A07BC5">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4.17.7</w:t>
            </w:r>
          </w:p>
        </w:tc>
        <w:tc>
          <w:tcPr>
            <w:tcW w:w="2085" w:type="dxa"/>
            <w:vMerge w:val="continue"/>
            <w:shd w:val="clear" w:color="auto" w:fill="auto"/>
            <w:vAlign w:val="center"/>
          </w:tcPr>
          <w:p w14:paraId="4FD4B91F">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675" w:type="dxa"/>
            <w:shd w:val="clear" w:color="auto" w:fill="auto"/>
            <w:vAlign w:val="center"/>
          </w:tcPr>
          <w:p w14:paraId="0BC0307F">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6</w:t>
            </w:r>
          </w:p>
        </w:tc>
        <w:tc>
          <w:tcPr>
            <w:tcW w:w="675" w:type="dxa"/>
            <w:shd w:val="clear" w:color="auto" w:fill="auto"/>
            <w:vAlign w:val="center"/>
          </w:tcPr>
          <w:p w14:paraId="724408F2">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组</w:t>
            </w:r>
          </w:p>
        </w:tc>
        <w:tc>
          <w:tcPr>
            <w:tcW w:w="975" w:type="dxa"/>
            <w:shd w:val="clear" w:color="auto" w:fill="auto"/>
            <w:vAlign w:val="center"/>
          </w:tcPr>
          <w:p w14:paraId="304EC4E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0833E2FC">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r>
      <w:tr w14:paraId="76EF6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restart"/>
            <w:shd w:val="clear" w:color="auto" w:fill="auto"/>
            <w:vAlign w:val="center"/>
          </w:tcPr>
          <w:p w14:paraId="58D53C1F">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改性沥青防水</w:t>
            </w:r>
          </w:p>
          <w:p w14:paraId="3BDA2DC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r>
              <w:rPr>
                <w:rFonts w:hint="eastAsia" w:ascii="宋体" w:hAnsi="宋体" w:eastAsia="宋体" w:cs="宋体"/>
                <w:color w:val="auto"/>
                <w:spacing w:val="-1"/>
                <w:sz w:val="21"/>
                <w:szCs w:val="21"/>
                <w:lang w:val="en-US" w:eastAsia="zh-CN"/>
              </w:rPr>
              <w:t>卷材</w:t>
            </w:r>
          </w:p>
        </w:tc>
        <w:tc>
          <w:tcPr>
            <w:tcW w:w="1912" w:type="dxa"/>
            <w:gridSpan w:val="3"/>
            <w:shd w:val="clear" w:color="auto" w:fill="auto"/>
            <w:vAlign w:val="center"/>
          </w:tcPr>
          <w:p w14:paraId="4A4984D0">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厚度</w:t>
            </w:r>
          </w:p>
        </w:tc>
        <w:tc>
          <w:tcPr>
            <w:tcW w:w="1005" w:type="dxa"/>
            <w:shd w:val="clear" w:color="auto" w:fill="auto"/>
            <w:vAlign w:val="center"/>
          </w:tcPr>
          <w:p w14:paraId="1489C482">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4.20.4</w:t>
            </w:r>
          </w:p>
        </w:tc>
        <w:tc>
          <w:tcPr>
            <w:tcW w:w="2085" w:type="dxa"/>
            <w:vMerge w:val="restart"/>
            <w:shd w:val="clear" w:color="auto" w:fill="auto"/>
            <w:vAlign w:val="center"/>
          </w:tcPr>
          <w:p w14:paraId="41DA865C">
            <w:pPr>
              <w:pStyle w:val="116"/>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cs="宋体"/>
                <w:color w:val="auto"/>
                <w:kern w:val="0"/>
                <w:sz w:val="21"/>
                <w:szCs w:val="21"/>
              </w:rPr>
              <w:t>以同一类型，同一规格，10000㎡为一批</w:t>
            </w:r>
          </w:p>
        </w:tc>
        <w:tc>
          <w:tcPr>
            <w:tcW w:w="675" w:type="dxa"/>
            <w:shd w:val="clear" w:color="auto" w:fill="auto"/>
            <w:vAlign w:val="center"/>
          </w:tcPr>
          <w:p w14:paraId="3EB425D0">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6</w:t>
            </w:r>
          </w:p>
        </w:tc>
        <w:tc>
          <w:tcPr>
            <w:tcW w:w="675" w:type="dxa"/>
            <w:shd w:val="clear" w:color="auto" w:fill="auto"/>
            <w:vAlign w:val="center"/>
          </w:tcPr>
          <w:p w14:paraId="4BFADD65">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项</w:t>
            </w:r>
          </w:p>
        </w:tc>
        <w:tc>
          <w:tcPr>
            <w:tcW w:w="975" w:type="dxa"/>
            <w:shd w:val="clear" w:color="auto" w:fill="auto"/>
            <w:vAlign w:val="center"/>
          </w:tcPr>
          <w:p w14:paraId="58B8CB7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724409AC">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r>
      <w:tr w14:paraId="5EE3D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33FE5C5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1912" w:type="dxa"/>
            <w:gridSpan w:val="3"/>
            <w:shd w:val="clear" w:color="auto" w:fill="auto"/>
            <w:vAlign w:val="center"/>
          </w:tcPr>
          <w:p w14:paraId="4951FE9B">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不透水性</w:t>
            </w:r>
          </w:p>
        </w:tc>
        <w:tc>
          <w:tcPr>
            <w:tcW w:w="1005" w:type="dxa"/>
            <w:shd w:val="clear" w:color="auto" w:fill="auto"/>
            <w:vAlign w:val="center"/>
          </w:tcPr>
          <w:p w14:paraId="55D3793A">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4.20.6</w:t>
            </w:r>
          </w:p>
        </w:tc>
        <w:tc>
          <w:tcPr>
            <w:tcW w:w="2085" w:type="dxa"/>
            <w:vMerge w:val="continue"/>
            <w:shd w:val="clear" w:color="auto" w:fill="auto"/>
            <w:vAlign w:val="center"/>
          </w:tcPr>
          <w:p w14:paraId="3938FDCC">
            <w:pPr>
              <w:pStyle w:val="116"/>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675" w:type="dxa"/>
            <w:shd w:val="clear" w:color="auto" w:fill="auto"/>
            <w:vAlign w:val="center"/>
          </w:tcPr>
          <w:p w14:paraId="69BD81CB">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6</w:t>
            </w:r>
          </w:p>
        </w:tc>
        <w:tc>
          <w:tcPr>
            <w:tcW w:w="675" w:type="dxa"/>
            <w:shd w:val="clear" w:color="auto" w:fill="auto"/>
            <w:vAlign w:val="center"/>
          </w:tcPr>
          <w:p w14:paraId="313BF81A">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项</w:t>
            </w:r>
          </w:p>
        </w:tc>
        <w:tc>
          <w:tcPr>
            <w:tcW w:w="975" w:type="dxa"/>
            <w:shd w:val="clear" w:color="auto" w:fill="auto"/>
            <w:vAlign w:val="center"/>
          </w:tcPr>
          <w:p w14:paraId="615B218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3AB9F470">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r>
      <w:tr w14:paraId="76AC3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2ADFF2B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1912" w:type="dxa"/>
            <w:gridSpan w:val="3"/>
            <w:shd w:val="clear" w:color="auto" w:fill="auto"/>
            <w:vAlign w:val="center"/>
          </w:tcPr>
          <w:p w14:paraId="3160AACB">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耐热度</w:t>
            </w:r>
          </w:p>
        </w:tc>
        <w:tc>
          <w:tcPr>
            <w:tcW w:w="1005" w:type="dxa"/>
            <w:shd w:val="clear" w:color="auto" w:fill="auto"/>
            <w:vAlign w:val="center"/>
          </w:tcPr>
          <w:p w14:paraId="1DA42FD7">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4.20.7</w:t>
            </w:r>
          </w:p>
        </w:tc>
        <w:tc>
          <w:tcPr>
            <w:tcW w:w="2085" w:type="dxa"/>
            <w:vMerge w:val="continue"/>
            <w:shd w:val="clear" w:color="auto" w:fill="auto"/>
            <w:vAlign w:val="center"/>
          </w:tcPr>
          <w:p w14:paraId="6F075FD1">
            <w:pPr>
              <w:pStyle w:val="116"/>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675" w:type="dxa"/>
            <w:shd w:val="clear" w:color="auto" w:fill="auto"/>
            <w:vAlign w:val="center"/>
          </w:tcPr>
          <w:p w14:paraId="793E407D">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6</w:t>
            </w:r>
          </w:p>
        </w:tc>
        <w:tc>
          <w:tcPr>
            <w:tcW w:w="675" w:type="dxa"/>
            <w:shd w:val="clear" w:color="auto" w:fill="auto"/>
            <w:vAlign w:val="center"/>
          </w:tcPr>
          <w:p w14:paraId="2FF8F3EB">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项</w:t>
            </w:r>
          </w:p>
        </w:tc>
        <w:tc>
          <w:tcPr>
            <w:tcW w:w="975" w:type="dxa"/>
            <w:shd w:val="clear" w:color="auto" w:fill="auto"/>
            <w:vAlign w:val="center"/>
          </w:tcPr>
          <w:p w14:paraId="6269BA5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62FE851B">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r>
      <w:tr w14:paraId="258F5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7F99E64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1912" w:type="dxa"/>
            <w:gridSpan w:val="3"/>
            <w:shd w:val="clear" w:color="auto" w:fill="auto"/>
            <w:vAlign w:val="center"/>
          </w:tcPr>
          <w:p w14:paraId="4A27DD6C">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拉力</w:t>
            </w:r>
          </w:p>
        </w:tc>
        <w:tc>
          <w:tcPr>
            <w:tcW w:w="1005" w:type="dxa"/>
            <w:shd w:val="clear" w:color="auto" w:fill="auto"/>
            <w:vAlign w:val="center"/>
          </w:tcPr>
          <w:p w14:paraId="0A474487">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4.20.8</w:t>
            </w:r>
          </w:p>
        </w:tc>
        <w:tc>
          <w:tcPr>
            <w:tcW w:w="2085" w:type="dxa"/>
            <w:vMerge w:val="continue"/>
            <w:shd w:val="clear" w:color="auto" w:fill="auto"/>
            <w:vAlign w:val="center"/>
          </w:tcPr>
          <w:p w14:paraId="7F0C4654">
            <w:pPr>
              <w:pStyle w:val="116"/>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675" w:type="dxa"/>
            <w:shd w:val="clear" w:color="auto" w:fill="auto"/>
            <w:vAlign w:val="center"/>
          </w:tcPr>
          <w:p w14:paraId="74ACD579">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6</w:t>
            </w:r>
          </w:p>
        </w:tc>
        <w:tc>
          <w:tcPr>
            <w:tcW w:w="675" w:type="dxa"/>
            <w:shd w:val="clear" w:color="auto" w:fill="auto"/>
            <w:vAlign w:val="center"/>
          </w:tcPr>
          <w:p w14:paraId="3283D254">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项</w:t>
            </w:r>
          </w:p>
        </w:tc>
        <w:tc>
          <w:tcPr>
            <w:tcW w:w="975" w:type="dxa"/>
            <w:shd w:val="clear" w:color="auto" w:fill="auto"/>
            <w:vAlign w:val="center"/>
          </w:tcPr>
          <w:p w14:paraId="131E484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272BFB16">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r>
      <w:tr w14:paraId="0F8AB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438D45AF">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1912" w:type="dxa"/>
            <w:gridSpan w:val="3"/>
            <w:shd w:val="clear" w:color="auto" w:fill="auto"/>
            <w:vAlign w:val="center"/>
          </w:tcPr>
          <w:p w14:paraId="217B445D">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断裂延伸率</w:t>
            </w:r>
          </w:p>
        </w:tc>
        <w:tc>
          <w:tcPr>
            <w:tcW w:w="1005" w:type="dxa"/>
            <w:shd w:val="clear" w:color="auto" w:fill="auto"/>
            <w:vAlign w:val="center"/>
          </w:tcPr>
          <w:p w14:paraId="53E073A6">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4.20.9</w:t>
            </w:r>
          </w:p>
        </w:tc>
        <w:tc>
          <w:tcPr>
            <w:tcW w:w="2085" w:type="dxa"/>
            <w:vMerge w:val="continue"/>
            <w:shd w:val="clear" w:color="auto" w:fill="auto"/>
            <w:vAlign w:val="center"/>
          </w:tcPr>
          <w:p w14:paraId="02BA04A0">
            <w:pPr>
              <w:pStyle w:val="116"/>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675" w:type="dxa"/>
            <w:shd w:val="clear" w:color="auto" w:fill="auto"/>
            <w:vAlign w:val="center"/>
          </w:tcPr>
          <w:p w14:paraId="0E640AEC">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6</w:t>
            </w:r>
          </w:p>
        </w:tc>
        <w:tc>
          <w:tcPr>
            <w:tcW w:w="675" w:type="dxa"/>
            <w:shd w:val="clear" w:color="auto" w:fill="auto"/>
            <w:vAlign w:val="center"/>
          </w:tcPr>
          <w:p w14:paraId="6DCCE5A3">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项</w:t>
            </w:r>
          </w:p>
        </w:tc>
        <w:tc>
          <w:tcPr>
            <w:tcW w:w="975" w:type="dxa"/>
            <w:shd w:val="clear" w:color="auto" w:fill="auto"/>
            <w:vAlign w:val="center"/>
          </w:tcPr>
          <w:p w14:paraId="64EAC07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5A324127">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r>
      <w:tr w14:paraId="74AB9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651934E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1912" w:type="dxa"/>
            <w:gridSpan w:val="3"/>
            <w:shd w:val="clear" w:color="auto" w:fill="auto"/>
            <w:vAlign w:val="center"/>
          </w:tcPr>
          <w:p w14:paraId="401D6F4A">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低温柔度</w:t>
            </w:r>
          </w:p>
        </w:tc>
        <w:tc>
          <w:tcPr>
            <w:tcW w:w="1005" w:type="dxa"/>
            <w:shd w:val="clear" w:color="auto" w:fill="auto"/>
            <w:vAlign w:val="center"/>
          </w:tcPr>
          <w:p w14:paraId="3EEDF98C">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4.20.10</w:t>
            </w:r>
          </w:p>
        </w:tc>
        <w:tc>
          <w:tcPr>
            <w:tcW w:w="2085" w:type="dxa"/>
            <w:vMerge w:val="continue"/>
            <w:shd w:val="clear" w:color="auto" w:fill="auto"/>
            <w:vAlign w:val="center"/>
          </w:tcPr>
          <w:p w14:paraId="2594F908">
            <w:pPr>
              <w:pStyle w:val="116"/>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675" w:type="dxa"/>
            <w:shd w:val="clear" w:color="auto" w:fill="auto"/>
            <w:vAlign w:val="center"/>
          </w:tcPr>
          <w:p w14:paraId="56CD5DC5">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6</w:t>
            </w:r>
          </w:p>
        </w:tc>
        <w:tc>
          <w:tcPr>
            <w:tcW w:w="675" w:type="dxa"/>
            <w:shd w:val="clear" w:color="auto" w:fill="auto"/>
            <w:vAlign w:val="center"/>
          </w:tcPr>
          <w:p w14:paraId="4C917561">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项</w:t>
            </w:r>
          </w:p>
        </w:tc>
        <w:tc>
          <w:tcPr>
            <w:tcW w:w="975" w:type="dxa"/>
            <w:shd w:val="clear" w:color="auto" w:fill="auto"/>
            <w:vAlign w:val="center"/>
          </w:tcPr>
          <w:p w14:paraId="1B71878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3F075705">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r>
      <w:tr w14:paraId="118BB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20A9FBC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tc>
        <w:tc>
          <w:tcPr>
            <w:tcW w:w="1912" w:type="dxa"/>
            <w:gridSpan w:val="3"/>
            <w:shd w:val="clear" w:color="auto" w:fill="auto"/>
            <w:vAlign w:val="center"/>
          </w:tcPr>
          <w:p w14:paraId="7EA0A293">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剥离性能</w:t>
            </w:r>
          </w:p>
        </w:tc>
        <w:tc>
          <w:tcPr>
            <w:tcW w:w="1005" w:type="dxa"/>
            <w:shd w:val="clear" w:color="auto" w:fill="auto"/>
            <w:vAlign w:val="center"/>
          </w:tcPr>
          <w:p w14:paraId="799274A8">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4.20.11</w:t>
            </w:r>
          </w:p>
        </w:tc>
        <w:tc>
          <w:tcPr>
            <w:tcW w:w="2085" w:type="dxa"/>
            <w:vMerge w:val="continue"/>
            <w:shd w:val="clear" w:color="auto" w:fill="auto"/>
            <w:vAlign w:val="center"/>
          </w:tcPr>
          <w:p w14:paraId="19A0C5B4">
            <w:pPr>
              <w:pStyle w:val="116"/>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c>
          <w:tcPr>
            <w:tcW w:w="675" w:type="dxa"/>
            <w:shd w:val="clear" w:color="auto" w:fill="auto"/>
            <w:vAlign w:val="center"/>
          </w:tcPr>
          <w:p w14:paraId="7FD6FBDE">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6</w:t>
            </w:r>
          </w:p>
        </w:tc>
        <w:tc>
          <w:tcPr>
            <w:tcW w:w="675" w:type="dxa"/>
            <w:shd w:val="clear" w:color="auto" w:fill="auto"/>
            <w:vAlign w:val="center"/>
          </w:tcPr>
          <w:p w14:paraId="04F4E627">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r>
              <w:rPr>
                <w:rFonts w:hint="eastAsia" w:ascii="宋体" w:hAnsi="宋体" w:eastAsia="宋体" w:cs="宋体"/>
                <w:color w:val="auto"/>
                <w:spacing w:val="-1"/>
                <w:sz w:val="21"/>
                <w:szCs w:val="21"/>
                <w:lang w:val="en-US" w:eastAsia="zh-CN"/>
              </w:rPr>
              <w:t>项</w:t>
            </w:r>
          </w:p>
        </w:tc>
        <w:tc>
          <w:tcPr>
            <w:tcW w:w="975" w:type="dxa"/>
            <w:shd w:val="clear" w:color="auto" w:fill="auto"/>
            <w:vAlign w:val="center"/>
          </w:tcPr>
          <w:p w14:paraId="5B989BDF">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43F60679">
            <w:pPr>
              <w:pStyle w:val="116"/>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pacing w:val="-1"/>
                <w:sz w:val="21"/>
                <w:szCs w:val="21"/>
                <w:lang w:val="en-US" w:eastAsia="zh-CN"/>
              </w:rPr>
            </w:pPr>
          </w:p>
        </w:tc>
      </w:tr>
      <w:tr w14:paraId="6B10C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restart"/>
            <w:shd w:val="clear" w:color="auto" w:fill="auto"/>
            <w:vAlign w:val="center"/>
          </w:tcPr>
          <w:p w14:paraId="2C9DB5E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p w14:paraId="547477C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高分子防水片材</w:t>
            </w:r>
          </w:p>
          <w:p w14:paraId="7A1FA31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1912" w:type="dxa"/>
            <w:gridSpan w:val="3"/>
            <w:shd w:val="clear" w:color="auto" w:fill="auto"/>
            <w:vAlign w:val="center"/>
          </w:tcPr>
          <w:p w14:paraId="4A1FA4B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厚度</w:t>
            </w:r>
          </w:p>
        </w:tc>
        <w:tc>
          <w:tcPr>
            <w:tcW w:w="1005" w:type="dxa"/>
            <w:shd w:val="clear" w:color="auto" w:fill="auto"/>
            <w:vAlign w:val="center"/>
          </w:tcPr>
          <w:p w14:paraId="7581CCD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4.23.3</w:t>
            </w:r>
          </w:p>
        </w:tc>
        <w:tc>
          <w:tcPr>
            <w:tcW w:w="2085" w:type="dxa"/>
            <w:vMerge w:val="restart"/>
            <w:shd w:val="clear" w:color="auto" w:fill="auto"/>
            <w:vAlign w:val="center"/>
          </w:tcPr>
          <w:p w14:paraId="4F13721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以连续生产的同品种，同规格的5</w:t>
            </w:r>
            <w:r>
              <w:rPr>
                <w:rFonts w:hint="eastAsia" w:ascii="宋体" w:hAnsi="宋体" w:cs="宋体"/>
                <w:color w:val="auto"/>
                <w:kern w:val="0"/>
                <w:sz w:val="21"/>
                <w:szCs w:val="21"/>
                <w:lang w:val="en-US" w:eastAsia="zh-CN"/>
              </w:rPr>
              <w:t>0</w:t>
            </w:r>
            <w:r>
              <w:rPr>
                <w:rFonts w:hint="eastAsia" w:ascii="宋体" w:hAnsi="宋体" w:eastAsia="宋体" w:cs="宋体"/>
                <w:color w:val="auto"/>
                <w:kern w:val="0"/>
                <w:sz w:val="21"/>
                <w:szCs w:val="21"/>
              </w:rPr>
              <w:t>00㎡片材为一批量</w:t>
            </w:r>
          </w:p>
        </w:tc>
        <w:tc>
          <w:tcPr>
            <w:tcW w:w="675" w:type="dxa"/>
            <w:shd w:val="clear" w:color="auto" w:fill="auto"/>
            <w:vAlign w:val="center"/>
          </w:tcPr>
          <w:p w14:paraId="36197C7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lang w:eastAsia="zh-CN"/>
              </w:rPr>
              <w:t>4</w:t>
            </w:r>
          </w:p>
        </w:tc>
        <w:tc>
          <w:tcPr>
            <w:tcW w:w="675" w:type="dxa"/>
            <w:shd w:val="clear" w:color="auto" w:fill="auto"/>
            <w:vAlign w:val="center"/>
          </w:tcPr>
          <w:p w14:paraId="316273A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项</w:t>
            </w:r>
          </w:p>
        </w:tc>
        <w:tc>
          <w:tcPr>
            <w:tcW w:w="975" w:type="dxa"/>
            <w:shd w:val="clear" w:color="auto" w:fill="auto"/>
            <w:vAlign w:val="center"/>
          </w:tcPr>
          <w:p w14:paraId="68D8200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16F4A6F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r>
      <w:tr w14:paraId="2F8D3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15132E3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1912" w:type="dxa"/>
            <w:gridSpan w:val="3"/>
            <w:shd w:val="clear" w:color="auto" w:fill="auto"/>
            <w:vAlign w:val="center"/>
          </w:tcPr>
          <w:p w14:paraId="7C39076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抗拉强度</w:t>
            </w:r>
          </w:p>
        </w:tc>
        <w:tc>
          <w:tcPr>
            <w:tcW w:w="1005" w:type="dxa"/>
            <w:shd w:val="clear" w:color="auto" w:fill="auto"/>
            <w:vAlign w:val="center"/>
          </w:tcPr>
          <w:p w14:paraId="4F7C787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4.23.5</w:t>
            </w:r>
          </w:p>
        </w:tc>
        <w:tc>
          <w:tcPr>
            <w:tcW w:w="2085" w:type="dxa"/>
            <w:vMerge w:val="continue"/>
            <w:shd w:val="clear" w:color="auto" w:fill="auto"/>
            <w:vAlign w:val="center"/>
          </w:tcPr>
          <w:p w14:paraId="3FEFF0D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rPr>
            </w:pPr>
          </w:p>
        </w:tc>
        <w:tc>
          <w:tcPr>
            <w:tcW w:w="675" w:type="dxa"/>
            <w:shd w:val="clear" w:color="auto" w:fill="auto"/>
            <w:vAlign w:val="center"/>
          </w:tcPr>
          <w:p w14:paraId="111A5E4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4</w:t>
            </w:r>
          </w:p>
        </w:tc>
        <w:tc>
          <w:tcPr>
            <w:tcW w:w="675" w:type="dxa"/>
            <w:shd w:val="clear" w:color="auto" w:fill="auto"/>
            <w:vAlign w:val="center"/>
          </w:tcPr>
          <w:p w14:paraId="144C5A6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项</w:t>
            </w:r>
          </w:p>
        </w:tc>
        <w:tc>
          <w:tcPr>
            <w:tcW w:w="975" w:type="dxa"/>
            <w:shd w:val="clear" w:color="auto" w:fill="auto"/>
            <w:vAlign w:val="center"/>
          </w:tcPr>
          <w:p w14:paraId="0E93C0B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1472325F">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r>
      <w:tr w14:paraId="71D0A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2CB0ED1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1912" w:type="dxa"/>
            <w:gridSpan w:val="3"/>
            <w:shd w:val="clear" w:color="auto" w:fill="auto"/>
            <w:vAlign w:val="center"/>
          </w:tcPr>
          <w:p w14:paraId="7190A6A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断裂延伸率</w:t>
            </w:r>
          </w:p>
        </w:tc>
        <w:tc>
          <w:tcPr>
            <w:tcW w:w="1005" w:type="dxa"/>
            <w:shd w:val="clear" w:color="auto" w:fill="auto"/>
            <w:vAlign w:val="center"/>
          </w:tcPr>
          <w:p w14:paraId="1E2F1EA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4.23.6</w:t>
            </w:r>
          </w:p>
        </w:tc>
        <w:tc>
          <w:tcPr>
            <w:tcW w:w="2085" w:type="dxa"/>
            <w:vMerge w:val="continue"/>
            <w:shd w:val="clear" w:color="auto" w:fill="auto"/>
            <w:vAlign w:val="center"/>
          </w:tcPr>
          <w:p w14:paraId="7443F85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rPr>
            </w:pPr>
          </w:p>
        </w:tc>
        <w:tc>
          <w:tcPr>
            <w:tcW w:w="675" w:type="dxa"/>
            <w:shd w:val="clear" w:color="auto" w:fill="auto"/>
            <w:vAlign w:val="center"/>
          </w:tcPr>
          <w:p w14:paraId="5D1FBF5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cs="宋体"/>
                <w:color w:val="auto"/>
                <w:kern w:val="0"/>
                <w:sz w:val="21"/>
                <w:szCs w:val="21"/>
                <w:lang w:eastAsia="zh-CN"/>
              </w:rPr>
              <w:t>4</w:t>
            </w:r>
          </w:p>
        </w:tc>
        <w:tc>
          <w:tcPr>
            <w:tcW w:w="675" w:type="dxa"/>
            <w:shd w:val="clear" w:color="auto" w:fill="auto"/>
            <w:vAlign w:val="center"/>
          </w:tcPr>
          <w:p w14:paraId="618D0CD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项</w:t>
            </w:r>
          </w:p>
        </w:tc>
        <w:tc>
          <w:tcPr>
            <w:tcW w:w="975" w:type="dxa"/>
            <w:shd w:val="clear" w:color="auto" w:fill="auto"/>
            <w:vAlign w:val="center"/>
          </w:tcPr>
          <w:p w14:paraId="3C0CC8F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379BDDB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r>
      <w:tr w14:paraId="46DFC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6694940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1912" w:type="dxa"/>
            <w:gridSpan w:val="3"/>
            <w:shd w:val="clear" w:color="auto" w:fill="auto"/>
            <w:vAlign w:val="center"/>
          </w:tcPr>
          <w:p w14:paraId="0C13F03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低温弯折性</w:t>
            </w:r>
          </w:p>
        </w:tc>
        <w:tc>
          <w:tcPr>
            <w:tcW w:w="1005" w:type="dxa"/>
            <w:shd w:val="clear" w:color="auto" w:fill="auto"/>
            <w:vAlign w:val="center"/>
          </w:tcPr>
          <w:p w14:paraId="267CA88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4.23.8</w:t>
            </w:r>
          </w:p>
        </w:tc>
        <w:tc>
          <w:tcPr>
            <w:tcW w:w="2085" w:type="dxa"/>
            <w:vMerge w:val="continue"/>
            <w:shd w:val="clear" w:color="auto" w:fill="auto"/>
            <w:vAlign w:val="center"/>
          </w:tcPr>
          <w:p w14:paraId="6D1F3BA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rPr>
            </w:pPr>
          </w:p>
        </w:tc>
        <w:tc>
          <w:tcPr>
            <w:tcW w:w="675" w:type="dxa"/>
            <w:shd w:val="clear" w:color="auto" w:fill="auto"/>
            <w:vAlign w:val="center"/>
          </w:tcPr>
          <w:p w14:paraId="73862D5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4</w:t>
            </w:r>
          </w:p>
        </w:tc>
        <w:tc>
          <w:tcPr>
            <w:tcW w:w="675" w:type="dxa"/>
            <w:shd w:val="clear" w:color="auto" w:fill="auto"/>
            <w:vAlign w:val="center"/>
          </w:tcPr>
          <w:p w14:paraId="3957B41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项</w:t>
            </w:r>
          </w:p>
        </w:tc>
        <w:tc>
          <w:tcPr>
            <w:tcW w:w="975" w:type="dxa"/>
            <w:shd w:val="clear" w:color="auto" w:fill="auto"/>
            <w:vAlign w:val="center"/>
          </w:tcPr>
          <w:p w14:paraId="53DAE0C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19CA6E1F">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r>
      <w:tr w14:paraId="3B076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1A85303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1912" w:type="dxa"/>
            <w:gridSpan w:val="3"/>
            <w:shd w:val="clear" w:color="auto" w:fill="auto"/>
            <w:vAlign w:val="center"/>
          </w:tcPr>
          <w:p w14:paraId="65F64DF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不透水性</w:t>
            </w:r>
          </w:p>
        </w:tc>
        <w:tc>
          <w:tcPr>
            <w:tcW w:w="1005" w:type="dxa"/>
            <w:shd w:val="clear" w:color="auto" w:fill="auto"/>
            <w:vAlign w:val="center"/>
          </w:tcPr>
          <w:p w14:paraId="0E5B0C3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4.23.9</w:t>
            </w:r>
          </w:p>
        </w:tc>
        <w:tc>
          <w:tcPr>
            <w:tcW w:w="2085" w:type="dxa"/>
            <w:vMerge w:val="continue"/>
            <w:shd w:val="clear" w:color="auto" w:fill="auto"/>
            <w:vAlign w:val="center"/>
          </w:tcPr>
          <w:p w14:paraId="5355FB2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rPr>
            </w:pPr>
          </w:p>
        </w:tc>
        <w:tc>
          <w:tcPr>
            <w:tcW w:w="675" w:type="dxa"/>
            <w:shd w:val="clear" w:color="auto" w:fill="auto"/>
            <w:vAlign w:val="center"/>
          </w:tcPr>
          <w:p w14:paraId="66E9F2B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cs="宋体"/>
                <w:color w:val="auto"/>
                <w:kern w:val="0"/>
                <w:sz w:val="21"/>
                <w:szCs w:val="21"/>
                <w:lang w:eastAsia="zh-CN"/>
              </w:rPr>
              <w:t>4</w:t>
            </w:r>
          </w:p>
        </w:tc>
        <w:tc>
          <w:tcPr>
            <w:tcW w:w="675" w:type="dxa"/>
            <w:shd w:val="clear" w:color="auto" w:fill="auto"/>
            <w:vAlign w:val="center"/>
          </w:tcPr>
          <w:p w14:paraId="175A1F8F">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项</w:t>
            </w:r>
          </w:p>
        </w:tc>
        <w:tc>
          <w:tcPr>
            <w:tcW w:w="975" w:type="dxa"/>
            <w:shd w:val="clear" w:color="auto" w:fill="auto"/>
            <w:vAlign w:val="center"/>
          </w:tcPr>
          <w:p w14:paraId="6D8F7FD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09F0FC2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r>
      <w:tr w14:paraId="3DF5E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2" w:type="dxa"/>
            <w:vMerge w:val="continue"/>
            <w:shd w:val="clear" w:color="auto" w:fill="auto"/>
            <w:vAlign w:val="center"/>
          </w:tcPr>
          <w:p w14:paraId="07FF55C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1912" w:type="dxa"/>
            <w:gridSpan w:val="3"/>
            <w:shd w:val="clear" w:color="auto" w:fill="auto"/>
            <w:vAlign w:val="center"/>
          </w:tcPr>
          <w:p w14:paraId="02F6829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撕裂强度</w:t>
            </w:r>
          </w:p>
        </w:tc>
        <w:tc>
          <w:tcPr>
            <w:tcW w:w="1005" w:type="dxa"/>
            <w:shd w:val="clear" w:color="auto" w:fill="auto"/>
            <w:vAlign w:val="center"/>
          </w:tcPr>
          <w:p w14:paraId="5313851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4.23.17</w:t>
            </w:r>
          </w:p>
        </w:tc>
        <w:tc>
          <w:tcPr>
            <w:tcW w:w="2085" w:type="dxa"/>
            <w:vMerge w:val="continue"/>
            <w:shd w:val="clear" w:color="auto" w:fill="auto"/>
            <w:vAlign w:val="center"/>
          </w:tcPr>
          <w:p w14:paraId="7062E4C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rPr>
            </w:pPr>
          </w:p>
        </w:tc>
        <w:tc>
          <w:tcPr>
            <w:tcW w:w="675" w:type="dxa"/>
            <w:shd w:val="clear" w:color="auto" w:fill="auto"/>
            <w:vAlign w:val="center"/>
          </w:tcPr>
          <w:p w14:paraId="6193BD6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4</w:t>
            </w:r>
          </w:p>
        </w:tc>
        <w:tc>
          <w:tcPr>
            <w:tcW w:w="675" w:type="dxa"/>
            <w:shd w:val="clear" w:color="auto" w:fill="auto"/>
            <w:vAlign w:val="center"/>
          </w:tcPr>
          <w:p w14:paraId="397365B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项</w:t>
            </w:r>
          </w:p>
        </w:tc>
        <w:tc>
          <w:tcPr>
            <w:tcW w:w="975" w:type="dxa"/>
            <w:shd w:val="clear" w:color="auto" w:fill="auto"/>
            <w:vAlign w:val="center"/>
          </w:tcPr>
          <w:p w14:paraId="0F70A48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0DF8502F">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r>
      <w:tr w14:paraId="56858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restart"/>
            <w:shd w:val="clear" w:color="auto" w:fill="auto"/>
            <w:vAlign w:val="center"/>
          </w:tcPr>
          <w:p w14:paraId="33A9B0B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有机防水涂料</w:t>
            </w:r>
          </w:p>
        </w:tc>
        <w:tc>
          <w:tcPr>
            <w:tcW w:w="1912" w:type="dxa"/>
            <w:gridSpan w:val="3"/>
            <w:shd w:val="clear" w:color="auto" w:fill="auto"/>
            <w:vAlign w:val="center"/>
          </w:tcPr>
          <w:p w14:paraId="7478EB4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固体含量</w:t>
            </w:r>
          </w:p>
        </w:tc>
        <w:tc>
          <w:tcPr>
            <w:tcW w:w="1005" w:type="dxa"/>
            <w:shd w:val="clear" w:color="auto" w:fill="auto"/>
            <w:vAlign w:val="center"/>
          </w:tcPr>
          <w:p w14:paraId="3B8D9B0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4.30.2</w:t>
            </w:r>
          </w:p>
        </w:tc>
        <w:tc>
          <w:tcPr>
            <w:tcW w:w="2085" w:type="dxa"/>
            <w:vMerge w:val="restart"/>
            <w:shd w:val="clear" w:color="auto" w:fill="auto"/>
            <w:vAlign w:val="center"/>
          </w:tcPr>
          <w:p w14:paraId="7AF067C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以同一类型15t为一批，不足15t亦可作为一批（多组份产品按组分配套组批）</w:t>
            </w:r>
          </w:p>
        </w:tc>
        <w:tc>
          <w:tcPr>
            <w:tcW w:w="675" w:type="dxa"/>
            <w:shd w:val="clear" w:color="auto" w:fill="auto"/>
            <w:vAlign w:val="center"/>
          </w:tcPr>
          <w:p w14:paraId="7E18973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3D14160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项</w:t>
            </w:r>
          </w:p>
        </w:tc>
        <w:tc>
          <w:tcPr>
            <w:tcW w:w="975" w:type="dxa"/>
            <w:shd w:val="clear" w:color="auto" w:fill="auto"/>
            <w:vAlign w:val="center"/>
          </w:tcPr>
          <w:p w14:paraId="3D87876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5ED21C9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p>
        </w:tc>
      </w:tr>
      <w:tr w14:paraId="5C61D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3319FE8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1912" w:type="dxa"/>
            <w:gridSpan w:val="3"/>
            <w:shd w:val="clear" w:color="auto" w:fill="auto"/>
            <w:vAlign w:val="center"/>
          </w:tcPr>
          <w:p w14:paraId="5BC752D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拉伸强度、伸</w:t>
            </w:r>
            <w:r>
              <w:rPr>
                <w:rFonts w:hint="eastAsia" w:ascii="宋体" w:hAnsi="宋体" w:eastAsia="宋体" w:cs="宋体"/>
                <w:color w:val="auto"/>
                <w:kern w:val="0"/>
                <w:sz w:val="21"/>
                <w:szCs w:val="21"/>
                <w:lang w:eastAsia="zh-CN"/>
              </w:rPr>
              <w:t>长</w:t>
            </w:r>
            <w:r>
              <w:rPr>
                <w:rFonts w:hint="eastAsia" w:ascii="宋体" w:hAnsi="宋体" w:eastAsia="宋体" w:cs="宋体"/>
                <w:color w:val="auto"/>
                <w:kern w:val="0"/>
                <w:sz w:val="21"/>
                <w:szCs w:val="21"/>
              </w:rPr>
              <w:t>率</w:t>
            </w:r>
          </w:p>
        </w:tc>
        <w:tc>
          <w:tcPr>
            <w:tcW w:w="1005" w:type="dxa"/>
            <w:shd w:val="clear" w:color="auto" w:fill="auto"/>
            <w:vAlign w:val="center"/>
          </w:tcPr>
          <w:p w14:paraId="57F37A3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4.30.5</w:t>
            </w:r>
          </w:p>
        </w:tc>
        <w:tc>
          <w:tcPr>
            <w:tcW w:w="2085" w:type="dxa"/>
            <w:vMerge w:val="continue"/>
            <w:shd w:val="clear" w:color="auto" w:fill="auto"/>
            <w:vAlign w:val="center"/>
          </w:tcPr>
          <w:p w14:paraId="34703BB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675" w:type="dxa"/>
            <w:shd w:val="clear" w:color="auto" w:fill="auto"/>
            <w:vAlign w:val="center"/>
          </w:tcPr>
          <w:p w14:paraId="4842486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50CFCF7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项</w:t>
            </w:r>
          </w:p>
        </w:tc>
        <w:tc>
          <w:tcPr>
            <w:tcW w:w="975" w:type="dxa"/>
            <w:shd w:val="clear" w:color="auto" w:fill="auto"/>
            <w:vAlign w:val="center"/>
          </w:tcPr>
          <w:p w14:paraId="58A1DAF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79B3C7F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r>
      <w:tr w14:paraId="22440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0B6EE7C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1912" w:type="dxa"/>
            <w:gridSpan w:val="3"/>
            <w:shd w:val="clear" w:color="auto" w:fill="auto"/>
            <w:vAlign w:val="center"/>
          </w:tcPr>
          <w:p w14:paraId="1F42EB7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粘结强度</w:t>
            </w:r>
          </w:p>
        </w:tc>
        <w:tc>
          <w:tcPr>
            <w:tcW w:w="1005" w:type="dxa"/>
            <w:shd w:val="clear" w:color="auto" w:fill="auto"/>
            <w:vAlign w:val="center"/>
          </w:tcPr>
          <w:p w14:paraId="0B92074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4.30.8</w:t>
            </w:r>
          </w:p>
        </w:tc>
        <w:tc>
          <w:tcPr>
            <w:tcW w:w="2085" w:type="dxa"/>
            <w:vMerge w:val="continue"/>
            <w:shd w:val="clear" w:color="auto" w:fill="auto"/>
            <w:vAlign w:val="center"/>
          </w:tcPr>
          <w:p w14:paraId="744D44F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675" w:type="dxa"/>
            <w:shd w:val="clear" w:color="auto" w:fill="auto"/>
            <w:vAlign w:val="center"/>
          </w:tcPr>
          <w:p w14:paraId="1088369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2DCAEB5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项</w:t>
            </w:r>
          </w:p>
        </w:tc>
        <w:tc>
          <w:tcPr>
            <w:tcW w:w="975" w:type="dxa"/>
            <w:shd w:val="clear" w:color="auto" w:fill="auto"/>
            <w:vAlign w:val="center"/>
          </w:tcPr>
          <w:p w14:paraId="74773D0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765B736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r>
      <w:tr w14:paraId="633A0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7C3C293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1912" w:type="dxa"/>
            <w:gridSpan w:val="3"/>
            <w:shd w:val="clear" w:color="auto" w:fill="auto"/>
            <w:vAlign w:val="center"/>
          </w:tcPr>
          <w:p w14:paraId="4EF0EC4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低温弯折性</w:t>
            </w:r>
          </w:p>
        </w:tc>
        <w:tc>
          <w:tcPr>
            <w:tcW w:w="1005" w:type="dxa"/>
            <w:shd w:val="clear" w:color="auto" w:fill="auto"/>
            <w:vAlign w:val="center"/>
          </w:tcPr>
          <w:p w14:paraId="73A7305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4.30.12</w:t>
            </w:r>
          </w:p>
        </w:tc>
        <w:tc>
          <w:tcPr>
            <w:tcW w:w="2085" w:type="dxa"/>
            <w:vMerge w:val="continue"/>
            <w:shd w:val="clear" w:color="auto" w:fill="auto"/>
            <w:vAlign w:val="center"/>
          </w:tcPr>
          <w:p w14:paraId="3546ADC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675" w:type="dxa"/>
            <w:shd w:val="clear" w:color="auto" w:fill="auto"/>
            <w:vAlign w:val="center"/>
          </w:tcPr>
          <w:p w14:paraId="3A1D4E9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2809A3C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项</w:t>
            </w:r>
          </w:p>
        </w:tc>
        <w:tc>
          <w:tcPr>
            <w:tcW w:w="975" w:type="dxa"/>
            <w:shd w:val="clear" w:color="auto" w:fill="auto"/>
            <w:vAlign w:val="center"/>
          </w:tcPr>
          <w:p w14:paraId="063B0CC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2B26ECB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r>
      <w:tr w14:paraId="40F2E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2FA93C8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1912" w:type="dxa"/>
            <w:gridSpan w:val="3"/>
            <w:shd w:val="clear" w:color="auto" w:fill="auto"/>
            <w:vAlign w:val="center"/>
          </w:tcPr>
          <w:p w14:paraId="7FF647E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不透水性</w:t>
            </w:r>
          </w:p>
        </w:tc>
        <w:tc>
          <w:tcPr>
            <w:tcW w:w="1005" w:type="dxa"/>
            <w:shd w:val="clear" w:color="auto" w:fill="auto"/>
            <w:vAlign w:val="center"/>
          </w:tcPr>
          <w:p w14:paraId="1014043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4.30.13</w:t>
            </w:r>
          </w:p>
        </w:tc>
        <w:tc>
          <w:tcPr>
            <w:tcW w:w="2085" w:type="dxa"/>
            <w:vMerge w:val="continue"/>
            <w:shd w:val="clear" w:color="auto" w:fill="auto"/>
            <w:vAlign w:val="center"/>
          </w:tcPr>
          <w:p w14:paraId="6CBDE81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675" w:type="dxa"/>
            <w:shd w:val="clear" w:color="auto" w:fill="auto"/>
            <w:vAlign w:val="center"/>
          </w:tcPr>
          <w:p w14:paraId="6E1CB82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1B5898B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项</w:t>
            </w:r>
          </w:p>
        </w:tc>
        <w:tc>
          <w:tcPr>
            <w:tcW w:w="975" w:type="dxa"/>
            <w:shd w:val="clear" w:color="auto" w:fill="auto"/>
            <w:vAlign w:val="center"/>
          </w:tcPr>
          <w:p w14:paraId="1F6841B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419EF36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r>
      <w:tr w14:paraId="4EE09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0FE0FFF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1912" w:type="dxa"/>
            <w:gridSpan w:val="3"/>
            <w:shd w:val="clear" w:color="auto" w:fill="auto"/>
            <w:vAlign w:val="center"/>
          </w:tcPr>
          <w:p w14:paraId="0AC2377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抗渗性</w:t>
            </w:r>
          </w:p>
        </w:tc>
        <w:tc>
          <w:tcPr>
            <w:tcW w:w="1005" w:type="dxa"/>
            <w:shd w:val="clear" w:color="auto" w:fill="auto"/>
            <w:vAlign w:val="center"/>
          </w:tcPr>
          <w:p w14:paraId="3B48BCC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4.30.14</w:t>
            </w:r>
          </w:p>
        </w:tc>
        <w:tc>
          <w:tcPr>
            <w:tcW w:w="2085" w:type="dxa"/>
            <w:vMerge w:val="continue"/>
            <w:shd w:val="clear" w:color="auto" w:fill="auto"/>
            <w:vAlign w:val="center"/>
          </w:tcPr>
          <w:p w14:paraId="1C05105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675" w:type="dxa"/>
            <w:shd w:val="clear" w:color="auto" w:fill="auto"/>
            <w:vAlign w:val="center"/>
          </w:tcPr>
          <w:p w14:paraId="3ED67EF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415B81E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项</w:t>
            </w:r>
          </w:p>
        </w:tc>
        <w:tc>
          <w:tcPr>
            <w:tcW w:w="975" w:type="dxa"/>
            <w:shd w:val="clear" w:color="auto" w:fill="auto"/>
            <w:vAlign w:val="center"/>
          </w:tcPr>
          <w:p w14:paraId="4E88556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7107907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r>
      <w:tr w14:paraId="3A936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15881137">
            <w:pPr>
              <w:keepNext w:val="0"/>
              <w:keepLines w:val="0"/>
              <w:pageBreakBefore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cs="宋体"/>
                <w:color w:val="auto"/>
                <w:kern w:val="0"/>
                <w:sz w:val="21"/>
                <w:szCs w:val="21"/>
              </w:rPr>
            </w:pPr>
          </w:p>
        </w:tc>
        <w:tc>
          <w:tcPr>
            <w:tcW w:w="1912" w:type="dxa"/>
            <w:gridSpan w:val="3"/>
            <w:shd w:val="clear" w:color="auto" w:fill="auto"/>
            <w:vAlign w:val="center"/>
          </w:tcPr>
          <w:p w14:paraId="290142E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制作费</w:t>
            </w:r>
          </w:p>
        </w:tc>
        <w:tc>
          <w:tcPr>
            <w:tcW w:w="1005" w:type="dxa"/>
            <w:shd w:val="clear" w:color="auto" w:fill="auto"/>
            <w:vAlign w:val="center"/>
          </w:tcPr>
          <w:p w14:paraId="4D06060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w:t>
            </w:r>
          </w:p>
        </w:tc>
        <w:tc>
          <w:tcPr>
            <w:tcW w:w="2085" w:type="dxa"/>
            <w:vMerge w:val="continue"/>
            <w:shd w:val="clear" w:color="auto" w:fill="auto"/>
            <w:vAlign w:val="center"/>
          </w:tcPr>
          <w:p w14:paraId="5DAA1CD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675" w:type="dxa"/>
            <w:shd w:val="clear" w:color="auto" w:fill="auto"/>
            <w:vAlign w:val="center"/>
          </w:tcPr>
          <w:p w14:paraId="390385D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14A274D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组</w:t>
            </w:r>
          </w:p>
        </w:tc>
        <w:tc>
          <w:tcPr>
            <w:tcW w:w="975" w:type="dxa"/>
            <w:shd w:val="clear" w:color="auto" w:fill="auto"/>
            <w:vAlign w:val="center"/>
          </w:tcPr>
          <w:p w14:paraId="278F2D8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730C53F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r>
      <w:tr w14:paraId="2EADC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restart"/>
            <w:shd w:val="clear" w:color="auto" w:fill="auto"/>
            <w:vAlign w:val="center"/>
          </w:tcPr>
          <w:p w14:paraId="7EAC84C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p w14:paraId="622B6F0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p w14:paraId="3C0C58D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p w14:paraId="60FBFAC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p w14:paraId="11D3CB9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p w14:paraId="7E3F938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p w14:paraId="301C293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建筑</w:t>
            </w:r>
            <w:r>
              <w:rPr>
                <w:rFonts w:hint="eastAsia" w:ascii="宋体" w:hAnsi="宋体" w:eastAsia="宋体" w:cs="宋体"/>
                <w:color w:val="auto"/>
                <w:kern w:val="0"/>
                <w:sz w:val="21"/>
                <w:szCs w:val="21"/>
                <w:lang w:val="en-US" w:eastAsia="zh-CN"/>
              </w:rPr>
              <w:t>腻子</w:t>
            </w:r>
          </w:p>
        </w:tc>
        <w:tc>
          <w:tcPr>
            <w:tcW w:w="1912" w:type="dxa"/>
            <w:gridSpan w:val="3"/>
            <w:shd w:val="clear" w:color="auto" w:fill="auto"/>
            <w:vAlign w:val="center"/>
          </w:tcPr>
          <w:p w14:paraId="2151E34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施工性</w:t>
            </w:r>
          </w:p>
        </w:tc>
        <w:tc>
          <w:tcPr>
            <w:tcW w:w="1005" w:type="dxa"/>
            <w:shd w:val="clear" w:color="auto" w:fill="auto"/>
            <w:vAlign w:val="center"/>
          </w:tcPr>
          <w:p w14:paraId="53AE16D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4.29.2</w:t>
            </w:r>
          </w:p>
        </w:tc>
        <w:tc>
          <w:tcPr>
            <w:tcW w:w="2085" w:type="dxa"/>
            <w:vMerge w:val="restart"/>
            <w:shd w:val="clear" w:color="auto" w:fill="auto"/>
            <w:vAlign w:val="center"/>
          </w:tcPr>
          <w:p w14:paraId="2C01857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p w14:paraId="364796D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p w14:paraId="4D4E781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p w14:paraId="3C0231A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p>
          <w:p w14:paraId="775B7A1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cs="宋体"/>
                <w:color w:val="auto"/>
                <w:kern w:val="0"/>
                <w:sz w:val="21"/>
                <w:szCs w:val="21"/>
              </w:rPr>
              <w:t>以同一类型15t为一批</w:t>
            </w:r>
            <w:r>
              <w:rPr>
                <w:rFonts w:hint="eastAsia" w:ascii="宋体" w:hAnsi="宋体" w:eastAsia="宋体" w:cs="宋体"/>
                <w:color w:val="auto"/>
                <w:kern w:val="0"/>
                <w:sz w:val="21"/>
                <w:szCs w:val="21"/>
              </w:rPr>
              <w:t>。</w:t>
            </w:r>
          </w:p>
        </w:tc>
        <w:tc>
          <w:tcPr>
            <w:tcW w:w="675" w:type="dxa"/>
            <w:shd w:val="clear" w:color="auto" w:fill="auto"/>
            <w:vAlign w:val="center"/>
          </w:tcPr>
          <w:p w14:paraId="0ED9385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4F851E0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en-US"/>
              </w:rPr>
              <w:t>项</w:t>
            </w:r>
          </w:p>
        </w:tc>
        <w:tc>
          <w:tcPr>
            <w:tcW w:w="975" w:type="dxa"/>
            <w:shd w:val="clear" w:color="auto" w:fill="auto"/>
            <w:vAlign w:val="center"/>
          </w:tcPr>
          <w:p w14:paraId="5EB21AE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7B666A3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r>
      <w:tr w14:paraId="4AEB2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0DA612EE">
            <w:pPr>
              <w:keepNext w:val="0"/>
              <w:keepLines w:val="0"/>
              <w:pageBreakBefore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eastAsia="宋体" w:cs="宋体"/>
                <w:color w:val="auto"/>
                <w:kern w:val="0"/>
                <w:sz w:val="21"/>
                <w:szCs w:val="21"/>
              </w:rPr>
            </w:pPr>
          </w:p>
        </w:tc>
        <w:tc>
          <w:tcPr>
            <w:tcW w:w="1912" w:type="dxa"/>
            <w:gridSpan w:val="3"/>
            <w:shd w:val="clear" w:color="auto" w:fill="auto"/>
            <w:vAlign w:val="center"/>
          </w:tcPr>
          <w:p w14:paraId="15E484F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低温稳定性</w:t>
            </w:r>
          </w:p>
        </w:tc>
        <w:tc>
          <w:tcPr>
            <w:tcW w:w="1005" w:type="dxa"/>
            <w:shd w:val="clear" w:color="auto" w:fill="auto"/>
            <w:vAlign w:val="center"/>
          </w:tcPr>
          <w:p w14:paraId="742E68C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4.29.3</w:t>
            </w:r>
          </w:p>
        </w:tc>
        <w:tc>
          <w:tcPr>
            <w:tcW w:w="2085" w:type="dxa"/>
            <w:vMerge w:val="continue"/>
            <w:shd w:val="clear" w:color="auto" w:fill="auto"/>
            <w:vAlign w:val="center"/>
          </w:tcPr>
          <w:p w14:paraId="78D5ADD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675" w:type="dxa"/>
            <w:shd w:val="clear" w:color="auto" w:fill="auto"/>
            <w:vAlign w:val="center"/>
          </w:tcPr>
          <w:p w14:paraId="0F1B6F6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3E5B6D6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en-US"/>
              </w:rPr>
              <w:t>项</w:t>
            </w:r>
          </w:p>
        </w:tc>
        <w:tc>
          <w:tcPr>
            <w:tcW w:w="975" w:type="dxa"/>
            <w:shd w:val="clear" w:color="auto" w:fill="auto"/>
            <w:vAlign w:val="center"/>
          </w:tcPr>
          <w:p w14:paraId="47ED49E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2E8CE07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r>
      <w:tr w14:paraId="55BA2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7C2135D4">
            <w:pPr>
              <w:keepNext w:val="0"/>
              <w:keepLines w:val="0"/>
              <w:pageBreakBefore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eastAsia="宋体" w:cs="宋体"/>
                <w:color w:val="auto"/>
                <w:kern w:val="0"/>
                <w:sz w:val="21"/>
                <w:szCs w:val="21"/>
              </w:rPr>
            </w:pPr>
          </w:p>
        </w:tc>
        <w:tc>
          <w:tcPr>
            <w:tcW w:w="1912" w:type="dxa"/>
            <w:gridSpan w:val="3"/>
            <w:shd w:val="clear" w:color="auto" w:fill="auto"/>
            <w:vAlign w:val="center"/>
          </w:tcPr>
          <w:p w14:paraId="5B531F3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干燥时间（表干）</w:t>
            </w:r>
          </w:p>
        </w:tc>
        <w:tc>
          <w:tcPr>
            <w:tcW w:w="1005" w:type="dxa"/>
            <w:shd w:val="clear" w:color="auto" w:fill="auto"/>
            <w:vAlign w:val="center"/>
          </w:tcPr>
          <w:p w14:paraId="452CE61F">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4.29.4</w:t>
            </w:r>
          </w:p>
        </w:tc>
        <w:tc>
          <w:tcPr>
            <w:tcW w:w="2085" w:type="dxa"/>
            <w:vMerge w:val="continue"/>
            <w:shd w:val="clear" w:color="auto" w:fill="auto"/>
            <w:vAlign w:val="center"/>
          </w:tcPr>
          <w:p w14:paraId="5E1B6D8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675" w:type="dxa"/>
            <w:shd w:val="clear" w:color="auto" w:fill="auto"/>
            <w:vAlign w:val="center"/>
          </w:tcPr>
          <w:p w14:paraId="40D9630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02915E2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en-US"/>
              </w:rPr>
              <w:t>项</w:t>
            </w:r>
          </w:p>
        </w:tc>
        <w:tc>
          <w:tcPr>
            <w:tcW w:w="975" w:type="dxa"/>
            <w:shd w:val="clear" w:color="auto" w:fill="auto"/>
            <w:vAlign w:val="center"/>
          </w:tcPr>
          <w:p w14:paraId="1EE1375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1AF02AD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r>
      <w:tr w14:paraId="3A8A5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4D88912C">
            <w:pPr>
              <w:keepNext w:val="0"/>
              <w:keepLines w:val="0"/>
              <w:pageBreakBefore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eastAsia="宋体" w:cs="宋体"/>
                <w:color w:val="auto"/>
                <w:kern w:val="0"/>
                <w:sz w:val="21"/>
                <w:szCs w:val="21"/>
              </w:rPr>
            </w:pPr>
          </w:p>
        </w:tc>
        <w:tc>
          <w:tcPr>
            <w:tcW w:w="1912" w:type="dxa"/>
            <w:gridSpan w:val="3"/>
            <w:shd w:val="clear" w:color="auto" w:fill="auto"/>
            <w:vAlign w:val="center"/>
          </w:tcPr>
          <w:p w14:paraId="17A8D69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涂膜外观</w:t>
            </w:r>
          </w:p>
        </w:tc>
        <w:tc>
          <w:tcPr>
            <w:tcW w:w="1005" w:type="dxa"/>
            <w:shd w:val="clear" w:color="auto" w:fill="auto"/>
            <w:vAlign w:val="center"/>
          </w:tcPr>
          <w:p w14:paraId="7CD4538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4.29.5</w:t>
            </w:r>
          </w:p>
        </w:tc>
        <w:tc>
          <w:tcPr>
            <w:tcW w:w="2085" w:type="dxa"/>
            <w:vMerge w:val="continue"/>
            <w:shd w:val="clear" w:color="auto" w:fill="auto"/>
            <w:vAlign w:val="center"/>
          </w:tcPr>
          <w:p w14:paraId="631A203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675" w:type="dxa"/>
            <w:shd w:val="clear" w:color="auto" w:fill="auto"/>
            <w:vAlign w:val="center"/>
          </w:tcPr>
          <w:p w14:paraId="65B5532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678D644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en-US"/>
              </w:rPr>
              <w:t>项</w:t>
            </w:r>
          </w:p>
        </w:tc>
        <w:tc>
          <w:tcPr>
            <w:tcW w:w="975" w:type="dxa"/>
            <w:shd w:val="clear" w:color="auto" w:fill="auto"/>
            <w:vAlign w:val="center"/>
          </w:tcPr>
          <w:p w14:paraId="019F644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0D0AF16F">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r>
      <w:tr w14:paraId="715D2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71FD4637">
            <w:pPr>
              <w:keepNext w:val="0"/>
              <w:keepLines w:val="0"/>
              <w:pageBreakBefore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eastAsia="宋体" w:cs="宋体"/>
                <w:color w:val="auto"/>
                <w:kern w:val="0"/>
                <w:sz w:val="21"/>
                <w:szCs w:val="21"/>
              </w:rPr>
            </w:pPr>
          </w:p>
        </w:tc>
        <w:tc>
          <w:tcPr>
            <w:tcW w:w="1912" w:type="dxa"/>
            <w:gridSpan w:val="3"/>
            <w:shd w:val="clear" w:color="auto" w:fill="auto"/>
            <w:vAlign w:val="center"/>
          </w:tcPr>
          <w:p w14:paraId="45208A1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对比率（白色和浅色）</w:t>
            </w:r>
          </w:p>
        </w:tc>
        <w:tc>
          <w:tcPr>
            <w:tcW w:w="1005" w:type="dxa"/>
            <w:shd w:val="clear" w:color="auto" w:fill="auto"/>
            <w:vAlign w:val="center"/>
          </w:tcPr>
          <w:p w14:paraId="28E7A7E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4.29.6</w:t>
            </w:r>
          </w:p>
        </w:tc>
        <w:tc>
          <w:tcPr>
            <w:tcW w:w="2085" w:type="dxa"/>
            <w:vMerge w:val="continue"/>
            <w:shd w:val="clear" w:color="auto" w:fill="auto"/>
            <w:vAlign w:val="center"/>
          </w:tcPr>
          <w:p w14:paraId="0ED9D91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675" w:type="dxa"/>
            <w:shd w:val="clear" w:color="auto" w:fill="auto"/>
            <w:vAlign w:val="center"/>
          </w:tcPr>
          <w:p w14:paraId="0616714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41F4B7C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en-US"/>
              </w:rPr>
              <w:t>项</w:t>
            </w:r>
          </w:p>
        </w:tc>
        <w:tc>
          <w:tcPr>
            <w:tcW w:w="975" w:type="dxa"/>
            <w:shd w:val="clear" w:color="auto" w:fill="auto"/>
            <w:vAlign w:val="center"/>
          </w:tcPr>
          <w:p w14:paraId="1962A9C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4DA2CDA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r>
      <w:tr w14:paraId="22F14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7628B189">
            <w:pPr>
              <w:keepNext w:val="0"/>
              <w:keepLines w:val="0"/>
              <w:pageBreakBefore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eastAsia="宋体" w:cs="宋体"/>
                <w:color w:val="auto"/>
                <w:kern w:val="0"/>
                <w:sz w:val="21"/>
                <w:szCs w:val="21"/>
              </w:rPr>
            </w:pPr>
          </w:p>
        </w:tc>
        <w:tc>
          <w:tcPr>
            <w:tcW w:w="1912" w:type="dxa"/>
            <w:gridSpan w:val="3"/>
            <w:shd w:val="clear" w:color="auto" w:fill="auto"/>
            <w:vAlign w:val="center"/>
          </w:tcPr>
          <w:p w14:paraId="5E10F76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耐洗刷性</w:t>
            </w:r>
            <w:r>
              <w:rPr>
                <w:rFonts w:hint="eastAsia" w:ascii="宋体" w:hAnsi="宋体" w:cs="宋体"/>
                <w:color w:val="auto"/>
                <w:kern w:val="0"/>
                <w:sz w:val="21"/>
                <w:szCs w:val="21"/>
                <w:lang w:eastAsia="zh-CN"/>
              </w:rPr>
              <w:t>（</w:t>
            </w:r>
            <w:r>
              <w:rPr>
                <w:rFonts w:hint="eastAsia" w:ascii="宋体" w:hAnsi="宋体" w:eastAsia="宋体" w:cs="宋体"/>
                <w:color w:val="auto"/>
                <w:kern w:val="0"/>
                <w:sz w:val="21"/>
                <w:szCs w:val="21"/>
              </w:rPr>
              <w:t>500次</w:t>
            </w:r>
            <w:r>
              <w:rPr>
                <w:rFonts w:hint="eastAsia" w:ascii="宋体" w:hAnsi="宋体" w:cs="宋体"/>
                <w:color w:val="auto"/>
                <w:kern w:val="0"/>
                <w:sz w:val="21"/>
                <w:szCs w:val="21"/>
                <w:lang w:eastAsia="zh-CN"/>
              </w:rPr>
              <w:t>）</w:t>
            </w:r>
          </w:p>
        </w:tc>
        <w:tc>
          <w:tcPr>
            <w:tcW w:w="1005" w:type="dxa"/>
            <w:shd w:val="clear" w:color="auto" w:fill="auto"/>
            <w:vAlign w:val="center"/>
          </w:tcPr>
          <w:p w14:paraId="4CDA016F">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4.29.8</w:t>
            </w:r>
          </w:p>
        </w:tc>
        <w:tc>
          <w:tcPr>
            <w:tcW w:w="2085" w:type="dxa"/>
            <w:vMerge w:val="continue"/>
            <w:shd w:val="clear" w:color="auto" w:fill="auto"/>
            <w:vAlign w:val="center"/>
          </w:tcPr>
          <w:p w14:paraId="3816E4E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675" w:type="dxa"/>
            <w:shd w:val="clear" w:color="auto" w:fill="auto"/>
            <w:vAlign w:val="center"/>
          </w:tcPr>
          <w:p w14:paraId="21BB802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79A24CF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项</w:t>
            </w:r>
          </w:p>
        </w:tc>
        <w:tc>
          <w:tcPr>
            <w:tcW w:w="975" w:type="dxa"/>
            <w:shd w:val="clear" w:color="auto" w:fill="auto"/>
            <w:vAlign w:val="center"/>
          </w:tcPr>
          <w:p w14:paraId="494ED39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7AC41CC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r>
      <w:tr w14:paraId="11C33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2186612D">
            <w:pPr>
              <w:keepNext w:val="0"/>
              <w:keepLines w:val="0"/>
              <w:pageBreakBefore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eastAsia="宋体" w:cs="宋体"/>
                <w:color w:val="auto"/>
                <w:kern w:val="0"/>
                <w:sz w:val="21"/>
                <w:szCs w:val="21"/>
              </w:rPr>
            </w:pPr>
          </w:p>
        </w:tc>
        <w:tc>
          <w:tcPr>
            <w:tcW w:w="1912" w:type="dxa"/>
            <w:gridSpan w:val="3"/>
            <w:shd w:val="clear" w:color="auto" w:fill="auto"/>
            <w:vAlign w:val="center"/>
          </w:tcPr>
          <w:p w14:paraId="6A6B299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耐沾污性（白色和浅色）</w:t>
            </w:r>
          </w:p>
        </w:tc>
        <w:tc>
          <w:tcPr>
            <w:tcW w:w="1005" w:type="dxa"/>
            <w:shd w:val="clear" w:color="auto" w:fill="auto"/>
            <w:vAlign w:val="center"/>
          </w:tcPr>
          <w:p w14:paraId="7E3FDF1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4.29.11</w:t>
            </w:r>
          </w:p>
        </w:tc>
        <w:tc>
          <w:tcPr>
            <w:tcW w:w="2085" w:type="dxa"/>
            <w:vMerge w:val="continue"/>
            <w:shd w:val="clear" w:color="auto" w:fill="auto"/>
            <w:vAlign w:val="center"/>
          </w:tcPr>
          <w:p w14:paraId="13256E5F">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675" w:type="dxa"/>
            <w:shd w:val="clear" w:color="auto" w:fill="auto"/>
            <w:vAlign w:val="center"/>
          </w:tcPr>
          <w:p w14:paraId="7FC654C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5FABFB3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项</w:t>
            </w:r>
          </w:p>
        </w:tc>
        <w:tc>
          <w:tcPr>
            <w:tcW w:w="975" w:type="dxa"/>
            <w:shd w:val="clear" w:color="auto" w:fill="auto"/>
            <w:vAlign w:val="center"/>
          </w:tcPr>
          <w:p w14:paraId="36BE61B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7DA0BE0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r>
      <w:tr w14:paraId="1A245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4312B6CE">
            <w:pPr>
              <w:keepNext w:val="0"/>
              <w:keepLines w:val="0"/>
              <w:pageBreakBefore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eastAsia="宋体" w:cs="宋体"/>
                <w:color w:val="auto"/>
                <w:kern w:val="0"/>
                <w:sz w:val="21"/>
                <w:szCs w:val="21"/>
              </w:rPr>
            </w:pPr>
          </w:p>
        </w:tc>
        <w:tc>
          <w:tcPr>
            <w:tcW w:w="1912" w:type="dxa"/>
            <w:gridSpan w:val="3"/>
            <w:shd w:val="clear" w:color="auto" w:fill="auto"/>
            <w:vAlign w:val="center"/>
          </w:tcPr>
          <w:p w14:paraId="7F17DBAF">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耐水性</w:t>
            </w:r>
          </w:p>
        </w:tc>
        <w:tc>
          <w:tcPr>
            <w:tcW w:w="1005" w:type="dxa"/>
            <w:shd w:val="clear" w:color="auto" w:fill="auto"/>
            <w:vAlign w:val="center"/>
          </w:tcPr>
          <w:p w14:paraId="312912B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4.29.12</w:t>
            </w:r>
          </w:p>
        </w:tc>
        <w:tc>
          <w:tcPr>
            <w:tcW w:w="2085" w:type="dxa"/>
            <w:vMerge w:val="continue"/>
            <w:shd w:val="clear" w:color="auto" w:fill="auto"/>
            <w:vAlign w:val="center"/>
          </w:tcPr>
          <w:p w14:paraId="186702C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675" w:type="dxa"/>
            <w:shd w:val="clear" w:color="auto" w:fill="auto"/>
            <w:vAlign w:val="center"/>
          </w:tcPr>
          <w:p w14:paraId="3993E42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6C8663D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项</w:t>
            </w:r>
          </w:p>
        </w:tc>
        <w:tc>
          <w:tcPr>
            <w:tcW w:w="975" w:type="dxa"/>
            <w:shd w:val="clear" w:color="auto" w:fill="auto"/>
            <w:vAlign w:val="center"/>
          </w:tcPr>
          <w:p w14:paraId="6E5BF6B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750CF1D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p>
        </w:tc>
      </w:tr>
      <w:tr w14:paraId="6243C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0E84C5FB">
            <w:pPr>
              <w:keepNext w:val="0"/>
              <w:keepLines w:val="0"/>
              <w:pageBreakBefore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eastAsia="宋体" w:cs="宋体"/>
                <w:color w:val="auto"/>
                <w:kern w:val="0"/>
                <w:sz w:val="21"/>
                <w:szCs w:val="21"/>
              </w:rPr>
            </w:pPr>
          </w:p>
        </w:tc>
        <w:tc>
          <w:tcPr>
            <w:tcW w:w="1912" w:type="dxa"/>
            <w:gridSpan w:val="3"/>
            <w:shd w:val="clear" w:color="auto" w:fill="auto"/>
            <w:vAlign w:val="center"/>
          </w:tcPr>
          <w:p w14:paraId="07D8548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耐碱性</w:t>
            </w:r>
          </w:p>
        </w:tc>
        <w:tc>
          <w:tcPr>
            <w:tcW w:w="1005" w:type="dxa"/>
            <w:shd w:val="clear" w:color="auto" w:fill="auto"/>
            <w:vAlign w:val="center"/>
          </w:tcPr>
          <w:p w14:paraId="56B58D0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4.29.13</w:t>
            </w:r>
          </w:p>
        </w:tc>
        <w:tc>
          <w:tcPr>
            <w:tcW w:w="2085" w:type="dxa"/>
            <w:vMerge w:val="continue"/>
            <w:shd w:val="clear" w:color="auto" w:fill="auto"/>
            <w:vAlign w:val="center"/>
          </w:tcPr>
          <w:p w14:paraId="0C3B97C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675" w:type="dxa"/>
            <w:shd w:val="clear" w:color="auto" w:fill="auto"/>
            <w:vAlign w:val="center"/>
          </w:tcPr>
          <w:p w14:paraId="763F081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4ED9D17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项</w:t>
            </w:r>
          </w:p>
        </w:tc>
        <w:tc>
          <w:tcPr>
            <w:tcW w:w="975" w:type="dxa"/>
            <w:shd w:val="clear" w:color="auto" w:fill="auto"/>
            <w:vAlign w:val="center"/>
          </w:tcPr>
          <w:p w14:paraId="656C0EF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02F0411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r>
      <w:tr w14:paraId="78B9A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36CE06D1">
            <w:pPr>
              <w:keepNext w:val="0"/>
              <w:keepLines w:val="0"/>
              <w:pageBreakBefore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eastAsia="宋体" w:cs="宋体"/>
                <w:color w:val="auto"/>
                <w:kern w:val="0"/>
                <w:sz w:val="21"/>
                <w:szCs w:val="21"/>
              </w:rPr>
            </w:pPr>
          </w:p>
        </w:tc>
        <w:tc>
          <w:tcPr>
            <w:tcW w:w="1912" w:type="dxa"/>
            <w:gridSpan w:val="3"/>
            <w:shd w:val="clear" w:color="auto" w:fill="auto"/>
            <w:vAlign w:val="center"/>
          </w:tcPr>
          <w:p w14:paraId="0695602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涂层耐温变性</w:t>
            </w:r>
          </w:p>
        </w:tc>
        <w:tc>
          <w:tcPr>
            <w:tcW w:w="1005" w:type="dxa"/>
            <w:shd w:val="clear" w:color="auto" w:fill="auto"/>
            <w:vAlign w:val="center"/>
          </w:tcPr>
          <w:p w14:paraId="4F22FBB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4.29.14</w:t>
            </w:r>
          </w:p>
        </w:tc>
        <w:tc>
          <w:tcPr>
            <w:tcW w:w="2085" w:type="dxa"/>
            <w:vMerge w:val="continue"/>
            <w:shd w:val="clear" w:color="auto" w:fill="auto"/>
            <w:vAlign w:val="center"/>
          </w:tcPr>
          <w:p w14:paraId="09FAC8A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675" w:type="dxa"/>
            <w:shd w:val="clear" w:color="auto" w:fill="auto"/>
            <w:vAlign w:val="center"/>
          </w:tcPr>
          <w:p w14:paraId="2396A72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3F7AAEC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项</w:t>
            </w:r>
          </w:p>
        </w:tc>
        <w:tc>
          <w:tcPr>
            <w:tcW w:w="975" w:type="dxa"/>
            <w:shd w:val="clear" w:color="auto" w:fill="auto"/>
            <w:vAlign w:val="center"/>
          </w:tcPr>
          <w:p w14:paraId="317EA93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536CB9E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r>
      <w:tr w14:paraId="0BA23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4BA5E8C4">
            <w:pPr>
              <w:keepNext w:val="0"/>
              <w:keepLines w:val="0"/>
              <w:pageBreakBefore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eastAsia="宋体" w:cs="宋体"/>
                <w:color w:val="auto"/>
                <w:kern w:val="0"/>
                <w:sz w:val="21"/>
                <w:szCs w:val="21"/>
              </w:rPr>
            </w:pPr>
          </w:p>
        </w:tc>
        <w:tc>
          <w:tcPr>
            <w:tcW w:w="1912" w:type="dxa"/>
            <w:gridSpan w:val="3"/>
            <w:shd w:val="clear" w:color="auto" w:fill="auto"/>
            <w:vAlign w:val="center"/>
          </w:tcPr>
          <w:p w14:paraId="447478E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初期干燥抗裂性</w:t>
            </w:r>
          </w:p>
        </w:tc>
        <w:tc>
          <w:tcPr>
            <w:tcW w:w="1005" w:type="dxa"/>
            <w:shd w:val="clear" w:color="auto" w:fill="auto"/>
            <w:vAlign w:val="center"/>
          </w:tcPr>
          <w:p w14:paraId="1248C74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4.29.21</w:t>
            </w:r>
          </w:p>
        </w:tc>
        <w:tc>
          <w:tcPr>
            <w:tcW w:w="2085" w:type="dxa"/>
            <w:vMerge w:val="continue"/>
            <w:shd w:val="clear" w:color="auto" w:fill="auto"/>
            <w:vAlign w:val="center"/>
          </w:tcPr>
          <w:p w14:paraId="68C62B1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675" w:type="dxa"/>
            <w:shd w:val="clear" w:color="auto" w:fill="auto"/>
            <w:vAlign w:val="center"/>
          </w:tcPr>
          <w:p w14:paraId="623B206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1586850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项</w:t>
            </w:r>
          </w:p>
        </w:tc>
        <w:tc>
          <w:tcPr>
            <w:tcW w:w="975" w:type="dxa"/>
            <w:shd w:val="clear" w:color="auto" w:fill="auto"/>
            <w:vAlign w:val="center"/>
          </w:tcPr>
          <w:p w14:paraId="5D03874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6729816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r>
      <w:tr w14:paraId="722AC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4717D02F">
            <w:pPr>
              <w:keepNext w:val="0"/>
              <w:keepLines w:val="0"/>
              <w:pageBreakBefore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eastAsia="宋体" w:cs="宋体"/>
                <w:color w:val="auto"/>
                <w:kern w:val="0"/>
                <w:sz w:val="21"/>
                <w:szCs w:val="21"/>
              </w:rPr>
            </w:pPr>
          </w:p>
        </w:tc>
        <w:tc>
          <w:tcPr>
            <w:tcW w:w="1912" w:type="dxa"/>
            <w:gridSpan w:val="3"/>
            <w:shd w:val="clear" w:color="auto" w:fill="auto"/>
            <w:vAlign w:val="center"/>
          </w:tcPr>
          <w:p w14:paraId="11B5E66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打磨性</w:t>
            </w:r>
          </w:p>
        </w:tc>
        <w:tc>
          <w:tcPr>
            <w:tcW w:w="1005" w:type="dxa"/>
            <w:shd w:val="clear" w:color="auto" w:fill="auto"/>
            <w:vAlign w:val="center"/>
          </w:tcPr>
          <w:p w14:paraId="53769F9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4.29.22</w:t>
            </w:r>
          </w:p>
        </w:tc>
        <w:tc>
          <w:tcPr>
            <w:tcW w:w="2085" w:type="dxa"/>
            <w:vMerge w:val="continue"/>
            <w:shd w:val="clear" w:color="auto" w:fill="auto"/>
            <w:vAlign w:val="center"/>
          </w:tcPr>
          <w:p w14:paraId="55B2AE5F">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675" w:type="dxa"/>
            <w:shd w:val="clear" w:color="auto" w:fill="auto"/>
            <w:vAlign w:val="center"/>
          </w:tcPr>
          <w:p w14:paraId="2C9BD2C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587BC12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项</w:t>
            </w:r>
          </w:p>
        </w:tc>
        <w:tc>
          <w:tcPr>
            <w:tcW w:w="975" w:type="dxa"/>
            <w:shd w:val="clear" w:color="auto" w:fill="auto"/>
            <w:vAlign w:val="center"/>
          </w:tcPr>
          <w:p w14:paraId="548F3F6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2D474C9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r>
      <w:tr w14:paraId="36231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051D7E9A">
            <w:pPr>
              <w:keepNext w:val="0"/>
              <w:keepLines w:val="0"/>
              <w:pageBreakBefore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eastAsia="宋体" w:cs="宋体"/>
                <w:color w:val="auto"/>
                <w:kern w:val="0"/>
                <w:sz w:val="21"/>
                <w:szCs w:val="21"/>
              </w:rPr>
            </w:pPr>
          </w:p>
        </w:tc>
        <w:tc>
          <w:tcPr>
            <w:tcW w:w="1912" w:type="dxa"/>
            <w:gridSpan w:val="3"/>
            <w:shd w:val="clear" w:color="auto" w:fill="auto"/>
            <w:vAlign w:val="center"/>
          </w:tcPr>
          <w:p w14:paraId="1367457F">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柔韧性</w:t>
            </w:r>
          </w:p>
        </w:tc>
        <w:tc>
          <w:tcPr>
            <w:tcW w:w="1005" w:type="dxa"/>
            <w:shd w:val="clear" w:color="auto" w:fill="auto"/>
            <w:vAlign w:val="center"/>
          </w:tcPr>
          <w:p w14:paraId="51EE8DD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4.29.23</w:t>
            </w:r>
          </w:p>
        </w:tc>
        <w:tc>
          <w:tcPr>
            <w:tcW w:w="2085" w:type="dxa"/>
            <w:vMerge w:val="continue"/>
            <w:shd w:val="clear" w:color="auto" w:fill="auto"/>
            <w:vAlign w:val="center"/>
          </w:tcPr>
          <w:p w14:paraId="046062F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675" w:type="dxa"/>
            <w:shd w:val="clear" w:color="auto" w:fill="auto"/>
            <w:vAlign w:val="center"/>
          </w:tcPr>
          <w:p w14:paraId="18E0A51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4EC0C7C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项</w:t>
            </w:r>
          </w:p>
        </w:tc>
        <w:tc>
          <w:tcPr>
            <w:tcW w:w="975" w:type="dxa"/>
            <w:shd w:val="clear" w:color="auto" w:fill="auto"/>
            <w:vAlign w:val="center"/>
          </w:tcPr>
          <w:p w14:paraId="6E6B17F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74DBDB1F">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r>
      <w:tr w14:paraId="3FA87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restart"/>
            <w:shd w:val="clear" w:color="auto" w:fill="auto"/>
            <w:vAlign w:val="center"/>
          </w:tcPr>
          <w:p w14:paraId="38E50303">
            <w:pPr>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color w:val="auto"/>
              </w:rPr>
            </w:pPr>
          </w:p>
          <w:p w14:paraId="45B0C2F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p w14:paraId="2673E3F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管材管件</w:t>
            </w:r>
          </w:p>
        </w:tc>
        <w:tc>
          <w:tcPr>
            <w:tcW w:w="750" w:type="dxa"/>
            <w:shd w:val="clear" w:color="auto" w:fill="auto"/>
            <w:vAlign w:val="center"/>
          </w:tcPr>
          <w:p w14:paraId="501AE52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落锤冲击试验</w:t>
            </w:r>
          </w:p>
        </w:tc>
        <w:tc>
          <w:tcPr>
            <w:tcW w:w="1162" w:type="dxa"/>
            <w:gridSpan w:val="2"/>
            <w:shd w:val="clear" w:color="auto" w:fill="auto"/>
            <w:vAlign w:val="center"/>
          </w:tcPr>
          <w:p w14:paraId="27AD021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外径≤400㎜</w:t>
            </w:r>
          </w:p>
        </w:tc>
        <w:tc>
          <w:tcPr>
            <w:tcW w:w="1005" w:type="dxa"/>
            <w:shd w:val="clear" w:color="auto" w:fill="auto"/>
            <w:vAlign w:val="center"/>
          </w:tcPr>
          <w:p w14:paraId="7383B81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4.46.10</w:t>
            </w:r>
          </w:p>
        </w:tc>
        <w:tc>
          <w:tcPr>
            <w:tcW w:w="2085" w:type="dxa"/>
            <w:vMerge w:val="restart"/>
            <w:shd w:val="clear" w:color="auto" w:fill="auto"/>
            <w:vAlign w:val="center"/>
          </w:tcPr>
          <w:p w14:paraId="00ACAF5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按实际施工情况</w:t>
            </w:r>
          </w:p>
        </w:tc>
        <w:tc>
          <w:tcPr>
            <w:tcW w:w="675" w:type="dxa"/>
            <w:shd w:val="clear" w:color="auto" w:fill="auto"/>
            <w:vAlign w:val="center"/>
          </w:tcPr>
          <w:p w14:paraId="510E519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lang w:val="en-US" w:eastAsia="zh-CN"/>
              </w:rPr>
              <w:t>3</w:t>
            </w:r>
          </w:p>
        </w:tc>
        <w:tc>
          <w:tcPr>
            <w:tcW w:w="675" w:type="dxa"/>
            <w:shd w:val="clear" w:color="auto" w:fill="auto"/>
            <w:vAlign w:val="center"/>
          </w:tcPr>
          <w:p w14:paraId="57829A9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项</w:t>
            </w:r>
          </w:p>
        </w:tc>
        <w:tc>
          <w:tcPr>
            <w:tcW w:w="975" w:type="dxa"/>
            <w:shd w:val="clear" w:color="auto" w:fill="auto"/>
            <w:vAlign w:val="center"/>
          </w:tcPr>
          <w:p w14:paraId="4FC75C9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75A6F84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r>
      <w:tr w14:paraId="00177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65935C2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750" w:type="dxa"/>
            <w:shd w:val="clear" w:color="auto" w:fill="auto"/>
            <w:vAlign w:val="center"/>
          </w:tcPr>
          <w:p w14:paraId="26BEC69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环刚度</w:t>
            </w:r>
          </w:p>
        </w:tc>
        <w:tc>
          <w:tcPr>
            <w:tcW w:w="1162" w:type="dxa"/>
            <w:gridSpan w:val="2"/>
            <w:shd w:val="clear" w:color="auto" w:fill="auto"/>
            <w:vAlign w:val="center"/>
          </w:tcPr>
          <w:p w14:paraId="65A932B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外径≤400㎜</w:t>
            </w:r>
          </w:p>
        </w:tc>
        <w:tc>
          <w:tcPr>
            <w:tcW w:w="1005" w:type="dxa"/>
            <w:shd w:val="clear" w:color="auto" w:fill="auto"/>
            <w:vAlign w:val="center"/>
          </w:tcPr>
          <w:p w14:paraId="2C6C78C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4.46.19</w:t>
            </w:r>
          </w:p>
        </w:tc>
        <w:tc>
          <w:tcPr>
            <w:tcW w:w="2085" w:type="dxa"/>
            <w:vMerge w:val="continue"/>
            <w:shd w:val="clear" w:color="auto" w:fill="auto"/>
            <w:vAlign w:val="center"/>
          </w:tcPr>
          <w:p w14:paraId="68B96BA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675" w:type="dxa"/>
            <w:shd w:val="clear" w:color="auto" w:fill="auto"/>
            <w:vAlign w:val="center"/>
          </w:tcPr>
          <w:p w14:paraId="5DB5F3E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3</w:t>
            </w:r>
          </w:p>
        </w:tc>
        <w:tc>
          <w:tcPr>
            <w:tcW w:w="675" w:type="dxa"/>
            <w:shd w:val="clear" w:color="auto" w:fill="auto"/>
            <w:vAlign w:val="center"/>
          </w:tcPr>
          <w:p w14:paraId="43F79E2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项</w:t>
            </w:r>
          </w:p>
        </w:tc>
        <w:tc>
          <w:tcPr>
            <w:tcW w:w="975" w:type="dxa"/>
            <w:shd w:val="clear" w:color="auto" w:fill="auto"/>
            <w:vAlign w:val="center"/>
          </w:tcPr>
          <w:p w14:paraId="2CA850B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52B177E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r>
      <w:tr w14:paraId="6117E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4F15FBB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750" w:type="dxa"/>
            <w:shd w:val="clear" w:color="auto" w:fill="auto"/>
            <w:vAlign w:val="center"/>
          </w:tcPr>
          <w:p w14:paraId="7E74A42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环柔性</w:t>
            </w:r>
          </w:p>
        </w:tc>
        <w:tc>
          <w:tcPr>
            <w:tcW w:w="1162" w:type="dxa"/>
            <w:gridSpan w:val="2"/>
            <w:shd w:val="clear" w:color="auto" w:fill="auto"/>
            <w:vAlign w:val="center"/>
          </w:tcPr>
          <w:p w14:paraId="075A38BF">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外径≤400㎜</w:t>
            </w:r>
          </w:p>
        </w:tc>
        <w:tc>
          <w:tcPr>
            <w:tcW w:w="1005" w:type="dxa"/>
            <w:shd w:val="clear" w:color="auto" w:fill="auto"/>
            <w:vAlign w:val="center"/>
          </w:tcPr>
          <w:p w14:paraId="003B4C9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4.46.20</w:t>
            </w:r>
          </w:p>
        </w:tc>
        <w:tc>
          <w:tcPr>
            <w:tcW w:w="2085" w:type="dxa"/>
            <w:vMerge w:val="continue"/>
            <w:shd w:val="clear" w:color="auto" w:fill="auto"/>
            <w:vAlign w:val="center"/>
          </w:tcPr>
          <w:p w14:paraId="695EC99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675" w:type="dxa"/>
            <w:shd w:val="clear" w:color="auto" w:fill="auto"/>
            <w:vAlign w:val="center"/>
          </w:tcPr>
          <w:p w14:paraId="5677820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3</w:t>
            </w:r>
          </w:p>
        </w:tc>
        <w:tc>
          <w:tcPr>
            <w:tcW w:w="675" w:type="dxa"/>
            <w:shd w:val="clear" w:color="auto" w:fill="auto"/>
            <w:vAlign w:val="center"/>
          </w:tcPr>
          <w:p w14:paraId="67B49C2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项</w:t>
            </w:r>
          </w:p>
        </w:tc>
        <w:tc>
          <w:tcPr>
            <w:tcW w:w="975" w:type="dxa"/>
            <w:shd w:val="clear" w:color="auto" w:fill="auto"/>
            <w:vAlign w:val="center"/>
          </w:tcPr>
          <w:p w14:paraId="7366A4C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1A668FB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r>
      <w:tr w14:paraId="4B2D5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12" w:type="dxa"/>
            <w:vMerge w:val="continue"/>
            <w:shd w:val="clear" w:color="auto" w:fill="auto"/>
            <w:vAlign w:val="center"/>
          </w:tcPr>
          <w:p w14:paraId="25B40E2E">
            <w:pPr>
              <w:keepNext w:val="0"/>
              <w:keepLines w:val="0"/>
              <w:pageBreakBefore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eastAsia="宋体" w:cs="宋体"/>
                <w:color w:val="auto"/>
                <w:kern w:val="0"/>
                <w:sz w:val="21"/>
                <w:szCs w:val="21"/>
              </w:rPr>
            </w:pPr>
          </w:p>
        </w:tc>
        <w:tc>
          <w:tcPr>
            <w:tcW w:w="1912" w:type="dxa"/>
            <w:gridSpan w:val="3"/>
            <w:shd w:val="clear" w:color="auto" w:fill="auto"/>
            <w:vAlign w:val="center"/>
          </w:tcPr>
          <w:p w14:paraId="3E058EA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eastAsia="zh-CN"/>
              </w:rPr>
              <w:t>拉</w:t>
            </w:r>
            <w:r>
              <w:rPr>
                <w:rFonts w:hint="eastAsia" w:ascii="宋体" w:hAnsi="宋体" w:eastAsia="宋体" w:cs="宋体"/>
                <w:color w:val="auto"/>
                <w:kern w:val="0"/>
                <w:sz w:val="21"/>
                <w:szCs w:val="21"/>
              </w:rPr>
              <w:t>伸屈服强度</w:t>
            </w:r>
          </w:p>
        </w:tc>
        <w:tc>
          <w:tcPr>
            <w:tcW w:w="1005" w:type="dxa"/>
            <w:shd w:val="clear" w:color="auto" w:fill="auto"/>
            <w:vAlign w:val="center"/>
          </w:tcPr>
          <w:p w14:paraId="54FE07B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rPr>
            </w:pPr>
            <w:r>
              <w:rPr>
                <w:rFonts w:hint="eastAsia" w:ascii="宋体" w:hAnsi="宋体" w:eastAsia="宋体" w:cs="宋体"/>
                <w:color w:val="auto"/>
                <w:kern w:val="0"/>
                <w:sz w:val="21"/>
                <w:szCs w:val="21"/>
                <w:lang w:val="en-US" w:eastAsia="zh-CN"/>
              </w:rPr>
              <w:t>4.46.</w:t>
            </w:r>
            <w:r>
              <w:rPr>
                <w:rFonts w:hint="eastAsia" w:ascii="宋体" w:hAnsi="宋体" w:cs="宋体"/>
                <w:color w:val="auto"/>
                <w:kern w:val="0"/>
                <w:sz w:val="21"/>
                <w:szCs w:val="21"/>
                <w:lang w:val="en-US" w:eastAsia="zh-CN"/>
              </w:rPr>
              <w:t>6</w:t>
            </w:r>
          </w:p>
        </w:tc>
        <w:tc>
          <w:tcPr>
            <w:tcW w:w="2085" w:type="dxa"/>
            <w:vMerge w:val="continue"/>
            <w:shd w:val="clear" w:color="auto" w:fill="auto"/>
            <w:vAlign w:val="center"/>
          </w:tcPr>
          <w:p w14:paraId="46FBA01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p>
        </w:tc>
        <w:tc>
          <w:tcPr>
            <w:tcW w:w="675" w:type="dxa"/>
            <w:shd w:val="clear" w:color="auto" w:fill="auto"/>
            <w:vAlign w:val="center"/>
          </w:tcPr>
          <w:p w14:paraId="1A334E3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3</w:t>
            </w:r>
          </w:p>
        </w:tc>
        <w:tc>
          <w:tcPr>
            <w:tcW w:w="675" w:type="dxa"/>
            <w:shd w:val="clear" w:color="auto" w:fill="auto"/>
            <w:vAlign w:val="center"/>
          </w:tcPr>
          <w:p w14:paraId="43BE6B5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项</w:t>
            </w:r>
          </w:p>
        </w:tc>
        <w:tc>
          <w:tcPr>
            <w:tcW w:w="975" w:type="dxa"/>
            <w:shd w:val="clear" w:color="auto" w:fill="auto"/>
            <w:vAlign w:val="center"/>
          </w:tcPr>
          <w:p w14:paraId="2F970E5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7E888F2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r>
      <w:tr w14:paraId="73BB2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812" w:type="dxa"/>
            <w:vMerge w:val="restart"/>
            <w:shd w:val="clear" w:color="auto" w:fill="auto"/>
            <w:vAlign w:val="center"/>
          </w:tcPr>
          <w:p w14:paraId="2A83843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zh-CN"/>
              </w:rPr>
              <w:t>种植土</w:t>
            </w:r>
          </w:p>
        </w:tc>
        <w:tc>
          <w:tcPr>
            <w:tcW w:w="1912" w:type="dxa"/>
            <w:gridSpan w:val="3"/>
            <w:shd w:val="clear" w:color="auto" w:fill="auto"/>
            <w:vAlign w:val="center"/>
          </w:tcPr>
          <w:p w14:paraId="117DCE9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lang w:eastAsia="zh-CN"/>
              </w:rPr>
              <w:t>pH值</w:t>
            </w:r>
          </w:p>
        </w:tc>
        <w:tc>
          <w:tcPr>
            <w:tcW w:w="1005" w:type="dxa"/>
            <w:shd w:val="clear" w:color="auto" w:fill="auto"/>
            <w:vAlign w:val="center"/>
          </w:tcPr>
          <w:p w14:paraId="2606064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11.3.1</w:t>
            </w:r>
          </w:p>
        </w:tc>
        <w:tc>
          <w:tcPr>
            <w:tcW w:w="2085" w:type="dxa"/>
            <w:vMerge w:val="restart"/>
            <w:shd w:val="clear" w:color="auto" w:fill="auto"/>
            <w:vAlign w:val="center"/>
          </w:tcPr>
          <w:p w14:paraId="1179E7D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客土每500</w:t>
            </w:r>
            <w:r>
              <w:rPr>
                <w:rFonts w:hint="eastAsia" w:ascii="宋体" w:hAnsi="宋体" w:cs="宋体"/>
                <w:color w:val="auto"/>
                <w:kern w:val="0"/>
                <w:sz w:val="21"/>
                <w:szCs w:val="21"/>
                <w:lang w:val="en-US" w:eastAsia="zh-CN"/>
              </w:rPr>
              <w:t>m³</w:t>
            </w:r>
            <w:r>
              <w:rPr>
                <w:rFonts w:hint="eastAsia" w:ascii="宋体" w:hAnsi="宋体" w:eastAsia="宋体" w:cs="宋体"/>
                <w:color w:val="auto"/>
                <w:kern w:val="0"/>
                <w:sz w:val="21"/>
                <w:szCs w:val="21"/>
                <w:lang w:eastAsia="zh-CN"/>
              </w:rPr>
              <w:t>或2000㎡为一检验批</w:t>
            </w:r>
            <w:r>
              <w:rPr>
                <w:rFonts w:hint="eastAsia" w:ascii="宋体" w:hAnsi="宋体" w:cs="宋体"/>
                <w:color w:val="auto"/>
                <w:kern w:val="0"/>
                <w:sz w:val="21"/>
                <w:szCs w:val="21"/>
                <w:lang w:eastAsia="zh-CN"/>
              </w:rPr>
              <w:t>；</w:t>
            </w:r>
            <w:r>
              <w:rPr>
                <w:rFonts w:hint="eastAsia" w:ascii="宋体" w:hAnsi="宋体" w:eastAsia="宋体" w:cs="宋体"/>
                <w:color w:val="auto"/>
                <w:kern w:val="0"/>
                <w:sz w:val="21"/>
                <w:szCs w:val="21"/>
                <w:lang w:eastAsia="zh-CN"/>
              </w:rPr>
              <w:t>原状土在同一区域每2000㎡为一检验批</w:t>
            </w:r>
            <w:r>
              <w:rPr>
                <w:rFonts w:hint="eastAsia" w:ascii="宋体" w:hAnsi="宋体" w:cs="宋体"/>
                <w:color w:val="auto"/>
                <w:kern w:val="0"/>
                <w:sz w:val="21"/>
                <w:szCs w:val="21"/>
                <w:lang w:eastAsia="zh-CN"/>
              </w:rPr>
              <w:t>；</w:t>
            </w:r>
            <w:r>
              <w:rPr>
                <w:rFonts w:hint="eastAsia" w:ascii="宋体" w:hAnsi="宋体" w:eastAsia="宋体" w:cs="宋体"/>
                <w:color w:val="auto"/>
                <w:kern w:val="0"/>
                <w:sz w:val="21"/>
                <w:szCs w:val="21"/>
                <w:lang w:eastAsia="zh-CN"/>
              </w:rPr>
              <w:t>栽植基质每 200</w:t>
            </w:r>
            <w:r>
              <w:rPr>
                <w:rFonts w:hint="eastAsia" w:ascii="宋体" w:hAnsi="宋体" w:cs="宋体"/>
                <w:color w:val="auto"/>
                <w:kern w:val="0"/>
                <w:sz w:val="21"/>
                <w:szCs w:val="21"/>
                <w:lang w:val="en-US" w:eastAsia="zh-CN"/>
              </w:rPr>
              <w:t>m³</w:t>
            </w:r>
            <w:r>
              <w:rPr>
                <w:rFonts w:hint="eastAsia" w:ascii="宋体" w:hAnsi="宋体" w:eastAsia="宋体" w:cs="宋体"/>
                <w:color w:val="auto"/>
                <w:kern w:val="0"/>
                <w:sz w:val="21"/>
                <w:szCs w:val="21"/>
                <w:lang w:eastAsia="zh-CN"/>
              </w:rPr>
              <w:t>为一检验批</w:t>
            </w:r>
            <w:r>
              <w:rPr>
                <w:rFonts w:hint="eastAsia" w:ascii="宋体" w:hAnsi="宋体" w:cs="宋体"/>
                <w:color w:val="auto"/>
                <w:kern w:val="0"/>
                <w:sz w:val="21"/>
                <w:szCs w:val="21"/>
                <w:lang w:eastAsia="zh-CN"/>
              </w:rPr>
              <w:t>。</w:t>
            </w:r>
          </w:p>
        </w:tc>
        <w:tc>
          <w:tcPr>
            <w:tcW w:w="675" w:type="dxa"/>
            <w:shd w:val="clear" w:color="auto" w:fill="auto"/>
            <w:vAlign w:val="center"/>
          </w:tcPr>
          <w:p w14:paraId="32B61C9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lang w:val="en-US" w:eastAsia="zh-CN"/>
              </w:rPr>
              <w:t>2</w:t>
            </w:r>
          </w:p>
        </w:tc>
        <w:tc>
          <w:tcPr>
            <w:tcW w:w="675" w:type="dxa"/>
            <w:shd w:val="clear" w:color="auto" w:fill="auto"/>
            <w:vAlign w:val="center"/>
          </w:tcPr>
          <w:p w14:paraId="22CA95F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样</w:t>
            </w:r>
          </w:p>
        </w:tc>
        <w:tc>
          <w:tcPr>
            <w:tcW w:w="975" w:type="dxa"/>
            <w:shd w:val="clear" w:color="auto" w:fill="auto"/>
            <w:vAlign w:val="center"/>
          </w:tcPr>
          <w:p w14:paraId="0706BFF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5B4629D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r>
      <w:tr w14:paraId="7D2F6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0CC5548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p>
        </w:tc>
        <w:tc>
          <w:tcPr>
            <w:tcW w:w="1912" w:type="dxa"/>
            <w:gridSpan w:val="3"/>
            <w:shd w:val="clear" w:color="auto" w:fill="auto"/>
            <w:vAlign w:val="center"/>
          </w:tcPr>
          <w:p w14:paraId="1DDAAFB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全盐量</w:t>
            </w:r>
          </w:p>
        </w:tc>
        <w:tc>
          <w:tcPr>
            <w:tcW w:w="1005" w:type="dxa"/>
            <w:shd w:val="clear" w:color="auto" w:fill="auto"/>
            <w:vAlign w:val="center"/>
          </w:tcPr>
          <w:p w14:paraId="5C31CF5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11.3.3</w:t>
            </w:r>
          </w:p>
        </w:tc>
        <w:tc>
          <w:tcPr>
            <w:tcW w:w="2085" w:type="dxa"/>
            <w:vMerge w:val="continue"/>
            <w:shd w:val="clear" w:color="auto" w:fill="auto"/>
            <w:vAlign w:val="center"/>
          </w:tcPr>
          <w:p w14:paraId="44EB8E1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lang w:eastAsia="zh-CN"/>
              </w:rPr>
            </w:pPr>
          </w:p>
        </w:tc>
        <w:tc>
          <w:tcPr>
            <w:tcW w:w="675" w:type="dxa"/>
            <w:shd w:val="clear" w:color="auto" w:fill="auto"/>
            <w:vAlign w:val="center"/>
          </w:tcPr>
          <w:p w14:paraId="531EEB3F">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2</w:t>
            </w:r>
          </w:p>
        </w:tc>
        <w:tc>
          <w:tcPr>
            <w:tcW w:w="675" w:type="dxa"/>
            <w:shd w:val="clear" w:color="auto" w:fill="auto"/>
            <w:vAlign w:val="center"/>
          </w:tcPr>
          <w:p w14:paraId="7B44209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样</w:t>
            </w:r>
          </w:p>
        </w:tc>
        <w:tc>
          <w:tcPr>
            <w:tcW w:w="975" w:type="dxa"/>
            <w:shd w:val="clear" w:color="auto" w:fill="auto"/>
            <w:vAlign w:val="center"/>
          </w:tcPr>
          <w:p w14:paraId="725C34E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c>
          <w:tcPr>
            <w:tcW w:w="1085" w:type="dxa"/>
            <w:shd w:val="clear" w:color="auto" w:fill="auto"/>
            <w:vAlign w:val="center"/>
          </w:tcPr>
          <w:p w14:paraId="0D87347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r>
      <w:tr w14:paraId="7C5F6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restart"/>
            <w:shd w:val="clear" w:color="auto" w:fill="auto"/>
            <w:vAlign w:val="center"/>
          </w:tcPr>
          <w:p w14:paraId="31F8219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zh-CN"/>
              </w:rPr>
              <w:t>钢管脚手架扣件</w:t>
            </w:r>
          </w:p>
        </w:tc>
        <w:tc>
          <w:tcPr>
            <w:tcW w:w="1912" w:type="dxa"/>
            <w:gridSpan w:val="3"/>
            <w:vMerge w:val="restart"/>
            <w:shd w:val="clear" w:color="auto" w:fill="auto"/>
            <w:vAlign w:val="center"/>
          </w:tcPr>
          <w:p w14:paraId="7EA4B00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rPr>
              <w:t>直角、旋转、扣件、底座</w:t>
            </w:r>
          </w:p>
        </w:tc>
        <w:tc>
          <w:tcPr>
            <w:tcW w:w="1005" w:type="dxa"/>
            <w:vMerge w:val="restart"/>
            <w:shd w:val="clear" w:color="auto" w:fill="auto"/>
            <w:vAlign w:val="center"/>
          </w:tcPr>
          <w:p w14:paraId="4C5EEF2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en-US"/>
              </w:rPr>
              <w:t>12.14.1</w:t>
            </w:r>
          </w:p>
        </w:tc>
        <w:tc>
          <w:tcPr>
            <w:tcW w:w="2085" w:type="dxa"/>
            <w:vMerge w:val="restart"/>
            <w:shd w:val="clear" w:color="auto" w:fill="auto"/>
            <w:vAlign w:val="center"/>
          </w:tcPr>
          <w:p w14:paraId="347551F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rPr>
              <w:t>1000件为一批</w:t>
            </w:r>
          </w:p>
        </w:tc>
        <w:tc>
          <w:tcPr>
            <w:tcW w:w="675" w:type="dxa"/>
            <w:shd w:val="clear" w:color="auto" w:fill="auto"/>
            <w:vAlign w:val="center"/>
          </w:tcPr>
          <w:p w14:paraId="5AA69CB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68DBB79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zh-CN"/>
              </w:rPr>
              <w:t>组</w:t>
            </w:r>
          </w:p>
        </w:tc>
        <w:tc>
          <w:tcPr>
            <w:tcW w:w="975" w:type="dxa"/>
            <w:shd w:val="clear" w:color="auto" w:fill="auto"/>
            <w:vAlign w:val="center"/>
          </w:tcPr>
          <w:p w14:paraId="000A528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p>
        </w:tc>
        <w:tc>
          <w:tcPr>
            <w:tcW w:w="1085" w:type="dxa"/>
            <w:shd w:val="clear" w:color="auto" w:fill="auto"/>
            <w:vAlign w:val="center"/>
          </w:tcPr>
          <w:p w14:paraId="47109BC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p>
        </w:tc>
      </w:tr>
      <w:tr w14:paraId="3AE8F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167825D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p>
        </w:tc>
        <w:tc>
          <w:tcPr>
            <w:tcW w:w="1912" w:type="dxa"/>
            <w:gridSpan w:val="3"/>
            <w:vMerge w:val="continue"/>
            <w:shd w:val="clear" w:color="auto" w:fill="auto"/>
            <w:vAlign w:val="center"/>
          </w:tcPr>
          <w:p w14:paraId="646FDB3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p>
        </w:tc>
        <w:tc>
          <w:tcPr>
            <w:tcW w:w="1005" w:type="dxa"/>
            <w:vMerge w:val="continue"/>
            <w:shd w:val="clear" w:color="auto" w:fill="auto"/>
            <w:vAlign w:val="center"/>
          </w:tcPr>
          <w:p w14:paraId="374490DF">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p>
        </w:tc>
        <w:tc>
          <w:tcPr>
            <w:tcW w:w="2085" w:type="dxa"/>
            <w:vMerge w:val="continue"/>
            <w:shd w:val="clear" w:color="auto" w:fill="auto"/>
            <w:vAlign w:val="center"/>
          </w:tcPr>
          <w:p w14:paraId="0495ACF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lang w:eastAsia="zh-CN"/>
              </w:rPr>
            </w:pPr>
          </w:p>
        </w:tc>
        <w:tc>
          <w:tcPr>
            <w:tcW w:w="675" w:type="dxa"/>
            <w:shd w:val="clear" w:color="auto" w:fill="auto"/>
            <w:vAlign w:val="center"/>
          </w:tcPr>
          <w:p w14:paraId="4EB1868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3AA3F02F">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zh-CN"/>
              </w:rPr>
              <w:t>组</w:t>
            </w:r>
          </w:p>
        </w:tc>
        <w:tc>
          <w:tcPr>
            <w:tcW w:w="975" w:type="dxa"/>
            <w:shd w:val="clear" w:color="auto" w:fill="auto"/>
            <w:vAlign w:val="center"/>
          </w:tcPr>
          <w:p w14:paraId="6CD0886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p>
        </w:tc>
        <w:tc>
          <w:tcPr>
            <w:tcW w:w="1085" w:type="dxa"/>
            <w:shd w:val="clear" w:color="auto" w:fill="auto"/>
            <w:vAlign w:val="center"/>
          </w:tcPr>
          <w:p w14:paraId="145754D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p>
        </w:tc>
      </w:tr>
      <w:tr w14:paraId="7DC47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3D73D35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p>
        </w:tc>
        <w:tc>
          <w:tcPr>
            <w:tcW w:w="1912" w:type="dxa"/>
            <w:gridSpan w:val="3"/>
            <w:vMerge w:val="continue"/>
            <w:shd w:val="clear" w:color="auto" w:fill="auto"/>
            <w:vAlign w:val="center"/>
          </w:tcPr>
          <w:p w14:paraId="18DE8E9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p>
        </w:tc>
        <w:tc>
          <w:tcPr>
            <w:tcW w:w="1005" w:type="dxa"/>
            <w:vMerge w:val="continue"/>
            <w:shd w:val="clear" w:color="auto" w:fill="auto"/>
            <w:vAlign w:val="center"/>
          </w:tcPr>
          <w:p w14:paraId="7074CBB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p>
        </w:tc>
        <w:tc>
          <w:tcPr>
            <w:tcW w:w="2085" w:type="dxa"/>
            <w:vMerge w:val="continue"/>
            <w:shd w:val="clear" w:color="auto" w:fill="auto"/>
            <w:vAlign w:val="center"/>
          </w:tcPr>
          <w:p w14:paraId="2D1BF96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lang w:eastAsia="zh-CN"/>
              </w:rPr>
            </w:pPr>
          </w:p>
        </w:tc>
        <w:tc>
          <w:tcPr>
            <w:tcW w:w="675" w:type="dxa"/>
            <w:shd w:val="clear" w:color="auto" w:fill="auto"/>
            <w:vAlign w:val="center"/>
          </w:tcPr>
          <w:p w14:paraId="09AF7E1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6</w:t>
            </w:r>
          </w:p>
        </w:tc>
        <w:tc>
          <w:tcPr>
            <w:tcW w:w="675" w:type="dxa"/>
            <w:shd w:val="clear" w:color="auto" w:fill="auto"/>
            <w:vAlign w:val="center"/>
          </w:tcPr>
          <w:p w14:paraId="05C0DA7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zh-CN"/>
              </w:rPr>
              <w:t>组</w:t>
            </w:r>
          </w:p>
        </w:tc>
        <w:tc>
          <w:tcPr>
            <w:tcW w:w="975" w:type="dxa"/>
            <w:shd w:val="clear" w:color="auto" w:fill="auto"/>
            <w:vAlign w:val="center"/>
          </w:tcPr>
          <w:p w14:paraId="0671B90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p>
        </w:tc>
        <w:tc>
          <w:tcPr>
            <w:tcW w:w="1085" w:type="dxa"/>
            <w:shd w:val="clear" w:color="auto" w:fill="auto"/>
            <w:vAlign w:val="center"/>
          </w:tcPr>
          <w:p w14:paraId="79E3187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p>
        </w:tc>
      </w:tr>
      <w:tr w14:paraId="5289E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restart"/>
            <w:shd w:val="clear" w:color="auto" w:fill="auto"/>
            <w:vAlign w:val="center"/>
          </w:tcPr>
          <w:p w14:paraId="12D4C11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en-US"/>
              </w:rPr>
              <w:t>安全网</w:t>
            </w:r>
          </w:p>
        </w:tc>
        <w:tc>
          <w:tcPr>
            <w:tcW w:w="1912" w:type="dxa"/>
            <w:gridSpan w:val="3"/>
            <w:shd w:val="clear" w:color="auto" w:fill="auto"/>
            <w:vAlign w:val="center"/>
          </w:tcPr>
          <w:p w14:paraId="415AA2F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en-US"/>
              </w:rPr>
              <w:t>耐贯穿性</w:t>
            </w:r>
          </w:p>
        </w:tc>
        <w:tc>
          <w:tcPr>
            <w:tcW w:w="1005" w:type="dxa"/>
            <w:shd w:val="clear" w:color="auto" w:fill="auto"/>
            <w:vAlign w:val="center"/>
          </w:tcPr>
          <w:p w14:paraId="21EB500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en-US"/>
              </w:rPr>
              <w:t>12.18.6</w:t>
            </w:r>
          </w:p>
        </w:tc>
        <w:tc>
          <w:tcPr>
            <w:tcW w:w="2085" w:type="dxa"/>
            <w:vMerge w:val="restart"/>
            <w:shd w:val="clear" w:color="auto" w:fill="auto"/>
            <w:vAlign w:val="center"/>
          </w:tcPr>
          <w:p w14:paraId="2932B8B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zh-CN" w:bidi="ar-SA"/>
              </w:rPr>
              <w:t>以同品种规格为一批，每批不超过500张</w:t>
            </w:r>
          </w:p>
        </w:tc>
        <w:tc>
          <w:tcPr>
            <w:tcW w:w="675" w:type="dxa"/>
            <w:shd w:val="clear" w:color="auto" w:fill="auto"/>
            <w:vAlign w:val="center"/>
          </w:tcPr>
          <w:p w14:paraId="584C9F8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3</w:t>
            </w:r>
          </w:p>
        </w:tc>
        <w:tc>
          <w:tcPr>
            <w:tcW w:w="675" w:type="dxa"/>
            <w:shd w:val="clear" w:color="auto" w:fill="auto"/>
            <w:vAlign w:val="center"/>
          </w:tcPr>
          <w:p w14:paraId="4078515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en-US"/>
              </w:rPr>
              <w:t>项</w:t>
            </w:r>
          </w:p>
        </w:tc>
        <w:tc>
          <w:tcPr>
            <w:tcW w:w="975" w:type="dxa"/>
            <w:shd w:val="clear" w:color="auto" w:fill="auto"/>
            <w:vAlign w:val="center"/>
          </w:tcPr>
          <w:p w14:paraId="6148D9B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p>
        </w:tc>
        <w:tc>
          <w:tcPr>
            <w:tcW w:w="1085" w:type="dxa"/>
            <w:shd w:val="clear" w:color="auto" w:fill="auto"/>
            <w:vAlign w:val="center"/>
          </w:tcPr>
          <w:p w14:paraId="4B263F0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r>
      <w:tr w14:paraId="63C65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326E1CC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p>
        </w:tc>
        <w:tc>
          <w:tcPr>
            <w:tcW w:w="1912" w:type="dxa"/>
            <w:gridSpan w:val="3"/>
            <w:shd w:val="clear" w:color="auto" w:fill="auto"/>
            <w:vAlign w:val="center"/>
          </w:tcPr>
          <w:p w14:paraId="58C11FB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en-US"/>
              </w:rPr>
              <w:t>耐冲击性</w:t>
            </w:r>
          </w:p>
        </w:tc>
        <w:tc>
          <w:tcPr>
            <w:tcW w:w="1005" w:type="dxa"/>
            <w:shd w:val="clear" w:color="auto" w:fill="auto"/>
            <w:vAlign w:val="center"/>
          </w:tcPr>
          <w:p w14:paraId="309E638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en-US"/>
              </w:rPr>
              <w:t>12.18.7</w:t>
            </w:r>
          </w:p>
        </w:tc>
        <w:tc>
          <w:tcPr>
            <w:tcW w:w="2085" w:type="dxa"/>
            <w:vMerge w:val="continue"/>
            <w:shd w:val="clear" w:color="auto" w:fill="auto"/>
            <w:vAlign w:val="center"/>
          </w:tcPr>
          <w:p w14:paraId="7FF1912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p>
        </w:tc>
        <w:tc>
          <w:tcPr>
            <w:tcW w:w="675" w:type="dxa"/>
            <w:shd w:val="clear" w:color="auto" w:fill="auto"/>
            <w:vAlign w:val="center"/>
          </w:tcPr>
          <w:p w14:paraId="52037FD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3</w:t>
            </w:r>
          </w:p>
        </w:tc>
        <w:tc>
          <w:tcPr>
            <w:tcW w:w="675" w:type="dxa"/>
            <w:shd w:val="clear" w:color="auto" w:fill="auto"/>
            <w:vAlign w:val="center"/>
          </w:tcPr>
          <w:p w14:paraId="4AB24D6F">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en-US"/>
              </w:rPr>
              <w:t>项</w:t>
            </w:r>
          </w:p>
        </w:tc>
        <w:tc>
          <w:tcPr>
            <w:tcW w:w="975" w:type="dxa"/>
            <w:shd w:val="clear" w:color="auto" w:fill="auto"/>
            <w:vAlign w:val="center"/>
          </w:tcPr>
          <w:p w14:paraId="3749B00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p>
        </w:tc>
        <w:tc>
          <w:tcPr>
            <w:tcW w:w="1085" w:type="dxa"/>
            <w:shd w:val="clear" w:color="auto" w:fill="auto"/>
            <w:vAlign w:val="center"/>
          </w:tcPr>
          <w:p w14:paraId="10F49C5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p>
        </w:tc>
      </w:tr>
      <w:tr w14:paraId="0067B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dxa"/>
            <w:vMerge w:val="continue"/>
            <w:shd w:val="clear" w:color="auto" w:fill="auto"/>
            <w:vAlign w:val="center"/>
          </w:tcPr>
          <w:p w14:paraId="70F7CC1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p>
        </w:tc>
        <w:tc>
          <w:tcPr>
            <w:tcW w:w="1912" w:type="dxa"/>
            <w:gridSpan w:val="3"/>
            <w:shd w:val="clear" w:color="auto" w:fill="auto"/>
            <w:vAlign w:val="center"/>
          </w:tcPr>
          <w:p w14:paraId="09E62C7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en-US"/>
              </w:rPr>
              <w:t>阻燃性能</w:t>
            </w:r>
          </w:p>
        </w:tc>
        <w:tc>
          <w:tcPr>
            <w:tcW w:w="1005" w:type="dxa"/>
            <w:shd w:val="clear" w:color="auto" w:fill="auto"/>
            <w:vAlign w:val="center"/>
          </w:tcPr>
          <w:p w14:paraId="3D7D06A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en-US"/>
              </w:rPr>
              <w:t>12.18.8</w:t>
            </w:r>
          </w:p>
        </w:tc>
        <w:tc>
          <w:tcPr>
            <w:tcW w:w="2085" w:type="dxa"/>
            <w:vMerge w:val="continue"/>
            <w:shd w:val="clear" w:color="auto" w:fill="auto"/>
            <w:vAlign w:val="center"/>
          </w:tcPr>
          <w:p w14:paraId="051C2FD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p>
        </w:tc>
        <w:tc>
          <w:tcPr>
            <w:tcW w:w="675" w:type="dxa"/>
            <w:shd w:val="clear" w:color="auto" w:fill="auto"/>
            <w:vAlign w:val="center"/>
          </w:tcPr>
          <w:p w14:paraId="6714D95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3</w:t>
            </w:r>
          </w:p>
        </w:tc>
        <w:tc>
          <w:tcPr>
            <w:tcW w:w="675" w:type="dxa"/>
            <w:shd w:val="clear" w:color="auto" w:fill="auto"/>
            <w:vAlign w:val="center"/>
          </w:tcPr>
          <w:p w14:paraId="0646DDF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en-US"/>
              </w:rPr>
              <w:t>项</w:t>
            </w:r>
          </w:p>
        </w:tc>
        <w:tc>
          <w:tcPr>
            <w:tcW w:w="975" w:type="dxa"/>
            <w:shd w:val="clear" w:color="auto" w:fill="auto"/>
            <w:vAlign w:val="center"/>
          </w:tcPr>
          <w:p w14:paraId="3248E07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p>
        </w:tc>
        <w:tc>
          <w:tcPr>
            <w:tcW w:w="1085" w:type="dxa"/>
            <w:shd w:val="clear" w:color="auto" w:fill="auto"/>
            <w:vAlign w:val="center"/>
          </w:tcPr>
          <w:p w14:paraId="298EF24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val="en-US" w:eastAsia="zh-CN"/>
              </w:rPr>
            </w:pPr>
          </w:p>
        </w:tc>
      </w:tr>
      <w:tr w14:paraId="55239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4" w:type="dxa"/>
            <w:gridSpan w:val="8"/>
            <w:shd w:val="clear" w:color="auto" w:fill="auto"/>
            <w:vAlign w:val="center"/>
          </w:tcPr>
          <w:p w14:paraId="2FA2FB2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rPr>
              <w:t>建筑工程材料试验总费用合计（元）</w:t>
            </w:r>
          </w:p>
        </w:tc>
        <w:tc>
          <w:tcPr>
            <w:tcW w:w="2060" w:type="dxa"/>
            <w:gridSpan w:val="2"/>
            <w:shd w:val="clear" w:color="auto" w:fill="auto"/>
            <w:vAlign w:val="center"/>
          </w:tcPr>
          <w:p w14:paraId="53D3554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cs="宋体"/>
                <w:color w:val="auto"/>
                <w:kern w:val="0"/>
                <w:sz w:val="21"/>
                <w:szCs w:val="21"/>
                <w:lang w:val="en-US" w:eastAsia="zh-CN"/>
              </w:rPr>
            </w:pPr>
          </w:p>
        </w:tc>
      </w:tr>
      <w:tr w14:paraId="6F710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4" w:type="dxa"/>
            <w:gridSpan w:val="8"/>
            <w:shd w:val="clear" w:color="auto" w:fill="auto"/>
            <w:vAlign w:val="center"/>
          </w:tcPr>
          <w:p w14:paraId="7CA5ADA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rPr>
              <w:t>建筑工程材料试验总费用下浮</w:t>
            </w:r>
            <w:r>
              <w:rPr>
                <w:rFonts w:hint="eastAsia" w:ascii="宋体" w:hAnsi="宋体" w:cs="宋体"/>
                <w:color w:val="auto"/>
                <w:kern w:val="0"/>
                <w:sz w:val="21"/>
                <w:szCs w:val="21"/>
                <w:lang w:val="en-US" w:eastAsia="zh-CN"/>
              </w:rPr>
              <w:t>55</w:t>
            </w:r>
            <w:r>
              <w:rPr>
                <w:rFonts w:hint="eastAsia" w:ascii="宋体" w:hAnsi="宋体" w:cs="宋体"/>
                <w:color w:val="auto"/>
                <w:kern w:val="0"/>
                <w:sz w:val="21"/>
                <w:szCs w:val="21"/>
              </w:rPr>
              <w:t>%计算</w:t>
            </w:r>
            <w:r>
              <w:rPr>
                <w:rFonts w:hint="eastAsia" w:ascii="宋体" w:hAnsi="宋体" w:cs="宋体"/>
                <w:color w:val="auto"/>
                <w:kern w:val="0"/>
                <w:sz w:val="21"/>
                <w:szCs w:val="21"/>
                <w:lang w:eastAsia="zh-CN"/>
              </w:rPr>
              <w:t>（元）</w:t>
            </w:r>
          </w:p>
        </w:tc>
        <w:tc>
          <w:tcPr>
            <w:tcW w:w="2060" w:type="dxa"/>
            <w:gridSpan w:val="2"/>
            <w:shd w:val="clear" w:color="auto" w:fill="auto"/>
            <w:vAlign w:val="center"/>
          </w:tcPr>
          <w:p w14:paraId="49493A4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0"/>
                <w:sz w:val="21"/>
                <w:szCs w:val="21"/>
                <w:lang w:val="en-US" w:eastAsia="zh-CN"/>
              </w:rPr>
            </w:pPr>
          </w:p>
        </w:tc>
      </w:tr>
      <w:tr w14:paraId="4AD06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24" w:type="dxa"/>
            <w:gridSpan w:val="10"/>
            <w:shd w:val="clear" w:color="auto" w:fill="auto"/>
            <w:vAlign w:val="center"/>
          </w:tcPr>
          <w:p w14:paraId="1C720F10">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rPr>
              <w:t>注</w:t>
            </w:r>
            <w:r>
              <w:rPr>
                <w:rFonts w:hint="eastAsia" w:ascii="宋体" w:hAnsi="宋体" w:cs="宋体"/>
                <w:color w:val="auto"/>
                <w:kern w:val="0"/>
                <w:sz w:val="21"/>
                <w:szCs w:val="21"/>
                <w:lang w:eastAsia="zh-CN"/>
              </w:rPr>
              <w:t>：</w:t>
            </w:r>
            <w:r>
              <w:rPr>
                <w:rFonts w:hint="eastAsia" w:ascii="宋体" w:hAnsi="宋体" w:cs="宋体"/>
                <w:color w:val="auto"/>
                <w:kern w:val="0"/>
                <w:sz w:val="21"/>
                <w:szCs w:val="21"/>
              </w:rPr>
              <w:t>以实际发生量为准</w:t>
            </w:r>
            <w:r>
              <w:rPr>
                <w:rFonts w:hint="eastAsia" w:ascii="宋体" w:hAnsi="宋体" w:cs="宋体"/>
                <w:color w:val="auto"/>
                <w:kern w:val="0"/>
                <w:sz w:val="21"/>
                <w:szCs w:val="21"/>
                <w:lang w:eastAsia="zh-CN"/>
              </w:rPr>
              <w:t>。</w:t>
            </w:r>
          </w:p>
        </w:tc>
      </w:tr>
    </w:tbl>
    <w:p w14:paraId="288C6DDA">
      <w:pPr>
        <w:pStyle w:val="118"/>
        <w:keepNext w:val="0"/>
        <w:keepLines w:val="0"/>
        <w:pageBreakBefore w:val="0"/>
        <w:widowControl w:val="0"/>
        <w:tabs>
          <w:tab w:val="left" w:pos="-1486"/>
          <w:tab w:val="left" w:pos="-142"/>
        </w:tabs>
        <w:kinsoku/>
        <w:wordWrap/>
        <w:overflowPunct/>
        <w:topLinePunct w:val="0"/>
        <w:autoSpaceDE/>
        <w:autoSpaceDN/>
        <w:bidi w:val="0"/>
        <w:adjustRightInd/>
        <w:snapToGrid/>
        <w:spacing w:before="100" w:beforeLines="30" w:after="67" w:afterLines="20" w:line="560" w:lineRule="exact"/>
        <w:ind w:left="6" w:leftChars="0" w:hanging="6" w:firstLineChars="0"/>
        <w:jc w:val="center"/>
        <w:textAlignment w:val="auto"/>
        <w:rPr>
          <w:rFonts w:hint="eastAsia" w:ascii="宋体" w:hAnsi="宋体" w:eastAsia="宋体" w:cs="宋体"/>
          <w:b/>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val="0"/>
          <w:color w:val="000000" w:themeColor="text1"/>
          <w:sz w:val="28"/>
          <w:szCs w:val="28"/>
          <w:highlight w:val="none"/>
          <w14:textFill>
            <w14:solidFill>
              <w14:schemeClr w14:val="tx1"/>
            </w14:solidFill>
          </w14:textFill>
        </w:rPr>
        <w:t>（三）</w:t>
      </w:r>
      <w:r>
        <w:rPr>
          <w:rFonts w:hint="eastAsia" w:ascii="宋体" w:hAnsi="宋体" w:eastAsia="宋体" w:cs="宋体"/>
          <w:b/>
          <w:bCs w:val="0"/>
          <w:color w:val="000000" w:themeColor="text1"/>
          <w:sz w:val="28"/>
          <w:szCs w:val="28"/>
          <w:highlight w:val="none"/>
          <w:lang w:val="en-US" w:eastAsia="zh-CN"/>
          <w14:textFill>
            <w14:solidFill>
              <w14:schemeClr w14:val="tx1"/>
            </w14:solidFill>
          </w14:textFill>
        </w:rPr>
        <w:t>主体结构检测</w:t>
      </w:r>
    </w:p>
    <w:tbl>
      <w:tblPr>
        <w:tblStyle w:val="26"/>
        <w:tblW w:w="922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1"/>
        <w:gridCol w:w="880"/>
        <w:gridCol w:w="855"/>
        <w:gridCol w:w="655"/>
        <w:gridCol w:w="3010"/>
        <w:gridCol w:w="684"/>
        <w:gridCol w:w="720"/>
        <w:gridCol w:w="811"/>
        <w:gridCol w:w="1152"/>
      </w:tblGrid>
      <w:tr w14:paraId="354F5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jc w:val="center"/>
        </w:trPr>
        <w:tc>
          <w:tcPr>
            <w:tcW w:w="9228"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21B2671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主体结构检测数量表</w:t>
            </w:r>
          </w:p>
        </w:tc>
      </w:tr>
      <w:tr w14:paraId="314D2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134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AA1565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lang w:val="en-US" w:eastAsia="zh-CN"/>
              </w:rPr>
              <w:t>检测项目</w:t>
            </w:r>
          </w:p>
        </w:tc>
        <w:tc>
          <w:tcPr>
            <w:tcW w:w="855" w:type="dxa"/>
            <w:tcBorders>
              <w:top w:val="single" w:color="auto" w:sz="4" w:space="0"/>
              <w:left w:val="single" w:color="auto" w:sz="4" w:space="0"/>
              <w:bottom w:val="single" w:color="auto" w:sz="4" w:space="0"/>
              <w:right w:val="single" w:color="auto" w:sz="4" w:space="0"/>
            </w:tcBorders>
            <w:shd w:val="clear" w:color="auto" w:fill="auto"/>
            <w:vAlign w:val="center"/>
          </w:tcPr>
          <w:p w14:paraId="455A8D1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lang w:val="en-US" w:eastAsia="zh-CN"/>
              </w:rPr>
              <w:t>检测项目序号</w:t>
            </w:r>
          </w:p>
        </w:tc>
        <w:tc>
          <w:tcPr>
            <w:tcW w:w="655" w:type="dxa"/>
            <w:tcBorders>
              <w:top w:val="single" w:color="auto" w:sz="4" w:space="0"/>
              <w:left w:val="single" w:color="auto" w:sz="4" w:space="0"/>
              <w:bottom w:val="single" w:color="auto" w:sz="4" w:space="0"/>
              <w:right w:val="single" w:color="auto" w:sz="4" w:space="0"/>
            </w:tcBorders>
            <w:shd w:val="clear" w:color="auto" w:fill="auto"/>
            <w:vAlign w:val="center"/>
          </w:tcPr>
          <w:p w14:paraId="6C5EEBB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lang w:val="en-US" w:eastAsia="zh-CN"/>
              </w:rPr>
              <w:t>结构部位</w:t>
            </w:r>
          </w:p>
        </w:tc>
        <w:tc>
          <w:tcPr>
            <w:tcW w:w="3010" w:type="dxa"/>
            <w:tcBorders>
              <w:top w:val="single" w:color="auto" w:sz="4" w:space="0"/>
              <w:left w:val="single" w:color="auto" w:sz="4" w:space="0"/>
              <w:bottom w:val="single" w:color="auto" w:sz="4" w:space="0"/>
              <w:right w:val="single" w:color="auto" w:sz="4" w:space="0"/>
            </w:tcBorders>
            <w:shd w:val="clear" w:color="auto" w:fill="auto"/>
            <w:vAlign w:val="center"/>
          </w:tcPr>
          <w:p w14:paraId="3CC33A1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lang w:val="en-US" w:eastAsia="zh-CN"/>
              </w:rPr>
              <w:t>抽样规则</w:t>
            </w:r>
          </w:p>
        </w:tc>
        <w:tc>
          <w:tcPr>
            <w:tcW w:w="684" w:type="dxa"/>
            <w:tcBorders>
              <w:top w:val="single" w:color="auto" w:sz="4" w:space="0"/>
              <w:left w:val="single" w:color="auto" w:sz="4" w:space="0"/>
              <w:bottom w:val="single" w:color="auto" w:sz="4" w:space="0"/>
              <w:right w:val="single" w:color="auto" w:sz="4" w:space="0"/>
            </w:tcBorders>
            <w:shd w:val="clear" w:color="auto" w:fill="auto"/>
            <w:vAlign w:val="center"/>
          </w:tcPr>
          <w:p w14:paraId="789FD74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lang w:val="en-US" w:eastAsia="zh-CN"/>
              </w:rPr>
              <w:t>抽检数量</w:t>
            </w: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4EAD677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lang w:val="en-US" w:eastAsia="zh-CN"/>
              </w:rPr>
              <w:t>计费单位</w:t>
            </w:r>
          </w:p>
        </w:tc>
        <w:tc>
          <w:tcPr>
            <w:tcW w:w="811" w:type="dxa"/>
            <w:tcBorders>
              <w:top w:val="single" w:color="auto" w:sz="4" w:space="0"/>
              <w:left w:val="single" w:color="auto" w:sz="4" w:space="0"/>
              <w:bottom w:val="single" w:color="auto" w:sz="4" w:space="0"/>
              <w:right w:val="single" w:color="auto" w:sz="4" w:space="0"/>
            </w:tcBorders>
            <w:shd w:val="clear" w:color="auto" w:fill="auto"/>
            <w:vAlign w:val="center"/>
          </w:tcPr>
          <w:p w14:paraId="6B2E20D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lang w:val="en-US" w:eastAsia="zh-CN"/>
              </w:rPr>
              <w:t>单价（元）</w:t>
            </w:r>
          </w:p>
        </w:tc>
        <w:tc>
          <w:tcPr>
            <w:tcW w:w="1152" w:type="dxa"/>
            <w:tcBorders>
              <w:top w:val="single" w:color="auto" w:sz="4" w:space="0"/>
              <w:left w:val="single" w:color="auto" w:sz="4" w:space="0"/>
              <w:bottom w:val="single" w:color="auto" w:sz="4" w:space="0"/>
              <w:right w:val="single" w:color="auto" w:sz="4" w:space="0"/>
            </w:tcBorders>
            <w:shd w:val="clear" w:color="auto" w:fill="auto"/>
            <w:vAlign w:val="center"/>
          </w:tcPr>
          <w:p w14:paraId="5847542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小计</w:t>
            </w:r>
          </w:p>
          <w:p w14:paraId="18C36AB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lang w:val="en-US" w:eastAsia="zh-CN"/>
              </w:rPr>
              <w:t>（元）</w:t>
            </w:r>
          </w:p>
        </w:tc>
      </w:tr>
      <w:tr w14:paraId="21A2D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6" w:hRule="atLeast"/>
          <w:jc w:val="center"/>
        </w:trPr>
        <w:tc>
          <w:tcPr>
            <w:tcW w:w="46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9C64C1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lang w:val="en-US" w:eastAsia="zh-CN"/>
              </w:rPr>
              <w:t>混凝土构件</w:t>
            </w:r>
          </w:p>
        </w:tc>
        <w:tc>
          <w:tcPr>
            <w:tcW w:w="8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A2121D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lang w:val="en-US" w:eastAsia="zh-CN"/>
              </w:rPr>
              <w:t>钢筋保护层厚度</w:t>
            </w:r>
          </w:p>
        </w:tc>
        <w:tc>
          <w:tcPr>
            <w:tcW w:w="85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70E72C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lang w:val="en-US" w:eastAsia="zh-CN"/>
              </w:rPr>
              <w:t>2.2.1</w:t>
            </w:r>
          </w:p>
        </w:tc>
        <w:tc>
          <w:tcPr>
            <w:tcW w:w="655" w:type="dxa"/>
            <w:tcBorders>
              <w:top w:val="single" w:color="auto" w:sz="4" w:space="0"/>
              <w:left w:val="single" w:color="auto" w:sz="4" w:space="0"/>
              <w:bottom w:val="single" w:color="auto" w:sz="4" w:space="0"/>
              <w:right w:val="single" w:color="auto" w:sz="4" w:space="0"/>
            </w:tcBorders>
            <w:shd w:val="clear" w:color="auto" w:fill="auto"/>
            <w:vAlign w:val="center"/>
          </w:tcPr>
          <w:p w14:paraId="48EB909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rPr>
            </w:pPr>
            <w:r>
              <w:rPr>
                <w:rFonts w:hint="eastAsia" w:ascii="宋体" w:hAnsi="宋体" w:cs="宋体"/>
                <w:color w:val="auto"/>
                <w:kern w:val="0"/>
                <w:sz w:val="21"/>
                <w:szCs w:val="21"/>
                <w:lang w:val="en-US" w:eastAsia="zh-CN"/>
              </w:rPr>
              <w:t>梁</w:t>
            </w:r>
          </w:p>
        </w:tc>
        <w:tc>
          <w:tcPr>
            <w:tcW w:w="301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9FCE3D5">
            <w:pPr>
              <w:pStyle w:val="116"/>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宋体" w:hAnsi="宋体" w:cs="宋体"/>
                <w:color w:val="auto"/>
                <w:kern w:val="0"/>
                <w:sz w:val="21"/>
                <w:szCs w:val="21"/>
              </w:rPr>
            </w:pPr>
            <w:r>
              <w:rPr>
                <w:rFonts w:hint="eastAsia" w:ascii="宋体" w:hAnsi="宋体" w:eastAsia="宋体" w:cs="宋体"/>
                <w:color w:val="auto"/>
                <w:spacing w:val="-2"/>
                <w:sz w:val="21"/>
                <w:szCs w:val="21"/>
              </w:rPr>
              <w:t>抽样数量为构件总数的2%且不少于5个</w:t>
            </w:r>
            <w:r>
              <w:rPr>
                <w:rFonts w:hint="eastAsia" w:ascii="宋体" w:hAnsi="宋体" w:eastAsia="宋体" w:cs="宋体"/>
                <w:color w:val="auto"/>
                <w:spacing w:val="-11"/>
                <w:sz w:val="21"/>
                <w:szCs w:val="21"/>
              </w:rPr>
              <w:t>构件；当有悬挑构件时，抽取的构件中</w:t>
            </w:r>
            <w:r>
              <w:rPr>
                <w:rFonts w:hint="eastAsia" w:ascii="宋体" w:hAnsi="宋体" w:eastAsia="宋体" w:cs="宋体"/>
                <w:color w:val="auto"/>
                <w:spacing w:val="-1"/>
                <w:sz w:val="21"/>
                <w:szCs w:val="21"/>
              </w:rPr>
              <w:t>悬挑梁类、板类构件所占比例均不宜小</w:t>
            </w:r>
            <w:r>
              <w:rPr>
                <w:rFonts w:hint="eastAsia" w:ascii="宋体" w:hAnsi="宋体" w:eastAsia="宋体" w:cs="宋体"/>
                <w:color w:val="auto"/>
                <w:spacing w:val="-8"/>
                <w:sz w:val="21"/>
                <w:szCs w:val="21"/>
              </w:rPr>
              <w:t>于50％。</w:t>
            </w:r>
          </w:p>
        </w:tc>
        <w:tc>
          <w:tcPr>
            <w:tcW w:w="684" w:type="dxa"/>
            <w:tcBorders>
              <w:top w:val="single" w:color="auto" w:sz="4" w:space="0"/>
              <w:left w:val="single" w:color="auto" w:sz="4" w:space="0"/>
              <w:bottom w:val="single" w:color="auto" w:sz="4" w:space="0"/>
              <w:right w:val="single" w:color="auto" w:sz="4" w:space="0"/>
            </w:tcBorders>
            <w:shd w:val="clear" w:color="auto" w:fill="auto"/>
            <w:vAlign w:val="center"/>
          </w:tcPr>
          <w:p w14:paraId="2FF3893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85</w:t>
            </w: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5C039C5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构件</w:t>
            </w:r>
          </w:p>
        </w:tc>
        <w:tc>
          <w:tcPr>
            <w:tcW w:w="811" w:type="dxa"/>
            <w:tcBorders>
              <w:top w:val="single" w:color="auto" w:sz="4" w:space="0"/>
              <w:left w:val="single" w:color="auto" w:sz="4" w:space="0"/>
              <w:bottom w:val="single" w:color="auto" w:sz="4" w:space="0"/>
              <w:right w:val="single" w:color="auto" w:sz="4" w:space="0"/>
            </w:tcBorders>
            <w:shd w:val="clear" w:color="auto" w:fill="auto"/>
            <w:vAlign w:val="center"/>
          </w:tcPr>
          <w:p w14:paraId="65CC593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宋体" w:hAnsi="宋体" w:eastAsia="宋体" w:cs="宋体"/>
                <w:color w:val="auto"/>
                <w:kern w:val="0"/>
                <w:sz w:val="21"/>
                <w:szCs w:val="21"/>
                <w:lang w:val="en-US" w:eastAsia="zh-CN"/>
              </w:rPr>
            </w:pPr>
          </w:p>
        </w:tc>
        <w:tc>
          <w:tcPr>
            <w:tcW w:w="1152" w:type="dxa"/>
            <w:tcBorders>
              <w:top w:val="single" w:color="auto" w:sz="4" w:space="0"/>
              <w:left w:val="single" w:color="auto" w:sz="4" w:space="0"/>
              <w:bottom w:val="single" w:color="auto" w:sz="4" w:space="0"/>
              <w:right w:val="single" w:color="auto" w:sz="4" w:space="0"/>
            </w:tcBorders>
            <w:shd w:val="clear" w:color="auto" w:fill="auto"/>
            <w:vAlign w:val="center"/>
          </w:tcPr>
          <w:p w14:paraId="0537464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宋体" w:hAnsi="宋体" w:eastAsia="宋体" w:cs="宋体"/>
                <w:color w:val="auto"/>
                <w:kern w:val="0"/>
                <w:sz w:val="21"/>
                <w:szCs w:val="21"/>
                <w:lang w:val="en-US" w:eastAsia="zh-CN"/>
              </w:rPr>
            </w:pPr>
          </w:p>
        </w:tc>
      </w:tr>
      <w:tr w14:paraId="2F512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8" w:hRule="atLeast"/>
          <w:jc w:val="center"/>
        </w:trPr>
        <w:tc>
          <w:tcPr>
            <w:tcW w:w="46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B8975C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p>
        </w:tc>
        <w:tc>
          <w:tcPr>
            <w:tcW w:w="8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D40FE6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p>
        </w:tc>
        <w:tc>
          <w:tcPr>
            <w:tcW w:w="85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2F6E7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p>
        </w:tc>
        <w:tc>
          <w:tcPr>
            <w:tcW w:w="655" w:type="dxa"/>
            <w:tcBorders>
              <w:top w:val="single" w:color="auto" w:sz="4" w:space="0"/>
              <w:left w:val="single" w:color="auto" w:sz="4" w:space="0"/>
              <w:bottom w:val="single" w:color="auto" w:sz="4" w:space="0"/>
              <w:right w:val="single" w:color="auto" w:sz="4" w:space="0"/>
            </w:tcBorders>
            <w:shd w:val="clear" w:color="auto" w:fill="auto"/>
            <w:vAlign w:val="center"/>
          </w:tcPr>
          <w:p w14:paraId="0498BF9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板</w:t>
            </w:r>
          </w:p>
        </w:tc>
        <w:tc>
          <w:tcPr>
            <w:tcW w:w="30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6C1C70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p>
        </w:tc>
        <w:tc>
          <w:tcPr>
            <w:tcW w:w="684" w:type="dxa"/>
            <w:tcBorders>
              <w:top w:val="single" w:color="auto" w:sz="4" w:space="0"/>
              <w:left w:val="single" w:color="auto" w:sz="4" w:space="0"/>
              <w:bottom w:val="single" w:color="auto" w:sz="4" w:space="0"/>
              <w:right w:val="single" w:color="auto" w:sz="4" w:space="0"/>
            </w:tcBorders>
            <w:shd w:val="clear" w:color="auto" w:fill="auto"/>
            <w:vAlign w:val="center"/>
          </w:tcPr>
          <w:p w14:paraId="74B8830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40</w:t>
            </w: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2236317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构件</w:t>
            </w:r>
          </w:p>
        </w:tc>
        <w:tc>
          <w:tcPr>
            <w:tcW w:w="811" w:type="dxa"/>
            <w:tcBorders>
              <w:top w:val="single" w:color="auto" w:sz="4" w:space="0"/>
              <w:left w:val="single" w:color="auto" w:sz="4" w:space="0"/>
              <w:bottom w:val="single" w:color="auto" w:sz="4" w:space="0"/>
              <w:right w:val="single" w:color="auto" w:sz="4" w:space="0"/>
            </w:tcBorders>
            <w:shd w:val="clear" w:color="auto" w:fill="auto"/>
            <w:vAlign w:val="center"/>
          </w:tcPr>
          <w:p w14:paraId="208356C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宋体" w:hAnsi="宋体" w:cs="宋体"/>
                <w:color w:val="auto"/>
                <w:kern w:val="0"/>
                <w:sz w:val="21"/>
                <w:szCs w:val="21"/>
                <w:lang w:val="en-US" w:eastAsia="zh-CN"/>
              </w:rPr>
            </w:pPr>
          </w:p>
        </w:tc>
        <w:tc>
          <w:tcPr>
            <w:tcW w:w="1152" w:type="dxa"/>
            <w:tcBorders>
              <w:top w:val="single" w:color="auto" w:sz="4" w:space="0"/>
              <w:left w:val="single" w:color="auto" w:sz="4" w:space="0"/>
              <w:bottom w:val="single" w:color="auto" w:sz="4" w:space="0"/>
              <w:right w:val="single" w:color="auto" w:sz="4" w:space="0"/>
            </w:tcBorders>
            <w:shd w:val="clear" w:color="auto" w:fill="auto"/>
            <w:vAlign w:val="center"/>
          </w:tcPr>
          <w:p w14:paraId="3E3D6DC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宋体" w:hAnsi="宋体" w:cs="宋体"/>
                <w:color w:val="auto"/>
                <w:kern w:val="0"/>
                <w:sz w:val="21"/>
                <w:szCs w:val="21"/>
                <w:lang w:val="en-US" w:eastAsia="zh-CN"/>
              </w:rPr>
            </w:pPr>
          </w:p>
        </w:tc>
      </w:tr>
      <w:tr w14:paraId="6E348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jc w:val="center"/>
        </w:trPr>
        <w:tc>
          <w:tcPr>
            <w:tcW w:w="46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54C35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p>
        </w:tc>
        <w:tc>
          <w:tcPr>
            <w:tcW w:w="880" w:type="dxa"/>
            <w:tcBorders>
              <w:top w:val="single" w:color="auto" w:sz="4" w:space="0"/>
              <w:left w:val="single" w:color="auto" w:sz="4" w:space="0"/>
              <w:bottom w:val="single" w:color="auto" w:sz="4" w:space="0"/>
              <w:right w:val="single" w:color="auto" w:sz="4" w:space="0"/>
            </w:tcBorders>
            <w:shd w:val="clear" w:color="auto" w:fill="auto"/>
            <w:vAlign w:val="center"/>
          </w:tcPr>
          <w:p w14:paraId="4BF2C42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楼板厚度</w:t>
            </w:r>
          </w:p>
        </w:tc>
        <w:tc>
          <w:tcPr>
            <w:tcW w:w="855" w:type="dxa"/>
            <w:tcBorders>
              <w:top w:val="single" w:color="auto" w:sz="4" w:space="0"/>
              <w:left w:val="single" w:color="auto" w:sz="4" w:space="0"/>
              <w:bottom w:val="single" w:color="auto" w:sz="4" w:space="0"/>
              <w:right w:val="single" w:color="auto" w:sz="4" w:space="0"/>
            </w:tcBorders>
            <w:shd w:val="clear" w:color="auto" w:fill="auto"/>
            <w:vAlign w:val="center"/>
          </w:tcPr>
          <w:p w14:paraId="2FF1640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eastAsia="宋体" w:cs="宋体"/>
                <w:color w:val="auto"/>
                <w:spacing w:val="-2"/>
                <w:sz w:val="21"/>
                <w:szCs w:val="21"/>
              </w:rPr>
              <w:t>2.2.5</w:t>
            </w:r>
          </w:p>
        </w:tc>
        <w:tc>
          <w:tcPr>
            <w:tcW w:w="655" w:type="dxa"/>
            <w:tcBorders>
              <w:top w:val="single" w:color="auto" w:sz="4" w:space="0"/>
              <w:left w:val="single" w:color="auto" w:sz="4" w:space="0"/>
              <w:bottom w:val="single" w:color="auto" w:sz="4" w:space="0"/>
              <w:right w:val="single" w:color="auto" w:sz="4" w:space="0"/>
            </w:tcBorders>
            <w:shd w:val="clear" w:color="auto" w:fill="auto"/>
            <w:vAlign w:val="center"/>
          </w:tcPr>
          <w:p w14:paraId="0454C5B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板</w:t>
            </w:r>
          </w:p>
        </w:tc>
        <w:tc>
          <w:tcPr>
            <w:tcW w:w="3010" w:type="dxa"/>
            <w:tcBorders>
              <w:top w:val="single" w:color="auto" w:sz="4" w:space="0"/>
              <w:left w:val="single" w:color="auto" w:sz="4" w:space="0"/>
              <w:bottom w:val="single" w:color="auto" w:sz="4" w:space="0"/>
              <w:right w:val="single" w:color="auto" w:sz="4" w:space="0"/>
            </w:tcBorders>
            <w:shd w:val="clear" w:color="auto" w:fill="auto"/>
            <w:vAlign w:val="center"/>
          </w:tcPr>
          <w:p w14:paraId="1D7A24AD">
            <w:pPr>
              <w:pStyle w:val="116"/>
              <w:keepNext w:val="0"/>
              <w:keepLines w:val="0"/>
              <w:pageBreakBefore w:val="0"/>
              <w:kinsoku/>
              <w:wordWrap/>
              <w:overflowPunct/>
              <w:topLinePunct w:val="0"/>
              <w:autoSpaceDE/>
              <w:autoSpaceDN/>
              <w:bidi w:val="0"/>
              <w:adjustRightInd/>
              <w:snapToGrid/>
              <w:spacing w:line="360" w:lineRule="exact"/>
              <w:ind w:left="0" w:leftChars="0" w:right="122"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eastAsia="宋体" w:cs="宋体"/>
                <w:color w:val="auto"/>
                <w:spacing w:val="-1"/>
                <w:sz w:val="21"/>
                <w:szCs w:val="21"/>
              </w:rPr>
              <w:t>抽样方法按照《混凝土结构工程施工质量验收规范》（GB50204—2015）附录F</w:t>
            </w:r>
            <w:r>
              <w:rPr>
                <w:rFonts w:hint="eastAsia" w:ascii="宋体" w:hAnsi="宋体" w:eastAsia="宋体" w:cs="宋体"/>
                <w:color w:val="auto"/>
                <w:spacing w:val="1"/>
                <w:sz w:val="21"/>
                <w:szCs w:val="21"/>
              </w:rPr>
              <w:t>结构实体位置与尺寸偏差检验的规定进</w:t>
            </w:r>
            <w:r>
              <w:rPr>
                <w:rFonts w:hint="eastAsia" w:ascii="宋体" w:hAnsi="宋体" w:eastAsia="宋体" w:cs="宋体"/>
                <w:color w:val="auto"/>
                <w:spacing w:val="-10"/>
                <w:sz w:val="21"/>
                <w:szCs w:val="21"/>
              </w:rPr>
              <w:t>行。</w:t>
            </w:r>
          </w:p>
        </w:tc>
        <w:tc>
          <w:tcPr>
            <w:tcW w:w="684" w:type="dxa"/>
            <w:tcBorders>
              <w:top w:val="single" w:color="auto" w:sz="4" w:space="0"/>
              <w:left w:val="single" w:color="auto" w:sz="4" w:space="0"/>
              <w:bottom w:val="single" w:color="auto" w:sz="4" w:space="0"/>
              <w:right w:val="single" w:color="auto" w:sz="4" w:space="0"/>
            </w:tcBorders>
            <w:shd w:val="clear" w:color="auto" w:fill="auto"/>
            <w:vAlign w:val="center"/>
          </w:tcPr>
          <w:p w14:paraId="21E77B0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20</w:t>
            </w: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3E1E159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个</w:t>
            </w:r>
          </w:p>
        </w:tc>
        <w:tc>
          <w:tcPr>
            <w:tcW w:w="811" w:type="dxa"/>
            <w:tcBorders>
              <w:top w:val="single" w:color="auto" w:sz="4" w:space="0"/>
              <w:left w:val="single" w:color="auto" w:sz="4" w:space="0"/>
              <w:bottom w:val="single" w:color="auto" w:sz="4" w:space="0"/>
              <w:right w:val="single" w:color="auto" w:sz="4" w:space="0"/>
            </w:tcBorders>
            <w:shd w:val="clear" w:color="auto" w:fill="auto"/>
            <w:vAlign w:val="center"/>
          </w:tcPr>
          <w:p w14:paraId="38701E8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宋体" w:hAnsi="宋体" w:cs="宋体"/>
                <w:color w:val="auto"/>
                <w:kern w:val="0"/>
                <w:sz w:val="21"/>
                <w:szCs w:val="21"/>
                <w:lang w:val="en-US" w:eastAsia="zh-CN"/>
              </w:rPr>
            </w:pPr>
          </w:p>
        </w:tc>
        <w:tc>
          <w:tcPr>
            <w:tcW w:w="1152" w:type="dxa"/>
            <w:tcBorders>
              <w:top w:val="single" w:color="auto" w:sz="4" w:space="0"/>
              <w:left w:val="single" w:color="auto" w:sz="4" w:space="0"/>
              <w:bottom w:val="single" w:color="auto" w:sz="4" w:space="0"/>
              <w:right w:val="single" w:color="auto" w:sz="4" w:space="0"/>
            </w:tcBorders>
            <w:shd w:val="clear" w:color="auto" w:fill="auto"/>
            <w:vAlign w:val="center"/>
          </w:tcPr>
          <w:p w14:paraId="1D69A1B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宋体" w:hAnsi="宋体" w:cs="宋体"/>
                <w:color w:val="auto"/>
                <w:kern w:val="0"/>
                <w:sz w:val="21"/>
                <w:szCs w:val="21"/>
                <w:lang w:val="en-US" w:eastAsia="zh-CN"/>
              </w:rPr>
            </w:pPr>
          </w:p>
        </w:tc>
      </w:tr>
      <w:tr w14:paraId="614FC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jc w:val="center"/>
        </w:trPr>
        <w:tc>
          <w:tcPr>
            <w:tcW w:w="461" w:type="dxa"/>
            <w:tcBorders>
              <w:top w:val="single" w:color="auto" w:sz="4" w:space="0"/>
              <w:left w:val="single" w:color="auto" w:sz="4" w:space="0"/>
              <w:bottom w:val="single" w:color="auto" w:sz="4" w:space="0"/>
              <w:right w:val="single" w:color="auto" w:sz="4" w:space="0"/>
            </w:tcBorders>
            <w:shd w:val="clear" w:color="auto" w:fill="auto"/>
            <w:vAlign w:val="center"/>
          </w:tcPr>
          <w:p w14:paraId="6D853F5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抹灰砂浆</w:t>
            </w:r>
          </w:p>
        </w:tc>
        <w:tc>
          <w:tcPr>
            <w:tcW w:w="880" w:type="dxa"/>
            <w:tcBorders>
              <w:top w:val="single" w:color="auto" w:sz="4" w:space="0"/>
              <w:left w:val="single" w:color="auto" w:sz="4" w:space="0"/>
              <w:bottom w:val="single" w:color="auto" w:sz="4" w:space="0"/>
              <w:right w:val="single" w:color="auto" w:sz="4" w:space="0"/>
            </w:tcBorders>
            <w:shd w:val="clear" w:color="auto" w:fill="auto"/>
            <w:vAlign w:val="center"/>
          </w:tcPr>
          <w:p w14:paraId="66E47CF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rPr>
              <w:t>粘结强度</w:t>
            </w:r>
          </w:p>
        </w:tc>
        <w:tc>
          <w:tcPr>
            <w:tcW w:w="855" w:type="dxa"/>
            <w:tcBorders>
              <w:top w:val="single" w:color="auto" w:sz="4" w:space="0"/>
              <w:left w:val="single" w:color="auto" w:sz="4" w:space="0"/>
              <w:bottom w:val="single" w:color="auto" w:sz="4" w:space="0"/>
              <w:right w:val="single" w:color="auto" w:sz="4" w:space="0"/>
            </w:tcBorders>
            <w:shd w:val="clear" w:color="auto" w:fill="auto"/>
            <w:vAlign w:val="center"/>
          </w:tcPr>
          <w:p w14:paraId="627DAE3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eastAsia="宋体" w:cs="宋体"/>
                <w:color w:val="auto"/>
                <w:spacing w:val="-2"/>
                <w:sz w:val="21"/>
                <w:szCs w:val="21"/>
              </w:rPr>
              <w:t>2.1</w:t>
            </w:r>
            <w:r>
              <w:rPr>
                <w:rFonts w:hint="eastAsia" w:ascii="宋体" w:hAnsi="宋体" w:cs="宋体"/>
                <w:color w:val="auto"/>
                <w:spacing w:val="-2"/>
                <w:sz w:val="21"/>
                <w:szCs w:val="21"/>
                <w:lang w:val="en-US" w:eastAsia="zh-CN"/>
              </w:rPr>
              <w:t>1</w:t>
            </w:r>
            <w:r>
              <w:rPr>
                <w:rFonts w:hint="eastAsia" w:ascii="宋体" w:hAnsi="宋体" w:eastAsia="宋体" w:cs="宋体"/>
                <w:color w:val="auto"/>
                <w:spacing w:val="-2"/>
                <w:sz w:val="21"/>
                <w:szCs w:val="21"/>
              </w:rPr>
              <w:t>.1</w:t>
            </w:r>
          </w:p>
        </w:tc>
        <w:tc>
          <w:tcPr>
            <w:tcW w:w="655" w:type="dxa"/>
            <w:tcBorders>
              <w:top w:val="single" w:color="auto" w:sz="4" w:space="0"/>
              <w:left w:val="single" w:color="auto" w:sz="4" w:space="0"/>
              <w:bottom w:val="single" w:color="auto" w:sz="4" w:space="0"/>
              <w:right w:val="single" w:color="auto" w:sz="4" w:space="0"/>
            </w:tcBorders>
            <w:shd w:val="clear" w:color="auto" w:fill="auto"/>
            <w:vAlign w:val="center"/>
          </w:tcPr>
          <w:p w14:paraId="4CFDCAE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墙</w:t>
            </w:r>
          </w:p>
        </w:tc>
        <w:tc>
          <w:tcPr>
            <w:tcW w:w="3010" w:type="dxa"/>
            <w:tcBorders>
              <w:top w:val="single" w:color="auto" w:sz="4" w:space="0"/>
              <w:left w:val="single" w:color="auto" w:sz="4" w:space="0"/>
              <w:bottom w:val="single" w:color="auto" w:sz="4" w:space="0"/>
              <w:right w:val="single" w:color="auto" w:sz="4" w:space="0"/>
            </w:tcBorders>
            <w:shd w:val="clear" w:color="auto" w:fill="auto"/>
            <w:vAlign w:val="center"/>
          </w:tcPr>
          <w:p w14:paraId="4D32C30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spacing w:val="-1"/>
                <w:sz w:val="21"/>
                <w:szCs w:val="21"/>
              </w:rPr>
              <w:t>抹灰拉伸粘结强度检测时，相同的砂浆</w:t>
            </w:r>
            <w:r>
              <w:rPr>
                <w:rFonts w:hint="eastAsia" w:ascii="宋体" w:hAnsi="宋体" w:eastAsia="宋体" w:cs="宋体"/>
                <w:color w:val="auto"/>
                <w:spacing w:val="-4"/>
                <w:sz w:val="21"/>
                <w:szCs w:val="21"/>
              </w:rPr>
              <w:t>品种，强度等级，施工</w:t>
            </w:r>
            <w:r>
              <w:rPr>
                <w:rFonts w:hint="eastAsia" w:ascii="宋体" w:hAnsi="宋体" w:cs="宋体"/>
                <w:color w:val="auto"/>
                <w:spacing w:val="-4"/>
                <w:sz w:val="21"/>
                <w:szCs w:val="21"/>
                <w:lang w:eastAsia="zh-CN"/>
              </w:rPr>
              <w:t>工</w:t>
            </w:r>
            <w:r>
              <w:rPr>
                <w:rFonts w:hint="eastAsia" w:ascii="宋体" w:hAnsi="宋体" w:eastAsia="宋体" w:cs="宋体"/>
                <w:color w:val="auto"/>
                <w:spacing w:val="-4"/>
                <w:sz w:val="21"/>
                <w:szCs w:val="21"/>
              </w:rPr>
              <w:t>艺的外墙、顶</w:t>
            </w:r>
            <w:r>
              <w:rPr>
                <w:rFonts w:hint="eastAsia" w:ascii="宋体" w:hAnsi="宋体" w:eastAsia="宋体" w:cs="宋体"/>
                <w:color w:val="auto"/>
                <w:spacing w:val="-3"/>
                <w:sz w:val="21"/>
                <w:szCs w:val="21"/>
              </w:rPr>
              <w:t>棚抹灰工程</w:t>
            </w:r>
            <w:r>
              <w:rPr>
                <w:rFonts w:hint="eastAsia" w:ascii="宋体" w:hAnsi="宋体" w:cs="宋体"/>
                <w:color w:val="auto"/>
                <w:spacing w:val="-3"/>
                <w:sz w:val="21"/>
                <w:szCs w:val="21"/>
                <w:lang w:eastAsia="zh-CN"/>
              </w:rPr>
              <w:t>每</w:t>
            </w:r>
            <w:r>
              <w:rPr>
                <w:rFonts w:hint="eastAsia" w:ascii="宋体" w:hAnsi="宋体" w:eastAsia="宋体" w:cs="宋体"/>
                <w:color w:val="auto"/>
                <w:spacing w:val="-3"/>
                <w:sz w:val="21"/>
                <w:szCs w:val="21"/>
              </w:rPr>
              <w:t>5000㎡（抹灰面积）应为</w:t>
            </w:r>
            <w:r>
              <w:rPr>
                <w:rFonts w:hint="eastAsia" w:ascii="宋体" w:hAnsi="宋体" w:eastAsia="宋体" w:cs="宋体"/>
                <w:color w:val="auto"/>
                <w:spacing w:val="2"/>
                <w:sz w:val="21"/>
                <w:szCs w:val="21"/>
              </w:rPr>
              <w:t>一个检验批，每个检验批应取一组试件</w:t>
            </w:r>
            <w:r>
              <w:rPr>
                <w:rFonts w:hint="eastAsia" w:ascii="宋体" w:hAnsi="宋体" w:eastAsia="宋体" w:cs="宋体"/>
                <w:color w:val="auto"/>
                <w:spacing w:val="-9"/>
                <w:sz w:val="21"/>
                <w:szCs w:val="21"/>
              </w:rPr>
              <w:t>进行检测，不足5000㎡的也应取一组。</w:t>
            </w:r>
            <w:r>
              <w:rPr>
                <w:rFonts w:hint="eastAsia" w:ascii="宋体" w:hAnsi="宋体" w:cs="宋体"/>
                <w:color w:val="auto"/>
                <w:spacing w:val="-9"/>
                <w:sz w:val="21"/>
                <w:szCs w:val="21"/>
                <w:lang w:eastAsia="zh-CN"/>
              </w:rPr>
              <w:t>（</w:t>
            </w:r>
            <w:r>
              <w:rPr>
                <w:rFonts w:hint="eastAsia" w:ascii="宋体" w:hAnsi="宋体" w:cs="宋体"/>
                <w:color w:val="auto"/>
                <w:spacing w:val="-9"/>
                <w:sz w:val="21"/>
                <w:szCs w:val="21"/>
                <w:lang w:val="en-US" w:eastAsia="zh-CN"/>
              </w:rPr>
              <w:t>1组为7个测点</w:t>
            </w:r>
            <w:r>
              <w:rPr>
                <w:rFonts w:hint="eastAsia" w:ascii="宋体" w:hAnsi="宋体" w:cs="宋体"/>
                <w:color w:val="auto"/>
                <w:spacing w:val="-9"/>
                <w:sz w:val="21"/>
                <w:szCs w:val="21"/>
                <w:lang w:eastAsia="zh-CN"/>
              </w:rPr>
              <w:t>）</w:t>
            </w:r>
          </w:p>
        </w:tc>
        <w:tc>
          <w:tcPr>
            <w:tcW w:w="684" w:type="dxa"/>
            <w:tcBorders>
              <w:top w:val="single" w:color="auto" w:sz="4" w:space="0"/>
              <w:left w:val="single" w:color="auto" w:sz="4" w:space="0"/>
              <w:bottom w:val="single" w:color="auto" w:sz="4" w:space="0"/>
              <w:right w:val="single" w:color="auto" w:sz="4" w:space="0"/>
            </w:tcBorders>
            <w:shd w:val="clear" w:color="auto" w:fill="auto"/>
            <w:vAlign w:val="center"/>
          </w:tcPr>
          <w:p w14:paraId="5574685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28</w:t>
            </w: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22F3D4F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测点</w:t>
            </w:r>
          </w:p>
        </w:tc>
        <w:tc>
          <w:tcPr>
            <w:tcW w:w="811" w:type="dxa"/>
            <w:tcBorders>
              <w:top w:val="single" w:color="auto" w:sz="4" w:space="0"/>
              <w:left w:val="single" w:color="auto" w:sz="4" w:space="0"/>
              <w:bottom w:val="single" w:color="auto" w:sz="4" w:space="0"/>
              <w:right w:val="single" w:color="auto" w:sz="4" w:space="0"/>
            </w:tcBorders>
            <w:shd w:val="clear" w:color="auto" w:fill="auto"/>
            <w:vAlign w:val="center"/>
          </w:tcPr>
          <w:p w14:paraId="762820D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宋体" w:hAnsi="宋体" w:cs="宋体"/>
                <w:color w:val="auto"/>
                <w:kern w:val="0"/>
                <w:sz w:val="21"/>
                <w:szCs w:val="21"/>
                <w:lang w:val="en-US" w:eastAsia="zh-CN"/>
              </w:rPr>
            </w:pPr>
          </w:p>
        </w:tc>
        <w:tc>
          <w:tcPr>
            <w:tcW w:w="1152" w:type="dxa"/>
            <w:tcBorders>
              <w:top w:val="single" w:color="auto" w:sz="4" w:space="0"/>
              <w:left w:val="single" w:color="auto" w:sz="4" w:space="0"/>
              <w:bottom w:val="single" w:color="auto" w:sz="4" w:space="0"/>
              <w:right w:val="single" w:color="auto" w:sz="4" w:space="0"/>
            </w:tcBorders>
            <w:shd w:val="clear" w:color="auto" w:fill="auto"/>
            <w:vAlign w:val="center"/>
          </w:tcPr>
          <w:p w14:paraId="3D560F1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宋体" w:hAnsi="宋体" w:cs="宋体"/>
                <w:color w:val="auto"/>
                <w:kern w:val="0"/>
                <w:sz w:val="21"/>
                <w:szCs w:val="21"/>
                <w:lang w:val="en-US" w:eastAsia="zh-CN"/>
              </w:rPr>
            </w:pPr>
          </w:p>
        </w:tc>
      </w:tr>
      <w:tr w14:paraId="1F416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jc w:val="center"/>
        </w:trPr>
        <w:tc>
          <w:tcPr>
            <w:tcW w:w="461" w:type="dxa"/>
            <w:vMerge w:val="restart"/>
            <w:tcBorders>
              <w:top w:val="single" w:color="auto" w:sz="4" w:space="0"/>
              <w:left w:val="single" w:color="auto" w:sz="4" w:space="0"/>
              <w:right w:val="single" w:color="auto" w:sz="4" w:space="0"/>
            </w:tcBorders>
            <w:shd w:val="clear" w:color="auto" w:fill="auto"/>
            <w:vAlign w:val="center"/>
          </w:tcPr>
          <w:p w14:paraId="2F346A3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沉降</w:t>
            </w:r>
          </w:p>
        </w:tc>
        <w:tc>
          <w:tcPr>
            <w:tcW w:w="880" w:type="dxa"/>
            <w:tcBorders>
              <w:top w:val="single" w:color="auto" w:sz="4" w:space="0"/>
              <w:left w:val="single" w:color="auto" w:sz="4" w:space="0"/>
              <w:bottom w:val="single" w:color="auto" w:sz="4" w:space="0"/>
              <w:right w:val="single" w:color="auto" w:sz="4" w:space="0"/>
            </w:tcBorders>
            <w:shd w:val="clear" w:color="auto" w:fill="auto"/>
            <w:vAlign w:val="center"/>
          </w:tcPr>
          <w:p w14:paraId="343EAA9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基准点（深15米）埋设</w:t>
            </w:r>
          </w:p>
        </w:tc>
        <w:tc>
          <w:tcPr>
            <w:tcW w:w="855" w:type="dxa"/>
            <w:tcBorders>
              <w:top w:val="single" w:color="auto" w:sz="4" w:space="0"/>
              <w:left w:val="single" w:color="auto" w:sz="4" w:space="0"/>
              <w:bottom w:val="single" w:color="auto" w:sz="4" w:space="0"/>
              <w:right w:val="single" w:color="auto" w:sz="4" w:space="0"/>
            </w:tcBorders>
            <w:shd w:val="clear" w:color="auto" w:fill="auto"/>
            <w:vAlign w:val="center"/>
          </w:tcPr>
          <w:p w14:paraId="3097E0A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eastAsia="宋体" w:cs="宋体"/>
                <w:color w:val="auto"/>
                <w:spacing w:val="-2"/>
                <w:sz w:val="21"/>
                <w:szCs w:val="21"/>
                <w:lang w:val="en-US" w:eastAsia="zh-CN"/>
              </w:rPr>
              <w:t>3.1.1②</w:t>
            </w:r>
          </w:p>
        </w:tc>
        <w:tc>
          <w:tcPr>
            <w:tcW w:w="655" w:type="dxa"/>
            <w:tcBorders>
              <w:top w:val="single" w:color="auto" w:sz="4" w:space="0"/>
              <w:left w:val="single" w:color="auto" w:sz="4" w:space="0"/>
              <w:bottom w:val="single" w:color="auto" w:sz="4" w:space="0"/>
              <w:right w:val="single" w:color="auto" w:sz="4" w:space="0"/>
            </w:tcBorders>
            <w:shd w:val="clear" w:color="auto" w:fill="auto"/>
            <w:vAlign w:val="center"/>
          </w:tcPr>
          <w:p w14:paraId="1DEFCB9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主体</w:t>
            </w:r>
          </w:p>
        </w:tc>
        <w:tc>
          <w:tcPr>
            <w:tcW w:w="3010" w:type="dxa"/>
            <w:tcBorders>
              <w:top w:val="single" w:color="auto" w:sz="4" w:space="0"/>
              <w:left w:val="single" w:color="auto" w:sz="4" w:space="0"/>
              <w:bottom w:val="single" w:color="auto" w:sz="4" w:space="0"/>
              <w:right w:val="single" w:color="auto" w:sz="4" w:space="0"/>
            </w:tcBorders>
            <w:shd w:val="clear" w:color="auto" w:fill="auto"/>
            <w:vAlign w:val="center"/>
          </w:tcPr>
          <w:p w14:paraId="75616A9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按规范布点</w:t>
            </w:r>
          </w:p>
        </w:tc>
        <w:tc>
          <w:tcPr>
            <w:tcW w:w="684" w:type="dxa"/>
            <w:tcBorders>
              <w:top w:val="single" w:color="auto" w:sz="4" w:space="0"/>
              <w:left w:val="single" w:color="auto" w:sz="4" w:space="0"/>
              <w:bottom w:val="single" w:color="auto" w:sz="4" w:space="0"/>
              <w:right w:val="single" w:color="auto" w:sz="4" w:space="0"/>
            </w:tcBorders>
            <w:shd w:val="clear" w:color="auto" w:fill="auto"/>
            <w:vAlign w:val="center"/>
          </w:tcPr>
          <w:p w14:paraId="79B624A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3</w:t>
            </w: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144E57A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点</w:t>
            </w:r>
          </w:p>
        </w:tc>
        <w:tc>
          <w:tcPr>
            <w:tcW w:w="811" w:type="dxa"/>
            <w:tcBorders>
              <w:top w:val="single" w:color="auto" w:sz="4" w:space="0"/>
              <w:left w:val="single" w:color="auto" w:sz="4" w:space="0"/>
              <w:bottom w:val="single" w:color="auto" w:sz="4" w:space="0"/>
              <w:right w:val="single" w:color="auto" w:sz="4" w:space="0"/>
            </w:tcBorders>
            <w:shd w:val="clear" w:color="auto" w:fill="auto"/>
            <w:vAlign w:val="center"/>
          </w:tcPr>
          <w:p w14:paraId="317A3D8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宋体" w:hAnsi="宋体" w:cs="宋体"/>
                <w:color w:val="auto"/>
                <w:kern w:val="0"/>
                <w:sz w:val="21"/>
                <w:szCs w:val="21"/>
                <w:lang w:val="en-US" w:eastAsia="zh-CN"/>
              </w:rPr>
            </w:pPr>
          </w:p>
        </w:tc>
        <w:tc>
          <w:tcPr>
            <w:tcW w:w="1152" w:type="dxa"/>
            <w:tcBorders>
              <w:top w:val="single" w:color="auto" w:sz="4" w:space="0"/>
              <w:left w:val="single" w:color="auto" w:sz="4" w:space="0"/>
              <w:bottom w:val="single" w:color="auto" w:sz="4" w:space="0"/>
              <w:right w:val="single" w:color="auto" w:sz="4" w:space="0"/>
            </w:tcBorders>
            <w:shd w:val="clear" w:color="auto" w:fill="auto"/>
            <w:vAlign w:val="center"/>
          </w:tcPr>
          <w:p w14:paraId="1F12AE6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宋体" w:hAnsi="宋体" w:cs="宋体"/>
                <w:color w:val="auto"/>
                <w:kern w:val="0"/>
                <w:sz w:val="21"/>
                <w:szCs w:val="21"/>
                <w:lang w:val="en-US" w:eastAsia="zh-CN"/>
              </w:rPr>
            </w:pPr>
          </w:p>
        </w:tc>
      </w:tr>
      <w:tr w14:paraId="0B946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4" w:hRule="atLeast"/>
          <w:jc w:val="center"/>
        </w:trPr>
        <w:tc>
          <w:tcPr>
            <w:tcW w:w="461" w:type="dxa"/>
            <w:vMerge w:val="continue"/>
            <w:tcBorders>
              <w:left w:val="single" w:color="auto" w:sz="4" w:space="0"/>
              <w:right w:val="single" w:color="auto" w:sz="4" w:space="0"/>
            </w:tcBorders>
            <w:shd w:val="clear" w:color="auto" w:fill="auto"/>
            <w:vAlign w:val="center"/>
          </w:tcPr>
          <w:p w14:paraId="326A0E7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p>
        </w:tc>
        <w:tc>
          <w:tcPr>
            <w:tcW w:w="880" w:type="dxa"/>
            <w:tcBorders>
              <w:top w:val="single" w:color="auto" w:sz="4" w:space="0"/>
              <w:left w:val="single" w:color="auto" w:sz="4" w:space="0"/>
              <w:bottom w:val="single" w:color="auto" w:sz="4" w:space="0"/>
              <w:right w:val="single" w:color="auto" w:sz="4" w:space="0"/>
            </w:tcBorders>
            <w:shd w:val="clear" w:color="auto" w:fill="auto"/>
            <w:vAlign w:val="center"/>
          </w:tcPr>
          <w:p w14:paraId="7DDFB0E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观测点材料及埋设费</w:t>
            </w:r>
          </w:p>
        </w:tc>
        <w:tc>
          <w:tcPr>
            <w:tcW w:w="855" w:type="dxa"/>
            <w:tcBorders>
              <w:top w:val="single" w:color="auto" w:sz="4" w:space="0"/>
              <w:left w:val="single" w:color="auto" w:sz="4" w:space="0"/>
              <w:bottom w:val="single" w:color="auto" w:sz="4" w:space="0"/>
              <w:right w:val="single" w:color="auto" w:sz="4" w:space="0"/>
            </w:tcBorders>
            <w:shd w:val="clear" w:color="auto" w:fill="auto"/>
            <w:vAlign w:val="center"/>
          </w:tcPr>
          <w:p w14:paraId="47F7E3A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3.1.1①</w:t>
            </w:r>
          </w:p>
        </w:tc>
        <w:tc>
          <w:tcPr>
            <w:tcW w:w="655" w:type="dxa"/>
            <w:tcBorders>
              <w:top w:val="single" w:color="auto" w:sz="4" w:space="0"/>
              <w:left w:val="single" w:color="auto" w:sz="4" w:space="0"/>
              <w:bottom w:val="single" w:color="auto" w:sz="4" w:space="0"/>
              <w:right w:val="single" w:color="auto" w:sz="4" w:space="0"/>
            </w:tcBorders>
            <w:shd w:val="clear" w:color="auto" w:fill="auto"/>
            <w:vAlign w:val="center"/>
          </w:tcPr>
          <w:p w14:paraId="74AA723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主体</w:t>
            </w:r>
          </w:p>
        </w:tc>
        <w:tc>
          <w:tcPr>
            <w:tcW w:w="3010" w:type="dxa"/>
            <w:tcBorders>
              <w:top w:val="single" w:color="auto" w:sz="4" w:space="0"/>
              <w:left w:val="single" w:color="auto" w:sz="4" w:space="0"/>
              <w:bottom w:val="single" w:color="auto" w:sz="4" w:space="0"/>
              <w:right w:val="single" w:color="auto" w:sz="4" w:space="0"/>
            </w:tcBorders>
            <w:shd w:val="clear" w:color="auto" w:fill="auto"/>
            <w:vAlign w:val="center"/>
          </w:tcPr>
          <w:p w14:paraId="52A78FF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按设计图纸及规范</w:t>
            </w:r>
          </w:p>
        </w:tc>
        <w:tc>
          <w:tcPr>
            <w:tcW w:w="684" w:type="dxa"/>
            <w:tcBorders>
              <w:top w:val="single" w:color="auto" w:sz="4" w:space="0"/>
              <w:left w:val="single" w:color="auto" w:sz="4" w:space="0"/>
              <w:bottom w:val="single" w:color="auto" w:sz="4" w:space="0"/>
              <w:right w:val="single" w:color="auto" w:sz="4" w:space="0"/>
            </w:tcBorders>
            <w:shd w:val="clear" w:color="auto" w:fill="auto"/>
            <w:vAlign w:val="center"/>
          </w:tcPr>
          <w:p w14:paraId="2C3F4DB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14</w:t>
            </w: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3652209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点</w:t>
            </w:r>
          </w:p>
        </w:tc>
        <w:tc>
          <w:tcPr>
            <w:tcW w:w="811" w:type="dxa"/>
            <w:tcBorders>
              <w:top w:val="single" w:color="auto" w:sz="4" w:space="0"/>
              <w:left w:val="single" w:color="auto" w:sz="4" w:space="0"/>
              <w:bottom w:val="single" w:color="auto" w:sz="4" w:space="0"/>
              <w:right w:val="single" w:color="auto" w:sz="4" w:space="0"/>
            </w:tcBorders>
            <w:shd w:val="clear" w:color="auto" w:fill="auto"/>
            <w:vAlign w:val="center"/>
          </w:tcPr>
          <w:p w14:paraId="53566BF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宋体" w:hAnsi="宋体" w:cs="宋体"/>
                <w:color w:val="auto"/>
                <w:kern w:val="0"/>
                <w:sz w:val="21"/>
                <w:szCs w:val="21"/>
                <w:lang w:val="en-US" w:eastAsia="zh-CN"/>
              </w:rPr>
            </w:pPr>
          </w:p>
        </w:tc>
        <w:tc>
          <w:tcPr>
            <w:tcW w:w="1152" w:type="dxa"/>
            <w:tcBorders>
              <w:top w:val="single" w:color="auto" w:sz="4" w:space="0"/>
              <w:left w:val="single" w:color="auto" w:sz="4" w:space="0"/>
              <w:bottom w:val="single" w:color="auto" w:sz="4" w:space="0"/>
              <w:right w:val="single" w:color="auto" w:sz="4" w:space="0"/>
            </w:tcBorders>
            <w:shd w:val="clear" w:color="auto" w:fill="auto"/>
            <w:vAlign w:val="center"/>
          </w:tcPr>
          <w:p w14:paraId="7F6BBD2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宋体" w:hAnsi="宋体" w:cs="宋体"/>
                <w:color w:val="auto"/>
                <w:kern w:val="0"/>
                <w:sz w:val="21"/>
                <w:szCs w:val="21"/>
                <w:lang w:val="en-US" w:eastAsia="zh-CN"/>
              </w:rPr>
            </w:pPr>
          </w:p>
        </w:tc>
      </w:tr>
      <w:tr w14:paraId="5B266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61" w:type="dxa"/>
            <w:vMerge w:val="continue"/>
            <w:tcBorders>
              <w:left w:val="single" w:color="auto" w:sz="4" w:space="0"/>
              <w:bottom w:val="single" w:color="auto" w:sz="4" w:space="0"/>
              <w:right w:val="single" w:color="auto" w:sz="4" w:space="0"/>
            </w:tcBorders>
            <w:shd w:val="clear" w:color="auto" w:fill="auto"/>
            <w:vAlign w:val="center"/>
          </w:tcPr>
          <w:p w14:paraId="487548F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p>
        </w:tc>
        <w:tc>
          <w:tcPr>
            <w:tcW w:w="880" w:type="dxa"/>
            <w:tcBorders>
              <w:top w:val="single" w:color="auto" w:sz="4" w:space="0"/>
              <w:left w:val="single" w:color="auto" w:sz="4" w:space="0"/>
              <w:bottom w:val="single" w:color="auto" w:sz="4" w:space="0"/>
              <w:right w:val="single" w:color="auto" w:sz="4" w:space="0"/>
            </w:tcBorders>
            <w:shd w:val="clear" w:color="auto" w:fill="auto"/>
            <w:vAlign w:val="center"/>
          </w:tcPr>
          <w:p w14:paraId="615DA22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垂直位移测量</w:t>
            </w:r>
          </w:p>
        </w:tc>
        <w:tc>
          <w:tcPr>
            <w:tcW w:w="855" w:type="dxa"/>
            <w:tcBorders>
              <w:top w:val="single" w:color="auto" w:sz="4" w:space="0"/>
              <w:left w:val="single" w:color="auto" w:sz="4" w:space="0"/>
              <w:bottom w:val="single" w:color="auto" w:sz="4" w:space="0"/>
              <w:right w:val="single" w:color="auto" w:sz="4" w:space="0"/>
            </w:tcBorders>
            <w:shd w:val="clear" w:color="auto" w:fill="auto"/>
            <w:vAlign w:val="center"/>
          </w:tcPr>
          <w:p w14:paraId="57AA8FF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3.1.1③</w:t>
            </w:r>
          </w:p>
        </w:tc>
        <w:tc>
          <w:tcPr>
            <w:tcW w:w="655" w:type="dxa"/>
            <w:tcBorders>
              <w:top w:val="single" w:color="auto" w:sz="4" w:space="0"/>
              <w:left w:val="single" w:color="auto" w:sz="4" w:space="0"/>
              <w:bottom w:val="single" w:color="auto" w:sz="4" w:space="0"/>
              <w:right w:val="single" w:color="auto" w:sz="4" w:space="0"/>
            </w:tcBorders>
            <w:shd w:val="clear" w:color="auto" w:fill="auto"/>
            <w:vAlign w:val="center"/>
          </w:tcPr>
          <w:p w14:paraId="7DE7035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观测次数</w:t>
            </w:r>
          </w:p>
        </w:tc>
        <w:tc>
          <w:tcPr>
            <w:tcW w:w="3010" w:type="dxa"/>
            <w:tcBorders>
              <w:top w:val="single" w:color="auto" w:sz="4" w:space="0"/>
              <w:left w:val="single" w:color="auto" w:sz="4" w:space="0"/>
              <w:bottom w:val="single" w:color="auto" w:sz="4" w:space="0"/>
              <w:right w:val="single" w:color="auto" w:sz="4" w:space="0"/>
            </w:tcBorders>
            <w:shd w:val="clear" w:color="auto" w:fill="auto"/>
            <w:vAlign w:val="center"/>
          </w:tcPr>
          <w:p w14:paraId="4834365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按图纸设计要求，1#综合楼主体施工阶段观测六次，首次埋点观测一次，封顶观测一次，每两层观测一次；砌体砌筑及装修阶段暂定六个月，每个月观测一次，观测六次，然后按照规范，装修结束后暂定观测六次，合计20次，每次观测14个观测点，3个基准点，20*17=340点次</w:t>
            </w:r>
          </w:p>
        </w:tc>
        <w:tc>
          <w:tcPr>
            <w:tcW w:w="684" w:type="dxa"/>
            <w:tcBorders>
              <w:top w:val="single" w:color="auto" w:sz="4" w:space="0"/>
              <w:left w:val="single" w:color="auto" w:sz="4" w:space="0"/>
              <w:bottom w:val="single" w:color="auto" w:sz="4" w:space="0"/>
              <w:right w:val="single" w:color="auto" w:sz="4" w:space="0"/>
            </w:tcBorders>
            <w:shd w:val="clear" w:color="auto" w:fill="auto"/>
            <w:vAlign w:val="center"/>
          </w:tcPr>
          <w:p w14:paraId="50AAB0D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340</w:t>
            </w: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21A9C83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点·次</w:t>
            </w:r>
          </w:p>
        </w:tc>
        <w:tc>
          <w:tcPr>
            <w:tcW w:w="811" w:type="dxa"/>
            <w:tcBorders>
              <w:top w:val="single" w:color="auto" w:sz="4" w:space="0"/>
              <w:left w:val="single" w:color="auto" w:sz="4" w:space="0"/>
              <w:bottom w:val="single" w:color="auto" w:sz="4" w:space="0"/>
              <w:right w:val="single" w:color="auto" w:sz="4" w:space="0"/>
            </w:tcBorders>
            <w:shd w:val="clear" w:color="auto" w:fill="auto"/>
            <w:vAlign w:val="center"/>
          </w:tcPr>
          <w:p w14:paraId="65A0CFF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宋体" w:hAnsi="宋体" w:cs="宋体"/>
                <w:color w:val="auto"/>
                <w:kern w:val="0"/>
                <w:sz w:val="21"/>
                <w:szCs w:val="21"/>
                <w:lang w:val="en-US" w:eastAsia="zh-CN"/>
              </w:rPr>
            </w:pPr>
          </w:p>
        </w:tc>
        <w:tc>
          <w:tcPr>
            <w:tcW w:w="1152" w:type="dxa"/>
            <w:tcBorders>
              <w:top w:val="single" w:color="auto" w:sz="4" w:space="0"/>
              <w:left w:val="single" w:color="auto" w:sz="4" w:space="0"/>
              <w:bottom w:val="single" w:color="auto" w:sz="4" w:space="0"/>
              <w:right w:val="single" w:color="auto" w:sz="4" w:space="0"/>
            </w:tcBorders>
            <w:shd w:val="clear" w:color="auto" w:fill="auto"/>
            <w:vAlign w:val="center"/>
          </w:tcPr>
          <w:p w14:paraId="5B88476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宋体" w:hAnsi="宋体" w:cs="宋体"/>
                <w:color w:val="auto"/>
                <w:kern w:val="0"/>
                <w:sz w:val="21"/>
                <w:szCs w:val="21"/>
                <w:lang w:val="en-US" w:eastAsia="zh-CN"/>
              </w:rPr>
            </w:pPr>
          </w:p>
        </w:tc>
      </w:tr>
      <w:tr w14:paraId="2B7A1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jc w:val="center"/>
        </w:trPr>
        <w:tc>
          <w:tcPr>
            <w:tcW w:w="7265"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12ADCB9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主体结构检测总费用合计（元）</w:t>
            </w:r>
          </w:p>
        </w:tc>
        <w:tc>
          <w:tcPr>
            <w:tcW w:w="196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07D1BC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宋体" w:hAnsi="宋体" w:cs="宋体"/>
                <w:color w:val="auto"/>
                <w:kern w:val="0"/>
                <w:sz w:val="21"/>
                <w:szCs w:val="21"/>
                <w:lang w:val="en-US" w:eastAsia="zh-CN"/>
              </w:rPr>
            </w:pPr>
          </w:p>
        </w:tc>
      </w:tr>
      <w:tr w14:paraId="135FC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jc w:val="center"/>
        </w:trPr>
        <w:tc>
          <w:tcPr>
            <w:tcW w:w="7265"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7629E69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主体结构检测总费用下浮55%计算（元）</w:t>
            </w:r>
          </w:p>
        </w:tc>
        <w:tc>
          <w:tcPr>
            <w:tcW w:w="196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80B216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宋体" w:hAnsi="宋体" w:cs="宋体"/>
                <w:color w:val="auto"/>
                <w:kern w:val="0"/>
                <w:sz w:val="21"/>
                <w:szCs w:val="21"/>
                <w:lang w:val="en-US" w:eastAsia="zh-CN"/>
              </w:rPr>
            </w:pPr>
          </w:p>
        </w:tc>
      </w:tr>
      <w:tr w14:paraId="2549B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jc w:val="center"/>
        </w:trPr>
        <w:tc>
          <w:tcPr>
            <w:tcW w:w="9228"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3DB2254C">
            <w:pPr>
              <w:keepNext w:val="0"/>
              <w:keepLines w:val="0"/>
              <w:pageBreakBefore w:val="0"/>
              <w:widowControl/>
              <w:kinsoku/>
              <w:wordWrap/>
              <w:overflowPunct/>
              <w:topLinePunct w:val="0"/>
              <w:autoSpaceDE/>
              <w:autoSpaceDN/>
              <w:bidi w:val="0"/>
              <w:adjustRightInd/>
              <w:snapToGrid/>
              <w:spacing w:line="360" w:lineRule="exact"/>
              <w:ind w:firstLine="0" w:firstLineChars="0"/>
              <w:jc w:val="left"/>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注：以实际发生量为准。</w:t>
            </w:r>
          </w:p>
        </w:tc>
      </w:tr>
    </w:tbl>
    <w:p w14:paraId="5B19A8BD">
      <w:pPr>
        <w:pStyle w:val="118"/>
        <w:keepNext w:val="0"/>
        <w:keepLines w:val="0"/>
        <w:pageBreakBefore w:val="0"/>
        <w:widowControl w:val="0"/>
        <w:tabs>
          <w:tab w:val="left" w:pos="-1486"/>
          <w:tab w:val="left" w:pos="-142"/>
        </w:tabs>
        <w:kinsoku/>
        <w:wordWrap/>
        <w:overflowPunct/>
        <w:topLinePunct w:val="0"/>
        <w:autoSpaceDE/>
        <w:autoSpaceDN/>
        <w:bidi w:val="0"/>
        <w:adjustRightInd/>
        <w:snapToGrid/>
        <w:spacing w:before="100" w:beforeLines="30" w:after="67" w:afterLines="20" w:line="560" w:lineRule="exact"/>
        <w:ind w:left="6" w:leftChars="0" w:hanging="6" w:firstLineChars="0"/>
        <w:jc w:val="center"/>
        <w:textAlignment w:val="auto"/>
        <w:rPr>
          <w:rFonts w:hint="eastAsia" w:ascii="宋体" w:hAnsi="宋体" w:eastAsia="宋体" w:cs="宋体"/>
          <w:b/>
          <w:bCs w:val="0"/>
          <w:color w:val="000000" w:themeColor="text1"/>
          <w:sz w:val="28"/>
          <w:szCs w:val="28"/>
          <w:highlight w:val="none"/>
          <w14:textFill>
            <w14:solidFill>
              <w14:schemeClr w14:val="tx1"/>
            </w14:solidFill>
          </w14:textFill>
        </w:rPr>
      </w:pPr>
      <w:r>
        <w:rPr>
          <w:rFonts w:hint="eastAsia" w:ascii="宋体" w:hAnsi="宋体" w:eastAsia="宋体" w:cs="宋体"/>
          <w:b/>
          <w:bCs w:val="0"/>
          <w:color w:val="000000" w:themeColor="text1"/>
          <w:sz w:val="28"/>
          <w:szCs w:val="28"/>
          <w:highlight w:val="none"/>
          <w14:textFill>
            <w14:solidFill>
              <w14:schemeClr w14:val="tx1"/>
            </w14:solidFill>
          </w14:textFill>
        </w:rPr>
        <w:t>（四）</w:t>
      </w:r>
      <w:r>
        <w:rPr>
          <w:rFonts w:hint="eastAsia" w:ascii="宋体" w:hAnsi="宋体" w:eastAsia="宋体" w:cs="宋体"/>
          <w:b/>
          <w:bCs w:val="0"/>
          <w:color w:val="000000" w:themeColor="text1"/>
          <w:sz w:val="28"/>
          <w:szCs w:val="28"/>
          <w:highlight w:val="none"/>
          <w:lang w:val="en-US" w:eastAsia="zh-CN"/>
          <w14:textFill>
            <w14:solidFill>
              <w14:schemeClr w14:val="tx1"/>
            </w14:solidFill>
          </w14:textFill>
        </w:rPr>
        <w:t>建筑节能检测</w:t>
      </w:r>
    </w:p>
    <w:tbl>
      <w:tblPr>
        <w:tblStyle w:val="26"/>
        <w:tblW w:w="4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9"/>
        <w:gridCol w:w="705"/>
        <w:gridCol w:w="421"/>
        <w:gridCol w:w="818"/>
        <w:gridCol w:w="924"/>
        <w:gridCol w:w="2544"/>
        <w:gridCol w:w="740"/>
        <w:gridCol w:w="741"/>
        <w:gridCol w:w="819"/>
        <w:gridCol w:w="869"/>
      </w:tblGrid>
      <w:tr w14:paraId="1313E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5000" w:type="pct"/>
            <w:gridSpan w:val="10"/>
            <w:shd w:val="clear" w:color="auto" w:fill="auto"/>
            <w:vAlign w:val="center"/>
          </w:tcPr>
          <w:p w14:paraId="3C23593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建筑节能检测数量表</w:t>
            </w:r>
          </w:p>
        </w:tc>
      </w:tr>
      <w:tr w14:paraId="09DE6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356" w:type="pct"/>
            <w:shd w:val="clear" w:color="auto" w:fill="auto"/>
            <w:vAlign w:val="center"/>
          </w:tcPr>
          <w:p w14:paraId="31D865D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sz w:val="21"/>
                <w:szCs w:val="21"/>
                <w:lang w:val="en-US" w:eastAsia="zh-CN"/>
              </w:rPr>
            </w:pPr>
            <w:r>
              <w:rPr>
                <w:rFonts w:hint="eastAsia" w:ascii="宋体" w:hAnsi="宋体" w:eastAsia="宋体" w:cs="宋体"/>
                <w:color w:val="auto"/>
                <w:kern w:val="0"/>
                <w:sz w:val="21"/>
                <w:szCs w:val="21"/>
              </w:rPr>
              <w:t>检测</w:t>
            </w:r>
            <w:r>
              <w:rPr>
                <w:rFonts w:hint="eastAsia" w:ascii="宋体" w:hAnsi="宋体" w:cs="宋体"/>
                <w:color w:val="auto"/>
                <w:kern w:val="0"/>
                <w:sz w:val="21"/>
                <w:szCs w:val="21"/>
                <w:lang w:val="en-US" w:eastAsia="zh-CN"/>
              </w:rPr>
              <w:t>项目</w:t>
            </w:r>
          </w:p>
        </w:tc>
        <w:tc>
          <w:tcPr>
            <w:tcW w:w="1051" w:type="pct"/>
            <w:gridSpan w:val="3"/>
            <w:shd w:val="clear" w:color="auto" w:fill="auto"/>
            <w:vAlign w:val="center"/>
          </w:tcPr>
          <w:p w14:paraId="434C1D1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0"/>
                <w:sz w:val="21"/>
                <w:szCs w:val="21"/>
                <w:lang w:val="en-US"/>
              </w:rPr>
            </w:pPr>
            <w:r>
              <w:rPr>
                <w:rFonts w:hint="eastAsia" w:ascii="宋体" w:hAnsi="宋体" w:cs="宋体"/>
                <w:color w:val="auto"/>
                <w:kern w:val="0"/>
                <w:sz w:val="21"/>
                <w:szCs w:val="21"/>
                <w:lang w:val="en-US" w:eastAsia="zh-CN"/>
              </w:rPr>
              <w:t>检测参数</w:t>
            </w:r>
          </w:p>
        </w:tc>
        <w:tc>
          <w:tcPr>
            <w:tcW w:w="500" w:type="pct"/>
            <w:shd w:val="clear" w:color="auto" w:fill="auto"/>
            <w:vAlign w:val="center"/>
          </w:tcPr>
          <w:p w14:paraId="011BDE7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检测项目序号</w:t>
            </w:r>
          </w:p>
        </w:tc>
        <w:tc>
          <w:tcPr>
            <w:tcW w:w="1376" w:type="pct"/>
            <w:shd w:val="clear" w:color="auto" w:fill="auto"/>
            <w:vAlign w:val="center"/>
          </w:tcPr>
          <w:p w14:paraId="04BDFA1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kern w:val="0"/>
                <w:sz w:val="21"/>
                <w:szCs w:val="21"/>
              </w:rPr>
              <w:t>抽样</w:t>
            </w:r>
            <w:r>
              <w:rPr>
                <w:rFonts w:hint="eastAsia" w:ascii="宋体" w:hAnsi="宋体" w:cs="宋体"/>
                <w:color w:val="auto"/>
                <w:kern w:val="0"/>
                <w:sz w:val="21"/>
                <w:szCs w:val="21"/>
                <w:lang w:val="en-US" w:eastAsia="zh-CN"/>
              </w:rPr>
              <w:t>频率</w:t>
            </w:r>
          </w:p>
        </w:tc>
        <w:tc>
          <w:tcPr>
            <w:tcW w:w="400" w:type="pct"/>
            <w:shd w:val="clear" w:color="auto" w:fill="auto"/>
            <w:vAlign w:val="center"/>
          </w:tcPr>
          <w:p w14:paraId="5EC0B26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抽检数量</w:t>
            </w:r>
          </w:p>
        </w:tc>
        <w:tc>
          <w:tcPr>
            <w:tcW w:w="400" w:type="pct"/>
            <w:shd w:val="clear" w:color="auto" w:fill="auto"/>
            <w:vAlign w:val="center"/>
          </w:tcPr>
          <w:p w14:paraId="6578768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计费单位</w:t>
            </w:r>
          </w:p>
        </w:tc>
        <w:tc>
          <w:tcPr>
            <w:tcW w:w="443" w:type="pct"/>
            <w:shd w:val="clear" w:color="auto" w:fill="auto"/>
            <w:vAlign w:val="center"/>
          </w:tcPr>
          <w:p w14:paraId="07034CF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kern w:val="0"/>
                <w:sz w:val="21"/>
                <w:szCs w:val="21"/>
                <w:lang w:val="en-US" w:eastAsia="zh-CN"/>
              </w:rPr>
              <w:t>单</w:t>
            </w:r>
            <w:r>
              <w:rPr>
                <w:rFonts w:hint="eastAsia" w:ascii="宋体" w:hAnsi="宋体" w:eastAsia="宋体" w:cs="宋体"/>
                <w:color w:val="auto"/>
                <w:kern w:val="0"/>
                <w:sz w:val="21"/>
                <w:szCs w:val="21"/>
              </w:rPr>
              <w:t>价</w:t>
            </w:r>
            <w:r>
              <w:rPr>
                <w:rFonts w:hint="eastAsia" w:ascii="宋体" w:hAnsi="宋体" w:cs="宋体"/>
                <w:color w:val="auto"/>
                <w:kern w:val="0"/>
                <w:sz w:val="21"/>
                <w:szCs w:val="21"/>
                <w:lang w:eastAsia="zh-CN"/>
              </w:rPr>
              <w:t>（</w:t>
            </w:r>
            <w:r>
              <w:rPr>
                <w:rFonts w:hint="eastAsia" w:ascii="宋体" w:hAnsi="宋体" w:eastAsia="宋体" w:cs="宋体"/>
                <w:color w:val="auto"/>
                <w:kern w:val="0"/>
                <w:sz w:val="21"/>
                <w:szCs w:val="21"/>
              </w:rPr>
              <w:t>元</w:t>
            </w:r>
            <w:r>
              <w:rPr>
                <w:rFonts w:hint="eastAsia" w:ascii="宋体" w:hAnsi="宋体" w:cs="宋体"/>
                <w:color w:val="auto"/>
                <w:kern w:val="0"/>
                <w:sz w:val="21"/>
                <w:szCs w:val="21"/>
                <w:lang w:eastAsia="zh-CN"/>
              </w:rPr>
              <w:t>）</w:t>
            </w:r>
          </w:p>
        </w:tc>
        <w:tc>
          <w:tcPr>
            <w:tcW w:w="470" w:type="pct"/>
            <w:shd w:val="clear" w:color="auto" w:fill="auto"/>
            <w:vAlign w:val="center"/>
          </w:tcPr>
          <w:p w14:paraId="5509DE1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rPr>
              <w:t>小</w:t>
            </w:r>
            <w:r>
              <w:rPr>
                <w:rFonts w:hint="eastAsia" w:ascii="宋体" w:hAnsi="宋体" w:eastAsia="宋体" w:cs="宋体"/>
                <w:color w:val="auto"/>
                <w:kern w:val="0"/>
                <w:sz w:val="21"/>
                <w:szCs w:val="21"/>
              </w:rPr>
              <w:t>计（元）</w:t>
            </w:r>
          </w:p>
        </w:tc>
      </w:tr>
      <w:tr w14:paraId="4CA37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6" w:type="pct"/>
            <w:vMerge w:val="restart"/>
            <w:shd w:val="clear" w:color="auto" w:fill="auto"/>
            <w:vAlign w:val="center"/>
          </w:tcPr>
          <w:p w14:paraId="64FC7F7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墙体</w:t>
            </w:r>
            <w:r>
              <w:rPr>
                <w:rFonts w:hint="eastAsia" w:ascii="宋体" w:hAnsi="宋体" w:cs="宋体"/>
                <w:color w:val="auto"/>
                <w:kern w:val="0"/>
                <w:sz w:val="21"/>
                <w:szCs w:val="21"/>
                <w:lang w:eastAsia="zh-CN"/>
              </w:rPr>
              <w:t>、屋面</w:t>
            </w:r>
            <w:r>
              <w:rPr>
                <w:rFonts w:hint="eastAsia" w:ascii="宋体" w:hAnsi="宋体" w:cs="宋体"/>
                <w:color w:val="auto"/>
                <w:kern w:val="0"/>
                <w:sz w:val="21"/>
                <w:szCs w:val="21"/>
                <w:lang w:val="en-US" w:eastAsia="zh-CN"/>
              </w:rPr>
              <w:t>节能工程</w:t>
            </w:r>
          </w:p>
          <w:p w14:paraId="4BEAF92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p>
          <w:p w14:paraId="4470FA0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p>
          <w:p w14:paraId="1AA6959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p>
        </w:tc>
        <w:tc>
          <w:tcPr>
            <w:tcW w:w="1051" w:type="pct"/>
            <w:gridSpan w:val="3"/>
            <w:shd w:val="clear" w:color="auto" w:fill="auto"/>
            <w:vAlign w:val="center"/>
          </w:tcPr>
          <w:p w14:paraId="560BF99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val="en-US" w:eastAsia="zh-CN"/>
              </w:rPr>
              <w:t>传热系数/热阻（实验室内）</w:t>
            </w:r>
          </w:p>
        </w:tc>
        <w:tc>
          <w:tcPr>
            <w:tcW w:w="500" w:type="pct"/>
            <w:shd w:val="clear" w:color="auto" w:fill="auto"/>
            <w:vAlign w:val="center"/>
          </w:tcPr>
          <w:p w14:paraId="2E193E1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rPr>
              <w:t>6.</w:t>
            </w:r>
            <w:r>
              <w:rPr>
                <w:rFonts w:hint="eastAsia" w:ascii="宋体" w:hAnsi="宋体" w:cs="宋体"/>
                <w:color w:val="auto"/>
                <w:kern w:val="0"/>
                <w:sz w:val="21"/>
                <w:szCs w:val="21"/>
                <w:lang w:val="en-US" w:eastAsia="zh-CN"/>
              </w:rPr>
              <w:t>5.8</w:t>
            </w:r>
          </w:p>
        </w:tc>
        <w:tc>
          <w:tcPr>
            <w:tcW w:w="1376" w:type="pct"/>
            <w:shd w:val="clear" w:color="auto" w:fill="auto"/>
            <w:vAlign w:val="center"/>
          </w:tcPr>
          <w:p w14:paraId="6CB3E08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rPr>
              <w:t>同厂家、同种产品，按照扣除门窗洞口后的保温墙面面积所使用的材料用量，在5000㎡以内应复检一次，面积每增加5000㎡应增加一次</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同工程项目、同施工单位且同期施工的多个单位工程，可合并计算抽检面积</w:t>
            </w:r>
          </w:p>
        </w:tc>
        <w:tc>
          <w:tcPr>
            <w:tcW w:w="400" w:type="pct"/>
            <w:shd w:val="clear" w:color="auto" w:fill="auto"/>
            <w:vAlign w:val="center"/>
          </w:tcPr>
          <w:p w14:paraId="1605808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6</w:t>
            </w:r>
          </w:p>
        </w:tc>
        <w:tc>
          <w:tcPr>
            <w:tcW w:w="400" w:type="pct"/>
            <w:shd w:val="clear" w:color="auto" w:fill="auto"/>
            <w:vAlign w:val="center"/>
          </w:tcPr>
          <w:p w14:paraId="0E2F200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项</w:t>
            </w:r>
          </w:p>
        </w:tc>
        <w:tc>
          <w:tcPr>
            <w:tcW w:w="443" w:type="pct"/>
            <w:shd w:val="clear" w:color="auto" w:fill="auto"/>
            <w:vAlign w:val="center"/>
          </w:tcPr>
          <w:p w14:paraId="1261B34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p>
        </w:tc>
        <w:tc>
          <w:tcPr>
            <w:tcW w:w="470" w:type="pct"/>
            <w:shd w:val="clear" w:color="auto" w:fill="auto"/>
            <w:vAlign w:val="center"/>
          </w:tcPr>
          <w:p w14:paraId="115C92E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0"/>
                <w:sz w:val="21"/>
                <w:szCs w:val="21"/>
                <w:lang w:val="en-US" w:eastAsia="zh-CN"/>
              </w:rPr>
            </w:pPr>
          </w:p>
        </w:tc>
      </w:tr>
      <w:tr w14:paraId="52BF5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6" w:type="pct"/>
            <w:vMerge w:val="continue"/>
            <w:shd w:val="clear" w:color="auto" w:fill="auto"/>
            <w:vAlign w:val="center"/>
          </w:tcPr>
          <w:p w14:paraId="2698897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sz w:val="21"/>
                <w:szCs w:val="21"/>
              </w:rPr>
            </w:pPr>
          </w:p>
        </w:tc>
        <w:tc>
          <w:tcPr>
            <w:tcW w:w="1051" w:type="pct"/>
            <w:gridSpan w:val="3"/>
            <w:shd w:val="clear" w:color="auto" w:fill="auto"/>
            <w:vAlign w:val="center"/>
          </w:tcPr>
          <w:p w14:paraId="5A0C10D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外墙节能构造</w:t>
            </w:r>
          </w:p>
          <w:p w14:paraId="7C9DA30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cs="宋体"/>
                <w:color w:val="auto"/>
                <w:kern w:val="0"/>
                <w:sz w:val="21"/>
                <w:szCs w:val="21"/>
                <w:lang w:val="en-US" w:eastAsia="zh-CN"/>
              </w:rPr>
              <w:t>（</w:t>
            </w:r>
            <w:r>
              <w:rPr>
                <w:rFonts w:hint="eastAsia" w:ascii="宋体" w:hAnsi="宋体" w:eastAsia="宋体" w:cs="宋体"/>
                <w:color w:val="auto"/>
                <w:kern w:val="0"/>
                <w:sz w:val="21"/>
                <w:szCs w:val="21"/>
              </w:rPr>
              <w:t>保温层厚度</w:t>
            </w:r>
            <w:r>
              <w:rPr>
                <w:rFonts w:hint="eastAsia" w:ascii="宋体" w:hAnsi="宋体" w:cs="宋体"/>
                <w:color w:val="auto"/>
                <w:kern w:val="0"/>
                <w:sz w:val="21"/>
                <w:szCs w:val="21"/>
                <w:lang w:eastAsia="zh-CN"/>
              </w:rPr>
              <w:t>）</w:t>
            </w:r>
          </w:p>
        </w:tc>
        <w:tc>
          <w:tcPr>
            <w:tcW w:w="500" w:type="pct"/>
            <w:shd w:val="clear" w:color="auto" w:fill="auto"/>
            <w:vAlign w:val="center"/>
          </w:tcPr>
          <w:p w14:paraId="054CE01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pacing w:val="-2"/>
                <w:sz w:val="21"/>
                <w:szCs w:val="21"/>
              </w:rPr>
              <w:t>6.4.7</w:t>
            </w:r>
          </w:p>
        </w:tc>
        <w:tc>
          <w:tcPr>
            <w:tcW w:w="1376" w:type="pct"/>
            <w:shd w:val="clear" w:color="auto" w:fill="auto"/>
            <w:vAlign w:val="center"/>
          </w:tcPr>
          <w:p w14:paraId="4A6660E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rPr>
              <w:t>外墙节能构造实体检验应按单位工程进行，每种节能构造的外墙检验不得少于3处，每处应检查一个点。同工程项目、同施工单位且同期施工的多个单位工程，可合并计算建筑面积；每30000㎡可视为一个单位工程进行抽样，不足30000㎡也</w:t>
            </w:r>
            <w:r>
              <w:rPr>
                <w:rFonts w:hint="eastAsia" w:ascii="宋体" w:hAnsi="宋体" w:cs="宋体"/>
                <w:color w:val="auto"/>
                <w:kern w:val="0"/>
                <w:sz w:val="21"/>
                <w:szCs w:val="21"/>
                <w:lang w:eastAsia="zh-CN"/>
              </w:rPr>
              <w:t>视为</w:t>
            </w:r>
            <w:r>
              <w:rPr>
                <w:rFonts w:hint="eastAsia" w:ascii="宋体" w:hAnsi="宋体" w:eastAsia="宋体" w:cs="宋体"/>
                <w:color w:val="auto"/>
                <w:kern w:val="0"/>
                <w:sz w:val="21"/>
                <w:szCs w:val="21"/>
              </w:rPr>
              <w:t>一个单位工程</w:t>
            </w:r>
          </w:p>
        </w:tc>
        <w:tc>
          <w:tcPr>
            <w:tcW w:w="400" w:type="pct"/>
            <w:shd w:val="clear" w:color="auto" w:fill="auto"/>
            <w:vAlign w:val="center"/>
          </w:tcPr>
          <w:p w14:paraId="17C4919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p>
          <w:p w14:paraId="759F5FD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p>
          <w:p w14:paraId="1D54390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p>
          <w:p w14:paraId="772C0B3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p>
          <w:p w14:paraId="51DE65F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9</w:t>
            </w:r>
          </w:p>
        </w:tc>
        <w:tc>
          <w:tcPr>
            <w:tcW w:w="400" w:type="pct"/>
            <w:shd w:val="clear" w:color="auto" w:fill="auto"/>
            <w:vAlign w:val="center"/>
          </w:tcPr>
          <w:p w14:paraId="1CC6759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p>
          <w:p w14:paraId="2E12773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p>
          <w:p w14:paraId="77AA374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p>
          <w:p w14:paraId="2ACB901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p>
          <w:p w14:paraId="0B7E3D9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芯</w:t>
            </w:r>
          </w:p>
        </w:tc>
        <w:tc>
          <w:tcPr>
            <w:tcW w:w="443" w:type="pct"/>
            <w:shd w:val="clear" w:color="auto" w:fill="auto"/>
            <w:vAlign w:val="center"/>
          </w:tcPr>
          <w:p w14:paraId="2C20C5E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p>
        </w:tc>
        <w:tc>
          <w:tcPr>
            <w:tcW w:w="470" w:type="pct"/>
            <w:shd w:val="clear" w:color="auto" w:fill="auto"/>
            <w:vAlign w:val="center"/>
          </w:tcPr>
          <w:p w14:paraId="0975B4E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0"/>
                <w:sz w:val="21"/>
                <w:szCs w:val="21"/>
                <w:lang w:val="en-US" w:eastAsia="zh-CN"/>
              </w:rPr>
            </w:pPr>
          </w:p>
        </w:tc>
      </w:tr>
      <w:tr w14:paraId="2478E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6" w:type="pct"/>
            <w:vMerge w:val="continue"/>
            <w:shd w:val="clear" w:color="auto" w:fill="auto"/>
            <w:vAlign w:val="center"/>
          </w:tcPr>
          <w:p w14:paraId="6087F8E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sz w:val="21"/>
                <w:szCs w:val="21"/>
              </w:rPr>
            </w:pPr>
          </w:p>
        </w:tc>
        <w:tc>
          <w:tcPr>
            <w:tcW w:w="381" w:type="pct"/>
            <w:vMerge w:val="restart"/>
            <w:shd w:val="clear" w:color="auto" w:fill="auto"/>
            <w:vAlign w:val="center"/>
          </w:tcPr>
          <w:p w14:paraId="16847A5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rPr>
              <w:t>保温</w:t>
            </w:r>
            <w:r>
              <w:rPr>
                <w:rFonts w:hint="eastAsia" w:ascii="宋体" w:hAnsi="宋体" w:cs="宋体"/>
                <w:color w:val="auto"/>
                <w:kern w:val="0"/>
                <w:sz w:val="21"/>
                <w:szCs w:val="21"/>
                <w:lang w:val="en-US" w:eastAsia="zh-CN"/>
              </w:rPr>
              <w:t>材料（保温砂浆）</w:t>
            </w:r>
          </w:p>
        </w:tc>
        <w:tc>
          <w:tcPr>
            <w:tcW w:w="670" w:type="pct"/>
            <w:gridSpan w:val="2"/>
            <w:shd w:val="clear" w:color="auto" w:fill="auto"/>
            <w:vAlign w:val="center"/>
          </w:tcPr>
          <w:p w14:paraId="7F2404E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rPr>
              <w:t>导热系数</w:t>
            </w:r>
            <w:r>
              <w:rPr>
                <w:rFonts w:hint="eastAsia" w:ascii="宋体" w:hAnsi="宋体" w:eastAsia="宋体" w:cs="宋体"/>
                <w:color w:val="auto"/>
                <w:kern w:val="0"/>
                <w:sz w:val="21"/>
                <w:szCs w:val="21"/>
                <w:lang w:val="en-US" w:eastAsia="zh-CN"/>
              </w:rPr>
              <w:t>/热阻</w:t>
            </w:r>
          </w:p>
        </w:tc>
        <w:tc>
          <w:tcPr>
            <w:tcW w:w="500" w:type="pct"/>
            <w:shd w:val="clear" w:color="auto" w:fill="auto"/>
            <w:vAlign w:val="center"/>
          </w:tcPr>
          <w:p w14:paraId="32ADE9E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pacing w:val="-2"/>
                <w:sz w:val="21"/>
                <w:szCs w:val="21"/>
              </w:rPr>
              <w:t>6.5.1</w:t>
            </w:r>
          </w:p>
        </w:tc>
        <w:tc>
          <w:tcPr>
            <w:tcW w:w="1376" w:type="pct"/>
            <w:vMerge w:val="restart"/>
            <w:shd w:val="clear" w:color="auto" w:fill="auto"/>
            <w:vAlign w:val="center"/>
          </w:tcPr>
          <w:p w14:paraId="1A0226F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sz w:val="21"/>
                <w:szCs w:val="21"/>
                <w:lang w:eastAsia="zh-CN"/>
              </w:rPr>
            </w:pPr>
            <w:r>
              <w:rPr>
                <w:rFonts w:hint="eastAsia" w:ascii="宋体" w:hAnsi="宋体" w:eastAsia="宋体" w:cs="宋体"/>
                <w:color w:val="auto"/>
                <w:kern w:val="0"/>
                <w:sz w:val="21"/>
                <w:szCs w:val="21"/>
              </w:rPr>
              <w:t>同厂家、同种产品，按照扣除门窗洞口后的保温墙面面积所使用的材料用量，在5000㎡以内应复检一次，面积每增加5000㎡应增加一次</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同工程项目、同施工单位且同期施工的多个单位工程，可合并计算抽检面积</w:t>
            </w:r>
            <w:r>
              <w:rPr>
                <w:rFonts w:hint="eastAsia" w:ascii="宋体" w:hAnsi="宋体" w:eastAsia="宋体" w:cs="宋体"/>
                <w:color w:val="auto"/>
                <w:kern w:val="0"/>
                <w:sz w:val="21"/>
                <w:szCs w:val="21"/>
                <w:lang w:eastAsia="zh-CN"/>
              </w:rPr>
              <w:t>。</w:t>
            </w:r>
          </w:p>
        </w:tc>
        <w:tc>
          <w:tcPr>
            <w:tcW w:w="400" w:type="pct"/>
            <w:shd w:val="clear" w:color="auto" w:fill="auto"/>
            <w:vAlign w:val="center"/>
          </w:tcPr>
          <w:p w14:paraId="618A898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3</w:t>
            </w:r>
          </w:p>
        </w:tc>
        <w:tc>
          <w:tcPr>
            <w:tcW w:w="400" w:type="pct"/>
            <w:shd w:val="clear" w:color="auto" w:fill="auto"/>
            <w:vAlign w:val="center"/>
          </w:tcPr>
          <w:p w14:paraId="0C75EA7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项</w:t>
            </w:r>
          </w:p>
        </w:tc>
        <w:tc>
          <w:tcPr>
            <w:tcW w:w="443" w:type="pct"/>
            <w:shd w:val="clear" w:color="auto" w:fill="auto"/>
            <w:vAlign w:val="center"/>
          </w:tcPr>
          <w:p w14:paraId="62B2D0F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p>
        </w:tc>
        <w:tc>
          <w:tcPr>
            <w:tcW w:w="470" w:type="pct"/>
            <w:shd w:val="clear" w:color="auto" w:fill="auto"/>
            <w:vAlign w:val="center"/>
          </w:tcPr>
          <w:p w14:paraId="58CB025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p>
        </w:tc>
      </w:tr>
      <w:tr w14:paraId="1136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356" w:type="pct"/>
            <w:vMerge w:val="continue"/>
            <w:shd w:val="clear" w:color="auto" w:fill="auto"/>
            <w:vAlign w:val="center"/>
          </w:tcPr>
          <w:p w14:paraId="68D97D9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sz w:val="21"/>
                <w:szCs w:val="21"/>
              </w:rPr>
            </w:pPr>
          </w:p>
        </w:tc>
        <w:tc>
          <w:tcPr>
            <w:tcW w:w="381" w:type="pct"/>
            <w:vMerge w:val="continue"/>
            <w:shd w:val="clear" w:color="auto" w:fill="auto"/>
            <w:vAlign w:val="center"/>
          </w:tcPr>
          <w:p w14:paraId="15B5551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p>
        </w:tc>
        <w:tc>
          <w:tcPr>
            <w:tcW w:w="670" w:type="pct"/>
            <w:gridSpan w:val="2"/>
            <w:shd w:val="clear" w:color="auto" w:fill="auto"/>
            <w:vAlign w:val="center"/>
          </w:tcPr>
          <w:p w14:paraId="3CCC777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密度</w:t>
            </w:r>
          </w:p>
        </w:tc>
        <w:tc>
          <w:tcPr>
            <w:tcW w:w="500" w:type="pct"/>
            <w:shd w:val="clear" w:color="auto" w:fill="auto"/>
            <w:vAlign w:val="center"/>
          </w:tcPr>
          <w:p w14:paraId="558475E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6.5.2</w:t>
            </w:r>
          </w:p>
        </w:tc>
        <w:tc>
          <w:tcPr>
            <w:tcW w:w="1376" w:type="pct"/>
            <w:vMerge w:val="continue"/>
            <w:shd w:val="clear" w:color="auto" w:fill="auto"/>
            <w:vAlign w:val="center"/>
          </w:tcPr>
          <w:p w14:paraId="3662C536">
            <w:pPr>
              <w:keepNext w:val="0"/>
              <w:keepLines w:val="0"/>
              <w:pageBreakBefore w:val="0"/>
              <w:widowControl/>
              <w:kinsoku/>
              <w:wordWrap/>
              <w:overflowPunct/>
              <w:topLinePunct w:val="0"/>
              <w:autoSpaceDE/>
              <w:autoSpaceDN/>
              <w:bidi w:val="0"/>
              <w:adjustRightInd/>
              <w:snapToGrid/>
              <w:spacing w:line="360" w:lineRule="exact"/>
              <w:ind w:left="0" w:leftChars="0" w:firstLine="210" w:firstLineChars="100"/>
              <w:jc w:val="center"/>
              <w:textAlignment w:val="center"/>
              <w:rPr>
                <w:rFonts w:hint="eastAsia" w:ascii="宋体" w:hAnsi="宋体" w:eastAsia="宋体" w:cs="宋体"/>
                <w:color w:val="auto"/>
                <w:sz w:val="21"/>
                <w:szCs w:val="21"/>
              </w:rPr>
            </w:pPr>
          </w:p>
        </w:tc>
        <w:tc>
          <w:tcPr>
            <w:tcW w:w="400" w:type="pct"/>
            <w:shd w:val="clear" w:color="auto" w:fill="auto"/>
            <w:vAlign w:val="center"/>
          </w:tcPr>
          <w:p w14:paraId="57C2A08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3</w:t>
            </w:r>
          </w:p>
        </w:tc>
        <w:tc>
          <w:tcPr>
            <w:tcW w:w="400" w:type="pct"/>
            <w:shd w:val="clear" w:color="auto" w:fill="auto"/>
            <w:vAlign w:val="center"/>
          </w:tcPr>
          <w:p w14:paraId="3E6E007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项</w:t>
            </w:r>
          </w:p>
        </w:tc>
        <w:tc>
          <w:tcPr>
            <w:tcW w:w="443" w:type="pct"/>
            <w:shd w:val="clear" w:color="auto" w:fill="auto"/>
            <w:vAlign w:val="center"/>
          </w:tcPr>
          <w:p w14:paraId="5CD4002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p>
        </w:tc>
        <w:tc>
          <w:tcPr>
            <w:tcW w:w="470" w:type="pct"/>
            <w:shd w:val="clear" w:color="auto" w:fill="auto"/>
            <w:vAlign w:val="center"/>
          </w:tcPr>
          <w:p w14:paraId="47B87E5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p>
        </w:tc>
      </w:tr>
      <w:tr w14:paraId="11028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6" w:type="pct"/>
            <w:vMerge w:val="continue"/>
            <w:shd w:val="clear" w:color="auto" w:fill="auto"/>
            <w:vAlign w:val="center"/>
          </w:tcPr>
          <w:p w14:paraId="3E63186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sz w:val="21"/>
                <w:szCs w:val="21"/>
              </w:rPr>
            </w:pPr>
          </w:p>
        </w:tc>
        <w:tc>
          <w:tcPr>
            <w:tcW w:w="381" w:type="pct"/>
            <w:vMerge w:val="continue"/>
            <w:shd w:val="clear" w:color="auto" w:fill="auto"/>
            <w:vAlign w:val="center"/>
          </w:tcPr>
          <w:p w14:paraId="22B84E6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p>
        </w:tc>
        <w:tc>
          <w:tcPr>
            <w:tcW w:w="670" w:type="pct"/>
            <w:gridSpan w:val="2"/>
            <w:shd w:val="clear" w:color="auto" w:fill="auto"/>
            <w:vAlign w:val="center"/>
          </w:tcPr>
          <w:p w14:paraId="0EA1C94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抗压强度</w:t>
            </w:r>
            <w:r>
              <w:rPr>
                <w:rFonts w:hint="eastAsia" w:ascii="宋体" w:hAnsi="宋体" w:eastAsia="宋体" w:cs="宋体"/>
                <w:color w:val="auto"/>
                <w:kern w:val="0"/>
                <w:sz w:val="21"/>
                <w:szCs w:val="21"/>
                <w:lang w:val="en-US" w:eastAsia="zh-CN"/>
              </w:rPr>
              <w:t>/压缩强度</w:t>
            </w:r>
          </w:p>
        </w:tc>
        <w:tc>
          <w:tcPr>
            <w:tcW w:w="500" w:type="pct"/>
            <w:shd w:val="clear" w:color="auto" w:fill="auto"/>
            <w:vAlign w:val="center"/>
          </w:tcPr>
          <w:p w14:paraId="3C70E7F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6.5.3</w:t>
            </w:r>
          </w:p>
        </w:tc>
        <w:tc>
          <w:tcPr>
            <w:tcW w:w="1376" w:type="pct"/>
            <w:vMerge w:val="continue"/>
            <w:shd w:val="clear" w:color="auto" w:fill="auto"/>
            <w:vAlign w:val="center"/>
          </w:tcPr>
          <w:p w14:paraId="09FE7BF8">
            <w:pPr>
              <w:keepNext w:val="0"/>
              <w:keepLines w:val="0"/>
              <w:pageBreakBefore w:val="0"/>
              <w:widowControl/>
              <w:kinsoku/>
              <w:wordWrap/>
              <w:overflowPunct/>
              <w:topLinePunct w:val="0"/>
              <w:autoSpaceDE/>
              <w:autoSpaceDN/>
              <w:bidi w:val="0"/>
              <w:adjustRightInd/>
              <w:snapToGrid/>
              <w:spacing w:line="360" w:lineRule="exact"/>
              <w:ind w:left="0" w:leftChars="0" w:firstLine="210" w:firstLineChars="100"/>
              <w:jc w:val="center"/>
              <w:textAlignment w:val="center"/>
              <w:rPr>
                <w:rFonts w:hint="eastAsia" w:ascii="宋体" w:hAnsi="宋体" w:eastAsia="宋体" w:cs="宋体"/>
                <w:color w:val="auto"/>
                <w:sz w:val="21"/>
                <w:szCs w:val="21"/>
              </w:rPr>
            </w:pPr>
          </w:p>
        </w:tc>
        <w:tc>
          <w:tcPr>
            <w:tcW w:w="400" w:type="pct"/>
            <w:shd w:val="clear" w:color="auto" w:fill="auto"/>
            <w:vAlign w:val="center"/>
          </w:tcPr>
          <w:p w14:paraId="36AA73D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3</w:t>
            </w:r>
          </w:p>
        </w:tc>
        <w:tc>
          <w:tcPr>
            <w:tcW w:w="400" w:type="pct"/>
            <w:shd w:val="clear" w:color="auto" w:fill="auto"/>
            <w:vAlign w:val="center"/>
          </w:tcPr>
          <w:p w14:paraId="61F6AEE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项</w:t>
            </w:r>
          </w:p>
        </w:tc>
        <w:tc>
          <w:tcPr>
            <w:tcW w:w="443" w:type="pct"/>
            <w:shd w:val="clear" w:color="auto" w:fill="auto"/>
            <w:vAlign w:val="center"/>
          </w:tcPr>
          <w:p w14:paraId="5F297D2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p>
        </w:tc>
        <w:tc>
          <w:tcPr>
            <w:tcW w:w="470" w:type="pct"/>
            <w:shd w:val="clear" w:color="auto" w:fill="auto"/>
            <w:vAlign w:val="center"/>
          </w:tcPr>
          <w:p w14:paraId="003B46A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p>
        </w:tc>
      </w:tr>
      <w:tr w14:paraId="77416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356" w:type="pct"/>
            <w:vMerge w:val="continue"/>
            <w:shd w:val="clear" w:color="auto" w:fill="auto"/>
            <w:vAlign w:val="center"/>
          </w:tcPr>
          <w:p w14:paraId="01576B1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sz w:val="21"/>
                <w:szCs w:val="21"/>
              </w:rPr>
            </w:pPr>
          </w:p>
        </w:tc>
        <w:tc>
          <w:tcPr>
            <w:tcW w:w="381" w:type="pct"/>
            <w:vMerge w:val="restart"/>
            <w:shd w:val="clear" w:color="auto" w:fill="auto"/>
            <w:vAlign w:val="center"/>
          </w:tcPr>
          <w:p w14:paraId="07B8E7E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rPr>
              <w:t>保温</w:t>
            </w:r>
            <w:r>
              <w:rPr>
                <w:rFonts w:hint="eastAsia" w:ascii="宋体" w:hAnsi="宋体" w:cs="宋体"/>
                <w:color w:val="auto"/>
                <w:kern w:val="0"/>
                <w:sz w:val="21"/>
                <w:szCs w:val="21"/>
                <w:lang w:val="en-US" w:eastAsia="zh-CN"/>
              </w:rPr>
              <w:t>材料（挤塑板）</w:t>
            </w:r>
          </w:p>
        </w:tc>
        <w:tc>
          <w:tcPr>
            <w:tcW w:w="670" w:type="pct"/>
            <w:gridSpan w:val="2"/>
            <w:shd w:val="clear" w:color="auto" w:fill="auto"/>
            <w:vAlign w:val="center"/>
          </w:tcPr>
          <w:p w14:paraId="0AB866A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sz w:val="20"/>
                <w:szCs w:val="20"/>
              </w:rPr>
            </w:pPr>
            <w:r>
              <w:rPr>
                <w:rFonts w:hint="eastAsia" w:ascii="宋体" w:hAnsi="宋体" w:eastAsia="宋体" w:cs="宋体"/>
                <w:color w:val="auto"/>
                <w:kern w:val="0"/>
                <w:sz w:val="21"/>
                <w:szCs w:val="21"/>
              </w:rPr>
              <w:t>导热系数</w:t>
            </w:r>
            <w:r>
              <w:rPr>
                <w:rFonts w:hint="eastAsia" w:ascii="宋体" w:hAnsi="宋体" w:eastAsia="宋体" w:cs="宋体"/>
                <w:color w:val="auto"/>
                <w:kern w:val="0"/>
                <w:sz w:val="21"/>
                <w:szCs w:val="21"/>
                <w:lang w:val="en-US" w:eastAsia="zh-CN"/>
              </w:rPr>
              <w:t>/热阻</w:t>
            </w:r>
          </w:p>
        </w:tc>
        <w:tc>
          <w:tcPr>
            <w:tcW w:w="500" w:type="pct"/>
            <w:shd w:val="clear" w:color="auto" w:fill="auto"/>
            <w:vAlign w:val="center"/>
          </w:tcPr>
          <w:p w14:paraId="6F6EF03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6.5.1</w:t>
            </w:r>
          </w:p>
        </w:tc>
        <w:tc>
          <w:tcPr>
            <w:tcW w:w="1376" w:type="pct"/>
            <w:vMerge w:val="restart"/>
            <w:shd w:val="clear" w:color="auto" w:fill="auto"/>
            <w:vAlign w:val="center"/>
          </w:tcPr>
          <w:p w14:paraId="4C42E1F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同厂家、同品种产品，扣除天窗，采光顶后的屋面面积在1000㎡以内复验一次。</w:t>
            </w:r>
          </w:p>
        </w:tc>
        <w:tc>
          <w:tcPr>
            <w:tcW w:w="400" w:type="pct"/>
            <w:shd w:val="clear" w:color="auto" w:fill="auto"/>
            <w:vAlign w:val="center"/>
          </w:tcPr>
          <w:p w14:paraId="1180176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4</w:t>
            </w:r>
          </w:p>
        </w:tc>
        <w:tc>
          <w:tcPr>
            <w:tcW w:w="400" w:type="pct"/>
            <w:shd w:val="clear" w:color="auto" w:fill="auto"/>
            <w:vAlign w:val="center"/>
          </w:tcPr>
          <w:p w14:paraId="242E916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项</w:t>
            </w:r>
          </w:p>
        </w:tc>
        <w:tc>
          <w:tcPr>
            <w:tcW w:w="443" w:type="pct"/>
            <w:shd w:val="clear" w:color="auto" w:fill="auto"/>
            <w:vAlign w:val="center"/>
          </w:tcPr>
          <w:p w14:paraId="224FAA6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cs="宋体"/>
                <w:color w:val="auto"/>
                <w:kern w:val="2"/>
                <w:sz w:val="21"/>
                <w:szCs w:val="21"/>
                <w:lang w:val="en-US" w:eastAsia="zh-CN" w:bidi="ar-SA"/>
              </w:rPr>
            </w:pPr>
          </w:p>
        </w:tc>
        <w:tc>
          <w:tcPr>
            <w:tcW w:w="470" w:type="pct"/>
            <w:shd w:val="clear" w:color="auto" w:fill="auto"/>
            <w:vAlign w:val="center"/>
          </w:tcPr>
          <w:p w14:paraId="40DF9CB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cs="宋体"/>
                <w:color w:val="auto"/>
                <w:kern w:val="2"/>
                <w:sz w:val="21"/>
                <w:szCs w:val="21"/>
                <w:lang w:val="en-US" w:eastAsia="zh-CN" w:bidi="ar-SA"/>
              </w:rPr>
            </w:pPr>
          </w:p>
        </w:tc>
      </w:tr>
      <w:tr w14:paraId="4EA93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56" w:type="pct"/>
            <w:vMerge w:val="continue"/>
            <w:shd w:val="clear" w:color="auto" w:fill="auto"/>
            <w:vAlign w:val="center"/>
          </w:tcPr>
          <w:p w14:paraId="1233AB2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sz w:val="21"/>
                <w:szCs w:val="21"/>
              </w:rPr>
            </w:pPr>
          </w:p>
        </w:tc>
        <w:tc>
          <w:tcPr>
            <w:tcW w:w="381" w:type="pct"/>
            <w:vMerge w:val="continue"/>
            <w:shd w:val="clear" w:color="auto" w:fill="auto"/>
            <w:vAlign w:val="center"/>
          </w:tcPr>
          <w:p w14:paraId="2B3BE2F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p>
        </w:tc>
        <w:tc>
          <w:tcPr>
            <w:tcW w:w="670" w:type="pct"/>
            <w:gridSpan w:val="2"/>
            <w:shd w:val="clear" w:color="auto" w:fill="auto"/>
            <w:vAlign w:val="center"/>
          </w:tcPr>
          <w:p w14:paraId="0339CA5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sz w:val="20"/>
                <w:szCs w:val="20"/>
              </w:rPr>
            </w:pPr>
            <w:r>
              <w:rPr>
                <w:rFonts w:hint="eastAsia" w:ascii="宋体" w:hAnsi="宋体" w:eastAsia="宋体" w:cs="宋体"/>
                <w:color w:val="auto"/>
                <w:kern w:val="0"/>
                <w:sz w:val="21"/>
                <w:szCs w:val="21"/>
              </w:rPr>
              <w:t>密度</w:t>
            </w:r>
          </w:p>
        </w:tc>
        <w:tc>
          <w:tcPr>
            <w:tcW w:w="500" w:type="pct"/>
            <w:shd w:val="clear" w:color="auto" w:fill="auto"/>
            <w:vAlign w:val="center"/>
          </w:tcPr>
          <w:p w14:paraId="78A7E69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6.5.2</w:t>
            </w:r>
          </w:p>
        </w:tc>
        <w:tc>
          <w:tcPr>
            <w:tcW w:w="1376" w:type="pct"/>
            <w:vMerge w:val="continue"/>
            <w:shd w:val="clear" w:color="auto" w:fill="auto"/>
            <w:vAlign w:val="center"/>
          </w:tcPr>
          <w:p w14:paraId="67DDF986">
            <w:pPr>
              <w:keepNext w:val="0"/>
              <w:keepLines w:val="0"/>
              <w:pageBreakBefore w:val="0"/>
              <w:widowControl/>
              <w:kinsoku/>
              <w:wordWrap/>
              <w:overflowPunct/>
              <w:topLinePunct w:val="0"/>
              <w:autoSpaceDE/>
              <w:autoSpaceDN/>
              <w:bidi w:val="0"/>
              <w:adjustRightInd/>
              <w:snapToGrid/>
              <w:spacing w:line="360" w:lineRule="exact"/>
              <w:ind w:left="0" w:leftChars="0" w:firstLine="210" w:firstLineChars="100"/>
              <w:jc w:val="center"/>
              <w:textAlignment w:val="center"/>
              <w:rPr>
                <w:rFonts w:hint="eastAsia" w:ascii="宋体" w:hAnsi="宋体" w:eastAsia="宋体" w:cs="宋体"/>
                <w:color w:val="auto"/>
                <w:sz w:val="21"/>
                <w:szCs w:val="21"/>
              </w:rPr>
            </w:pPr>
          </w:p>
        </w:tc>
        <w:tc>
          <w:tcPr>
            <w:tcW w:w="400" w:type="pct"/>
            <w:shd w:val="clear" w:color="auto" w:fill="auto"/>
            <w:vAlign w:val="center"/>
          </w:tcPr>
          <w:p w14:paraId="138B23F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4</w:t>
            </w:r>
          </w:p>
        </w:tc>
        <w:tc>
          <w:tcPr>
            <w:tcW w:w="400" w:type="pct"/>
            <w:shd w:val="clear" w:color="auto" w:fill="auto"/>
            <w:vAlign w:val="center"/>
          </w:tcPr>
          <w:p w14:paraId="7968266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项</w:t>
            </w:r>
          </w:p>
        </w:tc>
        <w:tc>
          <w:tcPr>
            <w:tcW w:w="443" w:type="pct"/>
            <w:shd w:val="clear" w:color="auto" w:fill="auto"/>
            <w:vAlign w:val="center"/>
          </w:tcPr>
          <w:p w14:paraId="78669AB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cs="宋体"/>
                <w:color w:val="auto"/>
                <w:kern w:val="2"/>
                <w:sz w:val="21"/>
                <w:szCs w:val="21"/>
                <w:lang w:val="en-US" w:eastAsia="zh-CN" w:bidi="ar-SA"/>
              </w:rPr>
            </w:pPr>
          </w:p>
        </w:tc>
        <w:tc>
          <w:tcPr>
            <w:tcW w:w="470" w:type="pct"/>
            <w:shd w:val="clear" w:color="auto" w:fill="auto"/>
            <w:vAlign w:val="center"/>
          </w:tcPr>
          <w:p w14:paraId="0228B11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cs="宋体"/>
                <w:color w:val="auto"/>
                <w:kern w:val="2"/>
                <w:sz w:val="21"/>
                <w:szCs w:val="21"/>
                <w:lang w:val="en-US" w:eastAsia="zh-CN" w:bidi="ar-SA"/>
              </w:rPr>
            </w:pPr>
          </w:p>
        </w:tc>
      </w:tr>
      <w:tr w14:paraId="4839C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6" w:type="pct"/>
            <w:vMerge w:val="continue"/>
            <w:shd w:val="clear" w:color="auto" w:fill="auto"/>
            <w:vAlign w:val="center"/>
          </w:tcPr>
          <w:p w14:paraId="631CA0F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sz w:val="21"/>
                <w:szCs w:val="21"/>
              </w:rPr>
            </w:pPr>
          </w:p>
        </w:tc>
        <w:tc>
          <w:tcPr>
            <w:tcW w:w="381" w:type="pct"/>
            <w:vMerge w:val="continue"/>
            <w:shd w:val="clear" w:color="auto" w:fill="auto"/>
            <w:vAlign w:val="center"/>
          </w:tcPr>
          <w:p w14:paraId="2AB8B3F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p>
        </w:tc>
        <w:tc>
          <w:tcPr>
            <w:tcW w:w="670" w:type="pct"/>
            <w:gridSpan w:val="2"/>
            <w:shd w:val="clear" w:color="auto" w:fill="auto"/>
            <w:vAlign w:val="center"/>
          </w:tcPr>
          <w:p w14:paraId="59562A6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sz w:val="20"/>
                <w:szCs w:val="20"/>
              </w:rPr>
            </w:pPr>
            <w:r>
              <w:rPr>
                <w:rFonts w:hint="eastAsia" w:ascii="宋体" w:hAnsi="宋体" w:eastAsia="宋体" w:cs="宋体"/>
                <w:color w:val="auto"/>
                <w:kern w:val="0"/>
                <w:sz w:val="21"/>
                <w:szCs w:val="21"/>
              </w:rPr>
              <w:t>抗压强度</w:t>
            </w:r>
            <w:r>
              <w:rPr>
                <w:rFonts w:hint="eastAsia" w:ascii="宋体" w:hAnsi="宋体" w:eastAsia="宋体" w:cs="宋体"/>
                <w:color w:val="auto"/>
                <w:kern w:val="0"/>
                <w:sz w:val="21"/>
                <w:szCs w:val="21"/>
                <w:lang w:val="en-US" w:eastAsia="zh-CN"/>
              </w:rPr>
              <w:t>/压缩强度</w:t>
            </w:r>
          </w:p>
        </w:tc>
        <w:tc>
          <w:tcPr>
            <w:tcW w:w="500" w:type="pct"/>
            <w:shd w:val="clear" w:color="auto" w:fill="auto"/>
            <w:vAlign w:val="center"/>
          </w:tcPr>
          <w:p w14:paraId="649A4B1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6.5.3</w:t>
            </w:r>
          </w:p>
        </w:tc>
        <w:tc>
          <w:tcPr>
            <w:tcW w:w="1376" w:type="pct"/>
            <w:vMerge w:val="continue"/>
            <w:shd w:val="clear" w:color="auto" w:fill="auto"/>
            <w:vAlign w:val="center"/>
          </w:tcPr>
          <w:p w14:paraId="5E886DD1">
            <w:pPr>
              <w:keepNext w:val="0"/>
              <w:keepLines w:val="0"/>
              <w:pageBreakBefore w:val="0"/>
              <w:widowControl/>
              <w:kinsoku/>
              <w:wordWrap/>
              <w:overflowPunct/>
              <w:topLinePunct w:val="0"/>
              <w:autoSpaceDE/>
              <w:autoSpaceDN/>
              <w:bidi w:val="0"/>
              <w:adjustRightInd/>
              <w:snapToGrid/>
              <w:spacing w:line="360" w:lineRule="exact"/>
              <w:ind w:left="0" w:leftChars="0" w:firstLine="210" w:firstLineChars="100"/>
              <w:jc w:val="center"/>
              <w:textAlignment w:val="center"/>
              <w:rPr>
                <w:rFonts w:hint="eastAsia" w:ascii="宋体" w:hAnsi="宋体" w:eastAsia="宋体" w:cs="宋体"/>
                <w:color w:val="auto"/>
                <w:sz w:val="21"/>
                <w:szCs w:val="21"/>
              </w:rPr>
            </w:pPr>
          </w:p>
        </w:tc>
        <w:tc>
          <w:tcPr>
            <w:tcW w:w="400" w:type="pct"/>
            <w:shd w:val="clear" w:color="auto" w:fill="auto"/>
            <w:vAlign w:val="center"/>
          </w:tcPr>
          <w:p w14:paraId="13FE0AF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4</w:t>
            </w:r>
          </w:p>
        </w:tc>
        <w:tc>
          <w:tcPr>
            <w:tcW w:w="400" w:type="pct"/>
            <w:shd w:val="clear" w:color="auto" w:fill="auto"/>
            <w:vAlign w:val="center"/>
          </w:tcPr>
          <w:p w14:paraId="7615660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项</w:t>
            </w:r>
          </w:p>
        </w:tc>
        <w:tc>
          <w:tcPr>
            <w:tcW w:w="443" w:type="pct"/>
            <w:shd w:val="clear" w:color="auto" w:fill="auto"/>
            <w:vAlign w:val="center"/>
          </w:tcPr>
          <w:p w14:paraId="4BA4C8E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cs="宋体"/>
                <w:color w:val="auto"/>
                <w:kern w:val="2"/>
                <w:sz w:val="21"/>
                <w:szCs w:val="21"/>
                <w:lang w:val="en-US" w:eastAsia="zh-CN" w:bidi="ar-SA"/>
              </w:rPr>
            </w:pPr>
          </w:p>
        </w:tc>
        <w:tc>
          <w:tcPr>
            <w:tcW w:w="470" w:type="pct"/>
            <w:shd w:val="clear" w:color="auto" w:fill="auto"/>
            <w:vAlign w:val="center"/>
          </w:tcPr>
          <w:p w14:paraId="0B4DC34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cs="宋体"/>
                <w:color w:val="auto"/>
                <w:kern w:val="2"/>
                <w:sz w:val="21"/>
                <w:szCs w:val="21"/>
                <w:lang w:val="en-US" w:eastAsia="zh-CN" w:bidi="ar-SA"/>
              </w:rPr>
            </w:pPr>
          </w:p>
        </w:tc>
      </w:tr>
      <w:tr w14:paraId="5DF21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356" w:type="pct"/>
            <w:vMerge w:val="continue"/>
            <w:shd w:val="clear" w:color="auto" w:fill="auto"/>
            <w:vAlign w:val="center"/>
          </w:tcPr>
          <w:p w14:paraId="017E28F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sz w:val="21"/>
                <w:szCs w:val="21"/>
              </w:rPr>
            </w:pPr>
          </w:p>
        </w:tc>
        <w:tc>
          <w:tcPr>
            <w:tcW w:w="381" w:type="pct"/>
            <w:vMerge w:val="continue"/>
            <w:shd w:val="clear" w:color="auto" w:fill="auto"/>
            <w:vAlign w:val="center"/>
          </w:tcPr>
          <w:p w14:paraId="080A10D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p>
        </w:tc>
        <w:tc>
          <w:tcPr>
            <w:tcW w:w="670" w:type="pct"/>
            <w:gridSpan w:val="2"/>
            <w:shd w:val="clear" w:color="auto" w:fill="auto"/>
            <w:vAlign w:val="center"/>
          </w:tcPr>
          <w:p w14:paraId="66C2914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sz w:val="20"/>
                <w:szCs w:val="20"/>
              </w:rPr>
            </w:pPr>
            <w:r>
              <w:rPr>
                <w:rFonts w:hint="eastAsia" w:ascii="宋体" w:hAnsi="宋体" w:eastAsia="宋体" w:cs="宋体"/>
                <w:color w:val="auto"/>
                <w:kern w:val="0"/>
                <w:sz w:val="21"/>
                <w:szCs w:val="21"/>
              </w:rPr>
              <w:t>燃烧性能等级</w:t>
            </w:r>
            <w:r>
              <w:rPr>
                <w:rFonts w:hint="eastAsia" w:ascii="宋体" w:hAnsi="宋体" w:eastAsia="宋体" w:cs="宋体"/>
                <w:color w:val="auto"/>
                <w:kern w:val="0"/>
                <w:sz w:val="21"/>
                <w:szCs w:val="21"/>
                <w:lang w:val="en-US" w:eastAsia="zh-CN"/>
              </w:rPr>
              <w:t>B级</w:t>
            </w:r>
          </w:p>
        </w:tc>
        <w:tc>
          <w:tcPr>
            <w:tcW w:w="500" w:type="pct"/>
            <w:shd w:val="clear" w:color="auto" w:fill="auto"/>
            <w:vAlign w:val="center"/>
          </w:tcPr>
          <w:p w14:paraId="501EEE7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6.5.7</w:t>
            </w:r>
          </w:p>
        </w:tc>
        <w:tc>
          <w:tcPr>
            <w:tcW w:w="1376" w:type="pct"/>
            <w:vMerge w:val="continue"/>
            <w:shd w:val="clear" w:color="auto" w:fill="auto"/>
            <w:vAlign w:val="center"/>
          </w:tcPr>
          <w:p w14:paraId="20C759A7">
            <w:pPr>
              <w:keepNext w:val="0"/>
              <w:keepLines w:val="0"/>
              <w:pageBreakBefore w:val="0"/>
              <w:widowControl/>
              <w:kinsoku/>
              <w:wordWrap/>
              <w:overflowPunct/>
              <w:topLinePunct w:val="0"/>
              <w:autoSpaceDE/>
              <w:autoSpaceDN/>
              <w:bidi w:val="0"/>
              <w:adjustRightInd/>
              <w:snapToGrid/>
              <w:spacing w:line="360" w:lineRule="exact"/>
              <w:ind w:left="0" w:leftChars="0" w:firstLine="210" w:firstLineChars="100"/>
              <w:jc w:val="center"/>
              <w:textAlignment w:val="center"/>
              <w:rPr>
                <w:rFonts w:hint="eastAsia" w:ascii="宋体" w:hAnsi="宋体" w:eastAsia="宋体" w:cs="宋体"/>
                <w:color w:val="auto"/>
                <w:sz w:val="21"/>
                <w:szCs w:val="21"/>
              </w:rPr>
            </w:pPr>
          </w:p>
        </w:tc>
        <w:tc>
          <w:tcPr>
            <w:tcW w:w="400" w:type="pct"/>
            <w:shd w:val="clear" w:color="auto" w:fill="auto"/>
            <w:vAlign w:val="center"/>
          </w:tcPr>
          <w:p w14:paraId="7919288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2</w:t>
            </w:r>
          </w:p>
        </w:tc>
        <w:tc>
          <w:tcPr>
            <w:tcW w:w="400" w:type="pct"/>
            <w:shd w:val="clear" w:color="auto" w:fill="auto"/>
            <w:vAlign w:val="center"/>
          </w:tcPr>
          <w:p w14:paraId="0DF5935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项</w:t>
            </w:r>
          </w:p>
        </w:tc>
        <w:tc>
          <w:tcPr>
            <w:tcW w:w="443" w:type="pct"/>
            <w:shd w:val="clear" w:color="auto" w:fill="auto"/>
            <w:vAlign w:val="center"/>
          </w:tcPr>
          <w:p w14:paraId="6B220BE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cs="宋体"/>
                <w:color w:val="auto"/>
                <w:kern w:val="2"/>
                <w:sz w:val="21"/>
                <w:szCs w:val="21"/>
                <w:lang w:val="en-US" w:eastAsia="zh-CN" w:bidi="ar-SA"/>
              </w:rPr>
            </w:pPr>
          </w:p>
        </w:tc>
        <w:tc>
          <w:tcPr>
            <w:tcW w:w="470" w:type="pct"/>
            <w:shd w:val="clear" w:color="auto" w:fill="auto"/>
            <w:vAlign w:val="center"/>
          </w:tcPr>
          <w:p w14:paraId="5479921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cs="宋体"/>
                <w:color w:val="auto"/>
                <w:kern w:val="2"/>
                <w:sz w:val="21"/>
                <w:szCs w:val="21"/>
                <w:lang w:val="en-US" w:eastAsia="zh-CN" w:bidi="ar-SA"/>
              </w:rPr>
            </w:pPr>
          </w:p>
        </w:tc>
      </w:tr>
      <w:tr w14:paraId="528DF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356" w:type="pct"/>
            <w:vMerge w:val="continue"/>
            <w:shd w:val="clear" w:color="auto" w:fill="auto"/>
            <w:vAlign w:val="center"/>
          </w:tcPr>
          <w:p w14:paraId="3A3A03B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sz w:val="21"/>
                <w:szCs w:val="21"/>
              </w:rPr>
            </w:pPr>
          </w:p>
        </w:tc>
        <w:tc>
          <w:tcPr>
            <w:tcW w:w="381" w:type="pct"/>
            <w:vMerge w:val="restart"/>
            <w:shd w:val="clear" w:color="auto" w:fill="auto"/>
            <w:vAlign w:val="center"/>
          </w:tcPr>
          <w:p w14:paraId="1E17800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粘结材料/抹面材料</w:t>
            </w:r>
          </w:p>
        </w:tc>
        <w:tc>
          <w:tcPr>
            <w:tcW w:w="670" w:type="pct"/>
            <w:gridSpan w:val="2"/>
            <w:shd w:val="clear" w:color="auto" w:fill="auto"/>
            <w:vAlign w:val="center"/>
          </w:tcPr>
          <w:p w14:paraId="04620E6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压折比</w:t>
            </w:r>
          </w:p>
        </w:tc>
        <w:tc>
          <w:tcPr>
            <w:tcW w:w="500" w:type="pct"/>
            <w:shd w:val="clear" w:color="auto" w:fill="auto"/>
            <w:vAlign w:val="center"/>
          </w:tcPr>
          <w:p w14:paraId="224D284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6.7.1</w:t>
            </w:r>
          </w:p>
        </w:tc>
        <w:tc>
          <w:tcPr>
            <w:tcW w:w="1376" w:type="pct"/>
            <w:vMerge w:val="restart"/>
            <w:shd w:val="clear" w:color="auto" w:fill="auto"/>
            <w:vAlign w:val="center"/>
          </w:tcPr>
          <w:p w14:paraId="61B9359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rPr>
              <w:t>同厂家、同种产品，按照扣除门窗洞口后的保温墙面面积所使用的材料用量，在5000㎡以内应复检一次，面积每增加5000㎡应增加一次</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同工程项目、同施工单位且同期施工的多个单位工程，可合并计算抽检面积</w:t>
            </w:r>
            <w:r>
              <w:rPr>
                <w:rFonts w:hint="eastAsia" w:ascii="宋体" w:hAnsi="宋体" w:eastAsia="宋体" w:cs="宋体"/>
                <w:color w:val="auto"/>
                <w:kern w:val="0"/>
                <w:sz w:val="21"/>
                <w:szCs w:val="21"/>
                <w:lang w:eastAsia="zh-CN"/>
              </w:rPr>
              <w:t>。</w:t>
            </w:r>
          </w:p>
        </w:tc>
        <w:tc>
          <w:tcPr>
            <w:tcW w:w="400" w:type="pct"/>
            <w:shd w:val="clear" w:color="auto" w:fill="auto"/>
            <w:vAlign w:val="center"/>
          </w:tcPr>
          <w:p w14:paraId="3B7D3B9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w:t>
            </w:r>
          </w:p>
        </w:tc>
        <w:tc>
          <w:tcPr>
            <w:tcW w:w="400" w:type="pct"/>
            <w:shd w:val="clear" w:color="auto" w:fill="auto"/>
            <w:vAlign w:val="center"/>
          </w:tcPr>
          <w:p w14:paraId="53FE5DB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项</w:t>
            </w:r>
          </w:p>
        </w:tc>
        <w:tc>
          <w:tcPr>
            <w:tcW w:w="443" w:type="pct"/>
            <w:shd w:val="clear" w:color="auto" w:fill="auto"/>
            <w:vAlign w:val="center"/>
          </w:tcPr>
          <w:p w14:paraId="13639AB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sz w:val="21"/>
                <w:szCs w:val="21"/>
                <w:lang w:val="en-US" w:eastAsia="zh-CN"/>
              </w:rPr>
            </w:pPr>
          </w:p>
        </w:tc>
        <w:tc>
          <w:tcPr>
            <w:tcW w:w="470" w:type="pct"/>
            <w:shd w:val="clear" w:color="auto" w:fill="auto"/>
            <w:vAlign w:val="center"/>
          </w:tcPr>
          <w:p w14:paraId="159C883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sz w:val="21"/>
                <w:szCs w:val="21"/>
                <w:lang w:val="en-US" w:eastAsia="zh-CN"/>
              </w:rPr>
            </w:pPr>
          </w:p>
        </w:tc>
      </w:tr>
      <w:tr w14:paraId="70AA4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56" w:type="pct"/>
            <w:vMerge w:val="continue"/>
            <w:shd w:val="clear" w:color="auto" w:fill="auto"/>
            <w:vAlign w:val="center"/>
          </w:tcPr>
          <w:p w14:paraId="6883306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sz w:val="21"/>
                <w:szCs w:val="21"/>
              </w:rPr>
            </w:pPr>
          </w:p>
        </w:tc>
        <w:tc>
          <w:tcPr>
            <w:tcW w:w="381" w:type="pct"/>
            <w:vMerge w:val="continue"/>
            <w:shd w:val="clear" w:color="auto" w:fill="auto"/>
            <w:vAlign w:val="center"/>
          </w:tcPr>
          <w:p w14:paraId="3E3D165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p>
        </w:tc>
        <w:tc>
          <w:tcPr>
            <w:tcW w:w="227" w:type="pct"/>
            <w:vMerge w:val="restart"/>
            <w:shd w:val="clear" w:color="auto" w:fill="auto"/>
            <w:vAlign w:val="center"/>
          </w:tcPr>
          <w:p w14:paraId="61E299C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拉伸粘结强度</w:t>
            </w:r>
          </w:p>
        </w:tc>
        <w:tc>
          <w:tcPr>
            <w:tcW w:w="442" w:type="pct"/>
            <w:shd w:val="clear" w:color="auto" w:fill="auto"/>
            <w:vAlign w:val="center"/>
          </w:tcPr>
          <w:p w14:paraId="4F77393F">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原强度</w:t>
            </w:r>
          </w:p>
        </w:tc>
        <w:tc>
          <w:tcPr>
            <w:tcW w:w="500" w:type="pct"/>
            <w:shd w:val="clear" w:color="auto" w:fill="auto"/>
            <w:vAlign w:val="center"/>
          </w:tcPr>
          <w:p w14:paraId="5C1F4DC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6.7.2</w:t>
            </w:r>
          </w:p>
        </w:tc>
        <w:tc>
          <w:tcPr>
            <w:tcW w:w="1376" w:type="pct"/>
            <w:vMerge w:val="continue"/>
            <w:shd w:val="clear" w:color="auto" w:fill="auto"/>
            <w:vAlign w:val="center"/>
          </w:tcPr>
          <w:p w14:paraId="74C2CD2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p>
        </w:tc>
        <w:tc>
          <w:tcPr>
            <w:tcW w:w="400" w:type="pct"/>
            <w:shd w:val="clear" w:color="auto" w:fill="auto"/>
            <w:vAlign w:val="center"/>
          </w:tcPr>
          <w:p w14:paraId="19C473B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6</w:t>
            </w:r>
          </w:p>
        </w:tc>
        <w:tc>
          <w:tcPr>
            <w:tcW w:w="400" w:type="pct"/>
            <w:shd w:val="clear" w:color="auto" w:fill="auto"/>
            <w:vAlign w:val="center"/>
          </w:tcPr>
          <w:p w14:paraId="00E199F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项</w:t>
            </w:r>
          </w:p>
        </w:tc>
        <w:tc>
          <w:tcPr>
            <w:tcW w:w="443" w:type="pct"/>
            <w:shd w:val="clear" w:color="auto" w:fill="auto"/>
            <w:vAlign w:val="center"/>
          </w:tcPr>
          <w:p w14:paraId="0D887AB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sz w:val="21"/>
                <w:szCs w:val="21"/>
                <w:lang w:val="en-US" w:eastAsia="zh-CN"/>
              </w:rPr>
            </w:pPr>
          </w:p>
        </w:tc>
        <w:tc>
          <w:tcPr>
            <w:tcW w:w="470" w:type="pct"/>
            <w:shd w:val="clear" w:color="auto" w:fill="auto"/>
            <w:vAlign w:val="center"/>
          </w:tcPr>
          <w:p w14:paraId="7F7C7BD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sz w:val="21"/>
                <w:szCs w:val="21"/>
                <w:lang w:val="en-US" w:eastAsia="zh-CN"/>
              </w:rPr>
            </w:pPr>
          </w:p>
        </w:tc>
      </w:tr>
      <w:tr w14:paraId="28A6D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6" w:type="pct"/>
            <w:vMerge w:val="continue"/>
            <w:shd w:val="clear" w:color="auto" w:fill="auto"/>
            <w:vAlign w:val="center"/>
          </w:tcPr>
          <w:p w14:paraId="0331BC3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sz w:val="21"/>
                <w:szCs w:val="21"/>
              </w:rPr>
            </w:pPr>
          </w:p>
        </w:tc>
        <w:tc>
          <w:tcPr>
            <w:tcW w:w="381" w:type="pct"/>
            <w:vMerge w:val="continue"/>
            <w:shd w:val="clear" w:color="auto" w:fill="auto"/>
            <w:vAlign w:val="center"/>
          </w:tcPr>
          <w:p w14:paraId="136593A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p>
        </w:tc>
        <w:tc>
          <w:tcPr>
            <w:tcW w:w="227" w:type="pct"/>
            <w:vMerge w:val="continue"/>
            <w:shd w:val="clear" w:color="auto" w:fill="auto"/>
            <w:vAlign w:val="center"/>
          </w:tcPr>
          <w:p w14:paraId="1A3B37B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p>
        </w:tc>
        <w:tc>
          <w:tcPr>
            <w:tcW w:w="442" w:type="pct"/>
            <w:shd w:val="clear" w:color="auto" w:fill="auto"/>
            <w:vAlign w:val="center"/>
          </w:tcPr>
          <w:p w14:paraId="15F0E59F">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耐水强度</w:t>
            </w:r>
          </w:p>
        </w:tc>
        <w:tc>
          <w:tcPr>
            <w:tcW w:w="500" w:type="pct"/>
            <w:shd w:val="clear" w:color="auto" w:fill="auto"/>
            <w:vAlign w:val="center"/>
          </w:tcPr>
          <w:p w14:paraId="6006FA6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6.7.3</w:t>
            </w:r>
          </w:p>
        </w:tc>
        <w:tc>
          <w:tcPr>
            <w:tcW w:w="1376" w:type="pct"/>
            <w:vMerge w:val="continue"/>
            <w:shd w:val="clear" w:color="auto" w:fill="auto"/>
            <w:vAlign w:val="center"/>
          </w:tcPr>
          <w:p w14:paraId="4432B38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p>
        </w:tc>
        <w:tc>
          <w:tcPr>
            <w:tcW w:w="400" w:type="pct"/>
            <w:shd w:val="clear" w:color="auto" w:fill="auto"/>
            <w:vAlign w:val="center"/>
          </w:tcPr>
          <w:p w14:paraId="465F066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10</w:t>
            </w:r>
          </w:p>
        </w:tc>
        <w:tc>
          <w:tcPr>
            <w:tcW w:w="400" w:type="pct"/>
            <w:shd w:val="clear" w:color="auto" w:fill="auto"/>
            <w:vAlign w:val="center"/>
          </w:tcPr>
          <w:p w14:paraId="0FE892B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项</w:t>
            </w:r>
          </w:p>
        </w:tc>
        <w:tc>
          <w:tcPr>
            <w:tcW w:w="443" w:type="pct"/>
            <w:shd w:val="clear" w:color="auto" w:fill="auto"/>
            <w:vAlign w:val="center"/>
          </w:tcPr>
          <w:p w14:paraId="0923D48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sz w:val="21"/>
                <w:szCs w:val="21"/>
                <w:lang w:val="en-US" w:eastAsia="zh-CN"/>
              </w:rPr>
            </w:pPr>
          </w:p>
        </w:tc>
        <w:tc>
          <w:tcPr>
            <w:tcW w:w="470" w:type="pct"/>
            <w:shd w:val="clear" w:color="auto" w:fill="auto"/>
            <w:vAlign w:val="center"/>
          </w:tcPr>
          <w:p w14:paraId="3C46056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sz w:val="21"/>
                <w:szCs w:val="21"/>
                <w:lang w:val="en-US" w:eastAsia="zh-CN"/>
              </w:rPr>
            </w:pPr>
          </w:p>
        </w:tc>
      </w:tr>
      <w:tr w14:paraId="2C42A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6" w:type="pct"/>
            <w:vMerge w:val="continue"/>
            <w:shd w:val="clear" w:color="auto" w:fill="auto"/>
            <w:vAlign w:val="center"/>
          </w:tcPr>
          <w:p w14:paraId="6E42622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sz w:val="21"/>
                <w:szCs w:val="21"/>
              </w:rPr>
            </w:pPr>
          </w:p>
        </w:tc>
        <w:tc>
          <w:tcPr>
            <w:tcW w:w="381" w:type="pct"/>
            <w:vMerge w:val="restart"/>
            <w:shd w:val="clear" w:color="auto" w:fill="auto"/>
            <w:vAlign w:val="center"/>
          </w:tcPr>
          <w:p w14:paraId="6BABB87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增强</w:t>
            </w:r>
          </w:p>
          <w:p w14:paraId="78783F1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网（网格布、镀锌电焊网）</w:t>
            </w:r>
          </w:p>
        </w:tc>
        <w:tc>
          <w:tcPr>
            <w:tcW w:w="670" w:type="pct"/>
            <w:gridSpan w:val="2"/>
            <w:shd w:val="clear" w:color="auto" w:fill="auto"/>
            <w:vAlign w:val="center"/>
          </w:tcPr>
          <w:p w14:paraId="2492EDE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耐碱断裂强力</w:t>
            </w:r>
            <w:r>
              <w:rPr>
                <w:rFonts w:hint="eastAsia" w:ascii="宋体" w:hAnsi="宋体" w:cs="宋体"/>
                <w:color w:val="auto"/>
                <w:kern w:val="2"/>
                <w:sz w:val="21"/>
                <w:szCs w:val="21"/>
                <w:lang w:val="en-US" w:eastAsia="zh-CN" w:bidi="ar-SA"/>
              </w:rPr>
              <w:t>（经、纬向）</w:t>
            </w:r>
          </w:p>
        </w:tc>
        <w:tc>
          <w:tcPr>
            <w:tcW w:w="500" w:type="pct"/>
            <w:shd w:val="clear" w:color="auto" w:fill="auto"/>
            <w:vAlign w:val="center"/>
          </w:tcPr>
          <w:p w14:paraId="596902D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6.8.2</w:t>
            </w:r>
          </w:p>
        </w:tc>
        <w:tc>
          <w:tcPr>
            <w:tcW w:w="1376" w:type="pct"/>
            <w:vMerge w:val="restart"/>
            <w:shd w:val="clear" w:color="auto" w:fill="auto"/>
            <w:vAlign w:val="center"/>
          </w:tcPr>
          <w:p w14:paraId="0D1B92B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同厂家、同种产品，按照扣除门窗洞口后的保温墙面面积所使用的材料用量，在5000㎡以内应复检一次，面积每增加5000㎡应增加一次，同工程项目、同施工单位且同期施工的多个单位工程，可合并计算抽检面积。</w:t>
            </w:r>
          </w:p>
        </w:tc>
        <w:tc>
          <w:tcPr>
            <w:tcW w:w="400" w:type="pct"/>
            <w:vMerge w:val="restart"/>
            <w:shd w:val="clear" w:color="auto" w:fill="auto"/>
            <w:vAlign w:val="center"/>
          </w:tcPr>
          <w:p w14:paraId="63245E4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12</w:t>
            </w:r>
          </w:p>
        </w:tc>
        <w:tc>
          <w:tcPr>
            <w:tcW w:w="400" w:type="pct"/>
            <w:shd w:val="clear" w:color="auto" w:fill="auto"/>
            <w:vAlign w:val="center"/>
          </w:tcPr>
          <w:p w14:paraId="74ADE74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项</w:t>
            </w:r>
          </w:p>
        </w:tc>
        <w:tc>
          <w:tcPr>
            <w:tcW w:w="443" w:type="pct"/>
            <w:shd w:val="clear" w:color="auto" w:fill="auto"/>
            <w:vAlign w:val="center"/>
          </w:tcPr>
          <w:p w14:paraId="4A4138D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sz w:val="21"/>
                <w:szCs w:val="21"/>
                <w:lang w:val="en-US" w:eastAsia="zh-CN"/>
              </w:rPr>
            </w:pPr>
          </w:p>
        </w:tc>
        <w:tc>
          <w:tcPr>
            <w:tcW w:w="470" w:type="pct"/>
            <w:shd w:val="clear" w:color="auto" w:fill="auto"/>
            <w:vAlign w:val="center"/>
          </w:tcPr>
          <w:p w14:paraId="57DC016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sz w:val="21"/>
                <w:szCs w:val="21"/>
                <w:lang w:val="en-US" w:eastAsia="zh-CN"/>
              </w:rPr>
            </w:pPr>
          </w:p>
        </w:tc>
      </w:tr>
      <w:tr w14:paraId="14E8E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6" w:type="pct"/>
            <w:vMerge w:val="continue"/>
            <w:shd w:val="clear" w:color="auto" w:fill="auto"/>
            <w:vAlign w:val="center"/>
          </w:tcPr>
          <w:p w14:paraId="2D45C65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sz w:val="21"/>
                <w:szCs w:val="21"/>
              </w:rPr>
            </w:pPr>
          </w:p>
        </w:tc>
        <w:tc>
          <w:tcPr>
            <w:tcW w:w="381" w:type="pct"/>
            <w:vMerge w:val="continue"/>
            <w:shd w:val="clear" w:color="auto" w:fill="auto"/>
            <w:vAlign w:val="center"/>
          </w:tcPr>
          <w:p w14:paraId="63AD717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p>
        </w:tc>
        <w:tc>
          <w:tcPr>
            <w:tcW w:w="670" w:type="pct"/>
            <w:gridSpan w:val="2"/>
            <w:shd w:val="clear" w:color="auto" w:fill="auto"/>
            <w:vAlign w:val="center"/>
          </w:tcPr>
          <w:p w14:paraId="726378B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断裂伸长率</w:t>
            </w:r>
            <w:r>
              <w:rPr>
                <w:rFonts w:hint="eastAsia" w:ascii="宋体" w:hAnsi="宋体" w:cs="宋体"/>
                <w:color w:val="auto"/>
                <w:kern w:val="2"/>
                <w:sz w:val="21"/>
                <w:szCs w:val="21"/>
                <w:lang w:val="en-US" w:eastAsia="zh-CN" w:bidi="ar-SA"/>
              </w:rPr>
              <w:t>（经、纬向）</w:t>
            </w:r>
          </w:p>
        </w:tc>
        <w:tc>
          <w:tcPr>
            <w:tcW w:w="500" w:type="pct"/>
            <w:shd w:val="clear" w:color="auto" w:fill="auto"/>
            <w:vAlign w:val="center"/>
          </w:tcPr>
          <w:p w14:paraId="4A69FE9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6.8.3</w:t>
            </w:r>
          </w:p>
        </w:tc>
        <w:tc>
          <w:tcPr>
            <w:tcW w:w="1376" w:type="pct"/>
            <w:vMerge w:val="continue"/>
            <w:shd w:val="clear" w:color="auto" w:fill="auto"/>
            <w:vAlign w:val="center"/>
          </w:tcPr>
          <w:p w14:paraId="0EAD5B3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p>
        </w:tc>
        <w:tc>
          <w:tcPr>
            <w:tcW w:w="400" w:type="pct"/>
            <w:vMerge w:val="continue"/>
            <w:shd w:val="clear" w:color="auto" w:fill="auto"/>
            <w:vAlign w:val="center"/>
          </w:tcPr>
          <w:p w14:paraId="7C3031C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sz w:val="21"/>
                <w:szCs w:val="21"/>
                <w:lang w:val="en-US" w:eastAsia="zh-CN"/>
              </w:rPr>
            </w:pPr>
          </w:p>
        </w:tc>
        <w:tc>
          <w:tcPr>
            <w:tcW w:w="400" w:type="pct"/>
            <w:shd w:val="clear" w:color="auto" w:fill="auto"/>
            <w:vAlign w:val="center"/>
          </w:tcPr>
          <w:p w14:paraId="181ECE0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项</w:t>
            </w:r>
          </w:p>
        </w:tc>
        <w:tc>
          <w:tcPr>
            <w:tcW w:w="443" w:type="pct"/>
            <w:shd w:val="clear" w:color="auto" w:fill="auto"/>
            <w:vAlign w:val="center"/>
          </w:tcPr>
          <w:p w14:paraId="6F38099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sz w:val="21"/>
                <w:szCs w:val="21"/>
                <w:lang w:val="en-US" w:eastAsia="zh-CN"/>
              </w:rPr>
            </w:pPr>
          </w:p>
        </w:tc>
        <w:tc>
          <w:tcPr>
            <w:tcW w:w="470" w:type="pct"/>
            <w:shd w:val="clear" w:color="auto" w:fill="auto"/>
            <w:vAlign w:val="center"/>
          </w:tcPr>
          <w:p w14:paraId="3D16AB8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sz w:val="21"/>
                <w:szCs w:val="21"/>
                <w:lang w:val="en-US" w:eastAsia="zh-CN"/>
              </w:rPr>
            </w:pPr>
          </w:p>
        </w:tc>
      </w:tr>
      <w:tr w14:paraId="6730E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6" w:type="pct"/>
            <w:vMerge w:val="continue"/>
            <w:shd w:val="clear" w:color="auto" w:fill="auto"/>
            <w:vAlign w:val="center"/>
          </w:tcPr>
          <w:p w14:paraId="6E3C542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sz w:val="21"/>
                <w:szCs w:val="21"/>
              </w:rPr>
            </w:pPr>
          </w:p>
        </w:tc>
        <w:tc>
          <w:tcPr>
            <w:tcW w:w="381" w:type="pct"/>
            <w:vMerge w:val="continue"/>
            <w:shd w:val="clear" w:color="auto" w:fill="auto"/>
            <w:vAlign w:val="center"/>
          </w:tcPr>
          <w:p w14:paraId="366627E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p>
        </w:tc>
        <w:tc>
          <w:tcPr>
            <w:tcW w:w="670" w:type="pct"/>
            <w:gridSpan w:val="2"/>
            <w:shd w:val="clear" w:color="auto" w:fill="auto"/>
            <w:vAlign w:val="center"/>
          </w:tcPr>
          <w:p w14:paraId="23CF2F0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耐碱断裂强力保留率</w:t>
            </w:r>
            <w:r>
              <w:rPr>
                <w:rFonts w:hint="eastAsia" w:ascii="宋体" w:hAnsi="宋体" w:cs="宋体"/>
                <w:color w:val="auto"/>
                <w:kern w:val="2"/>
                <w:sz w:val="21"/>
                <w:szCs w:val="21"/>
                <w:lang w:val="en-US" w:eastAsia="zh-CN" w:bidi="ar-SA"/>
              </w:rPr>
              <w:t>（</w:t>
            </w:r>
            <w:r>
              <w:rPr>
                <w:rFonts w:hint="eastAsia" w:ascii="宋体" w:hAnsi="宋体" w:cs="宋体"/>
                <w:color w:val="auto"/>
                <w:kern w:val="0"/>
                <w:sz w:val="21"/>
                <w:szCs w:val="21"/>
                <w:lang w:val="en-US" w:eastAsia="zh-CN"/>
              </w:rPr>
              <w:t>经、纬向）</w:t>
            </w:r>
          </w:p>
        </w:tc>
        <w:tc>
          <w:tcPr>
            <w:tcW w:w="500" w:type="pct"/>
            <w:shd w:val="clear" w:color="auto" w:fill="auto"/>
            <w:vAlign w:val="center"/>
          </w:tcPr>
          <w:p w14:paraId="08AC5D5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6.8.4</w:t>
            </w:r>
          </w:p>
        </w:tc>
        <w:tc>
          <w:tcPr>
            <w:tcW w:w="1376" w:type="pct"/>
            <w:vMerge w:val="continue"/>
            <w:shd w:val="clear" w:color="auto" w:fill="auto"/>
            <w:vAlign w:val="center"/>
          </w:tcPr>
          <w:p w14:paraId="5D07014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p>
        </w:tc>
        <w:tc>
          <w:tcPr>
            <w:tcW w:w="400" w:type="pct"/>
            <w:vMerge w:val="continue"/>
            <w:shd w:val="clear" w:color="auto" w:fill="auto"/>
            <w:vAlign w:val="center"/>
          </w:tcPr>
          <w:p w14:paraId="57480E5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sz w:val="21"/>
                <w:szCs w:val="21"/>
                <w:lang w:val="en-US" w:eastAsia="zh-CN"/>
              </w:rPr>
            </w:pPr>
          </w:p>
        </w:tc>
        <w:tc>
          <w:tcPr>
            <w:tcW w:w="400" w:type="pct"/>
            <w:shd w:val="clear" w:color="auto" w:fill="auto"/>
            <w:vAlign w:val="center"/>
          </w:tcPr>
          <w:p w14:paraId="190656C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项</w:t>
            </w:r>
          </w:p>
        </w:tc>
        <w:tc>
          <w:tcPr>
            <w:tcW w:w="443" w:type="pct"/>
            <w:shd w:val="clear" w:color="auto" w:fill="auto"/>
            <w:vAlign w:val="center"/>
          </w:tcPr>
          <w:p w14:paraId="67B5336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sz w:val="21"/>
                <w:szCs w:val="21"/>
                <w:lang w:val="en-US" w:eastAsia="zh-CN"/>
              </w:rPr>
            </w:pPr>
          </w:p>
        </w:tc>
        <w:tc>
          <w:tcPr>
            <w:tcW w:w="470" w:type="pct"/>
            <w:shd w:val="clear" w:color="auto" w:fill="auto"/>
            <w:vAlign w:val="center"/>
          </w:tcPr>
          <w:p w14:paraId="4B45BBA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sz w:val="21"/>
                <w:szCs w:val="21"/>
                <w:lang w:val="en-US" w:eastAsia="zh-CN"/>
              </w:rPr>
            </w:pPr>
          </w:p>
        </w:tc>
      </w:tr>
      <w:tr w14:paraId="7E53F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6" w:type="pct"/>
            <w:vMerge w:val="continue"/>
            <w:shd w:val="clear" w:color="auto" w:fill="auto"/>
            <w:vAlign w:val="center"/>
          </w:tcPr>
          <w:p w14:paraId="31F8C15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sz w:val="21"/>
                <w:szCs w:val="21"/>
              </w:rPr>
            </w:pPr>
          </w:p>
        </w:tc>
        <w:tc>
          <w:tcPr>
            <w:tcW w:w="381" w:type="pct"/>
            <w:vMerge w:val="continue"/>
            <w:shd w:val="clear" w:color="auto" w:fill="auto"/>
            <w:vAlign w:val="center"/>
          </w:tcPr>
          <w:p w14:paraId="1DA9C43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p>
        </w:tc>
        <w:tc>
          <w:tcPr>
            <w:tcW w:w="670" w:type="pct"/>
            <w:gridSpan w:val="2"/>
            <w:shd w:val="clear" w:color="auto" w:fill="auto"/>
            <w:vAlign w:val="center"/>
          </w:tcPr>
          <w:p w14:paraId="2C80197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焊点抗拉力</w:t>
            </w:r>
          </w:p>
        </w:tc>
        <w:tc>
          <w:tcPr>
            <w:tcW w:w="500" w:type="pct"/>
            <w:shd w:val="clear" w:color="auto" w:fill="auto"/>
            <w:vAlign w:val="center"/>
          </w:tcPr>
          <w:p w14:paraId="248949D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6.8.7</w:t>
            </w:r>
          </w:p>
        </w:tc>
        <w:tc>
          <w:tcPr>
            <w:tcW w:w="1376" w:type="pct"/>
            <w:vMerge w:val="continue"/>
            <w:shd w:val="clear" w:color="auto" w:fill="auto"/>
            <w:vAlign w:val="center"/>
          </w:tcPr>
          <w:p w14:paraId="024CC5F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p>
        </w:tc>
        <w:tc>
          <w:tcPr>
            <w:tcW w:w="400" w:type="pct"/>
            <w:vMerge w:val="continue"/>
            <w:shd w:val="clear" w:color="auto" w:fill="auto"/>
            <w:vAlign w:val="center"/>
          </w:tcPr>
          <w:p w14:paraId="7ED2715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sz w:val="21"/>
                <w:szCs w:val="21"/>
                <w:lang w:val="en-US" w:eastAsia="zh-CN"/>
              </w:rPr>
            </w:pPr>
          </w:p>
        </w:tc>
        <w:tc>
          <w:tcPr>
            <w:tcW w:w="400" w:type="pct"/>
            <w:shd w:val="clear" w:color="auto" w:fill="auto"/>
            <w:vAlign w:val="center"/>
          </w:tcPr>
          <w:p w14:paraId="104310F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项</w:t>
            </w:r>
          </w:p>
        </w:tc>
        <w:tc>
          <w:tcPr>
            <w:tcW w:w="443" w:type="pct"/>
            <w:shd w:val="clear" w:color="auto" w:fill="auto"/>
            <w:vAlign w:val="center"/>
          </w:tcPr>
          <w:p w14:paraId="09AB3E3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p>
        </w:tc>
        <w:tc>
          <w:tcPr>
            <w:tcW w:w="470" w:type="pct"/>
            <w:shd w:val="clear" w:color="auto" w:fill="auto"/>
            <w:vAlign w:val="center"/>
          </w:tcPr>
          <w:p w14:paraId="436D9C6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p>
        </w:tc>
      </w:tr>
      <w:tr w14:paraId="1A340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6" w:type="pct"/>
            <w:vMerge w:val="restart"/>
            <w:shd w:val="clear" w:color="auto" w:fill="auto"/>
            <w:vAlign w:val="center"/>
          </w:tcPr>
          <w:p w14:paraId="7EB3995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kern w:val="0"/>
                <w:sz w:val="21"/>
                <w:szCs w:val="21"/>
              </w:rPr>
              <w:t>门窗节能工程</w:t>
            </w:r>
          </w:p>
        </w:tc>
        <w:tc>
          <w:tcPr>
            <w:tcW w:w="381" w:type="pct"/>
            <w:vMerge w:val="restart"/>
            <w:shd w:val="clear" w:color="auto" w:fill="auto"/>
            <w:vAlign w:val="center"/>
          </w:tcPr>
          <w:p w14:paraId="2FC735D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rPr>
              <w:t>建筑玻璃光学热</w:t>
            </w:r>
            <w:r>
              <w:rPr>
                <w:rFonts w:hint="eastAsia" w:ascii="宋体" w:hAnsi="宋体" w:cs="宋体"/>
                <w:color w:val="auto"/>
                <w:kern w:val="0"/>
                <w:sz w:val="21"/>
                <w:szCs w:val="21"/>
                <w:lang w:val="en-US" w:eastAsia="zh-CN"/>
              </w:rPr>
              <w:t>工</w:t>
            </w:r>
          </w:p>
        </w:tc>
        <w:tc>
          <w:tcPr>
            <w:tcW w:w="227" w:type="pct"/>
            <w:vMerge w:val="restart"/>
            <w:shd w:val="clear" w:color="auto" w:fill="auto"/>
            <w:vAlign w:val="center"/>
          </w:tcPr>
          <w:p w14:paraId="6ACCA91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中空玻璃</w:t>
            </w:r>
          </w:p>
        </w:tc>
        <w:tc>
          <w:tcPr>
            <w:tcW w:w="442" w:type="pct"/>
            <w:shd w:val="clear" w:color="auto" w:fill="auto"/>
            <w:vAlign w:val="center"/>
          </w:tcPr>
          <w:p w14:paraId="0A940D9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cs="宋体"/>
                <w:color w:val="auto"/>
                <w:kern w:val="0"/>
                <w:sz w:val="21"/>
                <w:szCs w:val="21"/>
                <w:lang w:eastAsia="zh-CN"/>
              </w:rPr>
              <w:t>中空玻璃</w:t>
            </w:r>
            <w:r>
              <w:rPr>
                <w:rFonts w:hint="eastAsia" w:ascii="宋体" w:hAnsi="宋体" w:eastAsia="宋体" w:cs="宋体"/>
                <w:color w:val="auto"/>
                <w:kern w:val="0"/>
                <w:sz w:val="21"/>
                <w:szCs w:val="21"/>
              </w:rPr>
              <w:t>基础</w:t>
            </w:r>
            <w:r>
              <w:rPr>
                <w:rFonts w:hint="eastAsia" w:ascii="宋体" w:hAnsi="宋体" w:cs="宋体"/>
                <w:color w:val="auto"/>
                <w:kern w:val="0"/>
                <w:sz w:val="21"/>
                <w:szCs w:val="21"/>
                <w:lang w:val="en-US" w:eastAsia="zh-CN"/>
              </w:rPr>
              <w:t>参数测量</w:t>
            </w:r>
            <w:r>
              <w:rPr>
                <w:rFonts w:hint="eastAsia" w:ascii="宋体" w:hAnsi="宋体" w:eastAsia="宋体" w:cs="宋体"/>
                <w:color w:val="auto"/>
                <w:kern w:val="0"/>
                <w:sz w:val="21"/>
                <w:szCs w:val="21"/>
              </w:rPr>
              <w:t>费</w:t>
            </w:r>
          </w:p>
        </w:tc>
        <w:tc>
          <w:tcPr>
            <w:tcW w:w="500" w:type="pct"/>
            <w:shd w:val="clear" w:color="auto" w:fill="auto"/>
            <w:vAlign w:val="center"/>
          </w:tcPr>
          <w:p w14:paraId="2F5B231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6.3.1</w:t>
            </w:r>
          </w:p>
        </w:tc>
        <w:tc>
          <w:tcPr>
            <w:tcW w:w="1376" w:type="pct"/>
            <w:vMerge w:val="restart"/>
            <w:shd w:val="clear" w:color="auto" w:fill="auto"/>
            <w:vAlign w:val="center"/>
          </w:tcPr>
          <w:p w14:paraId="71E3A366">
            <w:pPr>
              <w:pStyle w:val="116"/>
              <w:keepNext w:val="0"/>
              <w:keepLines w:val="0"/>
              <w:pageBreakBefore w:val="0"/>
              <w:kinsoku/>
              <w:wordWrap/>
              <w:overflowPunct/>
              <w:topLinePunct w:val="0"/>
              <w:autoSpaceDE/>
              <w:autoSpaceDN/>
              <w:bidi w:val="0"/>
              <w:adjustRightInd/>
              <w:snapToGrid/>
              <w:spacing w:line="360" w:lineRule="exact"/>
              <w:ind w:left="0" w:leftChars="0" w:firstLine="0" w:firstLineChars="0"/>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SA"/>
              </w:rPr>
              <w:t>每单位工程同一厂家同一品种同一类型的产品检测不少于1组。内、外层玻璃分别取3块试样：50㎜×50㎜×实际厚度</w:t>
            </w:r>
          </w:p>
        </w:tc>
        <w:tc>
          <w:tcPr>
            <w:tcW w:w="400" w:type="pct"/>
            <w:shd w:val="clear" w:color="auto" w:fill="auto"/>
            <w:vAlign w:val="center"/>
          </w:tcPr>
          <w:p w14:paraId="08ABE50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3</w:t>
            </w:r>
          </w:p>
        </w:tc>
        <w:tc>
          <w:tcPr>
            <w:tcW w:w="400" w:type="pct"/>
            <w:shd w:val="clear" w:color="auto" w:fill="auto"/>
            <w:vAlign w:val="center"/>
          </w:tcPr>
          <w:p w14:paraId="6B779A0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项</w:t>
            </w:r>
          </w:p>
        </w:tc>
        <w:tc>
          <w:tcPr>
            <w:tcW w:w="443" w:type="pct"/>
            <w:shd w:val="clear" w:color="auto" w:fill="auto"/>
            <w:vAlign w:val="center"/>
          </w:tcPr>
          <w:p w14:paraId="2E9F68B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spacing w:val="-17"/>
                <w:kern w:val="0"/>
                <w:sz w:val="21"/>
                <w:szCs w:val="21"/>
                <w:lang w:val="en-US" w:eastAsia="zh-CN" w:bidi="ar-SA"/>
              </w:rPr>
            </w:pPr>
          </w:p>
        </w:tc>
        <w:tc>
          <w:tcPr>
            <w:tcW w:w="470" w:type="pct"/>
            <w:shd w:val="clear" w:color="auto" w:fill="auto"/>
            <w:vAlign w:val="center"/>
          </w:tcPr>
          <w:p w14:paraId="4B08B99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p>
        </w:tc>
      </w:tr>
      <w:tr w14:paraId="0BB95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6" w:type="pct"/>
            <w:vMerge w:val="continue"/>
            <w:shd w:val="clear" w:color="auto" w:fill="auto"/>
            <w:vAlign w:val="center"/>
          </w:tcPr>
          <w:p w14:paraId="37301E1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sz w:val="21"/>
                <w:szCs w:val="21"/>
              </w:rPr>
            </w:pPr>
          </w:p>
        </w:tc>
        <w:tc>
          <w:tcPr>
            <w:tcW w:w="381" w:type="pct"/>
            <w:vMerge w:val="continue"/>
            <w:shd w:val="clear" w:color="auto" w:fill="auto"/>
            <w:vAlign w:val="center"/>
          </w:tcPr>
          <w:p w14:paraId="732621C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p>
        </w:tc>
        <w:tc>
          <w:tcPr>
            <w:tcW w:w="227" w:type="pct"/>
            <w:vMerge w:val="continue"/>
            <w:shd w:val="clear" w:color="auto" w:fill="auto"/>
            <w:vAlign w:val="center"/>
          </w:tcPr>
          <w:p w14:paraId="53B2A32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p>
        </w:tc>
        <w:tc>
          <w:tcPr>
            <w:tcW w:w="442" w:type="pct"/>
            <w:shd w:val="clear" w:color="auto" w:fill="auto"/>
            <w:vAlign w:val="center"/>
          </w:tcPr>
          <w:p w14:paraId="0B8AC45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rPr>
              <w:t>遮阳系数</w:t>
            </w:r>
            <w:r>
              <w:rPr>
                <w:rFonts w:hint="eastAsia" w:ascii="宋体" w:hAnsi="宋体" w:cs="宋体"/>
                <w:color w:val="auto"/>
                <w:kern w:val="0"/>
                <w:sz w:val="21"/>
                <w:szCs w:val="21"/>
                <w:lang w:val="en-US" w:eastAsia="zh-CN"/>
              </w:rPr>
              <w:t>/</w:t>
            </w:r>
            <w:r>
              <w:rPr>
                <w:rFonts w:hint="eastAsia" w:ascii="宋体" w:hAnsi="宋体" w:eastAsia="宋体" w:cs="宋体"/>
                <w:color w:val="auto"/>
                <w:kern w:val="0"/>
                <w:sz w:val="21"/>
                <w:szCs w:val="21"/>
              </w:rPr>
              <w:t>可见光透射比</w:t>
            </w:r>
          </w:p>
        </w:tc>
        <w:tc>
          <w:tcPr>
            <w:tcW w:w="500" w:type="pct"/>
            <w:shd w:val="clear" w:color="auto" w:fill="auto"/>
            <w:vAlign w:val="center"/>
          </w:tcPr>
          <w:p w14:paraId="43B34D8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6.3.2</w:t>
            </w:r>
          </w:p>
        </w:tc>
        <w:tc>
          <w:tcPr>
            <w:tcW w:w="1376" w:type="pct"/>
            <w:vMerge w:val="continue"/>
            <w:shd w:val="clear" w:color="auto" w:fill="auto"/>
            <w:vAlign w:val="center"/>
          </w:tcPr>
          <w:p w14:paraId="53BFEC2F">
            <w:pPr>
              <w:keepNext w:val="0"/>
              <w:keepLines w:val="0"/>
              <w:pageBreakBefore w:val="0"/>
              <w:widowControl/>
              <w:kinsoku/>
              <w:wordWrap/>
              <w:overflowPunct/>
              <w:topLinePunct w:val="0"/>
              <w:autoSpaceDE/>
              <w:autoSpaceDN/>
              <w:bidi w:val="0"/>
              <w:adjustRightInd/>
              <w:snapToGrid/>
              <w:spacing w:line="360" w:lineRule="exact"/>
              <w:ind w:left="0" w:leftChars="0" w:firstLine="210" w:firstLineChars="100"/>
              <w:jc w:val="center"/>
              <w:textAlignment w:val="center"/>
              <w:rPr>
                <w:rFonts w:hint="eastAsia" w:ascii="宋体" w:hAnsi="宋体" w:eastAsia="宋体" w:cs="宋体"/>
                <w:color w:val="auto"/>
                <w:sz w:val="21"/>
                <w:szCs w:val="21"/>
              </w:rPr>
            </w:pPr>
          </w:p>
        </w:tc>
        <w:tc>
          <w:tcPr>
            <w:tcW w:w="400" w:type="pct"/>
            <w:shd w:val="clear" w:color="auto" w:fill="auto"/>
            <w:vAlign w:val="center"/>
          </w:tcPr>
          <w:p w14:paraId="523FD2B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6</w:t>
            </w:r>
          </w:p>
        </w:tc>
        <w:tc>
          <w:tcPr>
            <w:tcW w:w="400" w:type="pct"/>
            <w:shd w:val="clear" w:color="auto" w:fill="auto"/>
            <w:vAlign w:val="center"/>
          </w:tcPr>
          <w:p w14:paraId="4E619A6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项</w:t>
            </w:r>
          </w:p>
        </w:tc>
        <w:tc>
          <w:tcPr>
            <w:tcW w:w="443" w:type="pct"/>
            <w:shd w:val="clear" w:color="auto" w:fill="auto"/>
            <w:vAlign w:val="center"/>
          </w:tcPr>
          <w:p w14:paraId="2528A6F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p>
        </w:tc>
        <w:tc>
          <w:tcPr>
            <w:tcW w:w="470" w:type="pct"/>
            <w:shd w:val="clear" w:color="auto" w:fill="auto"/>
            <w:vAlign w:val="center"/>
          </w:tcPr>
          <w:p w14:paraId="153D5F2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宋体" w:hAnsi="宋体" w:eastAsia="宋体" w:cs="宋体"/>
                <w:color w:val="auto"/>
                <w:kern w:val="2"/>
                <w:sz w:val="21"/>
                <w:szCs w:val="21"/>
                <w:lang w:val="en-US" w:eastAsia="zh-CN" w:bidi="ar-SA"/>
              </w:rPr>
            </w:pPr>
          </w:p>
        </w:tc>
      </w:tr>
      <w:tr w14:paraId="5DA7A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6" w:type="pct"/>
            <w:vMerge w:val="continue"/>
            <w:shd w:val="clear" w:color="auto" w:fill="auto"/>
            <w:vAlign w:val="center"/>
          </w:tcPr>
          <w:p w14:paraId="560CD5A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sz w:val="21"/>
                <w:szCs w:val="21"/>
              </w:rPr>
            </w:pPr>
          </w:p>
        </w:tc>
        <w:tc>
          <w:tcPr>
            <w:tcW w:w="381" w:type="pct"/>
            <w:vMerge w:val="continue"/>
            <w:shd w:val="clear" w:color="auto" w:fill="auto"/>
            <w:vAlign w:val="center"/>
          </w:tcPr>
          <w:p w14:paraId="7CE0CBA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p>
        </w:tc>
        <w:tc>
          <w:tcPr>
            <w:tcW w:w="227" w:type="pct"/>
            <w:vMerge w:val="continue"/>
            <w:shd w:val="clear" w:color="auto" w:fill="auto"/>
            <w:vAlign w:val="center"/>
          </w:tcPr>
          <w:p w14:paraId="39BBD05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p>
        </w:tc>
        <w:tc>
          <w:tcPr>
            <w:tcW w:w="442" w:type="pct"/>
            <w:shd w:val="clear" w:color="auto" w:fill="auto"/>
            <w:vAlign w:val="center"/>
          </w:tcPr>
          <w:p w14:paraId="63CD8FA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rPr>
              <w:t>中空玻璃密封性能</w:t>
            </w:r>
          </w:p>
        </w:tc>
        <w:tc>
          <w:tcPr>
            <w:tcW w:w="500" w:type="pct"/>
            <w:shd w:val="clear" w:color="auto" w:fill="auto"/>
            <w:vAlign w:val="center"/>
          </w:tcPr>
          <w:p w14:paraId="6A704A7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6.3.5</w:t>
            </w:r>
          </w:p>
        </w:tc>
        <w:tc>
          <w:tcPr>
            <w:tcW w:w="1376" w:type="pct"/>
            <w:vMerge w:val="continue"/>
            <w:shd w:val="clear" w:color="auto" w:fill="auto"/>
            <w:vAlign w:val="center"/>
          </w:tcPr>
          <w:p w14:paraId="6DAAC21B">
            <w:pPr>
              <w:keepNext w:val="0"/>
              <w:keepLines w:val="0"/>
              <w:pageBreakBefore w:val="0"/>
              <w:widowControl/>
              <w:kinsoku/>
              <w:wordWrap/>
              <w:overflowPunct/>
              <w:topLinePunct w:val="0"/>
              <w:autoSpaceDE/>
              <w:autoSpaceDN/>
              <w:bidi w:val="0"/>
              <w:adjustRightInd/>
              <w:snapToGrid/>
              <w:spacing w:line="360" w:lineRule="exact"/>
              <w:ind w:left="0" w:leftChars="0" w:firstLine="210" w:firstLineChars="100"/>
              <w:jc w:val="center"/>
              <w:textAlignment w:val="center"/>
              <w:rPr>
                <w:rFonts w:hint="eastAsia" w:ascii="宋体" w:hAnsi="宋体" w:eastAsia="宋体" w:cs="宋体"/>
                <w:color w:val="auto"/>
                <w:sz w:val="21"/>
                <w:szCs w:val="21"/>
              </w:rPr>
            </w:pPr>
          </w:p>
        </w:tc>
        <w:tc>
          <w:tcPr>
            <w:tcW w:w="400" w:type="pct"/>
            <w:shd w:val="clear" w:color="auto" w:fill="auto"/>
            <w:vAlign w:val="center"/>
          </w:tcPr>
          <w:p w14:paraId="3E67485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3</w:t>
            </w:r>
          </w:p>
        </w:tc>
        <w:tc>
          <w:tcPr>
            <w:tcW w:w="400" w:type="pct"/>
            <w:shd w:val="clear" w:color="auto" w:fill="auto"/>
            <w:vAlign w:val="center"/>
          </w:tcPr>
          <w:p w14:paraId="6525E9E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项</w:t>
            </w:r>
          </w:p>
        </w:tc>
        <w:tc>
          <w:tcPr>
            <w:tcW w:w="443" w:type="pct"/>
            <w:shd w:val="clear" w:color="auto" w:fill="auto"/>
            <w:vAlign w:val="center"/>
          </w:tcPr>
          <w:p w14:paraId="48237DC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p>
        </w:tc>
        <w:tc>
          <w:tcPr>
            <w:tcW w:w="470" w:type="pct"/>
            <w:shd w:val="clear" w:color="auto" w:fill="auto"/>
            <w:vAlign w:val="center"/>
          </w:tcPr>
          <w:p w14:paraId="7F73FFB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宋体" w:hAnsi="宋体" w:eastAsia="宋体" w:cs="宋体"/>
                <w:color w:val="auto"/>
                <w:kern w:val="2"/>
                <w:sz w:val="21"/>
                <w:szCs w:val="21"/>
                <w:lang w:val="en-US" w:eastAsia="zh-CN" w:bidi="ar-SA"/>
              </w:rPr>
            </w:pPr>
          </w:p>
        </w:tc>
      </w:tr>
      <w:tr w14:paraId="067EF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356" w:type="pct"/>
            <w:vMerge w:val="continue"/>
            <w:shd w:val="clear" w:color="auto" w:fill="auto"/>
            <w:vAlign w:val="center"/>
          </w:tcPr>
          <w:p w14:paraId="2388D19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sz w:val="21"/>
                <w:szCs w:val="21"/>
              </w:rPr>
            </w:pPr>
          </w:p>
        </w:tc>
        <w:tc>
          <w:tcPr>
            <w:tcW w:w="381" w:type="pct"/>
            <w:vMerge w:val="restart"/>
            <w:shd w:val="clear" w:color="auto" w:fill="auto"/>
            <w:vAlign w:val="center"/>
          </w:tcPr>
          <w:p w14:paraId="58644D2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r>
              <w:rPr>
                <w:rFonts w:hint="eastAsia" w:ascii="宋体" w:hAnsi="宋体" w:cs="宋体"/>
                <w:color w:val="auto"/>
                <w:kern w:val="0"/>
                <w:sz w:val="21"/>
                <w:szCs w:val="21"/>
                <w:lang w:val="en-US" w:eastAsia="zh-CN"/>
              </w:rPr>
              <w:t>建筑门窗</w:t>
            </w:r>
          </w:p>
        </w:tc>
        <w:tc>
          <w:tcPr>
            <w:tcW w:w="227" w:type="pct"/>
            <w:vMerge w:val="restart"/>
            <w:shd w:val="clear" w:color="auto" w:fill="auto"/>
            <w:vAlign w:val="center"/>
          </w:tcPr>
          <w:p w14:paraId="6927D6D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r>
              <w:rPr>
                <w:rFonts w:hint="eastAsia" w:ascii="宋体" w:hAnsi="宋体" w:cs="宋体"/>
                <w:color w:val="auto"/>
                <w:kern w:val="0"/>
                <w:sz w:val="21"/>
                <w:szCs w:val="21"/>
                <w:lang w:val="en-US" w:eastAsia="zh-CN"/>
              </w:rPr>
              <w:t>实验室内</w:t>
            </w:r>
          </w:p>
        </w:tc>
        <w:tc>
          <w:tcPr>
            <w:tcW w:w="442" w:type="pct"/>
            <w:shd w:val="clear" w:color="auto" w:fill="auto"/>
            <w:vAlign w:val="center"/>
          </w:tcPr>
          <w:p w14:paraId="0FE16C0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气密性能</w:t>
            </w:r>
          </w:p>
        </w:tc>
        <w:tc>
          <w:tcPr>
            <w:tcW w:w="500" w:type="pct"/>
            <w:shd w:val="clear" w:color="auto" w:fill="auto"/>
            <w:vAlign w:val="center"/>
          </w:tcPr>
          <w:p w14:paraId="2D88B06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5.2.1</w:t>
            </w:r>
          </w:p>
        </w:tc>
        <w:tc>
          <w:tcPr>
            <w:tcW w:w="1376" w:type="pct"/>
            <w:vMerge w:val="restart"/>
            <w:shd w:val="clear" w:color="auto" w:fill="auto"/>
            <w:vAlign w:val="center"/>
          </w:tcPr>
          <w:p w14:paraId="6D58A70F">
            <w:pPr>
              <w:keepNext w:val="0"/>
              <w:keepLines w:val="0"/>
              <w:pageBreakBefore w:val="0"/>
              <w:widowControl/>
              <w:kinsoku/>
              <w:wordWrap/>
              <w:overflowPunct/>
              <w:topLinePunct w:val="0"/>
              <w:autoSpaceDE/>
              <w:autoSpaceDN/>
              <w:bidi w:val="0"/>
              <w:adjustRightInd/>
              <w:snapToGrid/>
              <w:spacing w:line="360" w:lineRule="exact"/>
              <w:ind w:left="0" w:leftChars="0" w:firstLine="210" w:firstLineChars="10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同品种、类型和规格的木门窗、金属门窗、塑料门窗每100樘应划分为一个检验批，每个检验批应至少抽查5%，并不得少于3樘，不足3樘时应全数检查</w:t>
            </w:r>
          </w:p>
        </w:tc>
        <w:tc>
          <w:tcPr>
            <w:tcW w:w="400" w:type="pct"/>
            <w:shd w:val="clear" w:color="auto" w:fill="auto"/>
            <w:vAlign w:val="center"/>
          </w:tcPr>
          <w:p w14:paraId="3092D4E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2</w:t>
            </w:r>
            <w:r>
              <w:rPr>
                <w:rFonts w:hint="eastAsia" w:ascii="宋体" w:hAnsi="宋体" w:cs="宋体"/>
                <w:color w:val="auto"/>
                <w:kern w:val="0"/>
                <w:sz w:val="21"/>
                <w:szCs w:val="21"/>
                <w:lang w:val="en-US" w:eastAsia="zh-CN"/>
              </w:rPr>
              <w:t>5</w:t>
            </w:r>
          </w:p>
        </w:tc>
        <w:tc>
          <w:tcPr>
            <w:tcW w:w="400" w:type="pct"/>
            <w:shd w:val="clear" w:color="auto" w:fill="auto"/>
            <w:vAlign w:val="center"/>
          </w:tcPr>
          <w:p w14:paraId="7C422A2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项</w:t>
            </w:r>
          </w:p>
        </w:tc>
        <w:tc>
          <w:tcPr>
            <w:tcW w:w="443" w:type="pct"/>
            <w:shd w:val="clear" w:color="auto" w:fill="auto"/>
            <w:vAlign w:val="center"/>
          </w:tcPr>
          <w:p w14:paraId="348097E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bidi="ar-SA"/>
              </w:rPr>
            </w:pPr>
          </w:p>
        </w:tc>
        <w:tc>
          <w:tcPr>
            <w:tcW w:w="470" w:type="pct"/>
            <w:shd w:val="clear" w:color="auto" w:fill="auto"/>
            <w:vAlign w:val="center"/>
          </w:tcPr>
          <w:p w14:paraId="2DE8640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bidi="ar-SA"/>
              </w:rPr>
            </w:pPr>
          </w:p>
        </w:tc>
      </w:tr>
      <w:tr w14:paraId="39807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356" w:type="pct"/>
            <w:vMerge w:val="continue"/>
            <w:shd w:val="clear" w:color="auto" w:fill="auto"/>
            <w:vAlign w:val="center"/>
          </w:tcPr>
          <w:p w14:paraId="0862665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sz w:val="21"/>
                <w:szCs w:val="21"/>
              </w:rPr>
            </w:pPr>
          </w:p>
        </w:tc>
        <w:tc>
          <w:tcPr>
            <w:tcW w:w="381" w:type="pct"/>
            <w:vMerge w:val="continue"/>
            <w:shd w:val="clear" w:color="auto" w:fill="auto"/>
            <w:vAlign w:val="center"/>
          </w:tcPr>
          <w:p w14:paraId="5EB5767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p>
        </w:tc>
        <w:tc>
          <w:tcPr>
            <w:tcW w:w="227" w:type="pct"/>
            <w:vMerge w:val="continue"/>
            <w:shd w:val="clear" w:color="auto" w:fill="auto"/>
            <w:vAlign w:val="center"/>
          </w:tcPr>
          <w:p w14:paraId="675190F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p>
        </w:tc>
        <w:tc>
          <w:tcPr>
            <w:tcW w:w="442" w:type="pct"/>
            <w:shd w:val="clear" w:color="auto" w:fill="auto"/>
            <w:vAlign w:val="center"/>
          </w:tcPr>
          <w:p w14:paraId="70B8D7B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水密性能</w:t>
            </w:r>
          </w:p>
        </w:tc>
        <w:tc>
          <w:tcPr>
            <w:tcW w:w="500" w:type="pct"/>
            <w:shd w:val="clear" w:color="auto" w:fill="auto"/>
            <w:vAlign w:val="center"/>
          </w:tcPr>
          <w:p w14:paraId="0F7EA7D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5.2.3</w:t>
            </w:r>
          </w:p>
        </w:tc>
        <w:tc>
          <w:tcPr>
            <w:tcW w:w="1376" w:type="pct"/>
            <w:vMerge w:val="continue"/>
            <w:shd w:val="clear" w:color="auto" w:fill="auto"/>
            <w:vAlign w:val="center"/>
          </w:tcPr>
          <w:p w14:paraId="5F75E96C">
            <w:pPr>
              <w:keepNext w:val="0"/>
              <w:keepLines w:val="0"/>
              <w:pageBreakBefore w:val="0"/>
              <w:widowControl/>
              <w:kinsoku/>
              <w:wordWrap/>
              <w:overflowPunct/>
              <w:topLinePunct w:val="0"/>
              <w:autoSpaceDE/>
              <w:autoSpaceDN/>
              <w:bidi w:val="0"/>
              <w:adjustRightInd/>
              <w:snapToGrid/>
              <w:spacing w:line="360" w:lineRule="exact"/>
              <w:ind w:left="0" w:leftChars="0" w:firstLine="210" w:firstLineChars="100"/>
              <w:jc w:val="center"/>
              <w:textAlignment w:val="center"/>
              <w:rPr>
                <w:rFonts w:hint="eastAsia" w:ascii="宋体" w:hAnsi="宋体" w:eastAsia="宋体" w:cs="宋体"/>
                <w:color w:val="auto"/>
                <w:sz w:val="21"/>
                <w:szCs w:val="21"/>
              </w:rPr>
            </w:pPr>
          </w:p>
        </w:tc>
        <w:tc>
          <w:tcPr>
            <w:tcW w:w="400" w:type="pct"/>
            <w:shd w:val="clear" w:color="auto" w:fill="auto"/>
            <w:vAlign w:val="center"/>
          </w:tcPr>
          <w:p w14:paraId="4CFB1B2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2</w:t>
            </w:r>
            <w:r>
              <w:rPr>
                <w:rFonts w:hint="eastAsia" w:ascii="宋体" w:hAnsi="宋体" w:cs="宋体"/>
                <w:color w:val="auto"/>
                <w:kern w:val="0"/>
                <w:sz w:val="21"/>
                <w:szCs w:val="21"/>
                <w:lang w:val="en-US" w:eastAsia="zh-CN"/>
              </w:rPr>
              <w:t>5</w:t>
            </w:r>
          </w:p>
        </w:tc>
        <w:tc>
          <w:tcPr>
            <w:tcW w:w="400" w:type="pct"/>
            <w:shd w:val="clear" w:color="auto" w:fill="auto"/>
            <w:vAlign w:val="center"/>
          </w:tcPr>
          <w:p w14:paraId="42ED9B7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项</w:t>
            </w:r>
          </w:p>
        </w:tc>
        <w:tc>
          <w:tcPr>
            <w:tcW w:w="443" w:type="pct"/>
            <w:shd w:val="clear" w:color="auto" w:fill="auto"/>
            <w:vAlign w:val="center"/>
          </w:tcPr>
          <w:p w14:paraId="2D0051D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bidi="ar-SA"/>
              </w:rPr>
            </w:pPr>
          </w:p>
        </w:tc>
        <w:tc>
          <w:tcPr>
            <w:tcW w:w="470" w:type="pct"/>
            <w:shd w:val="clear" w:color="auto" w:fill="auto"/>
            <w:vAlign w:val="center"/>
          </w:tcPr>
          <w:p w14:paraId="5767926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bidi="ar-SA"/>
              </w:rPr>
            </w:pPr>
          </w:p>
        </w:tc>
      </w:tr>
      <w:tr w14:paraId="16BFB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356" w:type="pct"/>
            <w:vMerge w:val="continue"/>
            <w:shd w:val="clear" w:color="auto" w:fill="auto"/>
            <w:vAlign w:val="center"/>
          </w:tcPr>
          <w:p w14:paraId="084D54C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sz w:val="21"/>
                <w:szCs w:val="21"/>
              </w:rPr>
            </w:pPr>
          </w:p>
        </w:tc>
        <w:tc>
          <w:tcPr>
            <w:tcW w:w="381" w:type="pct"/>
            <w:vMerge w:val="continue"/>
            <w:shd w:val="clear" w:color="auto" w:fill="auto"/>
            <w:vAlign w:val="center"/>
          </w:tcPr>
          <w:p w14:paraId="228E6B0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p>
        </w:tc>
        <w:tc>
          <w:tcPr>
            <w:tcW w:w="227" w:type="pct"/>
            <w:vMerge w:val="continue"/>
            <w:shd w:val="clear" w:color="auto" w:fill="auto"/>
            <w:vAlign w:val="center"/>
          </w:tcPr>
          <w:p w14:paraId="2901D50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2"/>
                <w:sz w:val="21"/>
                <w:szCs w:val="21"/>
                <w:lang w:val="en-US" w:eastAsia="zh-CN" w:bidi="ar-SA"/>
              </w:rPr>
            </w:pPr>
          </w:p>
        </w:tc>
        <w:tc>
          <w:tcPr>
            <w:tcW w:w="442" w:type="pct"/>
            <w:shd w:val="clear" w:color="auto" w:fill="auto"/>
            <w:vAlign w:val="center"/>
          </w:tcPr>
          <w:p w14:paraId="5574863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抗风压性能</w:t>
            </w:r>
          </w:p>
        </w:tc>
        <w:tc>
          <w:tcPr>
            <w:tcW w:w="500" w:type="pct"/>
            <w:shd w:val="clear" w:color="auto" w:fill="auto"/>
            <w:vAlign w:val="center"/>
          </w:tcPr>
          <w:p w14:paraId="7AD17A2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5.2.5</w:t>
            </w:r>
          </w:p>
        </w:tc>
        <w:tc>
          <w:tcPr>
            <w:tcW w:w="1376" w:type="pct"/>
            <w:vMerge w:val="continue"/>
            <w:shd w:val="clear" w:color="auto" w:fill="auto"/>
            <w:vAlign w:val="center"/>
          </w:tcPr>
          <w:p w14:paraId="6DF814D0">
            <w:pPr>
              <w:keepNext w:val="0"/>
              <w:keepLines w:val="0"/>
              <w:pageBreakBefore w:val="0"/>
              <w:widowControl/>
              <w:kinsoku/>
              <w:wordWrap/>
              <w:overflowPunct/>
              <w:topLinePunct w:val="0"/>
              <w:autoSpaceDE/>
              <w:autoSpaceDN/>
              <w:bidi w:val="0"/>
              <w:adjustRightInd/>
              <w:snapToGrid/>
              <w:spacing w:line="360" w:lineRule="exact"/>
              <w:ind w:left="0" w:leftChars="0" w:firstLine="210" w:firstLineChars="100"/>
              <w:jc w:val="center"/>
              <w:textAlignment w:val="center"/>
              <w:rPr>
                <w:rFonts w:hint="eastAsia" w:ascii="宋体" w:hAnsi="宋体" w:eastAsia="宋体" w:cs="宋体"/>
                <w:color w:val="auto"/>
                <w:sz w:val="21"/>
                <w:szCs w:val="21"/>
              </w:rPr>
            </w:pPr>
          </w:p>
        </w:tc>
        <w:tc>
          <w:tcPr>
            <w:tcW w:w="400" w:type="pct"/>
            <w:shd w:val="clear" w:color="auto" w:fill="auto"/>
            <w:vAlign w:val="center"/>
          </w:tcPr>
          <w:p w14:paraId="143B203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2</w:t>
            </w:r>
            <w:r>
              <w:rPr>
                <w:rFonts w:hint="eastAsia" w:ascii="宋体" w:hAnsi="宋体" w:cs="宋体"/>
                <w:color w:val="auto"/>
                <w:kern w:val="0"/>
                <w:sz w:val="21"/>
                <w:szCs w:val="21"/>
                <w:lang w:val="en-US" w:eastAsia="zh-CN"/>
              </w:rPr>
              <w:t>5</w:t>
            </w:r>
          </w:p>
        </w:tc>
        <w:tc>
          <w:tcPr>
            <w:tcW w:w="400" w:type="pct"/>
            <w:shd w:val="clear" w:color="auto" w:fill="auto"/>
            <w:vAlign w:val="center"/>
          </w:tcPr>
          <w:p w14:paraId="1F1A37B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项</w:t>
            </w:r>
          </w:p>
        </w:tc>
        <w:tc>
          <w:tcPr>
            <w:tcW w:w="443" w:type="pct"/>
            <w:shd w:val="clear" w:color="auto" w:fill="auto"/>
            <w:vAlign w:val="center"/>
          </w:tcPr>
          <w:p w14:paraId="5FDDEA6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bidi="ar-SA"/>
              </w:rPr>
            </w:pPr>
          </w:p>
        </w:tc>
        <w:tc>
          <w:tcPr>
            <w:tcW w:w="470" w:type="pct"/>
            <w:shd w:val="clear" w:color="auto" w:fill="auto"/>
            <w:vAlign w:val="center"/>
          </w:tcPr>
          <w:p w14:paraId="588039E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bidi="ar-SA"/>
              </w:rPr>
            </w:pPr>
          </w:p>
        </w:tc>
      </w:tr>
      <w:tr w14:paraId="4292B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6" w:type="pct"/>
            <w:vMerge w:val="continue"/>
            <w:shd w:val="clear" w:color="auto" w:fill="auto"/>
            <w:vAlign w:val="center"/>
          </w:tcPr>
          <w:p w14:paraId="36C19F4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sz w:val="21"/>
                <w:szCs w:val="21"/>
              </w:rPr>
            </w:pPr>
          </w:p>
        </w:tc>
        <w:tc>
          <w:tcPr>
            <w:tcW w:w="609" w:type="pct"/>
            <w:gridSpan w:val="2"/>
            <w:vMerge w:val="restart"/>
            <w:shd w:val="clear" w:color="auto" w:fill="auto"/>
            <w:vAlign w:val="center"/>
          </w:tcPr>
          <w:p w14:paraId="7B15B80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铝合金型材</w:t>
            </w:r>
          </w:p>
        </w:tc>
        <w:tc>
          <w:tcPr>
            <w:tcW w:w="442" w:type="pct"/>
            <w:shd w:val="clear" w:color="auto" w:fill="auto"/>
            <w:vAlign w:val="center"/>
          </w:tcPr>
          <w:p w14:paraId="0258E31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基材壁厚</w:t>
            </w:r>
            <w:r>
              <w:rPr>
                <w:rFonts w:hint="eastAsia" w:ascii="宋体" w:hAnsi="宋体" w:cs="宋体"/>
                <w:color w:val="auto"/>
                <w:kern w:val="0"/>
                <w:sz w:val="21"/>
                <w:szCs w:val="21"/>
                <w:lang w:eastAsia="zh-CN"/>
              </w:rPr>
              <w:t>（含表面处理层厚度</w:t>
            </w:r>
            <w:r>
              <w:rPr>
                <w:rFonts w:hint="eastAsia" w:ascii="宋体" w:hAnsi="宋体" w:cs="宋体"/>
                <w:color w:val="auto"/>
                <w:kern w:val="0"/>
                <w:sz w:val="21"/>
                <w:szCs w:val="21"/>
                <w:lang w:val="en-US" w:eastAsia="zh-CN"/>
              </w:rPr>
              <w:t>/总厚度</w:t>
            </w:r>
            <w:r>
              <w:rPr>
                <w:rFonts w:hint="eastAsia" w:ascii="宋体" w:hAnsi="宋体" w:cs="宋体"/>
                <w:color w:val="auto"/>
                <w:kern w:val="0"/>
                <w:sz w:val="21"/>
                <w:szCs w:val="21"/>
                <w:lang w:eastAsia="zh-CN"/>
              </w:rPr>
              <w:t>）</w:t>
            </w:r>
          </w:p>
        </w:tc>
        <w:tc>
          <w:tcPr>
            <w:tcW w:w="500" w:type="pct"/>
            <w:shd w:val="clear" w:color="auto" w:fill="auto"/>
            <w:vAlign w:val="center"/>
          </w:tcPr>
          <w:p w14:paraId="47EFA51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5.5.3</w:t>
            </w:r>
          </w:p>
        </w:tc>
        <w:tc>
          <w:tcPr>
            <w:tcW w:w="1376" w:type="pct"/>
            <w:vMerge w:val="restart"/>
            <w:shd w:val="clear" w:color="auto" w:fill="auto"/>
            <w:vAlign w:val="center"/>
          </w:tcPr>
          <w:p w14:paraId="641C749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每批应由同一合金牌号、状态、规格、颜色的型材组成一组</w:t>
            </w:r>
            <w:r>
              <w:rPr>
                <w:rFonts w:hint="eastAsia" w:ascii="宋体" w:hAnsi="宋体" w:cs="宋体"/>
                <w:color w:val="auto"/>
                <w:kern w:val="0"/>
                <w:sz w:val="21"/>
                <w:szCs w:val="21"/>
                <w:lang w:eastAsia="zh-CN"/>
              </w:rPr>
              <w:t>，</w:t>
            </w:r>
            <w:r>
              <w:rPr>
                <w:rFonts w:hint="eastAsia" w:ascii="宋体" w:hAnsi="宋体" w:eastAsia="宋体" w:cs="宋体"/>
                <w:color w:val="auto"/>
                <w:kern w:val="0"/>
                <w:sz w:val="21"/>
                <w:szCs w:val="21"/>
              </w:rPr>
              <w:t>批量不限，每组1</w:t>
            </w:r>
            <w:r>
              <w:rPr>
                <w:rFonts w:hint="eastAsia" w:ascii="宋体" w:hAnsi="宋体" w:cs="宋体"/>
                <w:color w:val="auto"/>
                <w:kern w:val="0"/>
                <w:sz w:val="21"/>
                <w:szCs w:val="21"/>
                <w:lang w:val="en-US" w:eastAsia="zh-CN"/>
              </w:rPr>
              <w:t>0</w:t>
            </w:r>
            <w:r>
              <w:rPr>
                <w:rFonts w:hint="eastAsia" w:ascii="宋体" w:hAnsi="宋体" w:eastAsia="宋体" w:cs="宋体"/>
                <w:color w:val="auto"/>
                <w:kern w:val="0"/>
                <w:sz w:val="21"/>
                <w:szCs w:val="21"/>
              </w:rPr>
              <w:t>（每根约长200㎜）</w:t>
            </w:r>
          </w:p>
        </w:tc>
        <w:tc>
          <w:tcPr>
            <w:tcW w:w="400" w:type="pct"/>
            <w:shd w:val="clear" w:color="auto" w:fill="auto"/>
            <w:vAlign w:val="center"/>
          </w:tcPr>
          <w:p w14:paraId="4AC3435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10</w:t>
            </w:r>
          </w:p>
        </w:tc>
        <w:tc>
          <w:tcPr>
            <w:tcW w:w="400" w:type="pct"/>
            <w:shd w:val="clear" w:color="auto" w:fill="auto"/>
            <w:vAlign w:val="center"/>
          </w:tcPr>
          <w:p w14:paraId="6B063A6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项</w:t>
            </w:r>
          </w:p>
        </w:tc>
        <w:tc>
          <w:tcPr>
            <w:tcW w:w="443" w:type="pct"/>
            <w:shd w:val="clear" w:color="auto" w:fill="auto"/>
            <w:vAlign w:val="center"/>
          </w:tcPr>
          <w:p w14:paraId="00CAA5F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0"/>
                <w:sz w:val="21"/>
                <w:szCs w:val="21"/>
                <w:lang w:val="en-US" w:eastAsia="zh-CN"/>
              </w:rPr>
            </w:pPr>
          </w:p>
        </w:tc>
        <w:tc>
          <w:tcPr>
            <w:tcW w:w="470" w:type="pct"/>
            <w:shd w:val="clear" w:color="auto" w:fill="auto"/>
            <w:vAlign w:val="center"/>
          </w:tcPr>
          <w:p w14:paraId="4C3748A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0"/>
                <w:sz w:val="21"/>
                <w:szCs w:val="21"/>
                <w:lang w:val="en-US" w:eastAsia="zh-CN"/>
              </w:rPr>
            </w:pPr>
          </w:p>
        </w:tc>
      </w:tr>
      <w:tr w14:paraId="5BADA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356" w:type="pct"/>
            <w:vMerge w:val="continue"/>
            <w:shd w:val="clear" w:color="auto" w:fill="auto"/>
            <w:vAlign w:val="center"/>
          </w:tcPr>
          <w:p w14:paraId="1DB3647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sz w:val="21"/>
                <w:szCs w:val="21"/>
              </w:rPr>
            </w:pPr>
          </w:p>
        </w:tc>
        <w:tc>
          <w:tcPr>
            <w:tcW w:w="609" w:type="pct"/>
            <w:gridSpan w:val="2"/>
            <w:vMerge w:val="continue"/>
            <w:shd w:val="clear" w:color="auto" w:fill="auto"/>
            <w:vAlign w:val="center"/>
          </w:tcPr>
          <w:p w14:paraId="6C90E6D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p>
        </w:tc>
        <w:tc>
          <w:tcPr>
            <w:tcW w:w="442" w:type="pct"/>
            <w:shd w:val="clear" w:color="auto" w:fill="auto"/>
            <w:vAlign w:val="center"/>
          </w:tcPr>
          <w:p w14:paraId="1D9B542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韦氏硬度</w:t>
            </w:r>
          </w:p>
        </w:tc>
        <w:tc>
          <w:tcPr>
            <w:tcW w:w="500" w:type="pct"/>
            <w:shd w:val="clear" w:color="auto" w:fill="auto"/>
            <w:vAlign w:val="center"/>
          </w:tcPr>
          <w:p w14:paraId="4BD94F9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5.5.</w:t>
            </w:r>
            <w:r>
              <w:rPr>
                <w:rFonts w:hint="eastAsia" w:ascii="宋体" w:hAnsi="宋体" w:cs="宋体"/>
                <w:color w:val="auto"/>
                <w:kern w:val="0"/>
                <w:sz w:val="21"/>
                <w:szCs w:val="21"/>
                <w:lang w:val="en-US" w:eastAsia="zh-CN"/>
              </w:rPr>
              <w:t>4</w:t>
            </w:r>
          </w:p>
        </w:tc>
        <w:tc>
          <w:tcPr>
            <w:tcW w:w="1376" w:type="pct"/>
            <w:vMerge w:val="continue"/>
            <w:shd w:val="clear" w:color="auto" w:fill="auto"/>
            <w:vAlign w:val="center"/>
          </w:tcPr>
          <w:p w14:paraId="7CE0851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p>
        </w:tc>
        <w:tc>
          <w:tcPr>
            <w:tcW w:w="400" w:type="pct"/>
            <w:shd w:val="clear" w:color="auto" w:fill="auto"/>
            <w:vAlign w:val="center"/>
          </w:tcPr>
          <w:p w14:paraId="3BEDD8A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10</w:t>
            </w:r>
          </w:p>
        </w:tc>
        <w:tc>
          <w:tcPr>
            <w:tcW w:w="400" w:type="pct"/>
            <w:shd w:val="clear" w:color="auto" w:fill="auto"/>
            <w:vAlign w:val="center"/>
          </w:tcPr>
          <w:p w14:paraId="0E1C5CA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项</w:t>
            </w:r>
          </w:p>
        </w:tc>
        <w:tc>
          <w:tcPr>
            <w:tcW w:w="443" w:type="pct"/>
            <w:shd w:val="clear" w:color="auto" w:fill="auto"/>
            <w:vAlign w:val="center"/>
          </w:tcPr>
          <w:p w14:paraId="17407E9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0"/>
                <w:sz w:val="21"/>
                <w:szCs w:val="21"/>
                <w:lang w:val="en-US" w:eastAsia="zh-CN"/>
              </w:rPr>
            </w:pPr>
          </w:p>
        </w:tc>
        <w:tc>
          <w:tcPr>
            <w:tcW w:w="470" w:type="pct"/>
            <w:shd w:val="clear" w:color="auto" w:fill="auto"/>
            <w:vAlign w:val="center"/>
          </w:tcPr>
          <w:p w14:paraId="524BE22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0"/>
                <w:sz w:val="21"/>
                <w:szCs w:val="21"/>
                <w:lang w:val="en-US" w:eastAsia="zh-CN"/>
              </w:rPr>
            </w:pPr>
          </w:p>
        </w:tc>
      </w:tr>
      <w:tr w14:paraId="29AD1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6" w:type="pct"/>
            <w:vMerge w:val="restart"/>
            <w:shd w:val="clear" w:color="auto" w:fill="auto"/>
            <w:vAlign w:val="center"/>
          </w:tcPr>
          <w:p w14:paraId="7139B60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val="en-US" w:eastAsia="zh-CN"/>
              </w:rPr>
              <w:t>配电与照明节能工程</w:t>
            </w:r>
          </w:p>
        </w:tc>
        <w:tc>
          <w:tcPr>
            <w:tcW w:w="609" w:type="pct"/>
            <w:gridSpan w:val="2"/>
            <w:shd w:val="clear" w:color="auto" w:fill="auto"/>
            <w:vAlign w:val="center"/>
          </w:tcPr>
          <w:p w14:paraId="45E56EA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eastAsia="zh-CN"/>
              </w:rPr>
              <w:t>聚氯乙烯绝缘电线</w:t>
            </w:r>
          </w:p>
        </w:tc>
        <w:tc>
          <w:tcPr>
            <w:tcW w:w="442" w:type="pct"/>
            <w:shd w:val="clear" w:color="auto" w:fill="auto"/>
            <w:vAlign w:val="center"/>
          </w:tcPr>
          <w:p w14:paraId="0E8AD3E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eastAsia="zh-CN"/>
              </w:rPr>
              <w:t>导体电阻</w:t>
            </w:r>
          </w:p>
        </w:tc>
        <w:tc>
          <w:tcPr>
            <w:tcW w:w="500" w:type="pct"/>
            <w:shd w:val="clear" w:color="auto" w:fill="auto"/>
            <w:vAlign w:val="center"/>
          </w:tcPr>
          <w:p w14:paraId="5D463B9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eastAsia="zh-CN"/>
              </w:rPr>
              <w:t>6.13.1</w:t>
            </w:r>
          </w:p>
        </w:tc>
        <w:tc>
          <w:tcPr>
            <w:tcW w:w="1376" w:type="pct"/>
            <w:shd w:val="clear" w:color="auto" w:fill="auto"/>
            <w:vAlign w:val="center"/>
          </w:tcPr>
          <w:p w14:paraId="71ECD96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每单位工程同一厂家各种规格的电线总数的10%，且不少于2个规格。电线每规格20m</w:t>
            </w:r>
          </w:p>
        </w:tc>
        <w:tc>
          <w:tcPr>
            <w:tcW w:w="400" w:type="pct"/>
            <w:shd w:val="clear" w:color="auto" w:fill="auto"/>
            <w:vAlign w:val="center"/>
          </w:tcPr>
          <w:p w14:paraId="662AC31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eastAsia="zh-CN"/>
              </w:rPr>
              <w:t>6</w:t>
            </w:r>
          </w:p>
        </w:tc>
        <w:tc>
          <w:tcPr>
            <w:tcW w:w="400" w:type="pct"/>
            <w:shd w:val="clear" w:color="auto" w:fill="auto"/>
            <w:vAlign w:val="center"/>
          </w:tcPr>
          <w:p w14:paraId="78F232B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项</w:t>
            </w:r>
          </w:p>
        </w:tc>
        <w:tc>
          <w:tcPr>
            <w:tcW w:w="443" w:type="pct"/>
            <w:shd w:val="clear" w:color="auto" w:fill="auto"/>
            <w:vAlign w:val="center"/>
          </w:tcPr>
          <w:p w14:paraId="7D2EFCF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p>
        </w:tc>
        <w:tc>
          <w:tcPr>
            <w:tcW w:w="470" w:type="pct"/>
            <w:shd w:val="clear" w:color="auto" w:fill="auto"/>
            <w:vAlign w:val="center"/>
          </w:tcPr>
          <w:p w14:paraId="00666BA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p>
        </w:tc>
      </w:tr>
      <w:tr w14:paraId="34286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6" w:type="pct"/>
            <w:vMerge w:val="continue"/>
            <w:shd w:val="clear" w:color="auto" w:fill="auto"/>
            <w:vAlign w:val="center"/>
          </w:tcPr>
          <w:p w14:paraId="5832FB3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2"/>
                <w:sz w:val="21"/>
                <w:szCs w:val="21"/>
                <w:lang w:val="en-US" w:eastAsia="zh-CN" w:bidi="ar-SA"/>
              </w:rPr>
            </w:pPr>
          </w:p>
        </w:tc>
        <w:tc>
          <w:tcPr>
            <w:tcW w:w="609" w:type="pct"/>
            <w:gridSpan w:val="2"/>
            <w:shd w:val="clear" w:color="auto" w:fill="auto"/>
            <w:vAlign w:val="center"/>
          </w:tcPr>
          <w:p w14:paraId="79F5887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eastAsia="zh-CN"/>
              </w:rPr>
              <w:t>聚氯乙烯绝缘电缆</w:t>
            </w:r>
          </w:p>
        </w:tc>
        <w:tc>
          <w:tcPr>
            <w:tcW w:w="442" w:type="pct"/>
            <w:shd w:val="clear" w:color="auto" w:fill="auto"/>
            <w:vAlign w:val="center"/>
          </w:tcPr>
          <w:p w14:paraId="4AE24F7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eastAsia="zh-CN"/>
              </w:rPr>
              <w:t>导体电阻</w:t>
            </w:r>
          </w:p>
        </w:tc>
        <w:tc>
          <w:tcPr>
            <w:tcW w:w="500" w:type="pct"/>
            <w:shd w:val="clear" w:color="auto" w:fill="auto"/>
            <w:vAlign w:val="center"/>
          </w:tcPr>
          <w:p w14:paraId="0613D9B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eastAsia="zh-CN"/>
              </w:rPr>
              <w:t>6.13.1</w:t>
            </w:r>
          </w:p>
        </w:tc>
        <w:tc>
          <w:tcPr>
            <w:tcW w:w="1376" w:type="pct"/>
            <w:shd w:val="clear" w:color="auto" w:fill="auto"/>
            <w:vAlign w:val="center"/>
          </w:tcPr>
          <w:p w14:paraId="51F3584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每单位工程同一厂家各种规格的电缆总数的10%，且不少于2个规格。电缆每规格2m。暂按每规格5芯计算</w:t>
            </w:r>
          </w:p>
        </w:tc>
        <w:tc>
          <w:tcPr>
            <w:tcW w:w="400" w:type="pct"/>
            <w:shd w:val="clear" w:color="auto" w:fill="auto"/>
            <w:vAlign w:val="center"/>
          </w:tcPr>
          <w:p w14:paraId="1E1EBB1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eastAsia="zh-CN"/>
              </w:rPr>
              <w:t>30</w:t>
            </w:r>
          </w:p>
        </w:tc>
        <w:tc>
          <w:tcPr>
            <w:tcW w:w="400" w:type="pct"/>
            <w:shd w:val="clear" w:color="auto" w:fill="auto"/>
            <w:vAlign w:val="center"/>
          </w:tcPr>
          <w:p w14:paraId="366F7B3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项</w:t>
            </w:r>
          </w:p>
        </w:tc>
        <w:tc>
          <w:tcPr>
            <w:tcW w:w="443" w:type="pct"/>
            <w:shd w:val="clear" w:color="auto" w:fill="auto"/>
            <w:vAlign w:val="center"/>
          </w:tcPr>
          <w:p w14:paraId="43B2113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p>
        </w:tc>
        <w:tc>
          <w:tcPr>
            <w:tcW w:w="470" w:type="pct"/>
            <w:shd w:val="clear" w:color="auto" w:fill="auto"/>
            <w:vAlign w:val="center"/>
          </w:tcPr>
          <w:p w14:paraId="752D808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p>
        </w:tc>
      </w:tr>
      <w:tr w14:paraId="47BE9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6" w:type="pct"/>
            <w:gridSpan w:val="8"/>
            <w:shd w:val="clear" w:color="auto" w:fill="auto"/>
            <w:vAlign w:val="center"/>
          </w:tcPr>
          <w:p w14:paraId="3517B78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建筑节能检测总费用合计（元）</w:t>
            </w:r>
          </w:p>
        </w:tc>
        <w:tc>
          <w:tcPr>
            <w:tcW w:w="913" w:type="pct"/>
            <w:gridSpan w:val="2"/>
            <w:shd w:val="clear" w:color="auto" w:fill="auto"/>
            <w:vAlign w:val="center"/>
          </w:tcPr>
          <w:p w14:paraId="78DA59E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sz w:val="21"/>
                <w:szCs w:val="21"/>
                <w:lang w:val="en-US" w:eastAsia="zh-CN"/>
              </w:rPr>
            </w:pPr>
          </w:p>
        </w:tc>
      </w:tr>
      <w:tr w14:paraId="32DD4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6" w:type="pct"/>
            <w:gridSpan w:val="8"/>
            <w:shd w:val="clear" w:color="auto" w:fill="auto"/>
            <w:vAlign w:val="center"/>
          </w:tcPr>
          <w:p w14:paraId="62D1A00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sz w:val="21"/>
                <w:szCs w:val="21"/>
                <w:lang w:eastAsia="zh-CN"/>
              </w:rPr>
            </w:pPr>
            <w:r>
              <w:rPr>
                <w:rFonts w:hint="eastAsia" w:ascii="宋体" w:hAnsi="宋体" w:eastAsia="宋体" w:cs="宋体"/>
                <w:color w:val="auto"/>
                <w:kern w:val="0"/>
                <w:sz w:val="21"/>
                <w:szCs w:val="21"/>
              </w:rPr>
              <w:t>建筑节能检测总费用下浮</w:t>
            </w:r>
            <w:r>
              <w:rPr>
                <w:rFonts w:hint="eastAsia" w:ascii="宋体" w:hAnsi="宋体" w:cs="宋体"/>
                <w:color w:val="auto"/>
                <w:kern w:val="0"/>
                <w:sz w:val="21"/>
                <w:szCs w:val="21"/>
                <w:lang w:val="en-US" w:eastAsia="zh-CN"/>
              </w:rPr>
              <w:t>55</w:t>
            </w:r>
            <w:r>
              <w:rPr>
                <w:rFonts w:hint="eastAsia" w:ascii="宋体" w:hAnsi="宋体" w:eastAsia="宋体" w:cs="宋体"/>
                <w:color w:val="auto"/>
                <w:kern w:val="0"/>
                <w:sz w:val="21"/>
                <w:szCs w:val="21"/>
              </w:rPr>
              <w:t>%计算</w:t>
            </w:r>
            <w:r>
              <w:rPr>
                <w:rFonts w:hint="eastAsia" w:ascii="宋体" w:hAnsi="宋体" w:cs="宋体"/>
                <w:color w:val="auto"/>
                <w:kern w:val="0"/>
                <w:sz w:val="21"/>
                <w:szCs w:val="21"/>
                <w:lang w:eastAsia="zh-CN"/>
              </w:rPr>
              <w:t>（元）</w:t>
            </w:r>
          </w:p>
        </w:tc>
        <w:tc>
          <w:tcPr>
            <w:tcW w:w="913" w:type="pct"/>
            <w:gridSpan w:val="2"/>
            <w:shd w:val="clear" w:color="auto" w:fill="auto"/>
            <w:vAlign w:val="center"/>
          </w:tcPr>
          <w:p w14:paraId="72E3B2D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sz w:val="21"/>
                <w:szCs w:val="21"/>
                <w:lang w:val="en-US" w:eastAsia="zh-CN"/>
              </w:rPr>
            </w:pPr>
          </w:p>
        </w:tc>
      </w:tr>
      <w:tr w14:paraId="303C4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10"/>
            <w:shd w:val="clear" w:color="auto" w:fill="auto"/>
            <w:vAlign w:val="center"/>
          </w:tcPr>
          <w:p w14:paraId="168848FC">
            <w:pPr>
              <w:keepNext w:val="0"/>
              <w:keepLines w:val="0"/>
              <w:pageBreakBefore w:val="0"/>
              <w:widowControl/>
              <w:kinsoku/>
              <w:wordWrap/>
              <w:overflowPunct/>
              <w:topLinePunct w:val="0"/>
              <w:autoSpaceDE/>
              <w:autoSpaceDN/>
              <w:bidi w:val="0"/>
              <w:adjustRightInd/>
              <w:snapToGrid/>
              <w:spacing w:line="360" w:lineRule="exact"/>
              <w:ind w:firstLine="0" w:firstLineChars="0"/>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kern w:val="0"/>
                <w:sz w:val="21"/>
                <w:szCs w:val="21"/>
              </w:rPr>
              <w:t>注</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以实际发生量为准</w:t>
            </w:r>
            <w:r>
              <w:rPr>
                <w:rFonts w:hint="eastAsia" w:ascii="宋体" w:hAnsi="宋体" w:cs="宋体"/>
                <w:color w:val="auto"/>
                <w:kern w:val="0"/>
                <w:sz w:val="21"/>
                <w:szCs w:val="21"/>
                <w:lang w:eastAsia="zh-CN"/>
              </w:rPr>
              <w:t>。</w:t>
            </w:r>
          </w:p>
        </w:tc>
      </w:tr>
    </w:tbl>
    <w:p w14:paraId="108C78CE">
      <w:pPr>
        <w:pStyle w:val="118"/>
        <w:keepNext w:val="0"/>
        <w:keepLines w:val="0"/>
        <w:pageBreakBefore w:val="0"/>
        <w:widowControl w:val="0"/>
        <w:tabs>
          <w:tab w:val="left" w:pos="-1486"/>
          <w:tab w:val="left" w:pos="-142"/>
        </w:tabs>
        <w:kinsoku/>
        <w:wordWrap/>
        <w:overflowPunct/>
        <w:topLinePunct w:val="0"/>
        <w:autoSpaceDE/>
        <w:autoSpaceDN/>
        <w:bidi w:val="0"/>
        <w:adjustRightInd/>
        <w:snapToGrid/>
        <w:spacing w:before="100" w:beforeLines="30" w:after="67" w:afterLines="20" w:line="560" w:lineRule="exact"/>
        <w:ind w:left="6" w:leftChars="0" w:hanging="6" w:firstLineChars="0"/>
        <w:jc w:val="center"/>
        <w:textAlignment w:val="auto"/>
        <w:rPr>
          <w:rFonts w:hint="eastAsia" w:ascii="宋体" w:hAnsi="宋体" w:eastAsia="宋体" w:cs="宋体"/>
          <w:b/>
          <w:bCs w:val="0"/>
          <w:color w:val="000000" w:themeColor="text1"/>
          <w:sz w:val="28"/>
          <w:szCs w:val="28"/>
          <w:highlight w:val="none"/>
          <w14:textFill>
            <w14:solidFill>
              <w14:schemeClr w14:val="tx1"/>
            </w14:solidFill>
          </w14:textFill>
        </w:rPr>
      </w:pPr>
      <w:r>
        <w:rPr>
          <w:rFonts w:hint="eastAsia" w:ascii="宋体" w:hAnsi="宋体" w:eastAsia="宋体" w:cs="宋体"/>
          <w:b/>
          <w:bCs w:val="0"/>
          <w:color w:val="000000" w:themeColor="text1"/>
          <w:sz w:val="28"/>
          <w:szCs w:val="28"/>
          <w:highlight w:val="none"/>
          <w14:textFill>
            <w14:solidFill>
              <w14:schemeClr w14:val="tx1"/>
            </w14:solidFill>
          </w14:textFill>
        </w:rPr>
        <w:t>（五）土工、道路综合检测</w:t>
      </w:r>
    </w:p>
    <w:tbl>
      <w:tblPr>
        <w:tblStyle w:val="26"/>
        <w:tblW w:w="490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40"/>
        <w:gridCol w:w="1203"/>
        <w:gridCol w:w="1040"/>
        <w:gridCol w:w="1405"/>
        <w:gridCol w:w="943"/>
        <w:gridCol w:w="671"/>
        <w:gridCol w:w="672"/>
        <w:gridCol w:w="924"/>
        <w:gridCol w:w="905"/>
      </w:tblGrid>
      <w:tr w14:paraId="7757A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1" w:hRule="atLeast"/>
          <w:jc w:val="center"/>
        </w:trPr>
        <w:tc>
          <w:tcPr>
            <w:tcW w:w="5000" w:type="pct"/>
            <w:gridSpan w:val="10"/>
            <w:shd w:val="clear" w:color="auto" w:fill="auto"/>
            <w:vAlign w:val="center"/>
          </w:tcPr>
          <w:p w14:paraId="016C77A6">
            <w:pPr>
              <w:keepNext w:val="0"/>
              <w:keepLines w:val="0"/>
              <w:pageBreakBefore w:val="0"/>
              <w:widowControl/>
              <w:kinsoku/>
              <w:overflowPunct/>
              <w:topLinePunct w:val="0"/>
              <w:autoSpaceDE/>
              <w:autoSpaceDN/>
              <w:bidi w:val="0"/>
              <w:adjustRightInd/>
              <w:snapToGrid/>
              <w:spacing w:line="240" w:lineRule="auto"/>
              <w:ind w:firstLine="0" w:firstLineChars="0"/>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土工、道路综合检测数量表</w:t>
            </w:r>
          </w:p>
        </w:tc>
      </w:tr>
      <w:tr w14:paraId="1AFBF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390" w:type="pct"/>
            <w:shd w:val="clear" w:color="auto" w:fill="auto"/>
            <w:vAlign w:val="center"/>
          </w:tcPr>
          <w:p w14:paraId="672229EE">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分项工程</w:t>
            </w:r>
          </w:p>
        </w:tc>
        <w:tc>
          <w:tcPr>
            <w:tcW w:w="1053" w:type="pct"/>
            <w:gridSpan w:val="2"/>
            <w:shd w:val="clear" w:color="auto" w:fill="auto"/>
            <w:vAlign w:val="center"/>
          </w:tcPr>
          <w:p w14:paraId="2DA37691">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检测项目</w:t>
            </w:r>
          </w:p>
        </w:tc>
        <w:tc>
          <w:tcPr>
            <w:tcW w:w="563" w:type="pct"/>
            <w:shd w:val="clear" w:color="auto" w:fill="auto"/>
            <w:vAlign w:val="center"/>
          </w:tcPr>
          <w:p w14:paraId="78A129A5">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检测项目序号</w:t>
            </w:r>
          </w:p>
        </w:tc>
        <w:tc>
          <w:tcPr>
            <w:tcW w:w="761" w:type="pct"/>
            <w:shd w:val="clear" w:color="auto" w:fill="auto"/>
            <w:vAlign w:val="center"/>
          </w:tcPr>
          <w:p w14:paraId="163BBF69">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检测频率</w:t>
            </w:r>
          </w:p>
        </w:tc>
        <w:tc>
          <w:tcPr>
            <w:tcW w:w="511" w:type="pct"/>
            <w:shd w:val="clear" w:color="auto" w:fill="auto"/>
            <w:vAlign w:val="center"/>
          </w:tcPr>
          <w:p w14:paraId="511F45EA">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抽检明细</w:t>
            </w:r>
          </w:p>
        </w:tc>
        <w:tc>
          <w:tcPr>
            <w:tcW w:w="363" w:type="pct"/>
            <w:shd w:val="clear" w:color="auto" w:fill="auto"/>
            <w:vAlign w:val="center"/>
          </w:tcPr>
          <w:p w14:paraId="48B27426">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抽检数量</w:t>
            </w:r>
          </w:p>
        </w:tc>
        <w:tc>
          <w:tcPr>
            <w:tcW w:w="364" w:type="pct"/>
            <w:shd w:val="clear" w:color="auto" w:fill="auto"/>
            <w:vAlign w:val="center"/>
          </w:tcPr>
          <w:p w14:paraId="5A2A26E8">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计费</w:t>
            </w:r>
            <w:r>
              <w:rPr>
                <w:rFonts w:hint="eastAsia" w:ascii="宋体" w:hAnsi="宋体" w:eastAsia="宋体" w:cs="宋体"/>
                <w:color w:val="auto"/>
                <w:kern w:val="0"/>
                <w:sz w:val="21"/>
                <w:szCs w:val="21"/>
              </w:rPr>
              <w:t>单位</w:t>
            </w:r>
          </w:p>
        </w:tc>
        <w:tc>
          <w:tcPr>
            <w:tcW w:w="500" w:type="pct"/>
            <w:shd w:val="clear" w:color="auto" w:fill="auto"/>
            <w:vAlign w:val="center"/>
          </w:tcPr>
          <w:p w14:paraId="237185E6">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单价</w:t>
            </w:r>
            <w:r>
              <w:rPr>
                <w:rFonts w:hint="eastAsia" w:ascii="宋体" w:hAnsi="宋体" w:eastAsia="宋体" w:cs="宋体"/>
                <w:color w:val="auto"/>
                <w:kern w:val="0"/>
                <w:sz w:val="21"/>
                <w:szCs w:val="21"/>
                <w:lang w:val="en-US" w:eastAsia="zh-CN"/>
              </w:rPr>
              <w:t>（元）</w:t>
            </w:r>
          </w:p>
        </w:tc>
        <w:tc>
          <w:tcPr>
            <w:tcW w:w="490" w:type="pct"/>
            <w:shd w:val="clear" w:color="auto" w:fill="auto"/>
            <w:vAlign w:val="center"/>
          </w:tcPr>
          <w:p w14:paraId="42263582">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小计（元）</w:t>
            </w:r>
          </w:p>
        </w:tc>
      </w:tr>
      <w:tr w14:paraId="6F52A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jc w:val="center"/>
        </w:trPr>
        <w:tc>
          <w:tcPr>
            <w:tcW w:w="390" w:type="pct"/>
            <w:vMerge w:val="restart"/>
            <w:vAlign w:val="center"/>
          </w:tcPr>
          <w:p w14:paraId="0B0590CC">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eastAsia="zh-CN"/>
              </w:rPr>
            </w:pPr>
          </w:p>
          <w:p w14:paraId="01FD1139">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eastAsia="zh-CN"/>
              </w:rPr>
            </w:pPr>
          </w:p>
          <w:p w14:paraId="567D2342">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eastAsia="zh-CN"/>
              </w:rPr>
            </w:pPr>
          </w:p>
          <w:p w14:paraId="111EE54A">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eastAsia="zh-CN"/>
              </w:rPr>
              <w:t>土工</w:t>
            </w:r>
            <w:r>
              <w:rPr>
                <w:rFonts w:hint="eastAsia" w:ascii="宋体" w:hAnsi="宋体" w:cs="宋体"/>
                <w:color w:val="auto"/>
                <w:kern w:val="0"/>
                <w:sz w:val="21"/>
                <w:szCs w:val="21"/>
                <w:lang w:eastAsia="zh-CN"/>
              </w:rPr>
              <w:t>常规</w:t>
            </w:r>
          </w:p>
        </w:tc>
        <w:tc>
          <w:tcPr>
            <w:tcW w:w="1053" w:type="pct"/>
            <w:gridSpan w:val="2"/>
            <w:shd w:val="clear" w:color="auto" w:fill="auto"/>
            <w:vAlign w:val="center"/>
          </w:tcPr>
          <w:p w14:paraId="4AA34048">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重型击实</w:t>
            </w:r>
          </w:p>
        </w:tc>
        <w:tc>
          <w:tcPr>
            <w:tcW w:w="563" w:type="pct"/>
            <w:shd w:val="clear" w:color="auto" w:fill="auto"/>
            <w:vAlign w:val="center"/>
          </w:tcPr>
          <w:p w14:paraId="0C700EA0">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eastAsia="zh-CN"/>
              </w:rPr>
              <w:t>1.20.4</w:t>
            </w:r>
          </w:p>
        </w:tc>
        <w:tc>
          <w:tcPr>
            <w:tcW w:w="761" w:type="pct"/>
            <w:shd w:val="clear" w:color="auto" w:fill="auto"/>
            <w:vAlign w:val="center"/>
          </w:tcPr>
          <w:p w14:paraId="26CCDA68">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同一土源、同一土样每5000m³一批。</w:t>
            </w:r>
          </w:p>
        </w:tc>
        <w:tc>
          <w:tcPr>
            <w:tcW w:w="511" w:type="pct"/>
            <w:shd w:val="clear" w:color="auto" w:fill="auto"/>
            <w:vAlign w:val="center"/>
          </w:tcPr>
          <w:p w14:paraId="109979BA">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按照每个单体送检一组</w:t>
            </w:r>
          </w:p>
        </w:tc>
        <w:tc>
          <w:tcPr>
            <w:tcW w:w="363" w:type="pct"/>
            <w:shd w:val="clear" w:color="auto" w:fill="auto"/>
            <w:vAlign w:val="center"/>
          </w:tcPr>
          <w:p w14:paraId="07A64E16">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3</w:t>
            </w:r>
          </w:p>
        </w:tc>
        <w:tc>
          <w:tcPr>
            <w:tcW w:w="364" w:type="pct"/>
            <w:shd w:val="clear" w:color="auto" w:fill="auto"/>
            <w:vAlign w:val="center"/>
          </w:tcPr>
          <w:p w14:paraId="160C749A">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组</w:t>
            </w:r>
          </w:p>
        </w:tc>
        <w:tc>
          <w:tcPr>
            <w:tcW w:w="500" w:type="pct"/>
            <w:shd w:val="clear" w:color="auto" w:fill="auto"/>
            <w:vAlign w:val="center"/>
          </w:tcPr>
          <w:p w14:paraId="7280BD19">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c>
          <w:tcPr>
            <w:tcW w:w="490" w:type="pct"/>
            <w:shd w:val="clear" w:color="auto" w:fill="auto"/>
            <w:vAlign w:val="center"/>
          </w:tcPr>
          <w:p w14:paraId="7165655A">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r>
      <w:tr w14:paraId="00A2F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jc w:val="center"/>
        </w:trPr>
        <w:tc>
          <w:tcPr>
            <w:tcW w:w="390" w:type="pct"/>
            <w:vMerge w:val="continue"/>
            <w:vAlign w:val="center"/>
          </w:tcPr>
          <w:p w14:paraId="56026ED5">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default" w:ascii="宋体" w:hAnsi="宋体" w:eastAsia="宋体" w:cs="宋体"/>
                <w:color w:val="auto"/>
                <w:kern w:val="0"/>
                <w:sz w:val="21"/>
                <w:szCs w:val="21"/>
                <w:lang w:val="en-US" w:eastAsia="zh-CN"/>
              </w:rPr>
            </w:pPr>
          </w:p>
        </w:tc>
        <w:tc>
          <w:tcPr>
            <w:tcW w:w="1053" w:type="pct"/>
            <w:gridSpan w:val="2"/>
            <w:shd w:val="clear" w:color="auto" w:fill="auto"/>
            <w:vAlign w:val="center"/>
          </w:tcPr>
          <w:p w14:paraId="7515D4E8">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原位密度法测压实度</w:t>
            </w:r>
          </w:p>
        </w:tc>
        <w:tc>
          <w:tcPr>
            <w:tcW w:w="563" w:type="pct"/>
            <w:shd w:val="clear" w:color="auto" w:fill="auto"/>
            <w:vAlign w:val="center"/>
          </w:tcPr>
          <w:p w14:paraId="5B515DB1">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1.20.9</w:t>
            </w:r>
          </w:p>
        </w:tc>
        <w:tc>
          <w:tcPr>
            <w:tcW w:w="761" w:type="pct"/>
            <w:shd w:val="clear" w:color="auto" w:fill="auto"/>
            <w:vAlign w:val="center"/>
          </w:tcPr>
          <w:p w14:paraId="6D07D21E">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每层每1000㎡检测3点，</w:t>
            </w:r>
          </w:p>
          <w:p w14:paraId="425649BA">
            <w:pPr>
              <w:keepNext w:val="0"/>
              <w:keepLines w:val="0"/>
              <w:pageBreakBefore w:val="0"/>
              <w:widowControl/>
              <w:kinsoku/>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eastAsia="zh-CN"/>
              </w:rPr>
              <w:t>暂按每层回填300mm</w:t>
            </w:r>
          </w:p>
        </w:tc>
        <w:tc>
          <w:tcPr>
            <w:tcW w:w="511" w:type="pct"/>
            <w:shd w:val="clear" w:color="auto" w:fill="auto"/>
            <w:vAlign w:val="center"/>
          </w:tcPr>
          <w:p w14:paraId="0CAAF90D">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6*9+6*3+6*3</w:t>
            </w:r>
          </w:p>
        </w:tc>
        <w:tc>
          <w:tcPr>
            <w:tcW w:w="363" w:type="pct"/>
            <w:shd w:val="clear" w:color="auto" w:fill="auto"/>
            <w:vAlign w:val="center"/>
          </w:tcPr>
          <w:p w14:paraId="221D1B15">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90</w:t>
            </w:r>
          </w:p>
        </w:tc>
        <w:tc>
          <w:tcPr>
            <w:tcW w:w="364" w:type="pct"/>
            <w:shd w:val="clear" w:color="auto" w:fill="auto"/>
            <w:vAlign w:val="center"/>
          </w:tcPr>
          <w:p w14:paraId="58E90363">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点</w:t>
            </w:r>
          </w:p>
        </w:tc>
        <w:tc>
          <w:tcPr>
            <w:tcW w:w="500" w:type="pct"/>
            <w:shd w:val="clear" w:color="auto" w:fill="auto"/>
            <w:vAlign w:val="center"/>
          </w:tcPr>
          <w:p w14:paraId="604DDAC6">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bidi="ar-SA"/>
              </w:rPr>
            </w:pPr>
          </w:p>
        </w:tc>
        <w:tc>
          <w:tcPr>
            <w:tcW w:w="490" w:type="pct"/>
            <w:shd w:val="clear" w:color="auto" w:fill="auto"/>
            <w:vAlign w:val="center"/>
          </w:tcPr>
          <w:p w14:paraId="727A3731">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bidi="ar-SA"/>
              </w:rPr>
            </w:pPr>
          </w:p>
        </w:tc>
      </w:tr>
      <w:tr w14:paraId="2745D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390" w:type="pct"/>
            <w:vMerge w:val="restart"/>
            <w:vAlign w:val="center"/>
          </w:tcPr>
          <w:p w14:paraId="73BE8FA8">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市政工程现场检测</w:t>
            </w:r>
          </w:p>
        </w:tc>
        <w:tc>
          <w:tcPr>
            <w:tcW w:w="1053" w:type="pct"/>
            <w:gridSpan w:val="2"/>
            <w:shd w:val="clear" w:color="auto" w:fill="auto"/>
            <w:vAlign w:val="center"/>
          </w:tcPr>
          <w:p w14:paraId="52BBBF20">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zh-CN"/>
              </w:rPr>
              <w:t>击实试验</w:t>
            </w:r>
            <w:r>
              <w:rPr>
                <w:rFonts w:hint="eastAsia" w:ascii="宋体" w:hAnsi="宋体" w:cs="宋体"/>
                <w:color w:val="auto"/>
                <w:kern w:val="0"/>
                <w:sz w:val="21"/>
                <w:szCs w:val="21"/>
                <w:lang w:val="en-US" w:eastAsia="zh-CN"/>
              </w:rPr>
              <w:t>（重型）</w:t>
            </w:r>
          </w:p>
        </w:tc>
        <w:tc>
          <w:tcPr>
            <w:tcW w:w="563" w:type="pct"/>
            <w:shd w:val="clear" w:color="auto" w:fill="auto"/>
            <w:vAlign w:val="center"/>
          </w:tcPr>
          <w:p w14:paraId="1094C363">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10.1.31</w:t>
            </w:r>
          </w:p>
        </w:tc>
        <w:tc>
          <w:tcPr>
            <w:tcW w:w="761" w:type="pct"/>
            <w:shd w:val="clear" w:color="auto" w:fill="auto"/>
            <w:vAlign w:val="center"/>
          </w:tcPr>
          <w:p w14:paraId="26099D68">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zh-CN"/>
              </w:rPr>
              <w:t>同一土源、同一土样每5000m³一批。</w:t>
            </w:r>
          </w:p>
        </w:tc>
        <w:tc>
          <w:tcPr>
            <w:tcW w:w="511" w:type="pct"/>
            <w:shd w:val="clear" w:color="auto" w:fill="auto"/>
            <w:vAlign w:val="center"/>
          </w:tcPr>
          <w:p w14:paraId="51C251AD">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分别为路基1组、级配碎石1组</w:t>
            </w:r>
          </w:p>
        </w:tc>
        <w:tc>
          <w:tcPr>
            <w:tcW w:w="363" w:type="pct"/>
            <w:shd w:val="clear" w:color="auto" w:fill="auto"/>
            <w:vAlign w:val="center"/>
          </w:tcPr>
          <w:p w14:paraId="77001E89">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2</w:t>
            </w:r>
          </w:p>
        </w:tc>
        <w:tc>
          <w:tcPr>
            <w:tcW w:w="364" w:type="pct"/>
            <w:shd w:val="clear" w:color="auto" w:fill="auto"/>
            <w:vAlign w:val="center"/>
          </w:tcPr>
          <w:p w14:paraId="4946399C">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项</w:t>
            </w:r>
          </w:p>
        </w:tc>
        <w:tc>
          <w:tcPr>
            <w:tcW w:w="500" w:type="pct"/>
            <w:shd w:val="clear" w:color="auto" w:fill="auto"/>
            <w:vAlign w:val="center"/>
          </w:tcPr>
          <w:p w14:paraId="66AA679B">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p>
        </w:tc>
        <w:tc>
          <w:tcPr>
            <w:tcW w:w="490" w:type="pct"/>
            <w:shd w:val="clear" w:color="auto" w:fill="auto"/>
            <w:vAlign w:val="center"/>
          </w:tcPr>
          <w:p w14:paraId="4CBAA57B">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r>
      <w:tr w14:paraId="25643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jc w:val="center"/>
        </w:trPr>
        <w:tc>
          <w:tcPr>
            <w:tcW w:w="390" w:type="pct"/>
            <w:vMerge w:val="continue"/>
            <w:vAlign w:val="center"/>
          </w:tcPr>
          <w:p w14:paraId="0FFE162A">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c>
          <w:tcPr>
            <w:tcW w:w="401" w:type="pct"/>
            <w:vMerge w:val="restart"/>
            <w:shd w:val="clear" w:color="auto" w:fill="auto"/>
            <w:vAlign w:val="center"/>
          </w:tcPr>
          <w:p w14:paraId="7B9671F4">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p>
          <w:p w14:paraId="411980F2">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压实度</w:t>
            </w:r>
            <w:r>
              <w:rPr>
                <w:rFonts w:hint="default" w:ascii="宋体" w:hAnsi="宋体" w:eastAsia="宋体" w:cs="宋体"/>
                <w:color w:val="auto"/>
                <w:kern w:val="0"/>
                <w:sz w:val="21"/>
                <w:szCs w:val="21"/>
                <w:lang w:val="en-US" w:eastAsia="zh-CN"/>
              </w:rPr>
              <w:t>/</w:t>
            </w:r>
            <w:r>
              <w:rPr>
                <w:rFonts w:hint="eastAsia" w:ascii="宋体" w:hAnsi="宋体" w:eastAsia="宋体" w:cs="宋体"/>
                <w:color w:val="auto"/>
                <w:kern w:val="0"/>
                <w:sz w:val="21"/>
                <w:szCs w:val="21"/>
                <w:lang w:val="en-US" w:eastAsia="zh-CN"/>
              </w:rPr>
              <w:t>密实度</w:t>
            </w:r>
          </w:p>
          <w:p w14:paraId="73570EBE">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eastAsia="zh-CN"/>
              </w:rPr>
            </w:pPr>
          </w:p>
        </w:tc>
        <w:tc>
          <w:tcPr>
            <w:tcW w:w="652" w:type="pct"/>
            <w:shd w:val="clear" w:color="auto" w:fill="auto"/>
            <w:vAlign w:val="center"/>
          </w:tcPr>
          <w:p w14:paraId="230CCB4E">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路基（灌砂法）</w:t>
            </w:r>
          </w:p>
        </w:tc>
        <w:tc>
          <w:tcPr>
            <w:tcW w:w="563" w:type="pct"/>
            <w:shd w:val="clear" w:color="auto" w:fill="auto"/>
            <w:vAlign w:val="center"/>
          </w:tcPr>
          <w:p w14:paraId="02851F8C">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10.1.17</w:t>
            </w:r>
          </w:p>
        </w:tc>
        <w:tc>
          <w:tcPr>
            <w:tcW w:w="761" w:type="pct"/>
            <w:shd w:val="clear" w:color="auto" w:fill="auto"/>
            <w:vAlign w:val="center"/>
          </w:tcPr>
          <w:p w14:paraId="154A3BB4">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每层回填土300mm，每层每1000㎡检测3点</w:t>
            </w:r>
          </w:p>
        </w:tc>
        <w:tc>
          <w:tcPr>
            <w:tcW w:w="511" w:type="pct"/>
            <w:shd w:val="clear" w:color="auto" w:fill="auto"/>
            <w:vAlign w:val="center"/>
          </w:tcPr>
          <w:p w14:paraId="3AD6F6F8">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5367.08/1000*3</w:t>
            </w:r>
          </w:p>
        </w:tc>
        <w:tc>
          <w:tcPr>
            <w:tcW w:w="363" w:type="pct"/>
            <w:shd w:val="clear" w:color="auto" w:fill="auto"/>
            <w:vAlign w:val="center"/>
          </w:tcPr>
          <w:p w14:paraId="43234B01">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17</w:t>
            </w:r>
          </w:p>
        </w:tc>
        <w:tc>
          <w:tcPr>
            <w:tcW w:w="364" w:type="pct"/>
            <w:shd w:val="clear" w:color="auto" w:fill="auto"/>
            <w:vAlign w:val="center"/>
          </w:tcPr>
          <w:p w14:paraId="7EEB2850">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点</w:t>
            </w:r>
          </w:p>
        </w:tc>
        <w:tc>
          <w:tcPr>
            <w:tcW w:w="500" w:type="pct"/>
            <w:shd w:val="clear" w:color="auto" w:fill="auto"/>
            <w:vAlign w:val="center"/>
          </w:tcPr>
          <w:p w14:paraId="0D38AD45">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c>
          <w:tcPr>
            <w:tcW w:w="490" w:type="pct"/>
            <w:shd w:val="clear" w:color="auto" w:fill="auto"/>
            <w:vAlign w:val="center"/>
          </w:tcPr>
          <w:p w14:paraId="50D534A1">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r>
      <w:tr w14:paraId="24058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390" w:type="pct"/>
            <w:vMerge w:val="continue"/>
            <w:vAlign w:val="center"/>
          </w:tcPr>
          <w:p w14:paraId="10620AF2">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p>
        </w:tc>
        <w:tc>
          <w:tcPr>
            <w:tcW w:w="401" w:type="pct"/>
            <w:vMerge w:val="continue"/>
            <w:shd w:val="clear" w:color="auto" w:fill="auto"/>
            <w:vAlign w:val="center"/>
          </w:tcPr>
          <w:p w14:paraId="24B264E4">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p>
        </w:tc>
        <w:tc>
          <w:tcPr>
            <w:tcW w:w="652" w:type="pct"/>
            <w:shd w:val="clear" w:color="auto" w:fill="auto"/>
            <w:vAlign w:val="center"/>
          </w:tcPr>
          <w:p w14:paraId="223F8D26">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基层（灌砂法）</w:t>
            </w:r>
          </w:p>
        </w:tc>
        <w:tc>
          <w:tcPr>
            <w:tcW w:w="563" w:type="pct"/>
            <w:shd w:val="clear" w:color="auto" w:fill="auto"/>
            <w:vAlign w:val="center"/>
          </w:tcPr>
          <w:p w14:paraId="42511645">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10.1.17</w:t>
            </w:r>
          </w:p>
        </w:tc>
        <w:tc>
          <w:tcPr>
            <w:tcW w:w="761" w:type="pct"/>
            <w:shd w:val="clear" w:color="auto" w:fill="auto"/>
            <w:vAlign w:val="center"/>
          </w:tcPr>
          <w:p w14:paraId="564C6BAD">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每层每1000m</w:t>
            </w:r>
            <w:r>
              <w:rPr>
                <w:rFonts w:hint="eastAsia" w:ascii="宋体" w:hAnsi="宋体" w:eastAsia="宋体" w:cs="宋体"/>
                <w:color w:val="auto"/>
                <w:kern w:val="0"/>
                <w:sz w:val="21"/>
                <w:szCs w:val="21"/>
                <w:vertAlign w:val="superscript"/>
                <w:lang w:val="en-US" w:eastAsia="zh-CN"/>
              </w:rPr>
              <w:t>2</w:t>
            </w:r>
            <w:r>
              <w:rPr>
                <w:rFonts w:hint="eastAsia" w:ascii="宋体" w:hAnsi="宋体" w:eastAsia="宋体" w:cs="宋体"/>
                <w:color w:val="auto"/>
                <w:kern w:val="0"/>
                <w:sz w:val="21"/>
                <w:szCs w:val="21"/>
                <w:lang w:val="en-US" w:eastAsia="zh-CN"/>
              </w:rPr>
              <w:t>检测1点</w:t>
            </w:r>
          </w:p>
        </w:tc>
        <w:tc>
          <w:tcPr>
            <w:tcW w:w="511" w:type="pct"/>
            <w:shd w:val="clear" w:color="auto" w:fill="auto"/>
            <w:vAlign w:val="center"/>
          </w:tcPr>
          <w:p w14:paraId="50B17C7A">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5367.08/1000</w:t>
            </w:r>
          </w:p>
        </w:tc>
        <w:tc>
          <w:tcPr>
            <w:tcW w:w="363" w:type="pct"/>
            <w:shd w:val="clear" w:color="auto" w:fill="auto"/>
            <w:vAlign w:val="center"/>
          </w:tcPr>
          <w:p w14:paraId="101CA1A9">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6</w:t>
            </w:r>
          </w:p>
        </w:tc>
        <w:tc>
          <w:tcPr>
            <w:tcW w:w="364" w:type="pct"/>
            <w:shd w:val="clear" w:color="auto" w:fill="auto"/>
            <w:vAlign w:val="center"/>
          </w:tcPr>
          <w:p w14:paraId="407EA86C">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点</w:t>
            </w:r>
          </w:p>
        </w:tc>
        <w:tc>
          <w:tcPr>
            <w:tcW w:w="500" w:type="pct"/>
            <w:shd w:val="clear" w:color="auto" w:fill="auto"/>
            <w:vAlign w:val="center"/>
          </w:tcPr>
          <w:p w14:paraId="0F14718A">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p>
        </w:tc>
        <w:tc>
          <w:tcPr>
            <w:tcW w:w="490" w:type="pct"/>
            <w:shd w:val="clear" w:color="auto" w:fill="auto"/>
            <w:vAlign w:val="center"/>
          </w:tcPr>
          <w:p w14:paraId="17DBB9CF">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r>
      <w:tr w14:paraId="13CE1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390" w:type="pct"/>
            <w:vMerge w:val="continue"/>
            <w:vAlign w:val="center"/>
          </w:tcPr>
          <w:p w14:paraId="1AFD9A2E">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p>
        </w:tc>
        <w:tc>
          <w:tcPr>
            <w:tcW w:w="401" w:type="pct"/>
            <w:vMerge w:val="continue"/>
            <w:shd w:val="clear" w:color="auto" w:fill="auto"/>
            <w:vAlign w:val="center"/>
          </w:tcPr>
          <w:p w14:paraId="2AE9AE6A">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p>
        </w:tc>
        <w:tc>
          <w:tcPr>
            <w:tcW w:w="652" w:type="pct"/>
            <w:shd w:val="clear" w:color="auto" w:fill="auto"/>
            <w:vAlign w:val="center"/>
          </w:tcPr>
          <w:p w14:paraId="5E1C78C4">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压实度</w:t>
            </w:r>
            <w:r>
              <w:rPr>
                <w:rFonts w:hint="eastAsia" w:ascii="宋体" w:hAnsi="宋体" w:cs="宋体"/>
                <w:color w:val="auto"/>
                <w:kern w:val="0"/>
                <w:sz w:val="21"/>
                <w:szCs w:val="21"/>
                <w:lang w:val="en-US" w:eastAsia="zh-CN"/>
              </w:rPr>
              <w:t>（水泥稳定碎石层）</w:t>
            </w:r>
          </w:p>
        </w:tc>
        <w:tc>
          <w:tcPr>
            <w:tcW w:w="563" w:type="pct"/>
            <w:shd w:val="clear" w:color="auto" w:fill="auto"/>
            <w:vAlign w:val="center"/>
          </w:tcPr>
          <w:p w14:paraId="7E450611">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10.1.17</w:t>
            </w:r>
          </w:p>
        </w:tc>
        <w:tc>
          <w:tcPr>
            <w:tcW w:w="761" w:type="pct"/>
            <w:shd w:val="clear" w:color="auto" w:fill="auto"/>
            <w:vAlign w:val="center"/>
          </w:tcPr>
          <w:p w14:paraId="5BBCFB70">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每层每1000m</w:t>
            </w:r>
            <w:r>
              <w:rPr>
                <w:rFonts w:hint="eastAsia" w:ascii="宋体" w:hAnsi="宋体" w:eastAsia="宋体" w:cs="宋体"/>
                <w:color w:val="auto"/>
                <w:kern w:val="0"/>
                <w:sz w:val="21"/>
                <w:szCs w:val="21"/>
                <w:vertAlign w:val="superscript"/>
                <w:lang w:val="en-US" w:eastAsia="zh-CN"/>
              </w:rPr>
              <w:t>2</w:t>
            </w:r>
            <w:r>
              <w:rPr>
                <w:rFonts w:hint="eastAsia" w:ascii="宋体" w:hAnsi="宋体" w:eastAsia="宋体" w:cs="宋体"/>
                <w:color w:val="auto"/>
                <w:kern w:val="0"/>
                <w:sz w:val="21"/>
                <w:szCs w:val="21"/>
                <w:lang w:val="en-US" w:eastAsia="zh-CN"/>
              </w:rPr>
              <w:t>检测1点</w:t>
            </w:r>
          </w:p>
        </w:tc>
        <w:tc>
          <w:tcPr>
            <w:tcW w:w="511" w:type="pct"/>
            <w:shd w:val="clear" w:color="auto" w:fill="auto"/>
            <w:vAlign w:val="center"/>
          </w:tcPr>
          <w:p w14:paraId="663909AA">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5367.08/1000</w:t>
            </w:r>
          </w:p>
        </w:tc>
        <w:tc>
          <w:tcPr>
            <w:tcW w:w="363" w:type="pct"/>
            <w:shd w:val="clear" w:color="auto" w:fill="auto"/>
            <w:vAlign w:val="center"/>
          </w:tcPr>
          <w:p w14:paraId="071A10FA">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6</w:t>
            </w:r>
          </w:p>
        </w:tc>
        <w:tc>
          <w:tcPr>
            <w:tcW w:w="364" w:type="pct"/>
            <w:shd w:val="clear" w:color="auto" w:fill="auto"/>
            <w:vAlign w:val="center"/>
          </w:tcPr>
          <w:p w14:paraId="6DC3E967">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点</w:t>
            </w:r>
          </w:p>
        </w:tc>
        <w:tc>
          <w:tcPr>
            <w:tcW w:w="500" w:type="pct"/>
            <w:shd w:val="clear" w:color="auto" w:fill="auto"/>
            <w:vAlign w:val="center"/>
          </w:tcPr>
          <w:p w14:paraId="675E5E90">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p>
        </w:tc>
        <w:tc>
          <w:tcPr>
            <w:tcW w:w="490" w:type="pct"/>
            <w:shd w:val="clear" w:color="auto" w:fill="auto"/>
            <w:vAlign w:val="center"/>
          </w:tcPr>
          <w:p w14:paraId="4A6DEE15">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r>
      <w:tr w14:paraId="4D81B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390" w:type="pct"/>
            <w:vMerge w:val="continue"/>
            <w:vAlign w:val="center"/>
          </w:tcPr>
          <w:p w14:paraId="223A843A">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p>
        </w:tc>
        <w:tc>
          <w:tcPr>
            <w:tcW w:w="401" w:type="pct"/>
            <w:vMerge w:val="continue"/>
            <w:shd w:val="clear" w:color="auto" w:fill="auto"/>
            <w:vAlign w:val="center"/>
          </w:tcPr>
          <w:p w14:paraId="303264EC">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p>
        </w:tc>
        <w:tc>
          <w:tcPr>
            <w:tcW w:w="652" w:type="pct"/>
            <w:shd w:val="clear" w:color="auto" w:fill="auto"/>
            <w:vAlign w:val="center"/>
          </w:tcPr>
          <w:p w14:paraId="7B922FDE">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沥青路面（吊篮法）</w:t>
            </w:r>
          </w:p>
        </w:tc>
        <w:tc>
          <w:tcPr>
            <w:tcW w:w="563" w:type="pct"/>
            <w:shd w:val="clear" w:color="auto" w:fill="auto"/>
            <w:vAlign w:val="center"/>
          </w:tcPr>
          <w:p w14:paraId="137487A1">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10.1.17</w:t>
            </w:r>
          </w:p>
        </w:tc>
        <w:tc>
          <w:tcPr>
            <w:tcW w:w="761" w:type="pct"/>
            <w:shd w:val="clear" w:color="auto" w:fill="auto"/>
            <w:vAlign w:val="center"/>
          </w:tcPr>
          <w:p w14:paraId="3698BE2B">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每层每1000</w:t>
            </w:r>
            <w:r>
              <w:rPr>
                <w:rFonts w:hint="eastAsia" w:ascii="宋体" w:hAnsi="宋体" w:cs="宋体"/>
                <w:color w:val="auto"/>
                <w:kern w:val="0"/>
                <w:sz w:val="21"/>
                <w:szCs w:val="21"/>
                <w:lang w:val="en-US" w:eastAsia="zh-CN"/>
              </w:rPr>
              <w:t>㎡</w:t>
            </w:r>
            <w:r>
              <w:rPr>
                <w:rFonts w:hint="eastAsia" w:ascii="宋体" w:hAnsi="宋体" w:eastAsia="宋体" w:cs="宋体"/>
                <w:color w:val="auto"/>
                <w:kern w:val="0"/>
                <w:sz w:val="21"/>
                <w:szCs w:val="21"/>
                <w:lang w:val="en-US" w:eastAsia="zh-CN"/>
              </w:rPr>
              <w:t>检测1点</w:t>
            </w:r>
          </w:p>
        </w:tc>
        <w:tc>
          <w:tcPr>
            <w:tcW w:w="511" w:type="pct"/>
            <w:shd w:val="clear" w:color="auto" w:fill="auto"/>
            <w:vAlign w:val="center"/>
          </w:tcPr>
          <w:p w14:paraId="04299CB6">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5367.08*2/1000</w:t>
            </w:r>
          </w:p>
        </w:tc>
        <w:tc>
          <w:tcPr>
            <w:tcW w:w="363" w:type="pct"/>
            <w:shd w:val="clear" w:color="auto" w:fill="auto"/>
            <w:vAlign w:val="center"/>
          </w:tcPr>
          <w:p w14:paraId="2B32660B">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11</w:t>
            </w:r>
          </w:p>
        </w:tc>
        <w:tc>
          <w:tcPr>
            <w:tcW w:w="364" w:type="pct"/>
            <w:shd w:val="clear" w:color="auto" w:fill="auto"/>
            <w:vAlign w:val="center"/>
          </w:tcPr>
          <w:p w14:paraId="7C0DC9A5">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点</w:t>
            </w:r>
          </w:p>
        </w:tc>
        <w:tc>
          <w:tcPr>
            <w:tcW w:w="500" w:type="pct"/>
            <w:shd w:val="clear" w:color="auto" w:fill="auto"/>
            <w:vAlign w:val="center"/>
          </w:tcPr>
          <w:p w14:paraId="4B0F36A1">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p>
        </w:tc>
        <w:tc>
          <w:tcPr>
            <w:tcW w:w="490" w:type="pct"/>
            <w:shd w:val="clear" w:color="auto" w:fill="auto"/>
            <w:vAlign w:val="center"/>
          </w:tcPr>
          <w:p w14:paraId="2D81002D">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r>
      <w:tr w14:paraId="46353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390" w:type="pct"/>
            <w:vMerge w:val="restart"/>
            <w:vAlign w:val="center"/>
          </w:tcPr>
          <w:p w14:paraId="35B82407">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级配碎石层</w:t>
            </w:r>
            <w:r>
              <w:rPr>
                <w:rFonts w:hint="eastAsia" w:ascii="宋体" w:hAnsi="宋体" w:cs="宋体"/>
                <w:color w:val="auto"/>
                <w:kern w:val="0"/>
                <w:sz w:val="21"/>
                <w:szCs w:val="21"/>
                <w:lang w:val="en-US" w:eastAsia="zh-CN"/>
              </w:rPr>
              <w:t>、水泥稳定碎石层</w:t>
            </w:r>
          </w:p>
        </w:tc>
        <w:tc>
          <w:tcPr>
            <w:tcW w:w="401" w:type="pct"/>
            <w:vMerge w:val="restart"/>
            <w:shd w:val="clear" w:color="auto" w:fill="auto"/>
            <w:vAlign w:val="center"/>
          </w:tcPr>
          <w:p w14:paraId="5A808157">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zh-CN"/>
              </w:rPr>
              <w:t>粗集料</w:t>
            </w:r>
          </w:p>
        </w:tc>
        <w:tc>
          <w:tcPr>
            <w:tcW w:w="652" w:type="pct"/>
            <w:shd w:val="clear" w:color="auto" w:fill="auto"/>
            <w:vAlign w:val="center"/>
          </w:tcPr>
          <w:p w14:paraId="680C812F">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zh-CN"/>
              </w:rPr>
              <w:t>颗粒级配</w:t>
            </w:r>
            <w:r>
              <w:rPr>
                <w:rFonts w:hint="eastAsia" w:ascii="宋体" w:hAnsi="宋体" w:cs="宋体"/>
                <w:color w:val="auto"/>
                <w:kern w:val="0"/>
                <w:sz w:val="21"/>
                <w:szCs w:val="21"/>
                <w:lang w:val="en-US" w:eastAsia="zh-CN"/>
              </w:rPr>
              <w:t>（水洗法）</w:t>
            </w:r>
          </w:p>
        </w:tc>
        <w:tc>
          <w:tcPr>
            <w:tcW w:w="563" w:type="pct"/>
            <w:shd w:val="clear" w:color="auto" w:fill="auto"/>
            <w:vAlign w:val="center"/>
          </w:tcPr>
          <w:p w14:paraId="587C1650">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4.4.1</w:t>
            </w:r>
          </w:p>
        </w:tc>
        <w:tc>
          <w:tcPr>
            <w:tcW w:w="761" w:type="pct"/>
            <w:vMerge w:val="restart"/>
            <w:shd w:val="clear" w:color="auto" w:fill="auto"/>
            <w:vAlign w:val="center"/>
          </w:tcPr>
          <w:p w14:paraId="64D193F3">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zh-CN"/>
              </w:rPr>
              <w:t>以400m³或600t同产地同规格且同一次进场的为一验收批。不足者以一批计。</w:t>
            </w:r>
          </w:p>
        </w:tc>
        <w:tc>
          <w:tcPr>
            <w:tcW w:w="511" w:type="pct"/>
            <w:vMerge w:val="restart"/>
            <w:shd w:val="clear" w:color="auto" w:fill="auto"/>
            <w:vAlign w:val="center"/>
          </w:tcPr>
          <w:p w14:paraId="2D6C0C65">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5367.08*0.3/400+5367.08*0.18/400</w:t>
            </w:r>
          </w:p>
        </w:tc>
        <w:tc>
          <w:tcPr>
            <w:tcW w:w="363" w:type="pct"/>
            <w:shd w:val="clear" w:color="auto" w:fill="auto"/>
            <w:vAlign w:val="center"/>
          </w:tcPr>
          <w:p w14:paraId="0CCDB54A">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7</w:t>
            </w:r>
          </w:p>
        </w:tc>
        <w:tc>
          <w:tcPr>
            <w:tcW w:w="364" w:type="pct"/>
            <w:shd w:val="clear" w:color="auto" w:fill="auto"/>
            <w:vAlign w:val="center"/>
          </w:tcPr>
          <w:p w14:paraId="5EF80EDA">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项</w:t>
            </w:r>
          </w:p>
        </w:tc>
        <w:tc>
          <w:tcPr>
            <w:tcW w:w="500" w:type="pct"/>
            <w:shd w:val="clear" w:color="auto" w:fill="auto"/>
            <w:vAlign w:val="center"/>
          </w:tcPr>
          <w:p w14:paraId="047DD914">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p>
        </w:tc>
        <w:tc>
          <w:tcPr>
            <w:tcW w:w="490" w:type="pct"/>
            <w:shd w:val="clear" w:color="auto" w:fill="auto"/>
            <w:vAlign w:val="center"/>
          </w:tcPr>
          <w:p w14:paraId="5342DF06">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r>
      <w:tr w14:paraId="0F18B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390" w:type="pct"/>
            <w:vMerge w:val="continue"/>
            <w:vAlign w:val="center"/>
          </w:tcPr>
          <w:p w14:paraId="5A07287D">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c>
          <w:tcPr>
            <w:tcW w:w="401" w:type="pct"/>
            <w:vMerge w:val="continue"/>
            <w:shd w:val="clear" w:color="auto" w:fill="auto"/>
            <w:vAlign w:val="center"/>
          </w:tcPr>
          <w:p w14:paraId="5363FF81">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eastAsia="zh-CN"/>
              </w:rPr>
            </w:pPr>
          </w:p>
        </w:tc>
        <w:tc>
          <w:tcPr>
            <w:tcW w:w="652" w:type="pct"/>
            <w:shd w:val="clear" w:color="auto" w:fill="auto"/>
            <w:vAlign w:val="center"/>
          </w:tcPr>
          <w:p w14:paraId="42C0CE46">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zh-CN"/>
              </w:rPr>
              <w:t>针片状颗粒含量</w:t>
            </w:r>
          </w:p>
        </w:tc>
        <w:tc>
          <w:tcPr>
            <w:tcW w:w="563" w:type="pct"/>
            <w:shd w:val="clear" w:color="auto" w:fill="auto"/>
            <w:vAlign w:val="center"/>
          </w:tcPr>
          <w:p w14:paraId="4CB83F78">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4.4.12</w:t>
            </w:r>
          </w:p>
        </w:tc>
        <w:tc>
          <w:tcPr>
            <w:tcW w:w="761" w:type="pct"/>
            <w:vMerge w:val="continue"/>
            <w:shd w:val="clear" w:color="auto" w:fill="auto"/>
            <w:vAlign w:val="center"/>
          </w:tcPr>
          <w:p w14:paraId="2B5E4616">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eastAsia="zh-CN"/>
              </w:rPr>
            </w:pPr>
          </w:p>
        </w:tc>
        <w:tc>
          <w:tcPr>
            <w:tcW w:w="511" w:type="pct"/>
            <w:vMerge w:val="continue"/>
            <w:shd w:val="clear" w:color="auto" w:fill="auto"/>
            <w:vAlign w:val="center"/>
          </w:tcPr>
          <w:p w14:paraId="5A81D99D">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auto"/>
                <w:kern w:val="0"/>
                <w:sz w:val="21"/>
                <w:szCs w:val="21"/>
                <w:lang w:val="en-US" w:eastAsia="zh-CN" w:bidi="ar-SA"/>
              </w:rPr>
            </w:pPr>
          </w:p>
        </w:tc>
        <w:tc>
          <w:tcPr>
            <w:tcW w:w="363" w:type="pct"/>
            <w:shd w:val="clear" w:color="auto" w:fill="auto"/>
            <w:vAlign w:val="center"/>
          </w:tcPr>
          <w:p w14:paraId="441A9128">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7</w:t>
            </w:r>
          </w:p>
        </w:tc>
        <w:tc>
          <w:tcPr>
            <w:tcW w:w="364" w:type="pct"/>
            <w:shd w:val="clear" w:color="auto" w:fill="auto"/>
            <w:vAlign w:val="center"/>
          </w:tcPr>
          <w:p w14:paraId="70A14797">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项</w:t>
            </w:r>
          </w:p>
        </w:tc>
        <w:tc>
          <w:tcPr>
            <w:tcW w:w="500" w:type="pct"/>
            <w:shd w:val="clear" w:color="auto" w:fill="auto"/>
            <w:vAlign w:val="center"/>
          </w:tcPr>
          <w:p w14:paraId="236D5E12">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p>
        </w:tc>
        <w:tc>
          <w:tcPr>
            <w:tcW w:w="490" w:type="pct"/>
            <w:shd w:val="clear" w:color="auto" w:fill="auto"/>
            <w:vAlign w:val="center"/>
          </w:tcPr>
          <w:p w14:paraId="3F95C4F6">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r>
      <w:tr w14:paraId="78089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0" w:type="pct"/>
            <w:vMerge w:val="continue"/>
            <w:vAlign w:val="center"/>
          </w:tcPr>
          <w:p w14:paraId="5ECD8EF3">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c>
          <w:tcPr>
            <w:tcW w:w="401" w:type="pct"/>
            <w:vMerge w:val="continue"/>
            <w:shd w:val="clear" w:color="auto" w:fill="auto"/>
            <w:vAlign w:val="center"/>
          </w:tcPr>
          <w:p w14:paraId="2B245BCA">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eastAsia="zh-CN"/>
              </w:rPr>
            </w:pPr>
          </w:p>
        </w:tc>
        <w:tc>
          <w:tcPr>
            <w:tcW w:w="652" w:type="pct"/>
            <w:shd w:val="clear" w:color="auto" w:fill="auto"/>
            <w:vAlign w:val="center"/>
          </w:tcPr>
          <w:p w14:paraId="641915F5">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zh-CN"/>
              </w:rPr>
              <w:t>压碎指标</w:t>
            </w:r>
          </w:p>
        </w:tc>
        <w:tc>
          <w:tcPr>
            <w:tcW w:w="563" w:type="pct"/>
            <w:shd w:val="clear" w:color="auto" w:fill="auto"/>
            <w:vAlign w:val="center"/>
          </w:tcPr>
          <w:p w14:paraId="225BC8CD">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4.4.13</w:t>
            </w:r>
          </w:p>
        </w:tc>
        <w:tc>
          <w:tcPr>
            <w:tcW w:w="761" w:type="pct"/>
            <w:vMerge w:val="continue"/>
            <w:shd w:val="clear" w:color="auto" w:fill="auto"/>
            <w:vAlign w:val="center"/>
          </w:tcPr>
          <w:p w14:paraId="1ED2CB0A">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eastAsia="zh-CN"/>
              </w:rPr>
            </w:pPr>
          </w:p>
        </w:tc>
        <w:tc>
          <w:tcPr>
            <w:tcW w:w="511" w:type="pct"/>
            <w:vMerge w:val="continue"/>
            <w:shd w:val="clear" w:color="auto" w:fill="auto"/>
            <w:vAlign w:val="center"/>
          </w:tcPr>
          <w:p w14:paraId="1B125A9E">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auto"/>
                <w:kern w:val="0"/>
                <w:sz w:val="21"/>
                <w:szCs w:val="21"/>
                <w:lang w:val="en-US" w:eastAsia="zh-CN" w:bidi="ar-SA"/>
              </w:rPr>
            </w:pPr>
          </w:p>
        </w:tc>
        <w:tc>
          <w:tcPr>
            <w:tcW w:w="363" w:type="pct"/>
            <w:shd w:val="clear" w:color="auto" w:fill="auto"/>
            <w:vAlign w:val="center"/>
          </w:tcPr>
          <w:p w14:paraId="571FC3D4">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7</w:t>
            </w:r>
          </w:p>
        </w:tc>
        <w:tc>
          <w:tcPr>
            <w:tcW w:w="364" w:type="pct"/>
            <w:shd w:val="clear" w:color="auto" w:fill="auto"/>
            <w:vAlign w:val="center"/>
          </w:tcPr>
          <w:p w14:paraId="1D69F26E">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项</w:t>
            </w:r>
          </w:p>
        </w:tc>
        <w:tc>
          <w:tcPr>
            <w:tcW w:w="500" w:type="pct"/>
            <w:shd w:val="clear" w:color="auto" w:fill="auto"/>
            <w:vAlign w:val="center"/>
          </w:tcPr>
          <w:p w14:paraId="5C70A418">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p>
        </w:tc>
        <w:tc>
          <w:tcPr>
            <w:tcW w:w="490" w:type="pct"/>
            <w:shd w:val="clear" w:color="auto" w:fill="auto"/>
            <w:vAlign w:val="center"/>
          </w:tcPr>
          <w:p w14:paraId="57299772">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r>
      <w:tr w14:paraId="2859D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0" w:type="pct"/>
            <w:vAlign w:val="center"/>
          </w:tcPr>
          <w:p w14:paraId="1E8C4449">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水泥稳定碎石层</w:t>
            </w:r>
          </w:p>
        </w:tc>
        <w:tc>
          <w:tcPr>
            <w:tcW w:w="1053" w:type="pct"/>
            <w:gridSpan w:val="2"/>
            <w:shd w:val="clear" w:color="auto" w:fill="auto"/>
            <w:vAlign w:val="center"/>
          </w:tcPr>
          <w:p w14:paraId="75A9B582">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无侧限抗压强度试验</w:t>
            </w:r>
            <w:r>
              <w:rPr>
                <w:rFonts w:hint="eastAsia" w:ascii="宋体" w:hAnsi="宋体" w:cs="宋体"/>
                <w:color w:val="auto"/>
                <w:kern w:val="0"/>
                <w:sz w:val="21"/>
                <w:szCs w:val="21"/>
                <w:lang w:val="en-US" w:eastAsia="zh-CN"/>
              </w:rPr>
              <w:t>（6个）</w:t>
            </w:r>
          </w:p>
        </w:tc>
        <w:tc>
          <w:tcPr>
            <w:tcW w:w="563" w:type="pct"/>
            <w:shd w:val="clear" w:color="auto" w:fill="auto"/>
            <w:vAlign w:val="center"/>
          </w:tcPr>
          <w:p w14:paraId="6F2ACC7F">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10.6.2</w:t>
            </w:r>
          </w:p>
        </w:tc>
        <w:tc>
          <w:tcPr>
            <w:tcW w:w="761" w:type="pct"/>
            <w:shd w:val="clear" w:color="auto" w:fill="auto"/>
            <w:vAlign w:val="center"/>
          </w:tcPr>
          <w:p w14:paraId="76FB16D6">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每2000m2抽测1组</w:t>
            </w:r>
          </w:p>
        </w:tc>
        <w:tc>
          <w:tcPr>
            <w:tcW w:w="511" w:type="pct"/>
            <w:shd w:val="clear" w:color="auto" w:fill="auto"/>
            <w:vAlign w:val="center"/>
          </w:tcPr>
          <w:p w14:paraId="280B9AA3">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5367.08/2000</w:t>
            </w:r>
          </w:p>
        </w:tc>
        <w:tc>
          <w:tcPr>
            <w:tcW w:w="363" w:type="pct"/>
            <w:shd w:val="clear" w:color="auto" w:fill="auto"/>
            <w:vAlign w:val="center"/>
          </w:tcPr>
          <w:p w14:paraId="7FF066DA">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3</w:t>
            </w:r>
          </w:p>
        </w:tc>
        <w:tc>
          <w:tcPr>
            <w:tcW w:w="364" w:type="pct"/>
            <w:shd w:val="clear" w:color="auto" w:fill="auto"/>
            <w:vAlign w:val="center"/>
          </w:tcPr>
          <w:p w14:paraId="3FD5FBF1">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组</w:t>
            </w:r>
          </w:p>
        </w:tc>
        <w:tc>
          <w:tcPr>
            <w:tcW w:w="500" w:type="pct"/>
            <w:shd w:val="clear" w:color="auto" w:fill="auto"/>
            <w:vAlign w:val="center"/>
          </w:tcPr>
          <w:p w14:paraId="0C5FB91F">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bidi="ar-SA"/>
              </w:rPr>
            </w:pPr>
          </w:p>
        </w:tc>
        <w:tc>
          <w:tcPr>
            <w:tcW w:w="490" w:type="pct"/>
            <w:shd w:val="clear" w:color="auto" w:fill="auto"/>
            <w:vAlign w:val="center"/>
          </w:tcPr>
          <w:p w14:paraId="127F65D3">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bidi="ar-SA"/>
              </w:rPr>
            </w:pPr>
          </w:p>
        </w:tc>
      </w:tr>
      <w:tr w14:paraId="53AD1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390" w:type="pct"/>
            <w:vAlign w:val="center"/>
          </w:tcPr>
          <w:p w14:paraId="1B46B30D">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kern w:val="0"/>
                <w:sz w:val="21"/>
                <w:szCs w:val="21"/>
                <w:lang w:eastAsia="zh-CN"/>
              </w:rPr>
            </w:pPr>
            <w:r>
              <w:rPr>
                <w:rFonts w:hint="eastAsia" w:ascii="宋体" w:hAnsi="宋体" w:eastAsia="宋体" w:cs="宋体"/>
                <w:sz w:val="21"/>
                <w:szCs w:val="21"/>
                <w:lang w:val="en-US" w:eastAsia="zh-CN"/>
              </w:rPr>
              <w:t>沥青</w:t>
            </w:r>
          </w:p>
        </w:tc>
        <w:tc>
          <w:tcPr>
            <w:tcW w:w="1053" w:type="pct"/>
            <w:gridSpan w:val="2"/>
            <w:shd w:val="clear" w:color="auto" w:fill="auto"/>
            <w:vAlign w:val="center"/>
          </w:tcPr>
          <w:p w14:paraId="6F0B18D5">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0"/>
                <w:sz w:val="21"/>
                <w:szCs w:val="21"/>
                <w:lang w:eastAsia="zh-CN"/>
              </w:rPr>
            </w:pPr>
            <w:r>
              <w:rPr>
                <w:rFonts w:hint="eastAsia" w:ascii="宋体" w:hAnsi="宋体" w:cs="宋体"/>
                <w:color w:val="auto"/>
                <w:kern w:val="0"/>
                <w:sz w:val="21"/>
                <w:szCs w:val="21"/>
                <w:lang w:val="en-US" w:eastAsia="zh-CN"/>
              </w:rPr>
              <w:t>沥青混合料</w:t>
            </w:r>
            <w:r>
              <w:rPr>
                <w:rFonts w:hint="eastAsia" w:ascii="宋体" w:hAnsi="宋体" w:eastAsia="宋体" w:cs="宋体"/>
                <w:color w:val="auto"/>
                <w:kern w:val="0"/>
                <w:sz w:val="21"/>
                <w:szCs w:val="21"/>
                <w:lang w:val="en-US" w:eastAsia="zh-CN"/>
              </w:rPr>
              <w:t>厚度</w:t>
            </w:r>
          </w:p>
        </w:tc>
        <w:tc>
          <w:tcPr>
            <w:tcW w:w="563" w:type="pct"/>
            <w:shd w:val="clear" w:color="auto" w:fill="auto"/>
            <w:vAlign w:val="center"/>
          </w:tcPr>
          <w:p w14:paraId="108ECA74">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color w:val="auto"/>
                <w:kern w:val="0"/>
                <w:sz w:val="21"/>
                <w:szCs w:val="21"/>
                <w:lang w:val="en-US" w:eastAsia="zh-CN"/>
              </w:rPr>
              <w:t>10.1.19</w:t>
            </w:r>
          </w:p>
        </w:tc>
        <w:tc>
          <w:tcPr>
            <w:tcW w:w="761" w:type="pct"/>
            <w:shd w:val="clear" w:color="auto" w:fill="auto"/>
            <w:vAlign w:val="center"/>
          </w:tcPr>
          <w:p w14:paraId="114AA50D">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sz w:val="21"/>
                <w:szCs w:val="21"/>
              </w:rPr>
            </w:pPr>
            <w:r>
              <w:rPr>
                <w:rFonts w:hint="eastAsia" w:ascii="宋体" w:hAnsi="宋体" w:eastAsia="宋体" w:cs="宋体"/>
                <w:color w:val="auto"/>
                <w:kern w:val="0"/>
                <w:sz w:val="21"/>
                <w:szCs w:val="21"/>
                <w:lang w:val="en-US" w:eastAsia="zh-CN"/>
              </w:rPr>
              <w:t>每层每1000</w:t>
            </w:r>
            <w:r>
              <w:rPr>
                <w:rFonts w:hint="eastAsia" w:ascii="宋体" w:hAnsi="宋体" w:cs="宋体"/>
                <w:color w:val="auto"/>
                <w:kern w:val="0"/>
                <w:sz w:val="21"/>
                <w:szCs w:val="21"/>
                <w:lang w:val="en-US" w:eastAsia="zh-CN"/>
              </w:rPr>
              <w:t>㎡</w:t>
            </w:r>
            <w:r>
              <w:rPr>
                <w:rFonts w:hint="eastAsia" w:ascii="宋体" w:hAnsi="宋体" w:eastAsia="宋体" w:cs="宋体"/>
                <w:color w:val="auto"/>
                <w:kern w:val="0"/>
                <w:sz w:val="21"/>
                <w:szCs w:val="21"/>
                <w:lang w:val="en-US" w:eastAsia="zh-CN"/>
              </w:rPr>
              <w:t>检测1点</w:t>
            </w:r>
          </w:p>
        </w:tc>
        <w:tc>
          <w:tcPr>
            <w:tcW w:w="511" w:type="pct"/>
            <w:shd w:val="clear" w:color="auto" w:fill="auto"/>
            <w:vAlign w:val="center"/>
          </w:tcPr>
          <w:p w14:paraId="65860E39">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5367.08/1000+5367.08/1000</w:t>
            </w:r>
          </w:p>
        </w:tc>
        <w:tc>
          <w:tcPr>
            <w:tcW w:w="363" w:type="pct"/>
            <w:shd w:val="clear" w:color="auto" w:fill="auto"/>
            <w:vAlign w:val="center"/>
          </w:tcPr>
          <w:p w14:paraId="1A96BBE2">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11</w:t>
            </w:r>
          </w:p>
        </w:tc>
        <w:tc>
          <w:tcPr>
            <w:tcW w:w="364" w:type="pct"/>
            <w:shd w:val="clear" w:color="auto" w:fill="auto"/>
            <w:vAlign w:val="center"/>
          </w:tcPr>
          <w:p w14:paraId="5CE254B1">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0"/>
                <w:sz w:val="21"/>
                <w:szCs w:val="21"/>
                <w:lang w:eastAsia="zh-CN"/>
              </w:rPr>
            </w:pPr>
            <w:r>
              <w:rPr>
                <w:rFonts w:hint="eastAsia" w:ascii="宋体" w:hAnsi="宋体" w:eastAsia="宋体" w:cs="宋体"/>
                <w:color w:val="auto"/>
                <w:kern w:val="0"/>
                <w:sz w:val="21"/>
                <w:szCs w:val="21"/>
                <w:lang w:val="en-US" w:eastAsia="zh-CN"/>
              </w:rPr>
              <w:t>点</w:t>
            </w:r>
          </w:p>
        </w:tc>
        <w:tc>
          <w:tcPr>
            <w:tcW w:w="500" w:type="pct"/>
            <w:shd w:val="clear" w:color="auto" w:fill="auto"/>
            <w:vAlign w:val="center"/>
          </w:tcPr>
          <w:p w14:paraId="523562FF">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0"/>
                <w:sz w:val="21"/>
                <w:szCs w:val="21"/>
                <w:lang w:val="en-US" w:eastAsia="zh-CN"/>
              </w:rPr>
            </w:pPr>
          </w:p>
        </w:tc>
        <w:tc>
          <w:tcPr>
            <w:tcW w:w="490" w:type="pct"/>
            <w:shd w:val="clear" w:color="auto" w:fill="auto"/>
            <w:vAlign w:val="center"/>
          </w:tcPr>
          <w:p w14:paraId="04D43E61">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kern w:val="0"/>
                <w:sz w:val="21"/>
                <w:szCs w:val="21"/>
                <w:lang w:val="en-US" w:eastAsia="zh-CN"/>
              </w:rPr>
            </w:pPr>
          </w:p>
        </w:tc>
      </w:tr>
      <w:tr w14:paraId="0CC68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390" w:type="pct"/>
            <w:vMerge w:val="restart"/>
            <w:vAlign w:val="center"/>
          </w:tcPr>
          <w:p w14:paraId="5DD7F2EC">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default" w:ascii="宋体" w:hAnsi="宋体" w:eastAsia="宋体" w:cs="宋体"/>
                <w:color w:val="auto"/>
                <w:kern w:val="0"/>
                <w:sz w:val="21"/>
                <w:szCs w:val="21"/>
                <w:lang w:val="en-US" w:eastAsia="zh-CN"/>
              </w:rPr>
            </w:pPr>
            <w:r>
              <w:rPr>
                <w:rFonts w:hint="eastAsia" w:ascii="宋体" w:hAnsi="宋体" w:eastAsia="宋体" w:cs="宋体"/>
                <w:kern w:val="0"/>
                <w:sz w:val="21"/>
                <w:szCs w:val="21"/>
                <w:lang w:eastAsia="zh-CN"/>
              </w:rPr>
              <w:t>乳化沥青稀浆封层</w:t>
            </w:r>
          </w:p>
        </w:tc>
        <w:tc>
          <w:tcPr>
            <w:tcW w:w="1053" w:type="pct"/>
            <w:gridSpan w:val="2"/>
            <w:shd w:val="clear" w:color="auto" w:fill="auto"/>
            <w:vAlign w:val="center"/>
          </w:tcPr>
          <w:p w14:paraId="1C950912">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kern w:val="0"/>
                <w:sz w:val="21"/>
                <w:szCs w:val="21"/>
                <w:lang w:eastAsia="zh-CN"/>
              </w:rPr>
              <w:t>破乳速度</w:t>
            </w:r>
          </w:p>
        </w:tc>
        <w:tc>
          <w:tcPr>
            <w:tcW w:w="563" w:type="pct"/>
            <w:shd w:val="clear" w:color="auto" w:fill="auto"/>
            <w:vAlign w:val="center"/>
          </w:tcPr>
          <w:p w14:paraId="677F93B8">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kern w:val="0"/>
                <w:sz w:val="21"/>
                <w:szCs w:val="21"/>
                <w:lang w:val="en-US" w:eastAsia="zh-CN"/>
              </w:rPr>
              <w:t>10.4.23</w:t>
            </w:r>
          </w:p>
        </w:tc>
        <w:tc>
          <w:tcPr>
            <w:tcW w:w="761" w:type="pct"/>
            <w:vMerge w:val="restart"/>
            <w:shd w:val="clear" w:color="auto" w:fill="auto"/>
            <w:vAlign w:val="center"/>
          </w:tcPr>
          <w:p w14:paraId="7FBEAA85">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000000"/>
                <w:sz w:val="21"/>
                <w:szCs w:val="21"/>
              </w:rPr>
              <w:t>同一厂家、同一品种、同一标号、同一进场</w:t>
            </w:r>
            <w:r>
              <w:rPr>
                <w:rFonts w:hint="eastAsia" w:ascii="宋体" w:hAnsi="宋体" w:eastAsia="宋体" w:cs="宋体"/>
                <w:color w:val="000000"/>
                <w:sz w:val="21"/>
                <w:szCs w:val="21"/>
                <w:lang w:eastAsia="zh-CN"/>
              </w:rPr>
              <w:t>为一批</w:t>
            </w:r>
          </w:p>
        </w:tc>
        <w:tc>
          <w:tcPr>
            <w:tcW w:w="511" w:type="pct"/>
            <w:vMerge w:val="restart"/>
            <w:shd w:val="clear" w:color="auto" w:fill="auto"/>
            <w:vAlign w:val="center"/>
          </w:tcPr>
          <w:p w14:paraId="74B393B4">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bidi="ar-SA"/>
              </w:rPr>
            </w:pPr>
            <w:r>
              <w:rPr>
                <w:rFonts w:hint="eastAsia" w:ascii="宋体" w:hAnsi="宋体" w:eastAsia="宋体" w:cs="宋体"/>
                <w:color w:val="000000"/>
                <w:sz w:val="21"/>
                <w:szCs w:val="21"/>
                <w:lang w:val="en-US" w:eastAsia="zh-CN"/>
              </w:rPr>
              <w:t>按照同一批次计算</w:t>
            </w:r>
          </w:p>
        </w:tc>
        <w:tc>
          <w:tcPr>
            <w:tcW w:w="363" w:type="pct"/>
            <w:shd w:val="clear" w:color="auto" w:fill="auto"/>
            <w:vAlign w:val="center"/>
          </w:tcPr>
          <w:p w14:paraId="394A154A">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1</w:t>
            </w:r>
          </w:p>
        </w:tc>
        <w:tc>
          <w:tcPr>
            <w:tcW w:w="364" w:type="pct"/>
            <w:shd w:val="clear" w:color="auto" w:fill="auto"/>
            <w:vAlign w:val="center"/>
          </w:tcPr>
          <w:p w14:paraId="0C1E2C5A">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kern w:val="0"/>
                <w:sz w:val="21"/>
                <w:szCs w:val="21"/>
                <w:lang w:eastAsia="zh-CN"/>
              </w:rPr>
              <w:t>项</w:t>
            </w:r>
          </w:p>
        </w:tc>
        <w:tc>
          <w:tcPr>
            <w:tcW w:w="500" w:type="pct"/>
            <w:shd w:val="clear" w:color="auto" w:fill="auto"/>
            <w:vAlign w:val="center"/>
          </w:tcPr>
          <w:p w14:paraId="5DB5BBF3">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lang w:val="en-US" w:eastAsia="zh-CN"/>
              </w:rPr>
            </w:pPr>
          </w:p>
        </w:tc>
        <w:tc>
          <w:tcPr>
            <w:tcW w:w="490" w:type="pct"/>
            <w:shd w:val="clear" w:color="auto" w:fill="auto"/>
            <w:vAlign w:val="center"/>
          </w:tcPr>
          <w:p w14:paraId="0092A019">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lang w:val="en-US" w:eastAsia="zh-CN"/>
              </w:rPr>
            </w:pPr>
          </w:p>
        </w:tc>
      </w:tr>
      <w:tr w14:paraId="6A1A2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390" w:type="pct"/>
            <w:vMerge w:val="continue"/>
            <w:vAlign w:val="center"/>
          </w:tcPr>
          <w:p w14:paraId="1EFDD3FD">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default" w:ascii="宋体" w:hAnsi="宋体" w:eastAsia="宋体" w:cs="宋体"/>
                <w:color w:val="auto"/>
                <w:kern w:val="0"/>
                <w:sz w:val="21"/>
                <w:szCs w:val="21"/>
                <w:lang w:val="en-US" w:eastAsia="zh-CN"/>
              </w:rPr>
            </w:pPr>
          </w:p>
        </w:tc>
        <w:tc>
          <w:tcPr>
            <w:tcW w:w="1053" w:type="pct"/>
            <w:gridSpan w:val="2"/>
            <w:shd w:val="clear" w:color="auto" w:fill="auto"/>
            <w:vAlign w:val="center"/>
          </w:tcPr>
          <w:p w14:paraId="4AA2E586">
            <w:pPr>
              <w:keepNext w:val="0"/>
              <w:keepLines w:val="0"/>
              <w:pageBreakBefore w:val="0"/>
              <w:widowControl/>
              <w:kinsoku/>
              <w:wordWrap w:val="0"/>
              <w:overflowPunct/>
              <w:topLinePunct w:val="0"/>
              <w:autoSpaceDE/>
              <w:autoSpaceDN/>
              <w:bidi w:val="0"/>
              <w:adjustRightInd/>
              <w:snapToGrid/>
              <w:spacing w:line="240" w:lineRule="auto"/>
              <w:ind w:left="0" w:leftChars="0" w:firstLine="0" w:firstLineChars="0"/>
              <w:jc w:val="center"/>
              <w:rPr>
                <w:rFonts w:hint="default" w:ascii="宋体" w:hAnsi="宋体" w:eastAsia="宋体" w:cs="宋体"/>
                <w:color w:val="auto"/>
                <w:kern w:val="0"/>
                <w:sz w:val="21"/>
                <w:szCs w:val="21"/>
                <w:lang w:val="en-US" w:eastAsia="zh-CN"/>
              </w:rPr>
            </w:pPr>
            <w:r>
              <w:rPr>
                <w:rFonts w:hint="eastAsia" w:ascii="宋体" w:hAnsi="宋体" w:eastAsia="宋体" w:cs="宋体"/>
                <w:kern w:val="0"/>
                <w:sz w:val="21"/>
                <w:szCs w:val="21"/>
                <w:lang w:eastAsia="zh-CN"/>
              </w:rPr>
              <w:t>蒸发残留物含量</w:t>
            </w:r>
          </w:p>
        </w:tc>
        <w:tc>
          <w:tcPr>
            <w:tcW w:w="563" w:type="pct"/>
            <w:shd w:val="clear" w:color="auto" w:fill="auto"/>
            <w:vAlign w:val="center"/>
          </w:tcPr>
          <w:p w14:paraId="22653C59">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default" w:ascii="宋体" w:hAnsi="宋体" w:eastAsia="宋体" w:cs="宋体"/>
                <w:color w:val="auto"/>
                <w:kern w:val="0"/>
                <w:sz w:val="21"/>
                <w:szCs w:val="21"/>
                <w:lang w:val="en-US" w:eastAsia="zh-CN"/>
              </w:rPr>
            </w:pPr>
            <w:r>
              <w:rPr>
                <w:rFonts w:hint="eastAsia" w:ascii="宋体" w:hAnsi="宋体" w:eastAsia="宋体" w:cs="宋体"/>
                <w:kern w:val="0"/>
                <w:sz w:val="21"/>
                <w:szCs w:val="21"/>
                <w:lang w:val="en-US" w:eastAsia="zh-CN"/>
              </w:rPr>
              <w:t>10.4.19</w:t>
            </w:r>
          </w:p>
        </w:tc>
        <w:tc>
          <w:tcPr>
            <w:tcW w:w="761" w:type="pct"/>
            <w:vMerge w:val="continue"/>
            <w:shd w:val="clear" w:color="auto" w:fill="auto"/>
            <w:vAlign w:val="center"/>
          </w:tcPr>
          <w:p w14:paraId="0943DB67">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c>
          <w:tcPr>
            <w:tcW w:w="511" w:type="pct"/>
            <w:vMerge w:val="continue"/>
            <w:shd w:val="clear" w:color="auto" w:fill="auto"/>
            <w:vAlign w:val="center"/>
          </w:tcPr>
          <w:p w14:paraId="64605F69">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bidi="ar-SA"/>
              </w:rPr>
            </w:pPr>
          </w:p>
        </w:tc>
        <w:tc>
          <w:tcPr>
            <w:tcW w:w="363" w:type="pct"/>
            <w:shd w:val="clear" w:color="auto" w:fill="auto"/>
            <w:vAlign w:val="center"/>
          </w:tcPr>
          <w:p w14:paraId="0E6487C0">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1</w:t>
            </w:r>
          </w:p>
        </w:tc>
        <w:tc>
          <w:tcPr>
            <w:tcW w:w="364" w:type="pct"/>
            <w:shd w:val="clear" w:color="auto" w:fill="auto"/>
            <w:vAlign w:val="center"/>
          </w:tcPr>
          <w:p w14:paraId="11B1AB16">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default" w:ascii="宋体" w:hAnsi="宋体" w:eastAsia="宋体" w:cs="宋体"/>
                <w:color w:val="auto"/>
                <w:kern w:val="0"/>
                <w:sz w:val="21"/>
                <w:szCs w:val="21"/>
                <w:lang w:val="en-US" w:eastAsia="zh-CN"/>
              </w:rPr>
            </w:pPr>
            <w:r>
              <w:rPr>
                <w:rFonts w:hint="eastAsia" w:ascii="宋体" w:hAnsi="宋体" w:eastAsia="宋体" w:cs="宋体"/>
                <w:kern w:val="0"/>
                <w:sz w:val="21"/>
                <w:szCs w:val="21"/>
                <w:lang w:eastAsia="zh-CN"/>
              </w:rPr>
              <w:t>项</w:t>
            </w:r>
          </w:p>
        </w:tc>
        <w:tc>
          <w:tcPr>
            <w:tcW w:w="500" w:type="pct"/>
            <w:shd w:val="clear" w:color="auto" w:fill="auto"/>
            <w:vAlign w:val="center"/>
          </w:tcPr>
          <w:p w14:paraId="20035406">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default" w:ascii="宋体" w:hAnsi="宋体" w:eastAsia="宋体" w:cs="宋体"/>
                <w:color w:val="auto"/>
                <w:kern w:val="0"/>
                <w:sz w:val="21"/>
                <w:szCs w:val="21"/>
                <w:lang w:val="en-US" w:eastAsia="zh-CN"/>
              </w:rPr>
            </w:pPr>
          </w:p>
        </w:tc>
        <w:tc>
          <w:tcPr>
            <w:tcW w:w="490" w:type="pct"/>
            <w:shd w:val="clear" w:color="auto" w:fill="auto"/>
            <w:vAlign w:val="center"/>
          </w:tcPr>
          <w:p w14:paraId="30FD0AC3">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default" w:ascii="宋体" w:hAnsi="宋体" w:eastAsia="宋体" w:cs="宋体"/>
                <w:color w:val="auto"/>
                <w:kern w:val="0"/>
                <w:sz w:val="21"/>
                <w:szCs w:val="21"/>
                <w:lang w:val="en-US" w:eastAsia="zh-CN"/>
              </w:rPr>
            </w:pPr>
          </w:p>
        </w:tc>
      </w:tr>
      <w:tr w14:paraId="22CEE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390" w:type="pct"/>
            <w:vMerge w:val="continue"/>
            <w:vAlign w:val="center"/>
          </w:tcPr>
          <w:p w14:paraId="0CC204FE">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default" w:ascii="宋体" w:hAnsi="宋体" w:eastAsia="宋体" w:cs="宋体"/>
                <w:color w:val="auto"/>
                <w:kern w:val="0"/>
                <w:sz w:val="21"/>
                <w:szCs w:val="21"/>
                <w:lang w:val="en-US" w:eastAsia="zh-CN"/>
              </w:rPr>
            </w:pPr>
          </w:p>
        </w:tc>
        <w:tc>
          <w:tcPr>
            <w:tcW w:w="1053" w:type="pct"/>
            <w:gridSpan w:val="2"/>
            <w:shd w:val="clear" w:color="auto" w:fill="auto"/>
            <w:vAlign w:val="center"/>
          </w:tcPr>
          <w:p w14:paraId="3927B489">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default" w:ascii="宋体" w:hAnsi="宋体" w:eastAsia="宋体" w:cs="宋体"/>
                <w:color w:val="auto"/>
                <w:kern w:val="0"/>
                <w:sz w:val="21"/>
                <w:szCs w:val="21"/>
                <w:lang w:val="en-US" w:eastAsia="zh-CN"/>
              </w:rPr>
            </w:pPr>
            <w:r>
              <w:rPr>
                <w:rFonts w:hint="eastAsia" w:ascii="宋体" w:hAnsi="宋体" w:eastAsia="宋体" w:cs="宋体"/>
                <w:kern w:val="0"/>
                <w:sz w:val="21"/>
                <w:szCs w:val="21"/>
                <w:lang w:eastAsia="zh-CN"/>
              </w:rPr>
              <w:t>筛上</w:t>
            </w:r>
            <w:r>
              <w:rPr>
                <w:rFonts w:hint="eastAsia" w:ascii="宋体" w:hAnsi="宋体" w:cs="宋体"/>
                <w:kern w:val="0"/>
                <w:sz w:val="21"/>
                <w:szCs w:val="21"/>
                <w:lang w:eastAsia="zh-CN"/>
              </w:rPr>
              <w:t>剩余量</w:t>
            </w:r>
          </w:p>
        </w:tc>
        <w:tc>
          <w:tcPr>
            <w:tcW w:w="563" w:type="pct"/>
            <w:shd w:val="clear" w:color="auto" w:fill="auto"/>
            <w:vAlign w:val="center"/>
          </w:tcPr>
          <w:p w14:paraId="1C17B2B5">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default" w:ascii="宋体" w:hAnsi="宋体" w:eastAsia="宋体" w:cs="宋体"/>
                <w:color w:val="auto"/>
                <w:kern w:val="0"/>
                <w:sz w:val="21"/>
                <w:szCs w:val="21"/>
                <w:lang w:val="en-US" w:eastAsia="zh-CN"/>
              </w:rPr>
            </w:pPr>
            <w:r>
              <w:rPr>
                <w:rFonts w:hint="eastAsia" w:ascii="宋体" w:hAnsi="宋体" w:eastAsia="宋体" w:cs="宋体"/>
                <w:kern w:val="0"/>
                <w:sz w:val="21"/>
                <w:szCs w:val="21"/>
                <w:lang w:val="en-US" w:eastAsia="zh-CN"/>
              </w:rPr>
              <w:t>10.4.20</w:t>
            </w:r>
          </w:p>
        </w:tc>
        <w:tc>
          <w:tcPr>
            <w:tcW w:w="761" w:type="pct"/>
            <w:vMerge w:val="continue"/>
            <w:shd w:val="clear" w:color="auto" w:fill="auto"/>
            <w:vAlign w:val="center"/>
          </w:tcPr>
          <w:p w14:paraId="5D5A2C1B">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c>
          <w:tcPr>
            <w:tcW w:w="511" w:type="pct"/>
            <w:vMerge w:val="continue"/>
            <w:shd w:val="clear" w:color="auto" w:fill="auto"/>
            <w:vAlign w:val="center"/>
          </w:tcPr>
          <w:p w14:paraId="0E677B34">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bidi="ar-SA"/>
              </w:rPr>
            </w:pPr>
          </w:p>
        </w:tc>
        <w:tc>
          <w:tcPr>
            <w:tcW w:w="363" w:type="pct"/>
            <w:shd w:val="clear" w:color="auto" w:fill="auto"/>
            <w:vAlign w:val="center"/>
          </w:tcPr>
          <w:p w14:paraId="4A2F8658">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1</w:t>
            </w:r>
          </w:p>
        </w:tc>
        <w:tc>
          <w:tcPr>
            <w:tcW w:w="364" w:type="pct"/>
            <w:shd w:val="clear" w:color="auto" w:fill="auto"/>
            <w:vAlign w:val="center"/>
          </w:tcPr>
          <w:p w14:paraId="5F76B0C7">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default" w:ascii="宋体" w:hAnsi="宋体" w:eastAsia="宋体" w:cs="宋体"/>
                <w:color w:val="auto"/>
                <w:kern w:val="0"/>
                <w:sz w:val="21"/>
                <w:szCs w:val="21"/>
                <w:lang w:val="en-US" w:eastAsia="zh-CN"/>
              </w:rPr>
            </w:pPr>
            <w:r>
              <w:rPr>
                <w:rFonts w:hint="eastAsia" w:ascii="宋体" w:hAnsi="宋体" w:eastAsia="宋体" w:cs="宋体"/>
                <w:kern w:val="0"/>
                <w:sz w:val="21"/>
                <w:szCs w:val="21"/>
                <w:lang w:eastAsia="zh-CN"/>
              </w:rPr>
              <w:t>项</w:t>
            </w:r>
          </w:p>
        </w:tc>
        <w:tc>
          <w:tcPr>
            <w:tcW w:w="500" w:type="pct"/>
            <w:shd w:val="clear" w:color="auto" w:fill="auto"/>
            <w:vAlign w:val="center"/>
          </w:tcPr>
          <w:p w14:paraId="03BA717A">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default" w:ascii="宋体" w:hAnsi="宋体" w:eastAsia="宋体" w:cs="宋体"/>
                <w:color w:val="auto"/>
                <w:kern w:val="0"/>
                <w:sz w:val="21"/>
                <w:szCs w:val="21"/>
                <w:lang w:val="en-US" w:eastAsia="zh-CN"/>
              </w:rPr>
            </w:pPr>
          </w:p>
        </w:tc>
        <w:tc>
          <w:tcPr>
            <w:tcW w:w="490" w:type="pct"/>
            <w:shd w:val="clear" w:color="auto" w:fill="auto"/>
            <w:vAlign w:val="center"/>
          </w:tcPr>
          <w:p w14:paraId="7F89B3C7">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default" w:ascii="宋体" w:hAnsi="宋体" w:eastAsia="宋体" w:cs="宋体"/>
                <w:color w:val="auto"/>
                <w:kern w:val="0"/>
                <w:sz w:val="21"/>
                <w:szCs w:val="21"/>
                <w:lang w:val="en-US" w:eastAsia="zh-CN"/>
              </w:rPr>
            </w:pPr>
          </w:p>
        </w:tc>
      </w:tr>
      <w:tr w14:paraId="75801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90" w:type="pct"/>
            <w:vMerge w:val="continue"/>
            <w:vAlign w:val="center"/>
          </w:tcPr>
          <w:p w14:paraId="0D99A7BE">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default" w:ascii="宋体" w:hAnsi="宋体" w:eastAsia="宋体" w:cs="宋体"/>
                <w:color w:val="auto"/>
                <w:kern w:val="0"/>
                <w:sz w:val="21"/>
                <w:szCs w:val="21"/>
                <w:lang w:val="en-US" w:eastAsia="zh-CN"/>
              </w:rPr>
            </w:pPr>
          </w:p>
        </w:tc>
        <w:tc>
          <w:tcPr>
            <w:tcW w:w="1053" w:type="pct"/>
            <w:gridSpan w:val="2"/>
            <w:shd w:val="clear" w:color="auto" w:fill="auto"/>
            <w:vAlign w:val="center"/>
          </w:tcPr>
          <w:p w14:paraId="4A2B16FF">
            <w:pPr>
              <w:keepNext w:val="0"/>
              <w:keepLines w:val="0"/>
              <w:pageBreakBefore w:val="0"/>
              <w:widowControl/>
              <w:kinsoku/>
              <w:wordWrap w:val="0"/>
              <w:overflowPunct/>
              <w:topLinePunct w:val="0"/>
              <w:autoSpaceDE/>
              <w:autoSpaceDN/>
              <w:bidi w:val="0"/>
              <w:adjustRightInd/>
              <w:snapToGrid/>
              <w:spacing w:line="240" w:lineRule="auto"/>
              <w:ind w:left="0" w:leftChars="0" w:firstLine="0" w:firstLineChars="0"/>
              <w:jc w:val="center"/>
              <w:rPr>
                <w:rFonts w:hint="default" w:ascii="宋体" w:hAnsi="宋体" w:eastAsia="宋体" w:cs="宋体"/>
                <w:color w:val="auto"/>
                <w:kern w:val="0"/>
                <w:sz w:val="21"/>
                <w:szCs w:val="21"/>
                <w:lang w:val="en-US" w:eastAsia="zh-CN"/>
              </w:rPr>
            </w:pPr>
            <w:r>
              <w:rPr>
                <w:rFonts w:hint="eastAsia" w:ascii="宋体" w:hAnsi="宋体" w:eastAsia="宋体" w:cs="宋体"/>
                <w:kern w:val="0"/>
                <w:sz w:val="21"/>
                <w:szCs w:val="21"/>
                <w:lang w:eastAsia="zh-CN"/>
              </w:rPr>
              <w:t>储存稳定性</w:t>
            </w:r>
            <w:r>
              <w:rPr>
                <w:rFonts w:hint="eastAsia" w:ascii="宋体" w:hAnsi="宋体" w:cs="宋体"/>
                <w:kern w:val="0"/>
                <w:sz w:val="21"/>
                <w:szCs w:val="21"/>
                <w:lang w:eastAsia="zh-CN"/>
              </w:rPr>
              <w:t>试验</w:t>
            </w:r>
          </w:p>
        </w:tc>
        <w:tc>
          <w:tcPr>
            <w:tcW w:w="563" w:type="pct"/>
            <w:shd w:val="clear" w:color="auto" w:fill="auto"/>
            <w:vAlign w:val="center"/>
          </w:tcPr>
          <w:p w14:paraId="16AFFA8B">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default" w:ascii="宋体" w:hAnsi="宋体" w:eastAsia="宋体" w:cs="宋体"/>
                <w:color w:val="auto"/>
                <w:kern w:val="0"/>
                <w:sz w:val="21"/>
                <w:szCs w:val="21"/>
                <w:lang w:val="en-US" w:eastAsia="zh-CN"/>
              </w:rPr>
            </w:pPr>
            <w:r>
              <w:rPr>
                <w:rFonts w:hint="eastAsia" w:ascii="宋体" w:hAnsi="宋体" w:eastAsia="宋体" w:cs="宋体"/>
                <w:kern w:val="0"/>
                <w:sz w:val="21"/>
                <w:szCs w:val="21"/>
                <w:lang w:val="en-US" w:eastAsia="zh-CN"/>
              </w:rPr>
              <w:t>10.4.42</w:t>
            </w:r>
          </w:p>
        </w:tc>
        <w:tc>
          <w:tcPr>
            <w:tcW w:w="761" w:type="pct"/>
            <w:vMerge w:val="continue"/>
            <w:shd w:val="clear" w:color="auto" w:fill="auto"/>
            <w:vAlign w:val="center"/>
          </w:tcPr>
          <w:p w14:paraId="618981A1">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c>
          <w:tcPr>
            <w:tcW w:w="511" w:type="pct"/>
            <w:vMerge w:val="continue"/>
            <w:shd w:val="clear" w:color="auto" w:fill="auto"/>
            <w:vAlign w:val="center"/>
          </w:tcPr>
          <w:p w14:paraId="3A42EE0F">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bidi="ar-SA"/>
              </w:rPr>
            </w:pPr>
          </w:p>
        </w:tc>
        <w:tc>
          <w:tcPr>
            <w:tcW w:w="363" w:type="pct"/>
            <w:shd w:val="clear" w:color="auto" w:fill="auto"/>
            <w:vAlign w:val="center"/>
          </w:tcPr>
          <w:p w14:paraId="45388977">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1</w:t>
            </w:r>
          </w:p>
        </w:tc>
        <w:tc>
          <w:tcPr>
            <w:tcW w:w="364" w:type="pct"/>
            <w:shd w:val="clear" w:color="auto" w:fill="auto"/>
            <w:vAlign w:val="center"/>
          </w:tcPr>
          <w:p w14:paraId="10870723">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default" w:ascii="宋体" w:hAnsi="宋体" w:eastAsia="宋体" w:cs="宋体"/>
                <w:color w:val="auto"/>
                <w:kern w:val="0"/>
                <w:sz w:val="21"/>
                <w:szCs w:val="21"/>
                <w:lang w:val="en-US" w:eastAsia="zh-CN"/>
              </w:rPr>
            </w:pPr>
            <w:r>
              <w:rPr>
                <w:rFonts w:hint="eastAsia" w:ascii="宋体" w:hAnsi="宋体" w:eastAsia="宋体" w:cs="宋体"/>
                <w:kern w:val="0"/>
                <w:sz w:val="21"/>
                <w:szCs w:val="21"/>
                <w:lang w:eastAsia="zh-CN"/>
              </w:rPr>
              <w:t>项</w:t>
            </w:r>
          </w:p>
        </w:tc>
        <w:tc>
          <w:tcPr>
            <w:tcW w:w="500" w:type="pct"/>
            <w:shd w:val="clear" w:color="auto" w:fill="auto"/>
            <w:vAlign w:val="center"/>
          </w:tcPr>
          <w:p w14:paraId="5D5C84AB">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default" w:ascii="宋体" w:hAnsi="宋体" w:eastAsia="宋体" w:cs="宋体"/>
                <w:color w:val="auto"/>
                <w:kern w:val="0"/>
                <w:sz w:val="21"/>
                <w:szCs w:val="21"/>
                <w:lang w:val="en-US" w:eastAsia="zh-CN"/>
              </w:rPr>
            </w:pPr>
          </w:p>
        </w:tc>
        <w:tc>
          <w:tcPr>
            <w:tcW w:w="490" w:type="pct"/>
            <w:shd w:val="clear" w:color="auto" w:fill="auto"/>
            <w:vAlign w:val="center"/>
          </w:tcPr>
          <w:p w14:paraId="1CA9DCE1">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default" w:ascii="宋体" w:hAnsi="宋体" w:eastAsia="宋体" w:cs="宋体"/>
                <w:color w:val="auto"/>
                <w:kern w:val="0"/>
                <w:sz w:val="21"/>
                <w:szCs w:val="21"/>
                <w:lang w:val="en-US" w:eastAsia="zh-CN"/>
              </w:rPr>
            </w:pPr>
          </w:p>
        </w:tc>
      </w:tr>
      <w:tr w14:paraId="7C5E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390" w:type="pct"/>
            <w:vMerge w:val="restart"/>
            <w:vAlign w:val="center"/>
          </w:tcPr>
          <w:p w14:paraId="78CA009A">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石材</w:t>
            </w:r>
          </w:p>
        </w:tc>
        <w:tc>
          <w:tcPr>
            <w:tcW w:w="1053" w:type="pct"/>
            <w:gridSpan w:val="2"/>
            <w:shd w:val="clear" w:color="auto" w:fill="auto"/>
            <w:vAlign w:val="center"/>
          </w:tcPr>
          <w:p w14:paraId="1F3426B4">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吸水率</w:t>
            </w:r>
          </w:p>
        </w:tc>
        <w:tc>
          <w:tcPr>
            <w:tcW w:w="563" w:type="pct"/>
            <w:shd w:val="clear" w:color="auto" w:fill="auto"/>
            <w:vAlign w:val="center"/>
          </w:tcPr>
          <w:p w14:paraId="5EDE82BE">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4.58.6</w:t>
            </w:r>
          </w:p>
        </w:tc>
        <w:tc>
          <w:tcPr>
            <w:tcW w:w="761" w:type="pct"/>
            <w:vMerge w:val="restart"/>
            <w:shd w:val="clear" w:color="auto" w:fill="auto"/>
            <w:vAlign w:val="center"/>
          </w:tcPr>
          <w:p w14:paraId="17299B02">
            <w:pPr>
              <w:keepNext w:val="0"/>
              <w:keepLines w:val="0"/>
              <w:pageBreakBefore w:val="0"/>
              <w:widowControl/>
              <w:kinsoku/>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lang w:eastAsia="zh-CN"/>
              </w:rPr>
            </w:pPr>
            <w:r>
              <w:rPr>
                <w:rFonts w:hint="eastAsia" w:ascii="宋体" w:hAnsi="宋体" w:cs="宋体"/>
                <w:color w:val="000000"/>
                <w:kern w:val="0"/>
                <w:sz w:val="21"/>
                <w:szCs w:val="21"/>
                <w:lang w:val="en-US" w:eastAsia="zh-CN"/>
              </w:rPr>
              <w:t>同</w:t>
            </w:r>
            <w:r>
              <w:rPr>
                <w:rFonts w:hint="eastAsia" w:ascii="宋体" w:hAnsi="宋体" w:eastAsia="宋体" w:cs="宋体"/>
                <w:color w:val="000000"/>
                <w:kern w:val="0"/>
                <w:sz w:val="21"/>
                <w:szCs w:val="21"/>
                <w:lang w:val="en-US" w:eastAsia="zh-CN"/>
              </w:rPr>
              <w:t>一品种、类别</w:t>
            </w:r>
            <w:r>
              <w:rPr>
                <w:rFonts w:hint="eastAsia" w:ascii="宋体" w:hAnsi="宋体" w:cs="宋体"/>
                <w:color w:val="000000"/>
                <w:kern w:val="0"/>
                <w:sz w:val="21"/>
                <w:szCs w:val="21"/>
                <w:lang w:val="en-US" w:eastAsia="zh-CN"/>
              </w:rPr>
              <w:t>，</w:t>
            </w:r>
            <w:r>
              <w:rPr>
                <w:rFonts w:hint="eastAsia" w:ascii="宋体" w:hAnsi="宋体" w:eastAsia="宋体" w:cs="宋体"/>
                <w:color w:val="000000"/>
                <w:kern w:val="0"/>
                <w:sz w:val="21"/>
                <w:szCs w:val="21"/>
                <w:lang w:val="en-US" w:eastAsia="zh-CN"/>
              </w:rPr>
              <w:t>等级、同</w:t>
            </w:r>
            <w:r>
              <w:rPr>
                <w:rFonts w:hint="eastAsia" w:ascii="宋体" w:hAnsi="宋体" w:cs="宋体"/>
                <w:color w:val="000000"/>
                <w:kern w:val="0"/>
                <w:sz w:val="21"/>
                <w:szCs w:val="21"/>
                <w:lang w:val="en-US" w:eastAsia="zh-CN"/>
              </w:rPr>
              <w:t>一</w:t>
            </w:r>
            <w:r>
              <w:rPr>
                <w:rFonts w:hint="eastAsia" w:ascii="宋体" w:hAnsi="宋体" w:eastAsia="宋体" w:cs="宋体"/>
                <w:color w:val="000000"/>
                <w:kern w:val="0"/>
                <w:sz w:val="21"/>
                <w:szCs w:val="21"/>
                <w:lang w:val="en-US" w:eastAsia="zh-CN"/>
              </w:rPr>
              <w:t>供货批的板材为一批</w:t>
            </w:r>
            <w:r>
              <w:rPr>
                <w:rFonts w:hint="eastAsia" w:ascii="宋体" w:hAnsi="宋体" w:cs="宋体"/>
                <w:color w:val="000000"/>
                <w:kern w:val="0"/>
                <w:sz w:val="21"/>
                <w:szCs w:val="21"/>
                <w:lang w:val="en-US" w:eastAsia="zh-CN"/>
              </w:rPr>
              <w:t>；</w:t>
            </w:r>
            <w:r>
              <w:rPr>
                <w:rFonts w:hint="eastAsia" w:ascii="宋体" w:hAnsi="宋体" w:eastAsia="宋体" w:cs="宋体"/>
                <w:color w:val="000000"/>
                <w:kern w:val="0"/>
                <w:sz w:val="21"/>
                <w:szCs w:val="21"/>
                <w:lang w:val="en-US" w:eastAsia="zh-CN"/>
              </w:rPr>
              <w:t>或按连续安装部位的板材为</w:t>
            </w:r>
            <w:r>
              <w:rPr>
                <w:rFonts w:hint="eastAsia" w:ascii="宋体" w:hAnsi="宋体" w:cs="宋体"/>
                <w:color w:val="000000"/>
                <w:kern w:val="0"/>
                <w:sz w:val="21"/>
                <w:szCs w:val="21"/>
                <w:lang w:val="en-US" w:eastAsia="zh-CN"/>
              </w:rPr>
              <w:t>一</w:t>
            </w:r>
            <w:r>
              <w:rPr>
                <w:rFonts w:hint="eastAsia" w:ascii="宋体" w:hAnsi="宋体" w:eastAsia="宋体" w:cs="宋体"/>
                <w:color w:val="000000"/>
                <w:kern w:val="0"/>
                <w:sz w:val="21"/>
                <w:szCs w:val="21"/>
                <w:lang w:val="en-US" w:eastAsia="zh-CN"/>
              </w:rPr>
              <w:t>批</w:t>
            </w:r>
            <w:r>
              <w:rPr>
                <w:rFonts w:hint="eastAsia" w:ascii="宋体" w:hAnsi="宋体" w:cs="宋体"/>
                <w:color w:val="000000"/>
                <w:kern w:val="0"/>
                <w:sz w:val="21"/>
                <w:szCs w:val="21"/>
                <w:lang w:val="en-US" w:eastAsia="zh-CN"/>
              </w:rPr>
              <w:t>。</w:t>
            </w:r>
          </w:p>
        </w:tc>
        <w:tc>
          <w:tcPr>
            <w:tcW w:w="511" w:type="pct"/>
            <w:vMerge w:val="restart"/>
            <w:shd w:val="clear" w:color="auto" w:fill="auto"/>
            <w:vAlign w:val="center"/>
          </w:tcPr>
          <w:p w14:paraId="02E6E7CD">
            <w:pPr>
              <w:keepNext w:val="0"/>
              <w:keepLines w:val="0"/>
              <w:pageBreakBefore w:val="0"/>
              <w:widowControl/>
              <w:kinsoku/>
              <w:overflowPunct/>
              <w:topLinePunct w:val="0"/>
              <w:autoSpaceDE/>
              <w:autoSpaceDN/>
              <w:bidi w:val="0"/>
              <w:adjustRightInd/>
              <w:snapToGrid/>
              <w:spacing w:line="240" w:lineRule="auto"/>
              <w:ind w:firstLine="0" w:firstLineChars="0"/>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抽取两个规格用</w:t>
            </w:r>
            <w:r>
              <w:rPr>
                <w:rFonts w:hint="eastAsia" w:ascii="宋体" w:hAnsi="宋体" w:cs="宋体"/>
                <w:color w:val="000000"/>
                <w:kern w:val="0"/>
                <w:sz w:val="21"/>
                <w:szCs w:val="21"/>
                <w:lang w:val="en-US" w:eastAsia="zh-CN"/>
              </w:rPr>
              <w:t>得</w:t>
            </w:r>
            <w:r>
              <w:rPr>
                <w:rFonts w:hint="eastAsia" w:ascii="宋体" w:hAnsi="宋体" w:eastAsia="宋体" w:cs="宋体"/>
                <w:color w:val="000000"/>
                <w:kern w:val="0"/>
                <w:sz w:val="21"/>
                <w:szCs w:val="21"/>
                <w:lang w:val="en-US" w:eastAsia="zh-CN"/>
              </w:rPr>
              <w:t>最多的</w:t>
            </w:r>
          </w:p>
          <w:p w14:paraId="5F5ADDED">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bidi="ar-SA"/>
              </w:rPr>
            </w:pPr>
          </w:p>
        </w:tc>
        <w:tc>
          <w:tcPr>
            <w:tcW w:w="363" w:type="pct"/>
            <w:shd w:val="clear" w:color="auto" w:fill="auto"/>
            <w:vAlign w:val="center"/>
          </w:tcPr>
          <w:p w14:paraId="010AE090">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2</w:t>
            </w:r>
          </w:p>
        </w:tc>
        <w:tc>
          <w:tcPr>
            <w:tcW w:w="364" w:type="pct"/>
            <w:shd w:val="clear" w:color="auto" w:fill="auto"/>
            <w:vAlign w:val="center"/>
          </w:tcPr>
          <w:p w14:paraId="1FEBE367">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eastAsia="zh-CN"/>
              </w:rPr>
              <w:t>项</w:t>
            </w:r>
          </w:p>
        </w:tc>
        <w:tc>
          <w:tcPr>
            <w:tcW w:w="500" w:type="pct"/>
            <w:shd w:val="clear" w:color="auto" w:fill="auto"/>
            <w:vAlign w:val="center"/>
          </w:tcPr>
          <w:p w14:paraId="5C7FE9A5">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kern w:val="0"/>
                <w:sz w:val="21"/>
                <w:szCs w:val="21"/>
                <w:lang w:val="en-US" w:eastAsia="zh-CN"/>
              </w:rPr>
            </w:pPr>
          </w:p>
        </w:tc>
        <w:tc>
          <w:tcPr>
            <w:tcW w:w="490" w:type="pct"/>
            <w:shd w:val="clear" w:color="auto" w:fill="auto"/>
            <w:vAlign w:val="center"/>
          </w:tcPr>
          <w:p w14:paraId="36CF4CDD">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color w:val="FF0000"/>
                <w:kern w:val="0"/>
                <w:sz w:val="21"/>
                <w:szCs w:val="21"/>
                <w:lang w:val="en-US" w:eastAsia="zh-CN"/>
              </w:rPr>
            </w:pPr>
          </w:p>
        </w:tc>
      </w:tr>
      <w:tr w14:paraId="07149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390" w:type="pct"/>
            <w:vMerge w:val="continue"/>
            <w:vAlign w:val="center"/>
          </w:tcPr>
          <w:p w14:paraId="5BEAC001">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lang w:val="en-US" w:eastAsia="zh-CN"/>
              </w:rPr>
            </w:pPr>
          </w:p>
        </w:tc>
        <w:tc>
          <w:tcPr>
            <w:tcW w:w="1053" w:type="pct"/>
            <w:gridSpan w:val="2"/>
            <w:shd w:val="clear" w:color="auto" w:fill="auto"/>
            <w:vAlign w:val="center"/>
          </w:tcPr>
          <w:p w14:paraId="53B93769">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干燥弯曲强度</w:t>
            </w:r>
          </w:p>
        </w:tc>
        <w:tc>
          <w:tcPr>
            <w:tcW w:w="563" w:type="pct"/>
            <w:shd w:val="clear" w:color="auto" w:fill="auto"/>
            <w:vAlign w:val="center"/>
          </w:tcPr>
          <w:p w14:paraId="68FF0BAB">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4.58.7</w:t>
            </w:r>
          </w:p>
        </w:tc>
        <w:tc>
          <w:tcPr>
            <w:tcW w:w="761" w:type="pct"/>
            <w:vMerge w:val="continue"/>
            <w:shd w:val="clear" w:color="auto" w:fill="auto"/>
            <w:vAlign w:val="center"/>
          </w:tcPr>
          <w:p w14:paraId="0EDED636">
            <w:pPr>
              <w:keepNext w:val="0"/>
              <w:keepLines w:val="0"/>
              <w:pageBreakBefore w:val="0"/>
              <w:widowControl/>
              <w:kinsoku/>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lang w:eastAsia="zh-CN"/>
              </w:rPr>
            </w:pPr>
          </w:p>
        </w:tc>
        <w:tc>
          <w:tcPr>
            <w:tcW w:w="511" w:type="pct"/>
            <w:vMerge w:val="continue"/>
            <w:shd w:val="clear" w:color="auto" w:fill="auto"/>
            <w:vAlign w:val="center"/>
          </w:tcPr>
          <w:p w14:paraId="0218D953">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bidi="ar-SA"/>
              </w:rPr>
            </w:pPr>
          </w:p>
        </w:tc>
        <w:tc>
          <w:tcPr>
            <w:tcW w:w="363" w:type="pct"/>
            <w:shd w:val="clear" w:color="auto" w:fill="auto"/>
            <w:vAlign w:val="center"/>
          </w:tcPr>
          <w:p w14:paraId="3D3FE64B">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2</w:t>
            </w:r>
          </w:p>
        </w:tc>
        <w:tc>
          <w:tcPr>
            <w:tcW w:w="364" w:type="pct"/>
            <w:shd w:val="clear" w:color="auto" w:fill="auto"/>
            <w:vAlign w:val="center"/>
          </w:tcPr>
          <w:p w14:paraId="13ED3C34">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eastAsia="zh-CN"/>
              </w:rPr>
              <w:t>项</w:t>
            </w:r>
          </w:p>
        </w:tc>
        <w:tc>
          <w:tcPr>
            <w:tcW w:w="500" w:type="pct"/>
            <w:shd w:val="clear" w:color="auto" w:fill="auto"/>
            <w:vAlign w:val="center"/>
          </w:tcPr>
          <w:p w14:paraId="72CD03AE">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kern w:val="0"/>
                <w:sz w:val="21"/>
                <w:szCs w:val="21"/>
                <w:lang w:val="en-US" w:eastAsia="zh-CN"/>
              </w:rPr>
            </w:pPr>
          </w:p>
        </w:tc>
        <w:tc>
          <w:tcPr>
            <w:tcW w:w="490" w:type="pct"/>
            <w:shd w:val="clear" w:color="auto" w:fill="auto"/>
            <w:vAlign w:val="center"/>
          </w:tcPr>
          <w:p w14:paraId="2CBFDAA9">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color w:val="FF0000"/>
                <w:kern w:val="0"/>
                <w:sz w:val="21"/>
                <w:szCs w:val="21"/>
                <w:lang w:val="en-US" w:eastAsia="zh-CN"/>
              </w:rPr>
            </w:pPr>
          </w:p>
        </w:tc>
      </w:tr>
      <w:tr w14:paraId="2BD7F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390" w:type="pct"/>
            <w:vMerge w:val="continue"/>
            <w:vAlign w:val="center"/>
          </w:tcPr>
          <w:p w14:paraId="62EC0625">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lang w:val="en-US" w:eastAsia="zh-CN"/>
              </w:rPr>
            </w:pPr>
          </w:p>
        </w:tc>
        <w:tc>
          <w:tcPr>
            <w:tcW w:w="1053" w:type="pct"/>
            <w:gridSpan w:val="2"/>
            <w:shd w:val="clear" w:color="auto" w:fill="auto"/>
            <w:vAlign w:val="center"/>
          </w:tcPr>
          <w:p w14:paraId="27D63A15">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干燥压缩强度</w:t>
            </w:r>
          </w:p>
        </w:tc>
        <w:tc>
          <w:tcPr>
            <w:tcW w:w="563" w:type="pct"/>
            <w:shd w:val="clear" w:color="auto" w:fill="auto"/>
            <w:vAlign w:val="center"/>
          </w:tcPr>
          <w:p w14:paraId="3F637B61">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4.58.9</w:t>
            </w:r>
          </w:p>
        </w:tc>
        <w:tc>
          <w:tcPr>
            <w:tcW w:w="761" w:type="pct"/>
            <w:vMerge w:val="continue"/>
            <w:shd w:val="clear" w:color="auto" w:fill="auto"/>
            <w:vAlign w:val="center"/>
          </w:tcPr>
          <w:p w14:paraId="66192DC6">
            <w:pPr>
              <w:keepNext w:val="0"/>
              <w:keepLines w:val="0"/>
              <w:pageBreakBefore w:val="0"/>
              <w:widowControl/>
              <w:kinsoku/>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lang w:eastAsia="zh-CN"/>
              </w:rPr>
            </w:pPr>
          </w:p>
        </w:tc>
        <w:tc>
          <w:tcPr>
            <w:tcW w:w="511" w:type="pct"/>
            <w:vMerge w:val="continue"/>
            <w:shd w:val="clear" w:color="auto" w:fill="auto"/>
            <w:vAlign w:val="center"/>
          </w:tcPr>
          <w:p w14:paraId="1511798E">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auto"/>
                <w:kern w:val="0"/>
                <w:sz w:val="21"/>
                <w:szCs w:val="21"/>
                <w:lang w:val="en-US" w:eastAsia="zh-CN" w:bidi="ar-SA"/>
              </w:rPr>
            </w:pPr>
          </w:p>
        </w:tc>
        <w:tc>
          <w:tcPr>
            <w:tcW w:w="363" w:type="pct"/>
            <w:shd w:val="clear" w:color="auto" w:fill="auto"/>
            <w:vAlign w:val="center"/>
          </w:tcPr>
          <w:p w14:paraId="0816417A">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2</w:t>
            </w:r>
          </w:p>
        </w:tc>
        <w:tc>
          <w:tcPr>
            <w:tcW w:w="364" w:type="pct"/>
            <w:shd w:val="clear" w:color="auto" w:fill="auto"/>
            <w:vAlign w:val="center"/>
          </w:tcPr>
          <w:p w14:paraId="4586B862">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项</w:t>
            </w:r>
          </w:p>
        </w:tc>
        <w:tc>
          <w:tcPr>
            <w:tcW w:w="500" w:type="pct"/>
            <w:shd w:val="clear" w:color="auto" w:fill="auto"/>
            <w:vAlign w:val="center"/>
          </w:tcPr>
          <w:p w14:paraId="4E5FB1E6">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default" w:ascii="宋体" w:hAnsi="宋体" w:eastAsia="宋体" w:cs="宋体"/>
                <w:kern w:val="0"/>
                <w:sz w:val="21"/>
                <w:szCs w:val="21"/>
                <w:lang w:val="en-US" w:eastAsia="zh-CN"/>
              </w:rPr>
            </w:pPr>
          </w:p>
        </w:tc>
        <w:tc>
          <w:tcPr>
            <w:tcW w:w="490" w:type="pct"/>
            <w:shd w:val="clear" w:color="auto" w:fill="auto"/>
            <w:vAlign w:val="center"/>
          </w:tcPr>
          <w:p w14:paraId="614B059E">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default" w:ascii="宋体" w:hAnsi="宋体" w:eastAsia="宋体" w:cs="宋体"/>
                <w:color w:val="FF0000"/>
                <w:kern w:val="0"/>
                <w:sz w:val="21"/>
                <w:szCs w:val="21"/>
                <w:lang w:val="en-US" w:eastAsia="zh-CN"/>
              </w:rPr>
            </w:pPr>
          </w:p>
        </w:tc>
      </w:tr>
      <w:tr w14:paraId="10407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008" w:type="pct"/>
            <w:gridSpan w:val="8"/>
            <w:shd w:val="clear" w:color="auto" w:fill="auto"/>
            <w:vAlign w:val="center"/>
          </w:tcPr>
          <w:p w14:paraId="41C18250">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土工、道路综合检测总费用（元）</w:t>
            </w:r>
          </w:p>
        </w:tc>
        <w:tc>
          <w:tcPr>
            <w:tcW w:w="991" w:type="pct"/>
            <w:gridSpan w:val="2"/>
            <w:shd w:val="clear" w:color="auto" w:fill="auto"/>
            <w:vAlign w:val="center"/>
          </w:tcPr>
          <w:p w14:paraId="64C64F35">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default" w:ascii="宋体" w:hAnsi="宋体" w:eastAsia="宋体" w:cs="宋体"/>
                <w:color w:val="FF0000"/>
                <w:kern w:val="0"/>
                <w:sz w:val="21"/>
                <w:szCs w:val="21"/>
                <w:lang w:val="en-US" w:eastAsia="zh-CN"/>
              </w:rPr>
            </w:pPr>
          </w:p>
        </w:tc>
      </w:tr>
      <w:tr w14:paraId="59E6D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4008" w:type="pct"/>
            <w:gridSpan w:val="8"/>
            <w:shd w:val="clear" w:color="auto" w:fill="auto"/>
            <w:vAlign w:val="center"/>
          </w:tcPr>
          <w:p w14:paraId="070DC935">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土工、道路综合检测总费用下浮</w:t>
            </w:r>
            <w:r>
              <w:rPr>
                <w:rFonts w:hint="eastAsia" w:ascii="宋体" w:hAnsi="宋体" w:eastAsia="宋体" w:cs="宋体"/>
                <w:color w:val="auto"/>
                <w:kern w:val="0"/>
                <w:sz w:val="21"/>
                <w:szCs w:val="21"/>
                <w:lang w:val="en-US" w:eastAsia="zh-CN"/>
              </w:rPr>
              <w:t>5</w:t>
            </w:r>
            <w:r>
              <w:rPr>
                <w:rFonts w:hint="eastAsia" w:ascii="宋体" w:hAnsi="宋体" w:cs="宋体"/>
                <w:color w:val="auto"/>
                <w:kern w:val="0"/>
                <w:sz w:val="21"/>
                <w:szCs w:val="21"/>
                <w:lang w:val="en-US" w:eastAsia="zh-CN"/>
              </w:rPr>
              <w:t>5</w:t>
            </w:r>
            <w:r>
              <w:rPr>
                <w:rFonts w:hint="eastAsia" w:ascii="宋体" w:hAnsi="宋体" w:eastAsia="宋体" w:cs="宋体"/>
                <w:color w:val="auto"/>
                <w:kern w:val="0"/>
                <w:sz w:val="21"/>
                <w:szCs w:val="21"/>
              </w:rPr>
              <w:t>%计算</w:t>
            </w:r>
            <w:r>
              <w:rPr>
                <w:rFonts w:hint="eastAsia" w:ascii="宋体" w:hAnsi="宋体" w:cs="宋体"/>
                <w:color w:val="auto"/>
                <w:kern w:val="0"/>
                <w:sz w:val="21"/>
                <w:szCs w:val="21"/>
                <w:lang w:eastAsia="zh-CN"/>
              </w:rPr>
              <w:t>（元）</w:t>
            </w:r>
          </w:p>
        </w:tc>
        <w:tc>
          <w:tcPr>
            <w:tcW w:w="991" w:type="pct"/>
            <w:gridSpan w:val="2"/>
            <w:shd w:val="clear" w:color="auto" w:fill="auto"/>
            <w:vAlign w:val="center"/>
          </w:tcPr>
          <w:p w14:paraId="4A554020">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rPr>
                <w:rFonts w:hint="default" w:ascii="宋体" w:hAnsi="宋体" w:eastAsia="宋体" w:cs="宋体"/>
                <w:color w:val="FF0000"/>
                <w:kern w:val="0"/>
                <w:sz w:val="21"/>
                <w:szCs w:val="21"/>
                <w:lang w:val="en-US" w:eastAsia="zh-CN"/>
              </w:rPr>
            </w:pPr>
          </w:p>
        </w:tc>
      </w:tr>
      <w:tr w14:paraId="05590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5000" w:type="pct"/>
            <w:gridSpan w:val="10"/>
            <w:shd w:val="clear" w:color="auto" w:fill="auto"/>
            <w:vAlign w:val="center"/>
          </w:tcPr>
          <w:p w14:paraId="2E6D4579">
            <w:pPr>
              <w:keepNext w:val="0"/>
              <w:keepLines w:val="0"/>
              <w:pageBreakBefore w:val="0"/>
              <w:widowControl/>
              <w:kinsoku/>
              <w:wordWrap w:val="0"/>
              <w:overflowPunct/>
              <w:topLinePunct w:val="0"/>
              <w:autoSpaceDE/>
              <w:autoSpaceDN/>
              <w:bidi w:val="0"/>
              <w:adjustRightInd/>
              <w:snapToGrid/>
              <w:spacing w:line="240" w:lineRule="auto"/>
              <w:ind w:firstLine="0" w:firstLineChars="0"/>
              <w:jc w:val="left"/>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注：以实际发生量为准</w:t>
            </w:r>
            <w:r>
              <w:rPr>
                <w:rFonts w:hint="eastAsia" w:ascii="宋体" w:hAnsi="宋体" w:eastAsia="宋体" w:cs="宋体"/>
                <w:color w:val="auto"/>
                <w:kern w:val="0"/>
                <w:sz w:val="21"/>
                <w:szCs w:val="21"/>
                <w:lang w:eastAsia="zh-CN"/>
              </w:rPr>
              <w:t>。</w:t>
            </w:r>
          </w:p>
        </w:tc>
      </w:tr>
    </w:tbl>
    <w:p w14:paraId="64DAE134">
      <w:pPr>
        <w:pStyle w:val="118"/>
        <w:keepNext w:val="0"/>
        <w:keepLines w:val="0"/>
        <w:pageBreakBefore w:val="0"/>
        <w:widowControl w:val="0"/>
        <w:tabs>
          <w:tab w:val="left" w:pos="-1486"/>
          <w:tab w:val="left" w:pos="-142"/>
        </w:tabs>
        <w:kinsoku/>
        <w:wordWrap/>
        <w:overflowPunct/>
        <w:topLinePunct w:val="0"/>
        <w:autoSpaceDE/>
        <w:autoSpaceDN/>
        <w:bidi w:val="0"/>
        <w:adjustRightInd/>
        <w:snapToGrid/>
        <w:spacing w:before="100" w:beforeLines="30" w:after="67" w:afterLines="20" w:line="560" w:lineRule="exact"/>
        <w:ind w:left="6" w:leftChars="0" w:hanging="6" w:firstLineChars="0"/>
        <w:jc w:val="center"/>
        <w:textAlignment w:val="auto"/>
        <w:rPr>
          <w:rFonts w:hint="eastAsia" w:ascii="宋体" w:hAnsi="宋体" w:eastAsia="宋体" w:cs="宋体"/>
          <w:b/>
          <w:bCs w:val="0"/>
          <w:color w:val="000000" w:themeColor="text1"/>
          <w:sz w:val="28"/>
          <w:szCs w:val="28"/>
          <w:highlight w:val="none"/>
          <w14:textFill>
            <w14:solidFill>
              <w14:schemeClr w14:val="tx1"/>
            </w14:solidFill>
          </w14:textFill>
        </w:rPr>
      </w:pPr>
      <w:r>
        <w:rPr>
          <w:rFonts w:hint="eastAsia" w:ascii="宋体" w:hAnsi="宋体" w:eastAsia="宋体" w:cs="宋体"/>
          <w:b/>
          <w:bCs w:val="0"/>
          <w:color w:val="000000" w:themeColor="text1"/>
          <w:sz w:val="28"/>
          <w:szCs w:val="28"/>
          <w:highlight w:val="none"/>
          <w14:textFill>
            <w14:solidFill>
              <w14:schemeClr w14:val="tx1"/>
            </w14:solidFill>
          </w14:textFill>
        </w:rPr>
        <w:t>（六）建筑物附属结构</w:t>
      </w:r>
    </w:p>
    <w:tbl>
      <w:tblPr>
        <w:tblStyle w:val="26"/>
        <w:tblW w:w="9191"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fixed"/>
        <w:tblCellMar>
          <w:top w:w="0" w:type="dxa"/>
          <w:left w:w="108" w:type="dxa"/>
          <w:bottom w:w="0" w:type="dxa"/>
          <w:right w:w="108" w:type="dxa"/>
        </w:tblCellMar>
      </w:tblPr>
      <w:tblGrid>
        <w:gridCol w:w="718"/>
        <w:gridCol w:w="1303"/>
        <w:gridCol w:w="930"/>
        <w:gridCol w:w="2495"/>
        <w:gridCol w:w="942"/>
        <w:gridCol w:w="786"/>
        <w:gridCol w:w="888"/>
        <w:gridCol w:w="1129"/>
      </w:tblGrid>
      <w:tr w14:paraId="5EECDF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436" w:hRule="atLeast"/>
          <w:jc w:val="center"/>
        </w:trPr>
        <w:tc>
          <w:tcPr>
            <w:tcW w:w="9191" w:type="dxa"/>
            <w:gridSpan w:val="8"/>
            <w:tcBorders>
              <w:tl2br w:val="nil"/>
              <w:tr2bl w:val="nil"/>
            </w:tcBorders>
            <w:shd w:val="clear" w:color="auto" w:fill="auto"/>
            <w:noWrap/>
            <w:vAlign w:val="center"/>
          </w:tcPr>
          <w:p w14:paraId="3E9FF3A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建筑物附属结构</w:t>
            </w:r>
            <w:r>
              <w:rPr>
                <w:rFonts w:hint="eastAsia" w:ascii="宋体" w:hAnsi="宋体" w:cs="宋体"/>
                <w:color w:val="auto"/>
                <w:kern w:val="0"/>
                <w:sz w:val="21"/>
                <w:szCs w:val="21"/>
                <w:lang w:val="en-US" w:eastAsia="zh-CN"/>
              </w:rPr>
              <w:t>数量</w:t>
            </w:r>
            <w:r>
              <w:rPr>
                <w:rFonts w:hint="eastAsia" w:ascii="宋体" w:hAnsi="宋体" w:eastAsia="宋体" w:cs="宋体"/>
                <w:color w:val="auto"/>
                <w:kern w:val="0"/>
                <w:sz w:val="21"/>
                <w:szCs w:val="21"/>
                <w:lang w:val="en-US" w:eastAsia="zh-CN"/>
              </w:rPr>
              <w:t>表</w:t>
            </w:r>
          </w:p>
        </w:tc>
      </w:tr>
      <w:tr w14:paraId="5ADF91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90" w:hRule="atLeast"/>
          <w:jc w:val="center"/>
        </w:trPr>
        <w:tc>
          <w:tcPr>
            <w:tcW w:w="718" w:type="dxa"/>
            <w:tcBorders>
              <w:tl2br w:val="nil"/>
              <w:tr2bl w:val="nil"/>
            </w:tcBorders>
            <w:shd w:val="clear" w:color="auto" w:fill="auto"/>
            <w:vAlign w:val="center"/>
          </w:tcPr>
          <w:p w14:paraId="010860C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检测项目</w:t>
            </w:r>
          </w:p>
        </w:tc>
        <w:tc>
          <w:tcPr>
            <w:tcW w:w="1303" w:type="dxa"/>
            <w:tcBorders>
              <w:tl2br w:val="nil"/>
              <w:tr2bl w:val="nil"/>
            </w:tcBorders>
            <w:shd w:val="clear" w:color="auto" w:fill="auto"/>
            <w:vAlign w:val="center"/>
          </w:tcPr>
          <w:p w14:paraId="72405F7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楼号</w:t>
            </w:r>
          </w:p>
        </w:tc>
        <w:tc>
          <w:tcPr>
            <w:tcW w:w="930" w:type="dxa"/>
            <w:tcBorders>
              <w:tl2br w:val="nil"/>
              <w:tr2bl w:val="nil"/>
            </w:tcBorders>
            <w:shd w:val="clear" w:color="auto" w:fill="auto"/>
            <w:vAlign w:val="center"/>
          </w:tcPr>
          <w:p w14:paraId="3B8C0D5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检测项目序号</w:t>
            </w:r>
          </w:p>
        </w:tc>
        <w:tc>
          <w:tcPr>
            <w:tcW w:w="2495" w:type="dxa"/>
            <w:tcBorders>
              <w:tl2br w:val="nil"/>
              <w:tr2bl w:val="nil"/>
            </w:tcBorders>
            <w:shd w:val="clear" w:color="auto" w:fill="auto"/>
            <w:vAlign w:val="center"/>
          </w:tcPr>
          <w:p w14:paraId="273A483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抽样规则</w:t>
            </w:r>
          </w:p>
        </w:tc>
        <w:tc>
          <w:tcPr>
            <w:tcW w:w="942" w:type="dxa"/>
            <w:tcBorders>
              <w:tl2br w:val="nil"/>
              <w:tr2bl w:val="nil"/>
            </w:tcBorders>
            <w:shd w:val="clear" w:color="auto" w:fill="auto"/>
            <w:vAlign w:val="center"/>
          </w:tcPr>
          <w:p w14:paraId="2E11898B">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抽检数量</w:t>
            </w:r>
          </w:p>
        </w:tc>
        <w:tc>
          <w:tcPr>
            <w:tcW w:w="786" w:type="dxa"/>
            <w:tcBorders>
              <w:tl2br w:val="nil"/>
              <w:tr2bl w:val="nil"/>
            </w:tcBorders>
            <w:shd w:val="clear" w:color="auto" w:fill="auto"/>
            <w:vAlign w:val="center"/>
          </w:tcPr>
          <w:p w14:paraId="2B582BA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计费单位</w:t>
            </w:r>
          </w:p>
        </w:tc>
        <w:tc>
          <w:tcPr>
            <w:tcW w:w="888" w:type="dxa"/>
            <w:tcBorders>
              <w:tl2br w:val="nil"/>
              <w:tr2bl w:val="nil"/>
            </w:tcBorders>
            <w:shd w:val="clear" w:color="auto" w:fill="auto"/>
            <w:vAlign w:val="center"/>
          </w:tcPr>
          <w:p w14:paraId="1D6D891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单价</w:t>
            </w:r>
            <w:r>
              <w:rPr>
                <w:rFonts w:hint="eastAsia" w:ascii="宋体" w:hAnsi="宋体" w:cs="宋体"/>
                <w:color w:val="auto"/>
                <w:kern w:val="0"/>
                <w:sz w:val="21"/>
                <w:szCs w:val="21"/>
                <w:lang w:eastAsia="zh-CN"/>
              </w:rPr>
              <w:t>（</w:t>
            </w:r>
            <w:r>
              <w:rPr>
                <w:rFonts w:hint="eastAsia" w:ascii="宋体" w:hAnsi="宋体" w:eastAsia="宋体" w:cs="宋体"/>
                <w:color w:val="auto"/>
                <w:kern w:val="0"/>
                <w:sz w:val="21"/>
                <w:szCs w:val="21"/>
                <w:lang w:val="en-US" w:eastAsia="zh-CN"/>
              </w:rPr>
              <w:t>元</w:t>
            </w:r>
            <w:r>
              <w:rPr>
                <w:rFonts w:hint="eastAsia" w:ascii="宋体" w:hAnsi="宋体" w:cs="宋体"/>
                <w:color w:val="auto"/>
                <w:kern w:val="0"/>
                <w:sz w:val="21"/>
                <w:szCs w:val="21"/>
                <w:lang w:val="en-US" w:eastAsia="zh-CN"/>
              </w:rPr>
              <w:t>）</w:t>
            </w:r>
          </w:p>
        </w:tc>
        <w:tc>
          <w:tcPr>
            <w:tcW w:w="1129" w:type="dxa"/>
            <w:tcBorders>
              <w:tl2br w:val="nil"/>
              <w:tr2bl w:val="nil"/>
            </w:tcBorders>
            <w:shd w:val="clear" w:color="auto" w:fill="auto"/>
            <w:vAlign w:val="center"/>
          </w:tcPr>
          <w:p w14:paraId="22C3EC4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小计</w:t>
            </w:r>
          </w:p>
          <w:p w14:paraId="66C2841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（元）</w:t>
            </w:r>
          </w:p>
        </w:tc>
      </w:tr>
      <w:tr w14:paraId="272C88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826" w:hRule="atLeast"/>
          <w:jc w:val="center"/>
        </w:trPr>
        <w:tc>
          <w:tcPr>
            <w:tcW w:w="718" w:type="dxa"/>
            <w:vMerge w:val="restart"/>
            <w:tcBorders>
              <w:tl2br w:val="nil"/>
              <w:tr2bl w:val="nil"/>
            </w:tcBorders>
            <w:shd w:val="clear" w:color="auto" w:fill="auto"/>
            <w:vAlign w:val="center"/>
          </w:tcPr>
          <w:p w14:paraId="0943E21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接地</w:t>
            </w:r>
          </w:p>
          <w:p w14:paraId="7634E32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电阻</w:t>
            </w:r>
          </w:p>
        </w:tc>
        <w:tc>
          <w:tcPr>
            <w:tcW w:w="1303" w:type="dxa"/>
            <w:tcBorders>
              <w:bottom w:val="single" w:color="auto" w:sz="4" w:space="0"/>
              <w:tl2br w:val="nil"/>
              <w:tr2bl w:val="nil"/>
            </w:tcBorders>
            <w:shd w:val="clear" w:color="auto" w:fill="auto"/>
            <w:vAlign w:val="center"/>
          </w:tcPr>
          <w:p w14:paraId="43E9076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cs="宋体"/>
                <w:color w:val="auto"/>
                <w:sz w:val="21"/>
                <w:szCs w:val="21"/>
                <w:lang w:val="en-US" w:eastAsia="zh-CN"/>
              </w:rPr>
              <w:t>1#综合大楼</w:t>
            </w:r>
          </w:p>
        </w:tc>
        <w:tc>
          <w:tcPr>
            <w:tcW w:w="930" w:type="dxa"/>
            <w:vMerge w:val="restart"/>
            <w:tcBorders>
              <w:tl2br w:val="nil"/>
              <w:tr2bl w:val="nil"/>
            </w:tcBorders>
            <w:shd w:val="clear" w:color="auto" w:fill="auto"/>
            <w:vAlign w:val="center"/>
          </w:tcPr>
          <w:p w14:paraId="3D2CC95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7.2.1</w:t>
            </w:r>
          </w:p>
        </w:tc>
        <w:tc>
          <w:tcPr>
            <w:tcW w:w="2495" w:type="dxa"/>
            <w:vMerge w:val="restart"/>
            <w:tcBorders>
              <w:tl2br w:val="nil"/>
              <w:tr2bl w:val="nil"/>
            </w:tcBorders>
            <w:shd w:val="clear" w:color="auto" w:fill="auto"/>
            <w:vAlign w:val="center"/>
          </w:tcPr>
          <w:p w14:paraId="79F5F6DE">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单位工程根据标准规范要求及现场检测环境结合确定检测数量，按设计要求，由监理（建设）、施工等各方根据现场的情况共同选定检测部位。（计费按建筑面积计算）</w:t>
            </w:r>
          </w:p>
        </w:tc>
        <w:tc>
          <w:tcPr>
            <w:tcW w:w="942" w:type="dxa"/>
            <w:tcBorders>
              <w:bottom w:val="single" w:color="auto" w:sz="4" w:space="0"/>
              <w:tl2br w:val="nil"/>
              <w:tr2bl w:val="nil"/>
            </w:tcBorders>
            <w:shd w:val="clear" w:color="auto" w:fill="auto"/>
            <w:vAlign w:val="center"/>
          </w:tcPr>
          <w:p w14:paraId="1606F965">
            <w:pPr>
              <w:keepNext w:val="0"/>
              <w:keepLines w:val="0"/>
              <w:pageBreakBefore w:val="0"/>
              <w:kinsoku/>
              <w:wordWrap/>
              <w:overflowPunct/>
              <w:topLinePunct w:val="0"/>
              <w:autoSpaceDE/>
              <w:autoSpaceDN/>
              <w:bidi w:val="0"/>
              <w:adjustRightInd/>
              <w:snapToGrid/>
              <w:spacing w:line="360" w:lineRule="exact"/>
              <w:ind w:left="-113" w:right="-113"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sz w:val="21"/>
                <w:szCs w:val="21"/>
                <w:lang w:val="en-US" w:eastAsia="zh-CN"/>
              </w:rPr>
              <w:t>27941.21</w:t>
            </w:r>
          </w:p>
        </w:tc>
        <w:tc>
          <w:tcPr>
            <w:tcW w:w="786" w:type="dxa"/>
            <w:tcBorders>
              <w:bottom w:val="single" w:color="auto" w:sz="4" w:space="0"/>
              <w:tl2br w:val="nil"/>
              <w:tr2bl w:val="nil"/>
            </w:tcBorders>
            <w:shd w:val="clear" w:color="auto" w:fill="auto"/>
            <w:vAlign w:val="center"/>
          </w:tcPr>
          <w:p w14:paraId="0A22CFA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spacing w:val="-1"/>
                <w:sz w:val="21"/>
                <w:szCs w:val="21"/>
                <w:lang w:eastAsia="zh-CN"/>
              </w:rPr>
              <w:t>㎡</w:t>
            </w:r>
          </w:p>
        </w:tc>
        <w:tc>
          <w:tcPr>
            <w:tcW w:w="888" w:type="dxa"/>
            <w:tcBorders>
              <w:bottom w:val="single" w:color="auto" w:sz="4" w:space="0"/>
              <w:tl2br w:val="nil"/>
              <w:tr2bl w:val="nil"/>
            </w:tcBorders>
            <w:shd w:val="clear" w:color="auto" w:fill="auto"/>
            <w:vAlign w:val="center"/>
          </w:tcPr>
          <w:p w14:paraId="0DDAEF1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p>
        </w:tc>
        <w:tc>
          <w:tcPr>
            <w:tcW w:w="1129" w:type="dxa"/>
            <w:tcBorders>
              <w:bottom w:val="single" w:color="auto" w:sz="4" w:space="0"/>
              <w:tl2br w:val="nil"/>
              <w:tr2bl w:val="nil"/>
            </w:tcBorders>
            <w:shd w:val="clear" w:color="auto" w:fill="auto"/>
            <w:vAlign w:val="center"/>
          </w:tcPr>
          <w:p w14:paraId="1B3A37C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p>
        </w:tc>
      </w:tr>
      <w:tr w14:paraId="2CC783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89" w:hRule="atLeast"/>
          <w:jc w:val="center"/>
        </w:trPr>
        <w:tc>
          <w:tcPr>
            <w:tcW w:w="718" w:type="dxa"/>
            <w:vMerge w:val="continue"/>
            <w:tcBorders>
              <w:tl2br w:val="nil"/>
              <w:tr2bl w:val="nil"/>
            </w:tcBorders>
            <w:shd w:val="clear" w:color="auto" w:fill="auto"/>
            <w:vAlign w:val="center"/>
          </w:tcPr>
          <w:p w14:paraId="5D65930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p>
        </w:tc>
        <w:tc>
          <w:tcPr>
            <w:tcW w:w="1303" w:type="dxa"/>
            <w:tcBorders>
              <w:bottom w:val="single" w:color="auto" w:sz="4" w:space="0"/>
              <w:tl2br w:val="nil"/>
              <w:tr2bl w:val="nil"/>
            </w:tcBorders>
            <w:shd w:val="clear" w:color="auto" w:fill="auto"/>
            <w:vAlign w:val="center"/>
          </w:tcPr>
          <w:p w14:paraId="4631588B">
            <w:pPr>
              <w:keepNext w:val="0"/>
              <w:keepLines w:val="0"/>
              <w:pageBreakBefore w:val="0"/>
              <w:kinsoku/>
              <w:wordWrap/>
              <w:overflowPunct/>
              <w:topLinePunct w:val="0"/>
              <w:autoSpaceDE/>
              <w:autoSpaceDN/>
              <w:bidi w:val="0"/>
              <w:adjustRightInd/>
              <w:snapToGrid/>
              <w:spacing w:line="360" w:lineRule="exact"/>
              <w:ind w:left="0" w:leftChars="0"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sz w:val="21"/>
                <w:szCs w:val="21"/>
                <w:lang w:val="en-US" w:eastAsia="zh-CN"/>
              </w:rPr>
              <w:t>2#门卫室</w:t>
            </w:r>
          </w:p>
        </w:tc>
        <w:tc>
          <w:tcPr>
            <w:tcW w:w="930" w:type="dxa"/>
            <w:vMerge w:val="continue"/>
            <w:tcBorders>
              <w:tl2br w:val="nil"/>
              <w:tr2bl w:val="nil"/>
            </w:tcBorders>
            <w:shd w:val="clear" w:color="auto" w:fill="auto"/>
            <w:vAlign w:val="center"/>
          </w:tcPr>
          <w:p w14:paraId="4BF1DE2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p>
        </w:tc>
        <w:tc>
          <w:tcPr>
            <w:tcW w:w="2495" w:type="dxa"/>
            <w:vMerge w:val="continue"/>
            <w:tcBorders>
              <w:tl2br w:val="nil"/>
              <w:tr2bl w:val="nil"/>
            </w:tcBorders>
            <w:shd w:val="clear" w:color="auto" w:fill="auto"/>
            <w:vAlign w:val="center"/>
          </w:tcPr>
          <w:p w14:paraId="03DFDB46">
            <w:pPr>
              <w:pStyle w:val="11"/>
              <w:keepNext w:val="0"/>
              <w:keepLines w:val="0"/>
              <w:pageBreakBefore w:val="0"/>
              <w:kinsoku/>
              <w:wordWrap/>
              <w:overflowPunct/>
              <w:topLinePunct w:val="0"/>
              <w:autoSpaceDE/>
              <w:autoSpaceDN/>
              <w:bidi w:val="0"/>
              <w:adjustRightInd/>
              <w:snapToGrid/>
              <w:spacing w:line="360" w:lineRule="exact"/>
              <w:ind w:firstLine="420" w:firstLineChars="200"/>
              <w:jc w:val="center"/>
              <w:rPr>
                <w:rFonts w:hint="eastAsia" w:ascii="宋体" w:hAnsi="宋体" w:eastAsia="宋体" w:cs="宋体"/>
                <w:color w:val="auto"/>
                <w:kern w:val="0"/>
                <w:sz w:val="21"/>
                <w:szCs w:val="21"/>
              </w:rPr>
            </w:pPr>
          </w:p>
        </w:tc>
        <w:tc>
          <w:tcPr>
            <w:tcW w:w="942" w:type="dxa"/>
            <w:tcBorders>
              <w:bottom w:val="single" w:color="auto" w:sz="4" w:space="0"/>
              <w:tl2br w:val="nil"/>
              <w:tr2bl w:val="nil"/>
            </w:tcBorders>
            <w:shd w:val="clear" w:color="auto" w:fill="auto"/>
            <w:vAlign w:val="center"/>
          </w:tcPr>
          <w:p w14:paraId="0F50CE65">
            <w:pPr>
              <w:keepNext w:val="0"/>
              <w:keepLines w:val="0"/>
              <w:pageBreakBefore w:val="0"/>
              <w:kinsoku/>
              <w:wordWrap/>
              <w:overflowPunct/>
              <w:topLinePunct w:val="0"/>
              <w:autoSpaceDE/>
              <w:autoSpaceDN/>
              <w:bidi w:val="0"/>
              <w:adjustRightInd/>
              <w:snapToGrid/>
              <w:spacing w:line="360" w:lineRule="exact"/>
              <w:ind w:left="-113" w:right="-113"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sz w:val="21"/>
                <w:szCs w:val="21"/>
                <w:lang w:val="en-US" w:eastAsia="zh-CN"/>
              </w:rPr>
              <w:t>45.6</w:t>
            </w:r>
          </w:p>
        </w:tc>
        <w:tc>
          <w:tcPr>
            <w:tcW w:w="786" w:type="dxa"/>
            <w:tcBorders>
              <w:bottom w:val="single" w:color="auto" w:sz="4" w:space="0"/>
              <w:tl2br w:val="nil"/>
              <w:tr2bl w:val="nil"/>
            </w:tcBorders>
            <w:shd w:val="clear" w:color="auto" w:fill="auto"/>
            <w:vAlign w:val="center"/>
          </w:tcPr>
          <w:p w14:paraId="61C3F4A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spacing w:val="-1"/>
                <w:sz w:val="21"/>
                <w:szCs w:val="21"/>
                <w:lang w:eastAsia="zh-CN"/>
              </w:rPr>
              <w:t>㎡</w:t>
            </w:r>
          </w:p>
        </w:tc>
        <w:tc>
          <w:tcPr>
            <w:tcW w:w="888" w:type="dxa"/>
            <w:tcBorders>
              <w:bottom w:val="single" w:color="auto" w:sz="4" w:space="0"/>
              <w:tl2br w:val="nil"/>
              <w:tr2bl w:val="nil"/>
            </w:tcBorders>
            <w:shd w:val="clear" w:color="auto" w:fill="auto"/>
            <w:vAlign w:val="center"/>
          </w:tcPr>
          <w:p w14:paraId="235C3A9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p>
        </w:tc>
        <w:tc>
          <w:tcPr>
            <w:tcW w:w="1129" w:type="dxa"/>
            <w:tcBorders>
              <w:bottom w:val="single" w:color="auto" w:sz="4" w:space="0"/>
              <w:tl2br w:val="nil"/>
              <w:tr2bl w:val="nil"/>
            </w:tcBorders>
            <w:shd w:val="clear" w:color="auto" w:fill="auto"/>
            <w:vAlign w:val="center"/>
          </w:tcPr>
          <w:p w14:paraId="1828C94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0"/>
                <w:sz w:val="21"/>
                <w:szCs w:val="21"/>
                <w:lang w:val="en-US" w:eastAsia="zh-CN"/>
              </w:rPr>
            </w:pPr>
          </w:p>
        </w:tc>
      </w:tr>
      <w:tr w14:paraId="3B7352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37" w:hRule="atLeast"/>
          <w:jc w:val="center"/>
        </w:trPr>
        <w:tc>
          <w:tcPr>
            <w:tcW w:w="718" w:type="dxa"/>
            <w:vMerge w:val="continue"/>
            <w:tcBorders>
              <w:tl2br w:val="nil"/>
              <w:tr2bl w:val="nil"/>
            </w:tcBorders>
            <w:shd w:val="clear" w:color="auto" w:fill="auto"/>
            <w:vAlign w:val="center"/>
          </w:tcPr>
          <w:p w14:paraId="3F738D1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p>
        </w:tc>
        <w:tc>
          <w:tcPr>
            <w:tcW w:w="1303" w:type="dxa"/>
            <w:tcBorders>
              <w:bottom w:val="single" w:color="auto" w:sz="4" w:space="0"/>
              <w:tl2br w:val="nil"/>
              <w:tr2bl w:val="nil"/>
            </w:tcBorders>
            <w:shd w:val="clear" w:color="auto" w:fill="auto"/>
            <w:vAlign w:val="center"/>
          </w:tcPr>
          <w:p w14:paraId="333D8F83">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sz w:val="21"/>
                <w:szCs w:val="21"/>
                <w:lang w:val="en-US" w:eastAsia="zh-CN"/>
              </w:rPr>
              <w:t>3#洗衣房及污物间</w:t>
            </w:r>
          </w:p>
        </w:tc>
        <w:tc>
          <w:tcPr>
            <w:tcW w:w="930" w:type="dxa"/>
            <w:vMerge w:val="continue"/>
            <w:tcBorders>
              <w:tl2br w:val="nil"/>
              <w:tr2bl w:val="nil"/>
            </w:tcBorders>
            <w:shd w:val="clear" w:color="auto" w:fill="auto"/>
            <w:vAlign w:val="center"/>
          </w:tcPr>
          <w:p w14:paraId="5C47CB6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p>
        </w:tc>
        <w:tc>
          <w:tcPr>
            <w:tcW w:w="2495" w:type="dxa"/>
            <w:vMerge w:val="continue"/>
            <w:tcBorders>
              <w:tl2br w:val="nil"/>
              <w:tr2bl w:val="nil"/>
            </w:tcBorders>
            <w:shd w:val="clear" w:color="auto" w:fill="auto"/>
            <w:vAlign w:val="center"/>
          </w:tcPr>
          <w:p w14:paraId="1742E65A">
            <w:pPr>
              <w:pStyle w:val="11"/>
              <w:keepNext w:val="0"/>
              <w:keepLines w:val="0"/>
              <w:pageBreakBefore w:val="0"/>
              <w:kinsoku/>
              <w:wordWrap/>
              <w:overflowPunct/>
              <w:topLinePunct w:val="0"/>
              <w:autoSpaceDE/>
              <w:autoSpaceDN/>
              <w:bidi w:val="0"/>
              <w:adjustRightInd/>
              <w:snapToGrid/>
              <w:spacing w:line="360" w:lineRule="exact"/>
              <w:ind w:firstLine="420" w:firstLineChars="200"/>
              <w:jc w:val="center"/>
              <w:rPr>
                <w:rFonts w:hint="eastAsia" w:ascii="宋体" w:hAnsi="宋体" w:eastAsia="宋体" w:cs="宋体"/>
                <w:color w:val="auto"/>
                <w:kern w:val="0"/>
                <w:sz w:val="21"/>
                <w:szCs w:val="21"/>
              </w:rPr>
            </w:pPr>
          </w:p>
        </w:tc>
        <w:tc>
          <w:tcPr>
            <w:tcW w:w="942" w:type="dxa"/>
            <w:tcBorders>
              <w:bottom w:val="single" w:color="auto" w:sz="4" w:space="0"/>
              <w:tl2br w:val="nil"/>
              <w:tr2bl w:val="nil"/>
            </w:tcBorders>
            <w:shd w:val="clear" w:color="auto" w:fill="auto"/>
            <w:vAlign w:val="center"/>
          </w:tcPr>
          <w:p w14:paraId="717DEFE3">
            <w:pPr>
              <w:keepNext w:val="0"/>
              <w:keepLines w:val="0"/>
              <w:pageBreakBefore w:val="0"/>
              <w:kinsoku/>
              <w:wordWrap/>
              <w:overflowPunct/>
              <w:topLinePunct w:val="0"/>
              <w:autoSpaceDE/>
              <w:autoSpaceDN/>
              <w:bidi w:val="0"/>
              <w:adjustRightInd/>
              <w:snapToGrid/>
              <w:spacing w:line="360" w:lineRule="exact"/>
              <w:ind w:left="-113" w:right="-113"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sz w:val="21"/>
                <w:szCs w:val="21"/>
                <w:lang w:val="en-US" w:eastAsia="zh-CN"/>
              </w:rPr>
              <w:t>252</w:t>
            </w:r>
          </w:p>
        </w:tc>
        <w:tc>
          <w:tcPr>
            <w:tcW w:w="786" w:type="dxa"/>
            <w:tcBorders>
              <w:bottom w:val="single" w:color="auto" w:sz="4" w:space="0"/>
              <w:tl2br w:val="nil"/>
              <w:tr2bl w:val="nil"/>
            </w:tcBorders>
            <w:shd w:val="clear" w:color="auto" w:fill="auto"/>
            <w:vAlign w:val="center"/>
          </w:tcPr>
          <w:p w14:paraId="0F6A4A8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spacing w:val="-1"/>
                <w:sz w:val="21"/>
                <w:szCs w:val="21"/>
                <w:lang w:eastAsia="zh-CN"/>
              </w:rPr>
              <w:t>㎡</w:t>
            </w:r>
          </w:p>
        </w:tc>
        <w:tc>
          <w:tcPr>
            <w:tcW w:w="888" w:type="dxa"/>
            <w:tcBorders>
              <w:bottom w:val="single" w:color="auto" w:sz="4" w:space="0"/>
              <w:tl2br w:val="nil"/>
              <w:tr2bl w:val="nil"/>
            </w:tcBorders>
            <w:shd w:val="clear" w:color="auto" w:fill="auto"/>
            <w:vAlign w:val="center"/>
          </w:tcPr>
          <w:p w14:paraId="4D7C4F5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p>
        </w:tc>
        <w:tc>
          <w:tcPr>
            <w:tcW w:w="1129" w:type="dxa"/>
            <w:tcBorders>
              <w:bottom w:val="single" w:color="auto" w:sz="4" w:space="0"/>
              <w:tl2br w:val="nil"/>
              <w:tr2bl w:val="nil"/>
            </w:tcBorders>
            <w:shd w:val="clear" w:color="auto" w:fill="auto"/>
            <w:vAlign w:val="center"/>
          </w:tcPr>
          <w:p w14:paraId="3BEC414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宋体" w:hAnsi="宋体" w:eastAsia="宋体" w:cs="宋体"/>
                <w:color w:val="auto"/>
                <w:kern w:val="0"/>
                <w:sz w:val="21"/>
                <w:szCs w:val="21"/>
                <w:lang w:val="en-US" w:eastAsia="zh-CN"/>
              </w:rPr>
            </w:pPr>
          </w:p>
        </w:tc>
      </w:tr>
      <w:tr w14:paraId="11D8F5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89" w:hRule="atLeast"/>
          <w:jc w:val="center"/>
        </w:trPr>
        <w:tc>
          <w:tcPr>
            <w:tcW w:w="718" w:type="dxa"/>
            <w:vMerge w:val="restart"/>
            <w:tcBorders>
              <w:tl2br w:val="nil"/>
              <w:tr2bl w:val="nil"/>
            </w:tcBorders>
            <w:shd w:val="clear" w:color="auto" w:fill="auto"/>
            <w:vAlign w:val="center"/>
          </w:tcPr>
          <w:p w14:paraId="2DF133D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绝缘</w:t>
            </w:r>
          </w:p>
          <w:p w14:paraId="00D7A5F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电阻</w:t>
            </w:r>
          </w:p>
        </w:tc>
        <w:tc>
          <w:tcPr>
            <w:tcW w:w="1303" w:type="dxa"/>
            <w:tcBorders>
              <w:bottom w:val="single" w:color="auto" w:sz="4" w:space="0"/>
              <w:tl2br w:val="nil"/>
              <w:tr2bl w:val="nil"/>
            </w:tcBorders>
            <w:shd w:val="clear" w:color="auto" w:fill="auto"/>
            <w:vAlign w:val="center"/>
          </w:tcPr>
          <w:p w14:paraId="586D8C5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cs="宋体"/>
                <w:color w:val="auto"/>
                <w:sz w:val="21"/>
                <w:szCs w:val="21"/>
                <w:lang w:val="en-US" w:eastAsia="zh-CN"/>
              </w:rPr>
              <w:t>1#综合大楼</w:t>
            </w:r>
          </w:p>
        </w:tc>
        <w:tc>
          <w:tcPr>
            <w:tcW w:w="930" w:type="dxa"/>
            <w:vMerge w:val="restart"/>
            <w:tcBorders>
              <w:tl2br w:val="nil"/>
              <w:tr2bl w:val="nil"/>
            </w:tcBorders>
            <w:shd w:val="clear" w:color="auto" w:fill="auto"/>
            <w:vAlign w:val="center"/>
          </w:tcPr>
          <w:p w14:paraId="583989A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7.2.2</w:t>
            </w:r>
          </w:p>
        </w:tc>
        <w:tc>
          <w:tcPr>
            <w:tcW w:w="2495" w:type="dxa"/>
            <w:vMerge w:val="restart"/>
            <w:tcBorders>
              <w:tl2br w:val="nil"/>
              <w:tr2bl w:val="nil"/>
            </w:tcBorders>
            <w:shd w:val="clear" w:color="auto" w:fill="auto"/>
            <w:vAlign w:val="center"/>
          </w:tcPr>
          <w:p w14:paraId="00424283">
            <w:pPr>
              <w:pStyle w:val="1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单位工程根据标准规范要求及现场检测环境结合确定检测数量，按设计要求，由监理（建设）、施工等各方根据现场的情况共同选定检测部位。（计费按建筑面积计算）</w:t>
            </w:r>
          </w:p>
        </w:tc>
        <w:tc>
          <w:tcPr>
            <w:tcW w:w="942" w:type="dxa"/>
            <w:tcBorders>
              <w:bottom w:val="single" w:color="auto" w:sz="4" w:space="0"/>
              <w:tl2br w:val="nil"/>
              <w:tr2bl w:val="nil"/>
            </w:tcBorders>
            <w:shd w:val="clear" w:color="auto" w:fill="auto"/>
            <w:vAlign w:val="center"/>
          </w:tcPr>
          <w:p w14:paraId="75DF5E6A">
            <w:pPr>
              <w:keepNext w:val="0"/>
              <w:keepLines w:val="0"/>
              <w:pageBreakBefore w:val="0"/>
              <w:kinsoku/>
              <w:wordWrap/>
              <w:overflowPunct/>
              <w:topLinePunct w:val="0"/>
              <w:autoSpaceDE/>
              <w:autoSpaceDN/>
              <w:bidi w:val="0"/>
              <w:adjustRightInd/>
              <w:snapToGrid/>
              <w:spacing w:line="360" w:lineRule="exact"/>
              <w:ind w:left="-113" w:right="-113"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sz w:val="21"/>
                <w:szCs w:val="21"/>
                <w:lang w:val="en-US" w:eastAsia="zh-CN"/>
              </w:rPr>
              <w:t>27941.21</w:t>
            </w:r>
          </w:p>
        </w:tc>
        <w:tc>
          <w:tcPr>
            <w:tcW w:w="786" w:type="dxa"/>
            <w:tcBorders>
              <w:bottom w:val="single" w:color="auto" w:sz="4" w:space="0"/>
              <w:tl2br w:val="nil"/>
              <w:tr2bl w:val="nil"/>
            </w:tcBorders>
            <w:shd w:val="clear" w:color="auto" w:fill="auto"/>
            <w:vAlign w:val="center"/>
          </w:tcPr>
          <w:p w14:paraId="71B600E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spacing w:val="-1"/>
                <w:sz w:val="21"/>
                <w:szCs w:val="21"/>
                <w:lang w:eastAsia="zh-CN"/>
              </w:rPr>
              <w:t>㎡</w:t>
            </w:r>
          </w:p>
        </w:tc>
        <w:tc>
          <w:tcPr>
            <w:tcW w:w="888" w:type="dxa"/>
            <w:tcBorders>
              <w:bottom w:val="single" w:color="auto" w:sz="4" w:space="0"/>
              <w:tl2br w:val="nil"/>
              <w:tr2bl w:val="nil"/>
            </w:tcBorders>
            <w:shd w:val="clear" w:color="auto" w:fill="auto"/>
            <w:vAlign w:val="center"/>
          </w:tcPr>
          <w:p w14:paraId="0ED3294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p>
        </w:tc>
        <w:tc>
          <w:tcPr>
            <w:tcW w:w="1129" w:type="dxa"/>
            <w:tcBorders>
              <w:bottom w:val="single" w:color="auto" w:sz="4" w:space="0"/>
              <w:tl2br w:val="nil"/>
              <w:tr2bl w:val="nil"/>
            </w:tcBorders>
            <w:shd w:val="clear" w:color="auto" w:fill="auto"/>
            <w:vAlign w:val="center"/>
          </w:tcPr>
          <w:p w14:paraId="794DB11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p>
        </w:tc>
      </w:tr>
      <w:tr w14:paraId="2A95B0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837" w:hRule="atLeast"/>
          <w:jc w:val="center"/>
        </w:trPr>
        <w:tc>
          <w:tcPr>
            <w:tcW w:w="718" w:type="dxa"/>
            <w:vMerge w:val="continue"/>
            <w:tcBorders>
              <w:tl2br w:val="nil"/>
              <w:tr2bl w:val="nil"/>
            </w:tcBorders>
            <w:shd w:val="clear" w:color="auto" w:fill="auto"/>
            <w:vAlign w:val="center"/>
          </w:tcPr>
          <w:p w14:paraId="1088AB6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p>
        </w:tc>
        <w:tc>
          <w:tcPr>
            <w:tcW w:w="1303" w:type="dxa"/>
            <w:tcBorders>
              <w:top w:val="single" w:color="auto" w:sz="4" w:space="0"/>
              <w:bottom w:val="single" w:color="auto" w:sz="4" w:space="0"/>
              <w:tl2br w:val="nil"/>
              <w:tr2bl w:val="nil"/>
            </w:tcBorders>
            <w:shd w:val="clear" w:color="auto" w:fill="auto"/>
            <w:vAlign w:val="center"/>
          </w:tcPr>
          <w:p w14:paraId="5DB09B98">
            <w:pPr>
              <w:keepNext w:val="0"/>
              <w:keepLines w:val="0"/>
              <w:pageBreakBefore w:val="0"/>
              <w:kinsoku/>
              <w:wordWrap/>
              <w:overflowPunct/>
              <w:topLinePunct w:val="0"/>
              <w:autoSpaceDE/>
              <w:autoSpaceDN/>
              <w:bidi w:val="0"/>
              <w:adjustRightInd/>
              <w:snapToGrid/>
              <w:spacing w:line="360" w:lineRule="exact"/>
              <w:ind w:left="0" w:leftChars="0"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sz w:val="21"/>
                <w:szCs w:val="21"/>
                <w:lang w:val="en-US" w:eastAsia="zh-CN"/>
              </w:rPr>
              <w:t>2#门卫室</w:t>
            </w:r>
          </w:p>
        </w:tc>
        <w:tc>
          <w:tcPr>
            <w:tcW w:w="930" w:type="dxa"/>
            <w:vMerge w:val="continue"/>
            <w:tcBorders>
              <w:tl2br w:val="nil"/>
              <w:tr2bl w:val="nil"/>
            </w:tcBorders>
            <w:shd w:val="clear" w:color="auto" w:fill="auto"/>
            <w:vAlign w:val="center"/>
          </w:tcPr>
          <w:p w14:paraId="4D3F9B2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p>
        </w:tc>
        <w:tc>
          <w:tcPr>
            <w:tcW w:w="2495" w:type="dxa"/>
            <w:vMerge w:val="continue"/>
            <w:tcBorders>
              <w:tl2br w:val="nil"/>
              <w:tr2bl w:val="nil"/>
            </w:tcBorders>
            <w:shd w:val="clear" w:color="auto" w:fill="auto"/>
            <w:vAlign w:val="center"/>
          </w:tcPr>
          <w:p w14:paraId="6B287A55">
            <w:pPr>
              <w:pStyle w:val="11"/>
              <w:keepNext w:val="0"/>
              <w:keepLines w:val="0"/>
              <w:pageBreakBefore w:val="0"/>
              <w:kinsoku/>
              <w:wordWrap/>
              <w:overflowPunct/>
              <w:topLinePunct w:val="0"/>
              <w:autoSpaceDE/>
              <w:autoSpaceDN/>
              <w:bidi w:val="0"/>
              <w:adjustRightInd/>
              <w:snapToGrid/>
              <w:spacing w:line="360" w:lineRule="exact"/>
              <w:ind w:firstLine="420" w:firstLineChars="200"/>
              <w:jc w:val="center"/>
              <w:rPr>
                <w:rFonts w:hint="eastAsia" w:ascii="宋体" w:hAnsi="宋体" w:eastAsia="宋体" w:cs="宋体"/>
                <w:color w:val="auto"/>
                <w:kern w:val="0"/>
                <w:sz w:val="21"/>
                <w:szCs w:val="21"/>
              </w:rPr>
            </w:pPr>
          </w:p>
        </w:tc>
        <w:tc>
          <w:tcPr>
            <w:tcW w:w="942" w:type="dxa"/>
            <w:tcBorders>
              <w:top w:val="single" w:color="auto" w:sz="4" w:space="0"/>
              <w:bottom w:val="single" w:color="auto" w:sz="4" w:space="0"/>
              <w:tl2br w:val="nil"/>
              <w:tr2bl w:val="nil"/>
            </w:tcBorders>
            <w:shd w:val="clear" w:color="auto" w:fill="auto"/>
            <w:vAlign w:val="center"/>
          </w:tcPr>
          <w:p w14:paraId="1602AA3E">
            <w:pPr>
              <w:keepNext w:val="0"/>
              <w:keepLines w:val="0"/>
              <w:pageBreakBefore w:val="0"/>
              <w:kinsoku/>
              <w:wordWrap/>
              <w:overflowPunct/>
              <w:topLinePunct w:val="0"/>
              <w:autoSpaceDE/>
              <w:autoSpaceDN/>
              <w:bidi w:val="0"/>
              <w:adjustRightInd/>
              <w:snapToGrid/>
              <w:spacing w:line="360" w:lineRule="exact"/>
              <w:ind w:left="-113" w:right="-113"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sz w:val="21"/>
                <w:szCs w:val="21"/>
                <w:lang w:val="en-US" w:eastAsia="zh-CN"/>
              </w:rPr>
              <w:t>45.6</w:t>
            </w:r>
          </w:p>
        </w:tc>
        <w:tc>
          <w:tcPr>
            <w:tcW w:w="786" w:type="dxa"/>
            <w:tcBorders>
              <w:top w:val="single" w:color="auto" w:sz="4" w:space="0"/>
              <w:bottom w:val="single" w:color="auto" w:sz="4" w:space="0"/>
              <w:tl2br w:val="nil"/>
              <w:tr2bl w:val="nil"/>
            </w:tcBorders>
            <w:shd w:val="clear" w:color="auto" w:fill="auto"/>
            <w:vAlign w:val="center"/>
          </w:tcPr>
          <w:p w14:paraId="0A9FE6A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spacing w:val="-1"/>
                <w:sz w:val="21"/>
                <w:szCs w:val="21"/>
                <w:lang w:eastAsia="zh-CN"/>
              </w:rPr>
              <w:t>㎡</w:t>
            </w:r>
          </w:p>
        </w:tc>
        <w:tc>
          <w:tcPr>
            <w:tcW w:w="888" w:type="dxa"/>
            <w:tcBorders>
              <w:top w:val="single" w:color="auto" w:sz="4" w:space="0"/>
              <w:bottom w:val="single" w:color="auto" w:sz="4" w:space="0"/>
              <w:tl2br w:val="nil"/>
              <w:tr2bl w:val="nil"/>
            </w:tcBorders>
            <w:shd w:val="clear" w:color="auto" w:fill="auto"/>
            <w:vAlign w:val="center"/>
          </w:tcPr>
          <w:p w14:paraId="2040669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bidi="ar-SA"/>
              </w:rPr>
            </w:pPr>
          </w:p>
        </w:tc>
        <w:tc>
          <w:tcPr>
            <w:tcW w:w="1129" w:type="dxa"/>
            <w:tcBorders>
              <w:top w:val="single" w:color="auto" w:sz="4" w:space="0"/>
              <w:bottom w:val="single" w:color="auto" w:sz="4" w:space="0"/>
              <w:tl2br w:val="nil"/>
              <w:tr2bl w:val="nil"/>
            </w:tcBorders>
            <w:shd w:val="clear" w:color="auto" w:fill="auto"/>
            <w:vAlign w:val="center"/>
          </w:tcPr>
          <w:p w14:paraId="76D4A6A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0"/>
                <w:sz w:val="21"/>
                <w:szCs w:val="21"/>
                <w:lang w:val="en-US" w:eastAsia="zh-CN"/>
              </w:rPr>
            </w:pPr>
          </w:p>
        </w:tc>
      </w:tr>
      <w:tr w14:paraId="3A3FD4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880" w:hRule="atLeast"/>
          <w:jc w:val="center"/>
        </w:trPr>
        <w:tc>
          <w:tcPr>
            <w:tcW w:w="718" w:type="dxa"/>
            <w:vMerge w:val="continue"/>
            <w:tcBorders>
              <w:tl2br w:val="nil"/>
              <w:tr2bl w:val="nil"/>
            </w:tcBorders>
            <w:shd w:val="clear" w:color="auto" w:fill="auto"/>
            <w:vAlign w:val="center"/>
          </w:tcPr>
          <w:p w14:paraId="250BFCC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p>
        </w:tc>
        <w:tc>
          <w:tcPr>
            <w:tcW w:w="1303" w:type="dxa"/>
            <w:tcBorders>
              <w:top w:val="single" w:color="auto" w:sz="4" w:space="0"/>
              <w:bottom w:val="single" w:color="auto" w:sz="4" w:space="0"/>
              <w:tl2br w:val="nil"/>
              <w:tr2bl w:val="nil"/>
            </w:tcBorders>
            <w:shd w:val="clear" w:color="auto" w:fill="auto"/>
            <w:vAlign w:val="center"/>
          </w:tcPr>
          <w:p w14:paraId="47846DDD">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sz w:val="21"/>
                <w:szCs w:val="21"/>
                <w:lang w:val="en-US" w:eastAsia="zh-CN"/>
              </w:rPr>
              <w:t>3#洗衣房及污物间</w:t>
            </w:r>
          </w:p>
        </w:tc>
        <w:tc>
          <w:tcPr>
            <w:tcW w:w="930" w:type="dxa"/>
            <w:vMerge w:val="continue"/>
            <w:tcBorders>
              <w:tl2br w:val="nil"/>
              <w:tr2bl w:val="nil"/>
            </w:tcBorders>
            <w:shd w:val="clear" w:color="auto" w:fill="auto"/>
            <w:vAlign w:val="center"/>
          </w:tcPr>
          <w:p w14:paraId="259A5DC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p>
        </w:tc>
        <w:tc>
          <w:tcPr>
            <w:tcW w:w="2495" w:type="dxa"/>
            <w:vMerge w:val="continue"/>
            <w:tcBorders>
              <w:tl2br w:val="nil"/>
              <w:tr2bl w:val="nil"/>
            </w:tcBorders>
            <w:shd w:val="clear" w:color="auto" w:fill="auto"/>
            <w:vAlign w:val="center"/>
          </w:tcPr>
          <w:p w14:paraId="7F9526C2">
            <w:pPr>
              <w:pStyle w:val="11"/>
              <w:keepNext w:val="0"/>
              <w:keepLines w:val="0"/>
              <w:pageBreakBefore w:val="0"/>
              <w:kinsoku/>
              <w:wordWrap/>
              <w:overflowPunct/>
              <w:topLinePunct w:val="0"/>
              <w:autoSpaceDE/>
              <w:autoSpaceDN/>
              <w:bidi w:val="0"/>
              <w:adjustRightInd/>
              <w:snapToGrid/>
              <w:spacing w:line="360" w:lineRule="exact"/>
              <w:ind w:firstLine="420" w:firstLineChars="200"/>
              <w:jc w:val="center"/>
              <w:rPr>
                <w:rFonts w:hint="eastAsia" w:ascii="宋体" w:hAnsi="宋体" w:eastAsia="宋体" w:cs="宋体"/>
                <w:color w:val="auto"/>
                <w:kern w:val="0"/>
                <w:sz w:val="21"/>
                <w:szCs w:val="21"/>
              </w:rPr>
            </w:pPr>
          </w:p>
        </w:tc>
        <w:tc>
          <w:tcPr>
            <w:tcW w:w="942" w:type="dxa"/>
            <w:tcBorders>
              <w:top w:val="single" w:color="auto" w:sz="4" w:space="0"/>
              <w:bottom w:val="single" w:color="auto" w:sz="4" w:space="0"/>
              <w:tl2br w:val="nil"/>
              <w:tr2bl w:val="nil"/>
            </w:tcBorders>
            <w:shd w:val="clear" w:color="auto" w:fill="auto"/>
            <w:vAlign w:val="center"/>
          </w:tcPr>
          <w:p w14:paraId="3FE7E186">
            <w:pPr>
              <w:keepNext w:val="0"/>
              <w:keepLines w:val="0"/>
              <w:pageBreakBefore w:val="0"/>
              <w:kinsoku/>
              <w:wordWrap/>
              <w:overflowPunct/>
              <w:topLinePunct w:val="0"/>
              <w:autoSpaceDE/>
              <w:autoSpaceDN/>
              <w:bidi w:val="0"/>
              <w:adjustRightInd/>
              <w:snapToGrid/>
              <w:spacing w:line="360" w:lineRule="exact"/>
              <w:ind w:left="-113" w:right="-113" w:firstLine="0" w:firstLine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sz w:val="21"/>
                <w:szCs w:val="21"/>
                <w:lang w:val="en-US" w:eastAsia="zh-CN"/>
              </w:rPr>
              <w:t>252</w:t>
            </w:r>
          </w:p>
        </w:tc>
        <w:tc>
          <w:tcPr>
            <w:tcW w:w="786" w:type="dxa"/>
            <w:tcBorders>
              <w:top w:val="single" w:color="auto" w:sz="4" w:space="0"/>
              <w:bottom w:val="single" w:color="auto" w:sz="4" w:space="0"/>
              <w:tl2br w:val="nil"/>
              <w:tr2bl w:val="nil"/>
            </w:tcBorders>
            <w:shd w:val="clear" w:color="auto" w:fill="auto"/>
            <w:vAlign w:val="center"/>
          </w:tcPr>
          <w:p w14:paraId="2C98CA0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spacing w:val="-1"/>
                <w:sz w:val="21"/>
                <w:szCs w:val="21"/>
                <w:lang w:eastAsia="zh-CN"/>
              </w:rPr>
              <w:t>㎡</w:t>
            </w:r>
          </w:p>
        </w:tc>
        <w:tc>
          <w:tcPr>
            <w:tcW w:w="888" w:type="dxa"/>
            <w:tcBorders>
              <w:top w:val="single" w:color="auto" w:sz="4" w:space="0"/>
              <w:bottom w:val="single" w:color="auto" w:sz="4" w:space="0"/>
              <w:tl2br w:val="nil"/>
              <w:tr2bl w:val="nil"/>
            </w:tcBorders>
            <w:shd w:val="clear" w:color="auto" w:fill="auto"/>
            <w:vAlign w:val="center"/>
          </w:tcPr>
          <w:p w14:paraId="2B8FD3D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bidi="ar-SA"/>
              </w:rPr>
            </w:pPr>
          </w:p>
        </w:tc>
        <w:tc>
          <w:tcPr>
            <w:tcW w:w="1129" w:type="dxa"/>
            <w:tcBorders>
              <w:top w:val="single" w:color="auto" w:sz="4" w:space="0"/>
              <w:bottom w:val="single" w:color="auto" w:sz="4" w:space="0"/>
              <w:tl2br w:val="nil"/>
              <w:tr2bl w:val="nil"/>
            </w:tcBorders>
            <w:shd w:val="clear" w:color="auto" w:fill="auto"/>
            <w:vAlign w:val="center"/>
          </w:tcPr>
          <w:p w14:paraId="6891A37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宋体" w:hAnsi="宋体" w:eastAsia="宋体" w:cs="宋体"/>
                <w:color w:val="auto"/>
                <w:kern w:val="0"/>
                <w:sz w:val="21"/>
                <w:szCs w:val="21"/>
                <w:lang w:val="en-US" w:eastAsia="zh-CN"/>
              </w:rPr>
            </w:pPr>
          </w:p>
        </w:tc>
      </w:tr>
      <w:tr w14:paraId="7368C9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412" w:hRule="atLeast"/>
          <w:jc w:val="center"/>
        </w:trPr>
        <w:tc>
          <w:tcPr>
            <w:tcW w:w="7174" w:type="dxa"/>
            <w:gridSpan w:val="6"/>
            <w:tcBorders>
              <w:right w:val="single" w:color="auto" w:sz="4" w:space="0"/>
              <w:tl2br w:val="nil"/>
              <w:tr2bl w:val="nil"/>
            </w:tcBorders>
            <w:shd w:val="clear" w:color="auto" w:fill="auto"/>
            <w:vAlign w:val="center"/>
          </w:tcPr>
          <w:p w14:paraId="2388664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建筑物附属设备安装工程检测总费用合计（元）</w:t>
            </w:r>
          </w:p>
        </w:tc>
        <w:tc>
          <w:tcPr>
            <w:tcW w:w="2017" w:type="dxa"/>
            <w:gridSpan w:val="2"/>
            <w:tcBorders>
              <w:left w:val="single" w:color="auto" w:sz="4" w:space="0"/>
              <w:tl2br w:val="nil"/>
              <w:tr2bl w:val="nil"/>
            </w:tcBorders>
            <w:shd w:val="clear" w:color="auto" w:fill="auto"/>
            <w:vAlign w:val="center"/>
          </w:tcPr>
          <w:p w14:paraId="0CA07EE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宋体" w:hAnsi="宋体" w:eastAsia="宋体" w:cs="宋体"/>
                <w:color w:val="FF0000"/>
                <w:kern w:val="0"/>
                <w:sz w:val="21"/>
                <w:szCs w:val="21"/>
                <w:lang w:val="en-US" w:eastAsia="zh-CN"/>
              </w:rPr>
            </w:pPr>
          </w:p>
        </w:tc>
      </w:tr>
      <w:tr w14:paraId="54B5BD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72" w:hRule="atLeast"/>
          <w:jc w:val="center"/>
        </w:trPr>
        <w:tc>
          <w:tcPr>
            <w:tcW w:w="7174" w:type="dxa"/>
            <w:gridSpan w:val="6"/>
            <w:tcBorders>
              <w:right w:val="single" w:color="auto" w:sz="4" w:space="0"/>
              <w:tl2br w:val="nil"/>
              <w:tr2bl w:val="nil"/>
            </w:tcBorders>
            <w:shd w:val="clear" w:color="auto" w:fill="auto"/>
            <w:vAlign w:val="center"/>
          </w:tcPr>
          <w:p w14:paraId="1E2A3C2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建筑物附属设备安装工程检测总费用下浮</w:t>
            </w:r>
            <w:r>
              <w:rPr>
                <w:rFonts w:hint="eastAsia" w:ascii="宋体" w:hAnsi="宋体" w:cs="宋体"/>
                <w:color w:val="auto"/>
                <w:kern w:val="0"/>
                <w:sz w:val="21"/>
                <w:szCs w:val="21"/>
                <w:lang w:val="en-US" w:eastAsia="zh-CN"/>
              </w:rPr>
              <w:t>55</w:t>
            </w:r>
            <w:r>
              <w:rPr>
                <w:rFonts w:hint="eastAsia" w:ascii="宋体" w:hAnsi="宋体" w:eastAsia="宋体" w:cs="宋体"/>
                <w:color w:val="auto"/>
                <w:kern w:val="0"/>
                <w:sz w:val="21"/>
                <w:szCs w:val="21"/>
                <w:lang w:val="en-US" w:eastAsia="zh-CN"/>
              </w:rPr>
              <w:t>%计算（元）</w:t>
            </w:r>
          </w:p>
        </w:tc>
        <w:tc>
          <w:tcPr>
            <w:tcW w:w="2017" w:type="dxa"/>
            <w:gridSpan w:val="2"/>
            <w:tcBorders>
              <w:left w:val="single" w:color="auto" w:sz="4" w:space="0"/>
              <w:tl2br w:val="nil"/>
              <w:tr2bl w:val="nil"/>
            </w:tcBorders>
            <w:shd w:val="clear" w:color="auto" w:fill="auto"/>
            <w:vAlign w:val="center"/>
          </w:tcPr>
          <w:p w14:paraId="3B58D0C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宋体" w:hAnsi="宋体" w:eastAsia="宋体" w:cs="宋体"/>
                <w:color w:val="FF0000"/>
                <w:kern w:val="0"/>
                <w:sz w:val="21"/>
                <w:szCs w:val="21"/>
                <w:lang w:val="en-US" w:eastAsia="zh-CN"/>
              </w:rPr>
            </w:pPr>
          </w:p>
        </w:tc>
      </w:tr>
      <w:tr w14:paraId="131DEE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68" w:hRule="atLeast"/>
          <w:jc w:val="center"/>
        </w:trPr>
        <w:tc>
          <w:tcPr>
            <w:tcW w:w="9191" w:type="dxa"/>
            <w:gridSpan w:val="8"/>
            <w:tcBorders>
              <w:tl2br w:val="nil"/>
              <w:tr2bl w:val="nil"/>
            </w:tcBorders>
            <w:shd w:val="clear" w:color="auto" w:fill="auto"/>
            <w:vAlign w:val="center"/>
          </w:tcPr>
          <w:p w14:paraId="168494A8">
            <w:pPr>
              <w:keepNext w:val="0"/>
              <w:keepLines w:val="0"/>
              <w:pageBreakBefore w:val="0"/>
              <w:widowControl/>
              <w:kinsoku/>
              <w:wordWrap/>
              <w:overflowPunct/>
              <w:topLinePunct w:val="0"/>
              <w:autoSpaceDE/>
              <w:autoSpaceDN/>
              <w:bidi w:val="0"/>
              <w:adjustRightInd/>
              <w:snapToGrid/>
              <w:spacing w:line="360" w:lineRule="exact"/>
              <w:ind w:firstLine="0" w:firstLineChars="0"/>
              <w:jc w:val="left"/>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注：以实际发生量为准。</w:t>
            </w:r>
          </w:p>
        </w:tc>
      </w:tr>
    </w:tbl>
    <w:p w14:paraId="16E6885D">
      <w:pPr>
        <w:pStyle w:val="118"/>
        <w:keepNext w:val="0"/>
        <w:keepLines w:val="0"/>
        <w:pageBreakBefore w:val="0"/>
        <w:widowControl w:val="0"/>
        <w:numPr>
          <w:ilvl w:val="0"/>
          <w:numId w:val="1"/>
        </w:numPr>
        <w:tabs>
          <w:tab w:val="left" w:pos="-1486"/>
          <w:tab w:val="left" w:pos="-142"/>
        </w:tabs>
        <w:kinsoku/>
        <w:wordWrap/>
        <w:overflowPunct/>
        <w:topLinePunct w:val="0"/>
        <w:autoSpaceDE/>
        <w:autoSpaceDN/>
        <w:bidi w:val="0"/>
        <w:adjustRightInd/>
        <w:snapToGrid/>
        <w:spacing w:before="100" w:beforeLines="30" w:after="67" w:afterLines="20" w:line="560" w:lineRule="exact"/>
        <w:ind w:left="6" w:leftChars="0" w:hanging="6" w:firstLineChars="0"/>
        <w:jc w:val="center"/>
        <w:textAlignment w:val="auto"/>
        <w:rPr>
          <w:rFonts w:hint="eastAsia" w:ascii="宋体" w:hAnsi="宋体" w:eastAsia="宋体" w:cs="宋体"/>
          <w:b/>
          <w:bCs w:val="0"/>
          <w:color w:val="000000" w:themeColor="text1"/>
          <w:sz w:val="28"/>
          <w:szCs w:val="28"/>
          <w:highlight w:val="none"/>
          <w14:textFill>
            <w14:solidFill>
              <w14:schemeClr w14:val="tx1"/>
            </w14:solidFill>
          </w14:textFill>
        </w:rPr>
      </w:pPr>
      <w:r>
        <w:rPr>
          <w:rFonts w:hint="eastAsia" w:ascii="宋体" w:hAnsi="宋体" w:eastAsia="宋体" w:cs="宋体"/>
          <w:b/>
          <w:bCs w:val="0"/>
          <w:color w:val="000000" w:themeColor="text1"/>
          <w:sz w:val="28"/>
          <w:szCs w:val="28"/>
          <w:highlight w:val="none"/>
          <w14:textFill>
            <w14:solidFill>
              <w14:schemeClr w14:val="tx1"/>
            </w14:solidFill>
          </w14:textFill>
        </w:rPr>
        <w:t>绿色建筑检测</w:t>
      </w:r>
    </w:p>
    <w:p w14:paraId="543B4766">
      <w:pPr>
        <w:pStyle w:val="118"/>
        <w:keepNext w:val="0"/>
        <w:keepLines w:val="0"/>
        <w:pageBreakBefore w:val="0"/>
        <w:widowControl w:val="0"/>
        <w:numPr>
          <w:ilvl w:val="0"/>
          <w:numId w:val="0"/>
        </w:numPr>
        <w:tabs>
          <w:tab w:val="left" w:pos="-1486"/>
          <w:tab w:val="left" w:pos="-142"/>
        </w:tabs>
        <w:kinsoku/>
        <w:wordWrap/>
        <w:overflowPunct/>
        <w:topLinePunct w:val="0"/>
        <w:autoSpaceDE/>
        <w:autoSpaceDN/>
        <w:bidi w:val="0"/>
        <w:adjustRightInd/>
        <w:snapToGrid/>
        <w:spacing w:before="100" w:beforeLines="30" w:after="67" w:afterLines="20" w:line="560" w:lineRule="exact"/>
        <w:ind w:leftChars="0" w:firstLine="562" w:firstLineChars="200"/>
        <w:jc w:val="left"/>
        <w:textAlignment w:val="auto"/>
        <w:rPr>
          <w:rFonts w:hint="eastAsia" w:ascii="宋体" w:hAnsi="宋体" w:eastAsia="宋体" w:cs="宋体"/>
          <w:b/>
          <w:bCs w:val="0"/>
          <w:color w:val="000000" w:themeColor="text1"/>
          <w:sz w:val="28"/>
          <w:szCs w:val="28"/>
          <w:highlight w:val="none"/>
          <w14:textFill>
            <w14:solidFill>
              <w14:schemeClr w14:val="tx1"/>
            </w14:solidFill>
          </w14:textFill>
        </w:rPr>
      </w:pPr>
      <w:r>
        <w:rPr>
          <w:rFonts w:hint="eastAsia" w:ascii="宋体" w:hAnsi="宋体" w:eastAsia="宋体" w:cs="宋体"/>
          <w:b/>
          <w:bCs w:val="0"/>
          <w:color w:val="000000" w:themeColor="text1"/>
          <w:sz w:val="28"/>
          <w:szCs w:val="28"/>
          <w:highlight w:val="none"/>
          <w:lang w:val="en-US" w:eastAsia="zh-CN"/>
          <w14:textFill>
            <w14:solidFill>
              <w14:schemeClr w14:val="tx1"/>
            </w14:solidFill>
          </w14:textFill>
        </w:rPr>
        <w:t>1.</w:t>
      </w:r>
      <w:r>
        <w:rPr>
          <w:rFonts w:hint="eastAsia" w:ascii="宋体" w:hAnsi="宋体" w:eastAsia="宋体" w:cs="宋体"/>
          <w:b/>
          <w:bCs w:val="0"/>
          <w:color w:val="000000" w:themeColor="text1"/>
          <w:sz w:val="28"/>
          <w:szCs w:val="28"/>
          <w:highlight w:val="none"/>
          <w14:textFill>
            <w14:solidFill>
              <w14:schemeClr w14:val="tx1"/>
            </w14:solidFill>
          </w14:textFill>
        </w:rPr>
        <w:t>室内环境</w:t>
      </w:r>
    </w:p>
    <w:tbl>
      <w:tblPr>
        <w:tblStyle w:val="26"/>
        <w:tblW w:w="9234"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760"/>
        <w:gridCol w:w="1077"/>
        <w:gridCol w:w="776"/>
        <w:gridCol w:w="2711"/>
        <w:gridCol w:w="1152"/>
        <w:gridCol w:w="804"/>
        <w:gridCol w:w="1008"/>
        <w:gridCol w:w="946"/>
      </w:tblGrid>
      <w:tr w14:paraId="626678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49" w:hRule="atLeast"/>
          <w:jc w:val="center"/>
        </w:trPr>
        <w:tc>
          <w:tcPr>
            <w:tcW w:w="9234" w:type="dxa"/>
            <w:gridSpan w:val="8"/>
            <w:tcBorders>
              <w:tl2br w:val="nil"/>
              <w:tr2bl w:val="nil"/>
            </w:tcBorders>
            <w:shd w:val="clear" w:color="auto" w:fill="auto"/>
            <w:vAlign w:val="center"/>
          </w:tcPr>
          <w:p w14:paraId="3CED46D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室内环境检测数量表</w:t>
            </w:r>
          </w:p>
        </w:tc>
      </w:tr>
      <w:tr w14:paraId="3F0F58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97" w:hRule="atLeast"/>
          <w:jc w:val="center"/>
        </w:trPr>
        <w:tc>
          <w:tcPr>
            <w:tcW w:w="760" w:type="dxa"/>
            <w:tcBorders>
              <w:tl2br w:val="nil"/>
              <w:tr2bl w:val="nil"/>
            </w:tcBorders>
            <w:shd w:val="clear" w:color="auto" w:fill="auto"/>
            <w:vAlign w:val="center"/>
          </w:tcPr>
          <w:p w14:paraId="53ACE79A">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楼号</w:t>
            </w:r>
          </w:p>
        </w:tc>
        <w:tc>
          <w:tcPr>
            <w:tcW w:w="1077" w:type="dxa"/>
            <w:tcBorders>
              <w:tl2br w:val="nil"/>
              <w:tr2bl w:val="nil"/>
            </w:tcBorders>
            <w:shd w:val="clear" w:color="auto" w:fill="auto"/>
            <w:vAlign w:val="center"/>
          </w:tcPr>
          <w:p w14:paraId="278A439E">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检测项目</w:t>
            </w:r>
          </w:p>
          <w:p w14:paraId="140B9F80">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名称</w:t>
            </w:r>
          </w:p>
        </w:tc>
        <w:tc>
          <w:tcPr>
            <w:tcW w:w="776" w:type="dxa"/>
            <w:tcBorders>
              <w:tl2br w:val="nil"/>
              <w:tr2bl w:val="nil"/>
            </w:tcBorders>
            <w:shd w:val="clear" w:color="auto" w:fill="auto"/>
            <w:vAlign w:val="center"/>
          </w:tcPr>
          <w:p w14:paraId="4D0CE155">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检测项目序号</w:t>
            </w:r>
          </w:p>
        </w:tc>
        <w:tc>
          <w:tcPr>
            <w:tcW w:w="2711" w:type="dxa"/>
            <w:tcBorders>
              <w:tl2br w:val="nil"/>
              <w:tr2bl w:val="nil"/>
            </w:tcBorders>
            <w:shd w:val="clear" w:color="auto" w:fill="auto"/>
            <w:vAlign w:val="center"/>
          </w:tcPr>
          <w:p w14:paraId="7C2F5307">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抽检频率</w:t>
            </w:r>
          </w:p>
        </w:tc>
        <w:tc>
          <w:tcPr>
            <w:tcW w:w="1152" w:type="dxa"/>
            <w:tcBorders>
              <w:tl2br w:val="nil"/>
              <w:tr2bl w:val="nil"/>
            </w:tcBorders>
            <w:shd w:val="clear" w:color="auto" w:fill="auto"/>
            <w:vAlign w:val="center"/>
          </w:tcPr>
          <w:p w14:paraId="00E9221C">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房间使用</w:t>
            </w:r>
          </w:p>
          <w:p w14:paraId="77B0C17F">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面积(m</w:t>
            </w:r>
            <w:r>
              <w:rPr>
                <w:rFonts w:hint="eastAsia" w:ascii="宋体" w:hAnsi="宋体" w:eastAsia="宋体" w:cs="宋体"/>
                <w:color w:val="auto"/>
                <w:kern w:val="0"/>
                <w:sz w:val="21"/>
                <w:szCs w:val="21"/>
                <w:vertAlign w:val="superscript"/>
              </w:rPr>
              <w:t>2</w:t>
            </w:r>
            <w:r>
              <w:rPr>
                <w:rFonts w:hint="eastAsia" w:ascii="宋体" w:hAnsi="宋体" w:eastAsia="宋体" w:cs="宋体"/>
                <w:color w:val="auto"/>
                <w:kern w:val="0"/>
                <w:sz w:val="21"/>
                <w:szCs w:val="21"/>
              </w:rPr>
              <w:t>)</w:t>
            </w:r>
          </w:p>
        </w:tc>
        <w:tc>
          <w:tcPr>
            <w:tcW w:w="804" w:type="dxa"/>
            <w:tcBorders>
              <w:tl2br w:val="nil"/>
              <w:tr2bl w:val="nil"/>
            </w:tcBorders>
            <w:shd w:val="clear" w:color="auto" w:fill="auto"/>
            <w:vAlign w:val="center"/>
          </w:tcPr>
          <w:p w14:paraId="1E93A41B">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抽检数量（点）</w:t>
            </w:r>
          </w:p>
        </w:tc>
        <w:tc>
          <w:tcPr>
            <w:tcW w:w="1008" w:type="dxa"/>
            <w:tcBorders>
              <w:tl2br w:val="nil"/>
              <w:tr2bl w:val="nil"/>
            </w:tcBorders>
            <w:shd w:val="clear" w:color="auto" w:fill="auto"/>
            <w:vAlign w:val="center"/>
          </w:tcPr>
          <w:p w14:paraId="4E319D7F">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收费单价(元/点)</w:t>
            </w:r>
          </w:p>
        </w:tc>
        <w:tc>
          <w:tcPr>
            <w:tcW w:w="946" w:type="dxa"/>
            <w:tcBorders>
              <w:tl2br w:val="nil"/>
              <w:tr2bl w:val="nil"/>
            </w:tcBorders>
            <w:shd w:val="clear" w:color="auto" w:fill="auto"/>
            <w:vAlign w:val="center"/>
          </w:tcPr>
          <w:p w14:paraId="2A3665F7">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小</w:t>
            </w:r>
            <w:r>
              <w:rPr>
                <w:rFonts w:hint="eastAsia" w:ascii="宋体" w:hAnsi="宋体" w:eastAsia="宋体" w:cs="宋体"/>
                <w:color w:val="auto"/>
                <w:kern w:val="0"/>
                <w:sz w:val="21"/>
                <w:szCs w:val="21"/>
              </w:rPr>
              <w:t>计</w:t>
            </w:r>
          </w:p>
          <w:p w14:paraId="40BE516D">
            <w:pPr>
              <w:keepNext w:val="0"/>
              <w:keepLines w:val="0"/>
              <w:pageBreakBefore w:val="0"/>
              <w:widowControl/>
              <w:kinsoku/>
              <w:wordWrap/>
              <w:overflowPunct/>
              <w:topLinePunct w:val="0"/>
              <w:autoSpaceDE/>
              <w:autoSpaceDN/>
              <w:bidi w:val="0"/>
              <w:adjustRightInd/>
              <w:snapToGrid/>
              <w:spacing w:line="360" w:lineRule="exact"/>
              <w:ind w:left="-113" w:right="-113"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（元）</w:t>
            </w:r>
          </w:p>
        </w:tc>
      </w:tr>
      <w:tr w14:paraId="10E97C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72" w:hRule="atLeast"/>
          <w:jc w:val="center"/>
        </w:trPr>
        <w:tc>
          <w:tcPr>
            <w:tcW w:w="760" w:type="dxa"/>
            <w:vMerge w:val="restart"/>
            <w:tcBorders>
              <w:tl2br w:val="nil"/>
              <w:tr2bl w:val="nil"/>
            </w:tcBorders>
            <w:shd w:val="clear" w:color="auto" w:fill="auto"/>
            <w:vAlign w:val="center"/>
          </w:tcPr>
          <w:p w14:paraId="0A65F10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rPr>
            </w:pPr>
            <w:r>
              <w:rPr>
                <w:rFonts w:hint="eastAsia" w:ascii="宋体" w:hAnsi="宋体" w:cs="宋体"/>
                <w:color w:val="auto"/>
                <w:sz w:val="21"/>
                <w:szCs w:val="21"/>
                <w:lang w:val="en-US" w:eastAsia="zh-CN"/>
              </w:rPr>
              <w:t>1#综合大楼</w:t>
            </w:r>
          </w:p>
        </w:tc>
        <w:tc>
          <w:tcPr>
            <w:tcW w:w="1077" w:type="dxa"/>
            <w:vMerge w:val="restart"/>
            <w:tcBorders>
              <w:tl2br w:val="nil"/>
              <w:tr2bl w:val="nil"/>
            </w:tcBorders>
            <w:shd w:val="clear" w:color="auto" w:fill="auto"/>
            <w:vAlign w:val="center"/>
          </w:tcPr>
          <w:p w14:paraId="624C771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sz w:val="21"/>
                <w:szCs w:val="21"/>
              </w:rPr>
            </w:pPr>
          </w:p>
          <w:p w14:paraId="3319BD8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sz w:val="21"/>
                <w:szCs w:val="21"/>
              </w:rPr>
            </w:pPr>
          </w:p>
          <w:p w14:paraId="3BA51B1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sz w:val="21"/>
                <w:szCs w:val="21"/>
              </w:rPr>
              <w:t>室内空气污染物含量（甲醛、苯、TVOC、氨、氡、甲苯、二甲苯）</w:t>
            </w:r>
          </w:p>
        </w:tc>
        <w:tc>
          <w:tcPr>
            <w:tcW w:w="776" w:type="dxa"/>
            <w:vMerge w:val="restart"/>
            <w:tcBorders>
              <w:tl2br w:val="nil"/>
              <w:tr2bl w:val="nil"/>
            </w:tcBorders>
            <w:shd w:val="clear" w:color="auto" w:fill="auto"/>
            <w:vAlign w:val="center"/>
          </w:tcPr>
          <w:p w14:paraId="4ED92C6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8.1.1～8.1.7</w:t>
            </w:r>
          </w:p>
        </w:tc>
        <w:tc>
          <w:tcPr>
            <w:tcW w:w="2711" w:type="dxa"/>
            <w:vMerge w:val="restart"/>
            <w:tcBorders>
              <w:tl2br w:val="nil"/>
              <w:tr2bl w:val="nil"/>
            </w:tcBorders>
            <w:shd w:val="clear" w:color="auto" w:fill="auto"/>
            <w:vAlign w:val="center"/>
          </w:tcPr>
          <w:p w14:paraId="5B2B14E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每个建筑单体抽检不得少于房间总数的5%，且不得少于三间。房间使用面积小于50㎡时，设1个检测点；房间使用面积50～100㎡时，设2个检测点；房间使用面积100～500㎡时，设不少于3个检测点</w:t>
            </w:r>
            <w:r>
              <w:rPr>
                <w:rFonts w:hint="eastAsia" w:ascii="宋体" w:hAnsi="宋体" w:cs="宋体"/>
                <w:color w:val="auto"/>
                <w:kern w:val="0"/>
                <w:sz w:val="21"/>
                <w:szCs w:val="21"/>
                <w:lang w:eastAsia="zh-CN"/>
              </w:rPr>
              <w:t>；</w:t>
            </w:r>
            <w:r>
              <w:rPr>
                <w:rFonts w:hint="eastAsia" w:ascii="宋体" w:hAnsi="宋体" w:eastAsia="宋体" w:cs="宋体"/>
                <w:color w:val="auto"/>
                <w:kern w:val="0"/>
                <w:sz w:val="21"/>
                <w:szCs w:val="21"/>
              </w:rPr>
              <w:t>房间使用面积500～1000㎡时，设不少于5个检测点</w:t>
            </w:r>
            <w:r>
              <w:rPr>
                <w:rFonts w:hint="eastAsia" w:ascii="宋体" w:hAnsi="宋体" w:cs="宋体"/>
                <w:color w:val="auto"/>
                <w:kern w:val="0"/>
                <w:sz w:val="21"/>
                <w:szCs w:val="21"/>
                <w:lang w:eastAsia="zh-CN"/>
              </w:rPr>
              <w:t>；</w:t>
            </w:r>
            <w:r>
              <w:rPr>
                <w:rFonts w:hint="eastAsia" w:ascii="宋体" w:hAnsi="宋体" w:eastAsia="宋体" w:cs="宋体"/>
                <w:color w:val="auto"/>
                <w:kern w:val="0"/>
                <w:sz w:val="21"/>
                <w:szCs w:val="21"/>
              </w:rPr>
              <w:t>房间使用面积大于1000㎡的，≥1000㎡的部分，每增加1000㎡增设1，增加面积不足1000㎡时按增加1000㎡计算</w:t>
            </w:r>
          </w:p>
        </w:tc>
        <w:tc>
          <w:tcPr>
            <w:tcW w:w="1152" w:type="dxa"/>
            <w:tcBorders>
              <w:tl2br w:val="nil"/>
              <w:tr2bl w:val="nil"/>
            </w:tcBorders>
            <w:shd w:val="clear" w:color="auto" w:fill="auto"/>
            <w:vAlign w:val="center"/>
          </w:tcPr>
          <w:p w14:paraId="31778BB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＜50㎡</w:t>
            </w:r>
            <w:r>
              <w:rPr>
                <w:rFonts w:hint="eastAsia" w:ascii="宋体" w:hAnsi="宋体" w:cs="宋体"/>
                <w:color w:val="auto"/>
                <w:kern w:val="0"/>
                <w:sz w:val="21"/>
                <w:szCs w:val="21"/>
                <w:lang w:eastAsia="zh-CN"/>
              </w:rPr>
              <w:t>共</w:t>
            </w:r>
            <w:r>
              <w:rPr>
                <w:rFonts w:hint="eastAsia" w:ascii="宋体" w:hAnsi="宋体" w:cs="宋体"/>
                <w:color w:val="auto"/>
                <w:kern w:val="0"/>
                <w:sz w:val="21"/>
                <w:szCs w:val="21"/>
                <w:lang w:val="en-US" w:eastAsia="zh-CN"/>
              </w:rPr>
              <w:t>321间</w:t>
            </w:r>
          </w:p>
        </w:tc>
        <w:tc>
          <w:tcPr>
            <w:tcW w:w="804" w:type="dxa"/>
            <w:tcBorders>
              <w:tl2br w:val="nil"/>
              <w:tr2bl w:val="nil"/>
            </w:tcBorders>
            <w:shd w:val="clear" w:color="auto" w:fill="auto"/>
            <w:vAlign w:val="center"/>
          </w:tcPr>
          <w:p w14:paraId="0255677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17</w:t>
            </w:r>
          </w:p>
        </w:tc>
        <w:tc>
          <w:tcPr>
            <w:tcW w:w="1008" w:type="dxa"/>
            <w:tcBorders>
              <w:tl2br w:val="nil"/>
              <w:tr2bl w:val="nil"/>
            </w:tcBorders>
            <w:shd w:val="clear" w:color="auto" w:fill="auto"/>
            <w:vAlign w:val="center"/>
          </w:tcPr>
          <w:p w14:paraId="47EB9C3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0"/>
                <w:sz w:val="21"/>
                <w:szCs w:val="21"/>
                <w:lang w:val="en-US" w:eastAsia="zh-CN"/>
              </w:rPr>
            </w:pPr>
          </w:p>
        </w:tc>
        <w:tc>
          <w:tcPr>
            <w:tcW w:w="946" w:type="dxa"/>
            <w:tcBorders>
              <w:tl2br w:val="nil"/>
              <w:tr2bl w:val="nil"/>
            </w:tcBorders>
            <w:shd w:val="clear" w:color="auto" w:fill="auto"/>
            <w:vAlign w:val="center"/>
          </w:tcPr>
          <w:p w14:paraId="36A5DDD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0"/>
                <w:sz w:val="21"/>
                <w:szCs w:val="21"/>
                <w:lang w:val="en-US" w:eastAsia="zh-CN"/>
              </w:rPr>
            </w:pPr>
          </w:p>
        </w:tc>
      </w:tr>
      <w:tr w14:paraId="321EDF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89" w:hRule="atLeast"/>
          <w:jc w:val="center"/>
        </w:trPr>
        <w:tc>
          <w:tcPr>
            <w:tcW w:w="760" w:type="dxa"/>
            <w:vMerge w:val="continue"/>
            <w:tcBorders>
              <w:tl2br w:val="nil"/>
              <w:tr2bl w:val="nil"/>
            </w:tcBorders>
            <w:shd w:val="clear" w:color="auto" w:fill="auto"/>
            <w:vAlign w:val="center"/>
          </w:tcPr>
          <w:p w14:paraId="388C9BA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rPr>
            </w:pPr>
          </w:p>
        </w:tc>
        <w:tc>
          <w:tcPr>
            <w:tcW w:w="1077" w:type="dxa"/>
            <w:vMerge w:val="continue"/>
            <w:tcBorders>
              <w:tl2br w:val="nil"/>
              <w:tr2bl w:val="nil"/>
            </w:tcBorders>
            <w:shd w:val="clear" w:color="auto" w:fill="auto"/>
            <w:vAlign w:val="center"/>
          </w:tcPr>
          <w:p w14:paraId="1299814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rPr>
            </w:pPr>
          </w:p>
        </w:tc>
        <w:tc>
          <w:tcPr>
            <w:tcW w:w="776" w:type="dxa"/>
            <w:vMerge w:val="continue"/>
            <w:tcBorders>
              <w:tl2br w:val="nil"/>
              <w:tr2bl w:val="nil"/>
            </w:tcBorders>
            <w:shd w:val="clear" w:color="auto" w:fill="auto"/>
            <w:vAlign w:val="center"/>
          </w:tcPr>
          <w:p w14:paraId="52A4712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rPr>
            </w:pPr>
          </w:p>
        </w:tc>
        <w:tc>
          <w:tcPr>
            <w:tcW w:w="2711" w:type="dxa"/>
            <w:vMerge w:val="continue"/>
            <w:tcBorders>
              <w:tl2br w:val="nil"/>
              <w:tr2bl w:val="nil"/>
            </w:tcBorders>
            <w:shd w:val="clear" w:color="auto" w:fill="auto"/>
            <w:vAlign w:val="center"/>
          </w:tcPr>
          <w:p w14:paraId="020E017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p>
        </w:tc>
        <w:tc>
          <w:tcPr>
            <w:tcW w:w="1152" w:type="dxa"/>
            <w:tcBorders>
              <w:tl2br w:val="nil"/>
              <w:tr2bl w:val="nil"/>
            </w:tcBorders>
            <w:shd w:val="clear" w:color="auto" w:fill="auto"/>
            <w:vAlign w:val="center"/>
          </w:tcPr>
          <w:p w14:paraId="57F933B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≥50㎡，＜100㎡</w:t>
            </w:r>
            <w:r>
              <w:rPr>
                <w:rFonts w:hint="eastAsia" w:ascii="宋体" w:hAnsi="宋体" w:cs="宋体"/>
                <w:color w:val="auto"/>
                <w:kern w:val="0"/>
                <w:sz w:val="21"/>
                <w:szCs w:val="21"/>
                <w:lang w:eastAsia="zh-CN"/>
              </w:rPr>
              <w:t>共</w:t>
            </w:r>
            <w:r>
              <w:rPr>
                <w:rFonts w:hint="eastAsia" w:ascii="宋体" w:hAnsi="宋体" w:cs="宋体"/>
                <w:color w:val="auto"/>
                <w:kern w:val="0"/>
                <w:sz w:val="21"/>
                <w:szCs w:val="21"/>
                <w:lang w:val="en-US" w:eastAsia="zh-CN"/>
              </w:rPr>
              <w:t>22间</w:t>
            </w:r>
          </w:p>
        </w:tc>
        <w:tc>
          <w:tcPr>
            <w:tcW w:w="804" w:type="dxa"/>
            <w:tcBorders>
              <w:tl2br w:val="nil"/>
              <w:tr2bl w:val="nil"/>
            </w:tcBorders>
            <w:shd w:val="clear" w:color="auto" w:fill="auto"/>
            <w:vAlign w:val="center"/>
          </w:tcPr>
          <w:p w14:paraId="646A9A5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4</w:t>
            </w:r>
          </w:p>
        </w:tc>
        <w:tc>
          <w:tcPr>
            <w:tcW w:w="1008" w:type="dxa"/>
            <w:tcBorders>
              <w:tl2br w:val="nil"/>
              <w:tr2bl w:val="nil"/>
            </w:tcBorders>
            <w:shd w:val="clear" w:color="auto" w:fill="auto"/>
            <w:vAlign w:val="center"/>
          </w:tcPr>
          <w:p w14:paraId="520C78D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rPr>
            </w:pPr>
          </w:p>
        </w:tc>
        <w:tc>
          <w:tcPr>
            <w:tcW w:w="946" w:type="dxa"/>
            <w:tcBorders>
              <w:tl2br w:val="nil"/>
              <w:tr2bl w:val="nil"/>
            </w:tcBorders>
            <w:shd w:val="clear" w:color="auto" w:fill="auto"/>
            <w:vAlign w:val="center"/>
          </w:tcPr>
          <w:p w14:paraId="264FA55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宋体" w:hAnsi="宋体" w:eastAsia="宋体" w:cs="宋体"/>
                <w:color w:val="auto"/>
                <w:kern w:val="0"/>
                <w:sz w:val="21"/>
                <w:szCs w:val="21"/>
                <w:lang w:val="en-US" w:eastAsia="zh-CN"/>
              </w:rPr>
            </w:pPr>
          </w:p>
        </w:tc>
      </w:tr>
      <w:tr w14:paraId="6757DF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27" w:hRule="atLeast"/>
          <w:jc w:val="center"/>
        </w:trPr>
        <w:tc>
          <w:tcPr>
            <w:tcW w:w="760" w:type="dxa"/>
            <w:vMerge w:val="continue"/>
            <w:tcBorders>
              <w:tl2br w:val="nil"/>
              <w:tr2bl w:val="nil"/>
            </w:tcBorders>
            <w:shd w:val="clear" w:color="auto" w:fill="auto"/>
            <w:vAlign w:val="center"/>
          </w:tcPr>
          <w:p w14:paraId="0F7BF5D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rPr>
            </w:pPr>
          </w:p>
        </w:tc>
        <w:tc>
          <w:tcPr>
            <w:tcW w:w="1077" w:type="dxa"/>
            <w:vMerge w:val="continue"/>
            <w:tcBorders>
              <w:tl2br w:val="nil"/>
              <w:tr2bl w:val="nil"/>
            </w:tcBorders>
            <w:shd w:val="clear" w:color="auto" w:fill="auto"/>
            <w:vAlign w:val="center"/>
          </w:tcPr>
          <w:p w14:paraId="0696281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rPr>
            </w:pPr>
          </w:p>
        </w:tc>
        <w:tc>
          <w:tcPr>
            <w:tcW w:w="776" w:type="dxa"/>
            <w:vMerge w:val="continue"/>
            <w:tcBorders>
              <w:tl2br w:val="nil"/>
              <w:tr2bl w:val="nil"/>
            </w:tcBorders>
            <w:shd w:val="clear" w:color="auto" w:fill="auto"/>
            <w:vAlign w:val="center"/>
          </w:tcPr>
          <w:p w14:paraId="1C63F8A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rPr>
            </w:pPr>
          </w:p>
        </w:tc>
        <w:tc>
          <w:tcPr>
            <w:tcW w:w="2711" w:type="dxa"/>
            <w:vMerge w:val="continue"/>
            <w:tcBorders>
              <w:tl2br w:val="nil"/>
              <w:tr2bl w:val="nil"/>
            </w:tcBorders>
            <w:shd w:val="clear" w:color="auto" w:fill="auto"/>
            <w:vAlign w:val="center"/>
          </w:tcPr>
          <w:p w14:paraId="690D743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p>
        </w:tc>
        <w:tc>
          <w:tcPr>
            <w:tcW w:w="1152" w:type="dxa"/>
            <w:tcBorders>
              <w:tl2br w:val="nil"/>
              <w:tr2bl w:val="nil"/>
            </w:tcBorders>
            <w:shd w:val="clear" w:color="auto" w:fill="auto"/>
            <w:vAlign w:val="center"/>
          </w:tcPr>
          <w:p w14:paraId="60B541B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≥100㎡，＜500㎡</w:t>
            </w:r>
            <w:r>
              <w:rPr>
                <w:rFonts w:hint="eastAsia" w:ascii="宋体" w:hAnsi="宋体" w:cs="宋体"/>
                <w:color w:val="auto"/>
                <w:kern w:val="0"/>
                <w:sz w:val="21"/>
                <w:szCs w:val="21"/>
                <w:lang w:eastAsia="zh-CN"/>
              </w:rPr>
              <w:t>共</w:t>
            </w:r>
            <w:r>
              <w:rPr>
                <w:rFonts w:hint="eastAsia" w:ascii="宋体" w:hAnsi="宋体" w:cs="宋体"/>
                <w:color w:val="auto"/>
                <w:kern w:val="0"/>
                <w:sz w:val="21"/>
                <w:szCs w:val="21"/>
                <w:lang w:val="en-US" w:eastAsia="zh-CN"/>
              </w:rPr>
              <w:t>10间</w:t>
            </w:r>
          </w:p>
        </w:tc>
        <w:tc>
          <w:tcPr>
            <w:tcW w:w="804" w:type="dxa"/>
            <w:tcBorders>
              <w:tl2br w:val="nil"/>
              <w:tr2bl w:val="nil"/>
            </w:tcBorders>
            <w:shd w:val="clear" w:color="auto" w:fill="auto"/>
            <w:vAlign w:val="center"/>
          </w:tcPr>
          <w:p w14:paraId="338E0F4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3</w:t>
            </w:r>
          </w:p>
        </w:tc>
        <w:tc>
          <w:tcPr>
            <w:tcW w:w="1008" w:type="dxa"/>
            <w:tcBorders>
              <w:tl2br w:val="nil"/>
              <w:tr2bl w:val="nil"/>
            </w:tcBorders>
            <w:shd w:val="clear" w:color="auto" w:fill="auto"/>
            <w:vAlign w:val="center"/>
          </w:tcPr>
          <w:p w14:paraId="315B692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宋体" w:hAnsi="宋体" w:eastAsia="宋体" w:cs="宋体"/>
                <w:color w:val="auto"/>
                <w:kern w:val="0"/>
                <w:sz w:val="21"/>
                <w:szCs w:val="21"/>
                <w:lang w:val="en-US" w:eastAsia="zh-CN"/>
              </w:rPr>
            </w:pPr>
          </w:p>
        </w:tc>
        <w:tc>
          <w:tcPr>
            <w:tcW w:w="946" w:type="dxa"/>
            <w:tcBorders>
              <w:tl2br w:val="nil"/>
              <w:tr2bl w:val="nil"/>
            </w:tcBorders>
            <w:shd w:val="clear" w:color="auto" w:fill="auto"/>
            <w:vAlign w:val="center"/>
          </w:tcPr>
          <w:p w14:paraId="590A31F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宋体" w:hAnsi="宋体" w:eastAsia="宋体" w:cs="宋体"/>
                <w:color w:val="auto"/>
                <w:kern w:val="0"/>
                <w:sz w:val="21"/>
                <w:szCs w:val="21"/>
                <w:lang w:val="en-US" w:eastAsia="zh-CN"/>
              </w:rPr>
            </w:pPr>
          </w:p>
        </w:tc>
      </w:tr>
      <w:tr w14:paraId="362B72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0" w:hRule="atLeast"/>
          <w:jc w:val="center"/>
        </w:trPr>
        <w:tc>
          <w:tcPr>
            <w:tcW w:w="760" w:type="dxa"/>
            <w:vMerge w:val="continue"/>
            <w:tcBorders>
              <w:tl2br w:val="nil"/>
              <w:tr2bl w:val="nil"/>
            </w:tcBorders>
            <w:shd w:val="clear" w:color="auto" w:fill="auto"/>
            <w:vAlign w:val="center"/>
          </w:tcPr>
          <w:p w14:paraId="3CF962B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rPr>
            </w:pPr>
          </w:p>
        </w:tc>
        <w:tc>
          <w:tcPr>
            <w:tcW w:w="1077" w:type="dxa"/>
            <w:vMerge w:val="continue"/>
            <w:tcBorders>
              <w:tl2br w:val="nil"/>
              <w:tr2bl w:val="nil"/>
            </w:tcBorders>
            <w:shd w:val="clear" w:color="auto" w:fill="auto"/>
            <w:vAlign w:val="center"/>
          </w:tcPr>
          <w:p w14:paraId="44B8031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rPr>
            </w:pPr>
          </w:p>
        </w:tc>
        <w:tc>
          <w:tcPr>
            <w:tcW w:w="776" w:type="dxa"/>
            <w:vMerge w:val="continue"/>
            <w:tcBorders>
              <w:tl2br w:val="nil"/>
              <w:tr2bl w:val="nil"/>
            </w:tcBorders>
            <w:shd w:val="clear" w:color="auto" w:fill="auto"/>
            <w:vAlign w:val="center"/>
          </w:tcPr>
          <w:p w14:paraId="283C409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rPr>
            </w:pPr>
          </w:p>
        </w:tc>
        <w:tc>
          <w:tcPr>
            <w:tcW w:w="2711" w:type="dxa"/>
            <w:vMerge w:val="continue"/>
            <w:tcBorders>
              <w:tl2br w:val="nil"/>
              <w:tr2bl w:val="nil"/>
            </w:tcBorders>
            <w:shd w:val="clear" w:color="auto" w:fill="auto"/>
            <w:vAlign w:val="center"/>
          </w:tcPr>
          <w:p w14:paraId="0D0AC03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p>
        </w:tc>
        <w:tc>
          <w:tcPr>
            <w:tcW w:w="1152" w:type="dxa"/>
            <w:tcBorders>
              <w:tl2br w:val="nil"/>
              <w:tr2bl w:val="nil"/>
            </w:tcBorders>
            <w:shd w:val="clear" w:color="auto" w:fill="auto"/>
            <w:vAlign w:val="center"/>
          </w:tcPr>
          <w:p w14:paraId="18613E6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5</w:t>
            </w:r>
            <w:r>
              <w:rPr>
                <w:rFonts w:hint="eastAsia" w:ascii="宋体" w:hAnsi="宋体" w:eastAsia="宋体" w:cs="宋体"/>
                <w:color w:val="auto"/>
                <w:kern w:val="0"/>
                <w:sz w:val="21"/>
                <w:szCs w:val="21"/>
              </w:rPr>
              <w:t>00㎡，＜</w:t>
            </w:r>
            <w:r>
              <w:rPr>
                <w:rFonts w:hint="eastAsia" w:ascii="宋体" w:hAnsi="宋体" w:eastAsia="宋体" w:cs="宋体"/>
                <w:color w:val="auto"/>
                <w:kern w:val="0"/>
                <w:sz w:val="21"/>
                <w:szCs w:val="21"/>
                <w:lang w:val="en-US" w:eastAsia="zh-CN"/>
              </w:rPr>
              <w:t>10</w:t>
            </w:r>
            <w:r>
              <w:rPr>
                <w:rFonts w:hint="eastAsia" w:ascii="宋体" w:hAnsi="宋体" w:eastAsia="宋体" w:cs="宋体"/>
                <w:color w:val="auto"/>
                <w:kern w:val="0"/>
                <w:sz w:val="21"/>
                <w:szCs w:val="21"/>
              </w:rPr>
              <w:t>00㎡</w:t>
            </w:r>
            <w:r>
              <w:rPr>
                <w:rFonts w:hint="eastAsia" w:ascii="宋体" w:hAnsi="宋体" w:cs="宋体"/>
                <w:color w:val="auto"/>
                <w:kern w:val="0"/>
                <w:sz w:val="21"/>
                <w:szCs w:val="21"/>
                <w:lang w:eastAsia="zh-CN"/>
              </w:rPr>
              <w:t>共</w:t>
            </w:r>
            <w:r>
              <w:rPr>
                <w:rFonts w:hint="eastAsia" w:ascii="宋体" w:hAnsi="宋体" w:cs="宋体"/>
                <w:color w:val="auto"/>
                <w:kern w:val="0"/>
                <w:sz w:val="21"/>
                <w:szCs w:val="21"/>
                <w:lang w:val="en-US" w:eastAsia="zh-CN"/>
              </w:rPr>
              <w:t>1间</w:t>
            </w:r>
          </w:p>
        </w:tc>
        <w:tc>
          <w:tcPr>
            <w:tcW w:w="804" w:type="dxa"/>
            <w:tcBorders>
              <w:tl2br w:val="nil"/>
              <w:tr2bl w:val="nil"/>
            </w:tcBorders>
            <w:shd w:val="clear" w:color="auto" w:fill="auto"/>
            <w:vAlign w:val="center"/>
          </w:tcPr>
          <w:p w14:paraId="665CC09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5</w:t>
            </w:r>
          </w:p>
        </w:tc>
        <w:tc>
          <w:tcPr>
            <w:tcW w:w="1008" w:type="dxa"/>
            <w:tcBorders>
              <w:tl2br w:val="nil"/>
              <w:tr2bl w:val="nil"/>
            </w:tcBorders>
            <w:shd w:val="clear" w:color="auto" w:fill="auto"/>
            <w:vAlign w:val="center"/>
          </w:tcPr>
          <w:p w14:paraId="64F1F42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宋体" w:hAnsi="宋体" w:eastAsia="宋体" w:cs="宋体"/>
                <w:color w:val="auto"/>
                <w:kern w:val="0"/>
                <w:sz w:val="21"/>
                <w:szCs w:val="21"/>
                <w:lang w:val="en-US" w:eastAsia="zh-CN"/>
              </w:rPr>
            </w:pPr>
          </w:p>
        </w:tc>
        <w:tc>
          <w:tcPr>
            <w:tcW w:w="946" w:type="dxa"/>
            <w:tcBorders>
              <w:tl2br w:val="nil"/>
              <w:tr2bl w:val="nil"/>
            </w:tcBorders>
            <w:shd w:val="clear" w:color="auto" w:fill="auto"/>
            <w:vAlign w:val="center"/>
          </w:tcPr>
          <w:p w14:paraId="1997F8D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宋体" w:hAnsi="宋体" w:eastAsia="宋体" w:cs="宋体"/>
                <w:color w:val="auto"/>
                <w:kern w:val="0"/>
                <w:sz w:val="21"/>
                <w:szCs w:val="21"/>
                <w:lang w:val="en-US" w:eastAsia="zh-CN"/>
              </w:rPr>
            </w:pPr>
          </w:p>
        </w:tc>
      </w:tr>
      <w:tr w14:paraId="5460DC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36" w:hRule="atLeast"/>
          <w:jc w:val="center"/>
        </w:trPr>
        <w:tc>
          <w:tcPr>
            <w:tcW w:w="760" w:type="dxa"/>
            <w:tcBorders>
              <w:tl2br w:val="nil"/>
              <w:tr2bl w:val="nil"/>
            </w:tcBorders>
            <w:shd w:val="clear" w:color="auto" w:fill="auto"/>
            <w:vAlign w:val="center"/>
          </w:tcPr>
          <w:p w14:paraId="4769618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sz w:val="21"/>
                <w:szCs w:val="21"/>
                <w:lang w:val="en-US" w:eastAsia="zh-CN"/>
              </w:rPr>
              <w:t>2#门卫室</w:t>
            </w:r>
          </w:p>
        </w:tc>
        <w:tc>
          <w:tcPr>
            <w:tcW w:w="1077" w:type="dxa"/>
            <w:vMerge w:val="continue"/>
            <w:tcBorders>
              <w:tl2br w:val="nil"/>
              <w:tr2bl w:val="nil"/>
            </w:tcBorders>
            <w:shd w:val="clear" w:color="auto" w:fill="auto"/>
            <w:vAlign w:val="center"/>
          </w:tcPr>
          <w:p w14:paraId="512A786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rPr>
            </w:pPr>
          </w:p>
        </w:tc>
        <w:tc>
          <w:tcPr>
            <w:tcW w:w="776" w:type="dxa"/>
            <w:vMerge w:val="continue"/>
            <w:tcBorders>
              <w:tl2br w:val="nil"/>
              <w:tr2bl w:val="nil"/>
            </w:tcBorders>
            <w:shd w:val="clear" w:color="auto" w:fill="auto"/>
            <w:vAlign w:val="center"/>
          </w:tcPr>
          <w:p w14:paraId="23E1EB4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rPr>
            </w:pPr>
          </w:p>
        </w:tc>
        <w:tc>
          <w:tcPr>
            <w:tcW w:w="2711" w:type="dxa"/>
            <w:vMerge w:val="continue"/>
            <w:tcBorders>
              <w:tl2br w:val="nil"/>
              <w:tr2bl w:val="nil"/>
            </w:tcBorders>
            <w:shd w:val="clear" w:color="auto" w:fill="auto"/>
            <w:vAlign w:val="center"/>
          </w:tcPr>
          <w:p w14:paraId="7E57F55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p>
        </w:tc>
        <w:tc>
          <w:tcPr>
            <w:tcW w:w="1152" w:type="dxa"/>
            <w:tcBorders>
              <w:tl2br w:val="nil"/>
              <w:tr2bl w:val="nil"/>
            </w:tcBorders>
            <w:shd w:val="clear" w:color="auto" w:fill="auto"/>
            <w:vAlign w:val="center"/>
          </w:tcPr>
          <w:p w14:paraId="03430BE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＜50㎡</w:t>
            </w:r>
            <w:r>
              <w:rPr>
                <w:rFonts w:hint="eastAsia" w:ascii="宋体" w:hAnsi="宋体" w:cs="宋体"/>
                <w:color w:val="auto"/>
                <w:kern w:val="0"/>
                <w:sz w:val="21"/>
                <w:szCs w:val="21"/>
                <w:lang w:eastAsia="zh-CN"/>
              </w:rPr>
              <w:t>共</w:t>
            </w:r>
            <w:r>
              <w:rPr>
                <w:rFonts w:hint="eastAsia" w:ascii="宋体" w:hAnsi="宋体" w:cs="宋体"/>
                <w:color w:val="auto"/>
                <w:kern w:val="0"/>
                <w:sz w:val="21"/>
                <w:szCs w:val="21"/>
                <w:lang w:val="en-US" w:eastAsia="zh-CN"/>
              </w:rPr>
              <w:t>2间</w:t>
            </w:r>
          </w:p>
        </w:tc>
        <w:tc>
          <w:tcPr>
            <w:tcW w:w="804" w:type="dxa"/>
            <w:tcBorders>
              <w:tl2br w:val="nil"/>
              <w:tr2bl w:val="nil"/>
            </w:tcBorders>
            <w:shd w:val="clear" w:color="auto" w:fill="auto"/>
            <w:vAlign w:val="center"/>
          </w:tcPr>
          <w:p w14:paraId="161BB9A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w:t>
            </w:r>
          </w:p>
        </w:tc>
        <w:tc>
          <w:tcPr>
            <w:tcW w:w="1008" w:type="dxa"/>
            <w:tcBorders>
              <w:tl2br w:val="nil"/>
              <w:tr2bl w:val="nil"/>
            </w:tcBorders>
            <w:shd w:val="clear" w:color="auto" w:fill="auto"/>
            <w:vAlign w:val="center"/>
          </w:tcPr>
          <w:p w14:paraId="161CCB3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p>
        </w:tc>
        <w:tc>
          <w:tcPr>
            <w:tcW w:w="946" w:type="dxa"/>
            <w:tcBorders>
              <w:tl2br w:val="nil"/>
              <w:tr2bl w:val="nil"/>
            </w:tcBorders>
            <w:shd w:val="clear" w:color="auto" w:fill="auto"/>
            <w:vAlign w:val="center"/>
          </w:tcPr>
          <w:p w14:paraId="30EBFC1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0"/>
                <w:sz w:val="21"/>
                <w:szCs w:val="21"/>
                <w:lang w:val="en-US"/>
              </w:rPr>
            </w:pPr>
          </w:p>
        </w:tc>
      </w:tr>
      <w:tr w14:paraId="6900A3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79" w:hRule="atLeast"/>
          <w:jc w:val="center"/>
        </w:trPr>
        <w:tc>
          <w:tcPr>
            <w:tcW w:w="760" w:type="dxa"/>
            <w:tcBorders>
              <w:tl2br w:val="nil"/>
              <w:tr2bl w:val="nil"/>
            </w:tcBorders>
            <w:shd w:val="clear" w:color="auto" w:fill="auto"/>
            <w:vAlign w:val="center"/>
          </w:tcPr>
          <w:p w14:paraId="7818B6A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sz w:val="21"/>
                <w:szCs w:val="21"/>
                <w:lang w:val="en-US" w:eastAsia="zh-CN"/>
              </w:rPr>
              <w:t>3#洗衣房及污物间</w:t>
            </w:r>
          </w:p>
        </w:tc>
        <w:tc>
          <w:tcPr>
            <w:tcW w:w="1077" w:type="dxa"/>
            <w:vMerge w:val="continue"/>
            <w:tcBorders>
              <w:tl2br w:val="nil"/>
              <w:tr2bl w:val="nil"/>
            </w:tcBorders>
            <w:shd w:val="clear" w:color="auto" w:fill="auto"/>
            <w:vAlign w:val="center"/>
          </w:tcPr>
          <w:p w14:paraId="5F19522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rPr>
            </w:pPr>
          </w:p>
        </w:tc>
        <w:tc>
          <w:tcPr>
            <w:tcW w:w="776" w:type="dxa"/>
            <w:vMerge w:val="continue"/>
            <w:tcBorders>
              <w:tl2br w:val="nil"/>
              <w:tr2bl w:val="nil"/>
            </w:tcBorders>
            <w:shd w:val="clear" w:color="auto" w:fill="auto"/>
            <w:vAlign w:val="center"/>
          </w:tcPr>
          <w:p w14:paraId="18DAE90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rPr>
            </w:pPr>
          </w:p>
        </w:tc>
        <w:tc>
          <w:tcPr>
            <w:tcW w:w="2711" w:type="dxa"/>
            <w:vMerge w:val="continue"/>
            <w:tcBorders>
              <w:tl2br w:val="nil"/>
              <w:tr2bl w:val="nil"/>
            </w:tcBorders>
            <w:shd w:val="clear" w:color="auto" w:fill="auto"/>
            <w:vAlign w:val="center"/>
          </w:tcPr>
          <w:p w14:paraId="4485BEE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rPr>
            </w:pPr>
          </w:p>
        </w:tc>
        <w:tc>
          <w:tcPr>
            <w:tcW w:w="1152" w:type="dxa"/>
            <w:tcBorders>
              <w:tl2br w:val="nil"/>
              <w:tr2bl w:val="nil"/>
            </w:tcBorders>
            <w:shd w:val="clear" w:color="auto" w:fill="auto"/>
            <w:vAlign w:val="center"/>
          </w:tcPr>
          <w:p w14:paraId="71784F5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＜50㎡</w:t>
            </w:r>
            <w:r>
              <w:rPr>
                <w:rFonts w:hint="eastAsia" w:ascii="宋体" w:hAnsi="宋体" w:cs="宋体"/>
                <w:color w:val="auto"/>
                <w:kern w:val="0"/>
                <w:sz w:val="21"/>
                <w:szCs w:val="21"/>
                <w:lang w:eastAsia="zh-CN"/>
              </w:rPr>
              <w:t>共</w:t>
            </w:r>
            <w:r>
              <w:rPr>
                <w:rFonts w:hint="eastAsia" w:ascii="宋体" w:hAnsi="宋体" w:cs="宋体"/>
                <w:color w:val="auto"/>
                <w:kern w:val="0"/>
                <w:sz w:val="21"/>
                <w:szCs w:val="21"/>
                <w:lang w:val="en-US" w:eastAsia="zh-CN"/>
              </w:rPr>
              <w:t>5间</w:t>
            </w:r>
          </w:p>
        </w:tc>
        <w:tc>
          <w:tcPr>
            <w:tcW w:w="804" w:type="dxa"/>
            <w:tcBorders>
              <w:tl2br w:val="nil"/>
              <w:tr2bl w:val="nil"/>
            </w:tcBorders>
            <w:shd w:val="clear" w:color="auto" w:fill="auto"/>
            <w:vAlign w:val="center"/>
          </w:tcPr>
          <w:p w14:paraId="0166706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3</w:t>
            </w:r>
          </w:p>
        </w:tc>
        <w:tc>
          <w:tcPr>
            <w:tcW w:w="1008" w:type="dxa"/>
            <w:tcBorders>
              <w:tl2br w:val="nil"/>
              <w:tr2bl w:val="nil"/>
            </w:tcBorders>
            <w:shd w:val="clear" w:color="auto" w:fill="auto"/>
            <w:vAlign w:val="center"/>
          </w:tcPr>
          <w:p w14:paraId="43D5ECB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0"/>
                <w:sz w:val="21"/>
                <w:szCs w:val="21"/>
                <w:lang w:val="en-US" w:eastAsia="zh-CN"/>
              </w:rPr>
            </w:pPr>
          </w:p>
        </w:tc>
        <w:tc>
          <w:tcPr>
            <w:tcW w:w="946" w:type="dxa"/>
            <w:tcBorders>
              <w:tl2br w:val="nil"/>
              <w:tr2bl w:val="nil"/>
            </w:tcBorders>
            <w:shd w:val="clear" w:color="auto" w:fill="auto"/>
            <w:vAlign w:val="center"/>
          </w:tcPr>
          <w:p w14:paraId="6668F18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0"/>
                <w:sz w:val="21"/>
                <w:szCs w:val="21"/>
                <w:lang w:val="en-US" w:eastAsia="zh-CN"/>
              </w:rPr>
            </w:pPr>
          </w:p>
        </w:tc>
      </w:tr>
      <w:tr w14:paraId="67EE95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74" w:hRule="atLeast"/>
          <w:jc w:val="center"/>
        </w:trPr>
        <w:tc>
          <w:tcPr>
            <w:tcW w:w="7280" w:type="dxa"/>
            <w:gridSpan w:val="6"/>
            <w:tcBorders>
              <w:right w:val="single" w:color="auto" w:sz="4" w:space="0"/>
              <w:tl2br w:val="nil"/>
              <w:tr2bl w:val="nil"/>
            </w:tcBorders>
            <w:shd w:val="clear" w:color="auto" w:fill="auto"/>
            <w:vAlign w:val="center"/>
          </w:tcPr>
          <w:p w14:paraId="2AD90B5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室内环境检测总费用合计（元）</w:t>
            </w:r>
          </w:p>
        </w:tc>
        <w:tc>
          <w:tcPr>
            <w:tcW w:w="1954" w:type="dxa"/>
            <w:gridSpan w:val="2"/>
            <w:tcBorders>
              <w:left w:val="single" w:color="auto" w:sz="4" w:space="0"/>
              <w:tl2br w:val="nil"/>
              <w:tr2bl w:val="nil"/>
            </w:tcBorders>
            <w:shd w:val="clear" w:color="auto" w:fill="auto"/>
            <w:vAlign w:val="center"/>
          </w:tcPr>
          <w:p w14:paraId="53EF385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sz w:val="21"/>
                <w:szCs w:val="21"/>
                <w:lang w:val="en-US" w:eastAsia="zh-CN"/>
              </w:rPr>
            </w:pPr>
          </w:p>
        </w:tc>
      </w:tr>
      <w:tr w14:paraId="6D0304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74" w:hRule="atLeast"/>
          <w:jc w:val="center"/>
        </w:trPr>
        <w:tc>
          <w:tcPr>
            <w:tcW w:w="7280" w:type="dxa"/>
            <w:gridSpan w:val="6"/>
            <w:tcBorders>
              <w:right w:val="single" w:color="auto" w:sz="4" w:space="0"/>
              <w:tl2br w:val="nil"/>
              <w:tr2bl w:val="nil"/>
            </w:tcBorders>
            <w:shd w:val="clear" w:color="auto" w:fill="auto"/>
            <w:vAlign w:val="center"/>
          </w:tcPr>
          <w:p w14:paraId="3C7E381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室内环境检测总费用下浮</w:t>
            </w:r>
            <w:r>
              <w:rPr>
                <w:rFonts w:hint="eastAsia" w:ascii="宋体" w:hAnsi="宋体" w:cs="宋体"/>
                <w:color w:val="auto"/>
                <w:kern w:val="0"/>
                <w:sz w:val="21"/>
                <w:szCs w:val="21"/>
                <w:lang w:val="en-US" w:eastAsia="zh-CN"/>
              </w:rPr>
              <w:t>55</w:t>
            </w:r>
            <w:r>
              <w:rPr>
                <w:rFonts w:hint="eastAsia" w:ascii="宋体" w:hAnsi="宋体" w:eastAsia="宋体" w:cs="宋体"/>
                <w:color w:val="auto"/>
                <w:kern w:val="0"/>
                <w:sz w:val="21"/>
                <w:szCs w:val="21"/>
              </w:rPr>
              <w:t>%计算</w:t>
            </w:r>
            <w:r>
              <w:rPr>
                <w:rFonts w:hint="eastAsia" w:ascii="宋体" w:hAnsi="宋体" w:cs="宋体"/>
                <w:color w:val="auto"/>
                <w:kern w:val="0"/>
                <w:sz w:val="21"/>
                <w:szCs w:val="21"/>
                <w:lang w:eastAsia="zh-CN"/>
              </w:rPr>
              <w:t>（元）</w:t>
            </w:r>
          </w:p>
        </w:tc>
        <w:tc>
          <w:tcPr>
            <w:tcW w:w="1954" w:type="dxa"/>
            <w:gridSpan w:val="2"/>
            <w:tcBorders>
              <w:left w:val="single" w:color="auto" w:sz="4" w:space="0"/>
              <w:tl2br w:val="nil"/>
              <w:tr2bl w:val="nil"/>
            </w:tcBorders>
            <w:shd w:val="clear" w:color="auto" w:fill="auto"/>
            <w:vAlign w:val="center"/>
          </w:tcPr>
          <w:p w14:paraId="348871D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0"/>
                <w:sz w:val="21"/>
                <w:szCs w:val="21"/>
                <w:lang w:val="en-US" w:eastAsia="zh-CN"/>
              </w:rPr>
            </w:pPr>
          </w:p>
        </w:tc>
      </w:tr>
      <w:tr w14:paraId="1E6888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74" w:hRule="atLeast"/>
          <w:jc w:val="center"/>
        </w:trPr>
        <w:tc>
          <w:tcPr>
            <w:tcW w:w="9234" w:type="dxa"/>
            <w:gridSpan w:val="8"/>
            <w:tcBorders>
              <w:tl2br w:val="nil"/>
              <w:tr2bl w:val="nil"/>
            </w:tcBorders>
            <w:shd w:val="clear" w:color="auto" w:fill="auto"/>
            <w:vAlign w:val="center"/>
          </w:tcPr>
          <w:p w14:paraId="4C05BB7D">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left"/>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注</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以实际发生量为准</w:t>
            </w:r>
            <w:r>
              <w:rPr>
                <w:rFonts w:hint="eastAsia" w:ascii="宋体" w:hAnsi="宋体" w:eastAsia="宋体" w:cs="宋体"/>
                <w:color w:val="auto"/>
                <w:kern w:val="0"/>
                <w:sz w:val="21"/>
                <w:szCs w:val="21"/>
                <w:lang w:eastAsia="zh-CN"/>
              </w:rPr>
              <w:t>。</w:t>
            </w:r>
          </w:p>
        </w:tc>
      </w:tr>
    </w:tbl>
    <w:p w14:paraId="54EA80D2">
      <w:pPr>
        <w:pStyle w:val="118"/>
        <w:keepNext w:val="0"/>
        <w:keepLines w:val="0"/>
        <w:pageBreakBefore w:val="0"/>
        <w:widowControl w:val="0"/>
        <w:numPr>
          <w:ilvl w:val="0"/>
          <w:numId w:val="0"/>
        </w:numPr>
        <w:tabs>
          <w:tab w:val="left" w:pos="-1486"/>
          <w:tab w:val="left" w:pos="-142"/>
        </w:tabs>
        <w:kinsoku/>
        <w:wordWrap/>
        <w:overflowPunct/>
        <w:topLinePunct w:val="0"/>
        <w:autoSpaceDE/>
        <w:autoSpaceDN/>
        <w:bidi w:val="0"/>
        <w:adjustRightInd/>
        <w:snapToGrid/>
        <w:spacing w:before="100" w:beforeLines="30" w:after="67" w:afterLines="20" w:line="560" w:lineRule="exact"/>
        <w:ind w:leftChars="0" w:firstLine="562" w:firstLineChars="200"/>
        <w:jc w:val="left"/>
        <w:textAlignment w:val="auto"/>
        <w:rPr>
          <w:rFonts w:hint="eastAsia" w:ascii="宋体" w:hAnsi="宋体" w:eastAsia="宋体" w:cs="宋体"/>
          <w:b/>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val="0"/>
          <w:color w:val="000000" w:themeColor="text1"/>
          <w:sz w:val="28"/>
          <w:szCs w:val="28"/>
          <w:highlight w:val="none"/>
          <w:lang w:val="en-US" w:eastAsia="zh-CN"/>
          <w14:textFill>
            <w14:solidFill>
              <w14:schemeClr w14:val="tx1"/>
            </w14:solidFill>
          </w14:textFill>
        </w:rPr>
        <w:t>2.建筑环境</w:t>
      </w:r>
    </w:p>
    <w:tbl>
      <w:tblPr>
        <w:tblStyle w:val="26"/>
        <w:tblW w:w="921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1557"/>
        <w:gridCol w:w="941"/>
        <w:gridCol w:w="2385"/>
        <w:gridCol w:w="726"/>
        <w:gridCol w:w="726"/>
        <w:gridCol w:w="960"/>
        <w:gridCol w:w="1128"/>
      </w:tblGrid>
      <w:tr w14:paraId="57CC6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9211" w:type="dxa"/>
            <w:gridSpan w:val="8"/>
            <w:shd w:val="clear" w:color="auto" w:fill="auto"/>
            <w:vAlign w:val="center"/>
          </w:tcPr>
          <w:p w14:paraId="653AD360">
            <w:pPr>
              <w:keepNext w:val="0"/>
              <w:keepLines w:val="0"/>
              <w:pageBreakBefore w:val="0"/>
              <w:widowControl/>
              <w:kinsoku/>
              <w:overflowPunct/>
              <w:topLinePunct w:val="0"/>
              <w:autoSpaceDE/>
              <w:autoSpaceDN/>
              <w:bidi w:val="0"/>
              <w:adjustRightInd/>
              <w:snapToGrid/>
              <w:spacing w:line="240" w:lineRule="atLeas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建筑环境检测数量表</w:t>
            </w:r>
          </w:p>
        </w:tc>
      </w:tr>
      <w:tr w14:paraId="04E20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88" w:type="dxa"/>
            <w:vMerge w:val="restart"/>
            <w:shd w:val="clear" w:color="auto" w:fill="auto"/>
            <w:vAlign w:val="center"/>
          </w:tcPr>
          <w:p w14:paraId="5563A081">
            <w:pPr>
              <w:keepNext w:val="0"/>
              <w:keepLines w:val="0"/>
              <w:pageBreakBefore w:val="0"/>
              <w:widowControl/>
              <w:kinsoku/>
              <w:overflowPunct/>
              <w:topLinePunct w:val="0"/>
              <w:autoSpaceDE/>
              <w:autoSpaceDN/>
              <w:bidi w:val="0"/>
              <w:adjustRightInd/>
              <w:snapToGrid/>
              <w:spacing w:line="240" w:lineRule="atLeast"/>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检测项目</w:t>
            </w:r>
          </w:p>
        </w:tc>
        <w:tc>
          <w:tcPr>
            <w:tcW w:w="1557" w:type="dxa"/>
            <w:vMerge w:val="restart"/>
            <w:shd w:val="clear" w:color="auto" w:fill="auto"/>
            <w:vAlign w:val="center"/>
          </w:tcPr>
          <w:p w14:paraId="502E1D22">
            <w:pPr>
              <w:keepNext w:val="0"/>
              <w:keepLines w:val="0"/>
              <w:pageBreakBefore w:val="0"/>
              <w:widowControl/>
              <w:kinsoku/>
              <w:overflowPunct/>
              <w:topLinePunct w:val="0"/>
              <w:autoSpaceDE/>
              <w:autoSpaceDN/>
              <w:bidi w:val="0"/>
              <w:adjustRightInd/>
              <w:snapToGrid/>
              <w:spacing w:line="240" w:lineRule="atLeast"/>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检测参数</w:t>
            </w:r>
          </w:p>
        </w:tc>
        <w:tc>
          <w:tcPr>
            <w:tcW w:w="941" w:type="dxa"/>
            <w:vMerge w:val="restart"/>
            <w:shd w:val="clear" w:color="auto" w:fill="auto"/>
            <w:vAlign w:val="center"/>
          </w:tcPr>
          <w:p w14:paraId="7FD8A90E">
            <w:pPr>
              <w:keepNext w:val="0"/>
              <w:keepLines w:val="0"/>
              <w:pageBreakBefore w:val="0"/>
              <w:widowControl/>
              <w:kinsoku/>
              <w:overflowPunct/>
              <w:topLinePunct w:val="0"/>
              <w:autoSpaceDE/>
              <w:autoSpaceDN/>
              <w:bidi w:val="0"/>
              <w:adjustRightInd/>
              <w:snapToGrid/>
              <w:spacing w:line="240" w:lineRule="atLeast"/>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检测参数序号</w:t>
            </w:r>
          </w:p>
        </w:tc>
        <w:tc>
          <w:tcPr>
            <w:tcW w:w="2385" w:type="dxa"/>
            <w:vMerge w:val="restart"/>
            <w:shd w:val="clear" w:color="auto" w:fill="auto"/>
            <w:vAlign w:val="center"/>
          </w:tcPr>
          <w:p w14:paraId="23383464">
            <w:pPr>
              <w:keepNext w:val="0"/>
              <w:keepLines w:val="0"/>
              <w:pageBreakBefore w:val="0"/>
              <w:widowControl/>
              <w:kinsoku/>
              <w:overflowPunct/>
              <w:topLinePunct w:val="0"/>
              <w:autoSpaceDE/>
              <w:autoSpaceDN/>
              <w:bidi w:val="0"/>
              <w:adjustRightInd/>
              <w:snapToGrid/>
              <w:spacing w:line="240" w:lineRule="atLeast"/>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抽检频率</w:t>
            </w:r>
          </w:p>
        </w:tc>
        <w:tc>
          <w:tcPr>
            <w:tcW w:w="726" w:type="dxa"/>
            <w:vMerge w:val="restart"/>
            <w:shd w:val="clear" w:color="auto" w:fill="auto"/>
            <w:vAlign w:val="center"/>
          </w:tcPr>
          <w:p w14:paraId="1E98D5D0">
            <w:pPr>
              <w:keepNext w:val="0"/>
              <w:keepLines w:val="0"/>
              <w:pageBreakBefore w:val="0"/>
              <w:widowControl/>
              <w:kinsoku/>
              <w:overflowPunct/>
              <w:topLinePunct w:val="0"/>
              <w:autoSpaceDE/>
              <w:autoSpaceDN/>
              <w:bidi w:val="0"/>
              <w:adjustRightInd/>
              <w:snapToGrid/>
              <w:spacing w:line="240" w:lineRule="atLeast"/>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检测数量</w:t>
            </w:r>
          </w:p>
        </w:tc>
        <w:tc>
          <w:tcPr>
            <w:tcW w:w="726" w:type="dxa"/>
            <w:vMerge w:val="restart"/>
            <w:shd w:val="clear" w:color="auto" w:fill="auto"/>
            <w:vAlign w:val="center"/>
          </w:tcPr>
          <w:p w14:paraId="49967F55">
            <w:pPr>
              <w:keepNext w:val="0"/>
              <w:keepLines w:val="0"/>
              <w:pageBreakBefore w:val="0"/>
              <w:widowControl/>
              <w:kinsoku/>
              <w:overflowPunct/>
              <w:topLinePunct w:val="0"/>
              <w:autoSpaceDE/>
              <w:autoSpaceDN/>
              <w:bidi w:val="0"/>
              <w:adjustRightInd/>
              <w:snapToGrid/>
              <w:spacing w:line="240" w:lineRule="atLeast"/>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计费单位</w:t>
            </w:r>
          </w:p>
        </w:tc>
        <w:tc>
          <w:tcPr>
            <w:tcW w:w="960" w:type="dxa"/>
            <w:vMerge w:val="restart"/>
            <w:shd w:val="clear" w:color="auto" w:fill="auto"/>
            <w:vAlign w:val="center"/>
          </w:tcPr>
          <w:p w14:paraId="5CD95353">
            <w:pPr>
              <w:keepNext w:val="0"/>
              <w:keepLines w:val="0"/>
              <w:pageBreakBefore w:val="0"/>
              <w:widowControl/>
              <w:kinsoku/>
              <w:overflowPunct/>
              <w:topLinePunct w:val="0"/>
              <w:autoSpaceDE/>
              <w:autoSpaceDN/>
              <w:bidi w:val="0"/>
              <w:adjustRightInd/>
              <w:snapToGrid/>
              <w:spacing w:line="240" w:lineRule="atLeast"/>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单价（元）</w:t>
            </w:r>
          </w:p>
        </w:tc>
        <w:tc>
          <w:tcPr>
            <w:tcW w:w="1128" w:type="dxa"/>
            <w:vMerge w:val="restart"/>
            <w:shd w:val="clear" w:color="auto" w:fill="auto"/>
            <w:vAlign w:val="center"/>
          </w:tcPr>
          <w:p w14:paraId="54C6675C">
            <w:pPr>
              <w:keepNext w:val="0"/>
              <w:keepLines w:val="0"/>
              <w:pageBreakBefore w:val="0"/>
              <w:widowControl/>
              <w:kinsoku/>
              <w:overflowPunct/>
              <w:topLinePunct w:val="0"/>
              <w:autoSpaceDE/>
              <w:autoSpaceDN/>
              <w:bidi w:val="0"/>
              <w:adjustRightInd/>
              <w:snapToGrid/>
              <w:spacing w:line="240" w:lineRule="atLeast"/>
              <w:ind w:firstLine="0" w:firstLineChars="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小</w:t>
            </w:r>
            <w:r>
              <w:rPr>
                <w:rFonts w:hint="eastAsia" w:ascii="宋体" w:hAnsi="宋体" w:eastAsia="宋体" w:cs="宋体"/>
                <w:color w:val="auto"/>
                <w:kern w:val="0"/>
                <w:sz w:val="21"/>
                <w:szCs w:val="21"/>
              </w:rPr>
              <w:t>计</w:t>
            </w:r>
          </w:p>
          <w:p w14:paraId="3B958B2D">
            <w:pPr>
              <w:keepNext w:val="0"/>
              <w:keepLines w:val="0"/>
              <w:pageBreakBefore w:val="0"/>
              <w:widowControl/>
              <w:kinsoku/>
              <w:overflowPunct/>
              <w:topLinePunct w:val="0"/>
              <w:autoSpaceDE/>
              <w:autoSpaceDN/>
              <w:bidi w:val="0"/>
              <w:adjustRightInd/>
              <w:snapToGrid/>
              <w:spacing w:line="240" w:lineRule="atLeast"/>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（元）</w:t>
            </w:r>
          </w:p>
        </w:tc>
      </w:tr>
      <w:tr w14:paraId="47A21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88" w:type="dxa"/>
            <w:vMerge w:val="continue"/>
            <w:shd w:val="clear" w:color="auto" w:fill="auto"/>
            <w:vAlign w:val="center"/>
          </w:tcPr>
          <w:p w14:paraId="577D2C2C">
            <w:pPr>
              <w:keepNext w:val="0"/>
              <w:keepLines w:val="0"/>
              <w:pageBreakBefore w:val="0"/>
              <w:kinsoku/>
              <w:overflowPunct/>
              <w:topLinePunct w:val="0"/>
              <w:autoSpaceDE/>
              <w:autoSpaceDN/>
              <w:bidi w:val="0"/>
              <w:adjustRightInd/>
              <w:snapToGrid/>
              <w:spacing w:line="240" w:lineRule="atLeast"/>
              <w:ind w:firstLine="0" w:firstLineChars="0"/>
              <w:jc w:val="center"/>
              <w:rPr>
                <w:rFonts w:hint="eastAsia" w:ascii="宋体" w:hAnsi="宋体" w:eastAsia="宋体" w:cs="宋体"/>
                <w:color w:val="auto"/>
                <w:sz w:val="21"/>
                <w:szCs w:val="21"/>
              </w:rPr>
            </w:pPr>
          </w:p>
        </w:tc>
        <w:tc>
          <w:tcPr>
            <w:tcW w:w="1557" w:type="dxa"/>
            <w:vMerge w:val="continue"/>
            <w:shd w:val="clear" w:color="auto" w:fill="auto"/>
            <w:vAlign w:val="center"/>
          </w:tcPr>
          <w:p w14:paraId="47C0F5FC">
            <w:pPr>
              <w:keepNext w:val="0"/>
              <w:keepLines w:val="0"/>
              <w:pageBreakBefore w:val="0"/>
              <w:kinsoku/>
              <w:overflowPunct/>
              <w:topLinePunct w:val="0"/>
              <w:autoSpaceDE/>
              <w:autoSpaceDN/>
              <w:bidi w:val="0"/>
              <w:adjustRightInd/>
              <w:snapToGrid/>
              <w:spacing w:line="240" w:lineRule="atLeast"/>
              <w:ind w:firstLine="0" w:firstLineChars="0"/>
              <w:jc w:val="center"/>
              <w:rPr>
                <w:rFonts w:hint="eastAsia" w:ascii="宋体" w:hAnsi="宋体" w:eastAsia="宋体" w:cs="宋体"/>
                <w:color w:val="auto"/>
                <w:sz w:val="21"/>
                <w:szCs w:val="21"/>
              </w:rPr>
            </w:pPr>
          </w:p>
        </w:tc>
        <w:tc>
          <w:tcPr>
            <w:tcW w:w="941" w:type="dxa"/>
            <w:vMerge w:val="continue"/>
            <w:shd w:val="clear" w:color="auto" w:fill="auto"/>
            <w:vAlign w:val="center"/>
          </w:tcPr>
          <w:p w14:paraId="10899667">
            <w:pPr>
              <w:keepNext w:val="0"/>
              <w:keepLines w:val="0"/>
              <w:pageBreakBefore w:val="0"/>
              <w:kinsoku/>
              <w:overflowPunct/>
              <w:topLinePunct w:val="0"/>
              <w:autoSpaceDE/>
              <w:autoSpaceDN/>
              <w:bidi w:val="0"/>
              <w:adjustRightInd/>
              <w:snapToGrid/>
              <w:spacing w:line="240" w:lineRule="atLeast"/>
              <w:ind w:firstLine="0" w:firstLineChars="0"/>
              <w:jc w:val="center"/>
              <w:rPr>
                <w:rFonts w:hint="eastAsia" w:ascii="宋体" w:hAnsi="宋体" w:eastAsia="宋体" w:cs="宋体"/>
                <w:color w:val="auto"/>
                <w:sz w:val="21"/>
                <w:szCs w:val="21"/>
              </w:rPr>
            </w:pPr>
          </w:p>
        </w:tc>
        <w:tc>
          <w:tcPr>
            <w:tcW w:w="2385" w:type="dxa"/>
            <w:vMerge w:val="continue"/>
            <w:shd w:val="clear" w:color="auto" w:fill="auto"/>
            <w:vAlign w:val="center"/>
          </w:tcPr>
          <w:p w14:paraId="62B960C1">
            <w:pPr>
              <w:keepNext w:val="0"/>
              <w:keepLines w:val="0"/>
              <w:pageBreakBefore w:val="0"/>
              <w:kinsoku/>
              <w:overflowPunct/>
              <w:topLinePunct w:val="0"/>
              <w:autoSpaceDE/>
              <w:autoSpaceDN/>
              <w:bidi w:val="0"/>
              <w:adjustRightInd/>
              <w:snapToGrid/>
              <w:spacing w:line="240" w:lineRule="atLeast"/>
              <w:ind w:firstLine="0" w:firstLineChars="0"/>
              <w:jc w:val="center"/>
              <w:rPr>
                <w:rFonts w:hint="eastAsia" w:ascii="宋体" w:hAnsi="宋体" w:eastAsia="宋体" w:cs="宋体"/>
                <w:color w:val="auto"/>
                <w:sz w:val="21"/>
                <w:szCs w:val="21"/>
              </w:rPr>
            </w:pPr>
          </w:p>
        </w:tc>
        <w:tc>
          <w:tcPr>
            <w:tcW w:w="726" w:type="dxa"/>
            <w:vMerge w:val="continue"/>
            <w:shd w:val="clear" w:color="auto" w:fill="auto"/>
            <w:vAlign w:val="center"/>
          </w:tcPr>
          <w:p w14:paraId="703FA7A3">
            <w:pPr>
              <w:keepNext w:val="0"/>
              <w:keepLines w:val="0"/>
              <w:pageBreakBefore w:val="0"/>
              <w:kinsoku/>
              <w:overflowPunct/>
              <w:topLinePunct w:val="0"/>
              <w:autoSpaceDE/>
              <w:autoSpaceDN/>
              <w:bidi w:val="0"/>
              <w:adjustRightInd/>
              <w:snapToGrid/>
              <w:spacing w:line="240" w:lineRule="atLeast"/>
              <w:ind w:firstLine="0" w:firstLineChars="0"/>
              <w:jc w:val="center"/>
              <w:rPr>
                <w:rFonts w:hint="eastAsia" w:ascii="宋体" w:hAnsi="宋体" w:eastAsia="宋体" w:cs="宋体"/>
                <w:color w:val="auto"/>
                <w:sz w:val="21"/>
                <w:szCs w:val="21"/>
              </w:rPr>
            </w:pPr>
          </w:p>
        </w:tc>
        <w:tc>
          <w:tcPr>
            <w:tcW w:w="726" w:type="dxa"/>
            <w:vMerge w:val="continue"/>
            <w:shd w:val="clear" w:color="auto" w:fill="auto"/>
            <w:vAlign w:val="center"/>
          </w:tcPr>
          <w:p w14:paraId="7AC7464D">
            <w:pPr>
              <w:keepNext w:val="0"/>
              <w:keepLines w:val="0"/>
              <w:pageBreakBefore w:val="0"/>
              <w:kinsoku/>
              <w:overflowPunct/>
              <w:topLinePunct w:val="0"/>
              <w:autoSpaceDE/>
              <w:autoSpaceDN/>
              <w:bidi w:val="0"/>
              <w:adjustRightInd/>
              <w:snapToGrid/>
              <w:spacing w:line="240" w:lineRule="atLeast"/>
              <w:ind w:firstLine="0" w:firstLineChars="0"/>
              <w:jc w:val="center"/>
              <w:rPr>
                <w:rFonts w:hint="eastAsia" w:ascii="宋体" w:hAnsi="宋体" w:eastAsia="宋体" w:cs="宋体"/>
                <w:color w:val="auto"/>
                <w:sz w:val="21"/>
                <w:szCs w:val="21"/>
              </w:rPr>
            </w:pPr>
          </w:p>
        </w:tc>
        <w:tc>
          <w:tcPr>
            <w:tcW w:w="960" w:type="dxa"/>
            <w:vMerge w:val="continue"/>
            <w:shd w:val="clear" w:color="auto" w:fill="auto"/>
            <w:vAlign w:val="center"/>
          </w:tcPr>
          <w:p w14:paraId="08940274">
            <w:pPr>
              <w:keepNext w:val="0"/>
              <w:keepLines w:val="0"/>
              <w:pageBreakBefore w:val="0"/>
              <w:kinsoku/>
              <w:overflowPunct/>
              <w:topLinePunct w:val="0"/>
              <w:autoSpaceDE/>
              <w:autoSpaceDN/>
              <w:bidi w:val="0"/>
              <w:adjustRightInd/>
              <w:snapToGrid/>
              <w:spacing w:line="240" w:lineRule="atLeast"/>
              <w:ind w:firstLine="0" w:firstLineChars="0"/>
              <w:jc w:val="center"/>
              <w:rPr>
                <w:rFonts w:hint="eastAsia" w:ascii="宋体" w:hAnsi="宋体" w:eastAsia="宋体" w:cs="宋体"/>
                <w:color w:val="auto"/>
                <w:sz w:val="21"/>
                <w:szCs w:val="21"/>
              </w:rPr>
            </w:pPr>
          </w:p>
        </w:tc>
        <w:tc>
          <w:tcPr>
            <w:tcW w:w="1128" w:type="dxa"/>
            <w:vMerge w:val="continue"/>
            <w:shd w:val="clear" w:color="auto" w:fill="auto"/>
            <w:vAlign w:val="center"/>
          </w:tcPr>
          <w:p w14:paraId="352538B2">
            <w:pPr>
              <w:keepNext w:val="0"/>
              <w:keepLines w:val="0"/>
              <w:pageBreakBefore w:val="0"/>
              <w:kinsoku/>
              <w:overflowPunct/>
              <w:topLinePunct w:val="0"/>
              <w:autoSpaceDE/>
              <w:autoSpaceDN/>
              <w:bidi w:val="0"/>
              <w:adjustRightInd/>
              <w:snapToGrid/>
              <w:spacing w:line="240" w:lineRule="atLeast"/>
              <w:ind w:firstLine="0" w:firstLineChars="0"/>
              <w:jc w:val="center"/>
              <w:rPr>
                <w:rFonts w:hint="eastAsia" w:ascii="宋体" w:hAnsi="宋体" w:eastAsia="宋体" w:cs="宋体"/>
                <w:color w:val="auto"/>
                <w:sz w:val="21"/>
                <w:szCs w:val="21"/>
              </w:rPr>
            </w:pPr>
          </w:p>
        </w:tc>
      </w:tr>
      <w:tr w14:paraId="14547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788" w:type="dxa"/>
            <w:vMerge w:val="restart"/>
            <w:shd w:val="clear" w:color="auto" w:fill="auto"/>
            <w:vAlign w:val="center"/>
          </w:tcPr>
          <w:p w14:paraId="329AD4F2">
            <w:pPr>
              <w:keepNext w:val="0"/>
              <w:keepLines w:val="0"/>
              <w:pageBreakBefore w:val="0"/>
              <w:widowControl/>
              <w:kinsoku/>
              <w:overflowPunct/>
              <w:topLinePunct w:val="0"/>
              <w:autoSpaceDE/>
              <w:autoSpaceDN/>
              <w:bidi w:val="0"/>
              <w:adjustRightInd/>
              <w:snapToGrid/>
              <w:spacing w:line="240" w:lineRule="atLeast"/>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建筑声学</w:t>
            </w:r>
          </w:p>
        </w:tc>
        <w:tc>
          <w:tcPr>
            <w:tcW w:w="1557" w:type="dxa"/>
            <w:shd w:val="clear" w:color="auto" w:fill="auto"/>
            <w:vAlign w:val="center"/>
          </w:tcPr>
          <w:p w14:paraId="101681B9">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噪声（室内背景噪声）</w:t>
            </w:r>
          </w:p>
        </w:tc>
        <w:tc>
          <w:tcPr>
            <w:tcW w:w="941" w:type="dxa"/>
            <w:shd w:val="clear" w:color="auto" w:fill="auto"/>
            <w:vAlign w:val="center"/>
          </w:tcPr>
          <w:p w14:paraId="403E570B">
            <w:pPr>
              <w:keepNext w:val="0"/>
              <w:keepLines w:val="0"/>
              <w:pageBreakBefore w:val="0"/>
              <w:kinsoku/>
              <w:overflowPunct/>
              <w:topLinePunct w:val="0"/>
              <w:autoSpaceDE/>
              <w:autoSpaceDN/>
              <w:bidi w:val="0"/>
              <w:adjustRightInd/>
              <w:snapToGrid/>
              <w:spacing w:line="240" w:lineRule="exact"/>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6.1.1</w:t>
            </w:r>
          </w:p>
        </w:tc>
        <w:tc>
          <w:tcPr>
            <w:tcW w:w="2385" w:type="dxa"/>
            <w:vMerge w:val="restart"/>
            <w:shd w:val="clear" w:color="auto" w:fill="auto"/>
            <w:vAlign w:val="center"/>
          </w:tcPr>
          <w:p w14:paraId="743E04C5">
            <w:pPr>
              <w:keepNext w:val="0"/>
              <w:keepLines w:val="0"/>
              <w:pageBreakBefore w:val="0"/>
              <w:widowControl/>
              <w:kinsoku/>
              <w:overflowPunct/>
              <w:topLinePunct w:val="0"/>
              <w:autoSpaceDE/>
              <w:autoSpaceDN/>
              <w:bidi w:val="0"/>
              <w:adjustRightInd/>
              <w:snapToGrid/>
              <w:spacing w:line="240" w:lineRule="atLeast"/>
              <w:ind w:firstLine="0" w:firstLineChars="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选取典型功能空间或构件，每栋建筑每个功能空间或构件至少抽测1处进行室内声环境检测</w:t>
            </w:r>
          </w:p>
        </w:tc>
        <w:tc>
          <w:tcPr>
            <w:tcW w:w="726" w:type="dxa"/>
            <w:shd w:val="clear" w:color="auto" w:fill="auto"/>
            <w:vAlign w:val="center"/>
          </w:tcPr>
          <w:p w14:paraId="62FF1635">
            <w:pPr>
              <w:keepNext w:val="0"/>
              <w:keepLines w:val="0"/>
              <w:pageBreakBefore w:val="0"/>
              <w:widowControl/>
              <w:kinsoku/>
              <w:overflowPunct/>
              <w:topLinePunct w:val="0"/>
              <w:autoSpaceDE/>
              <w:autoSpaceDN/>
              <w:bidi w:val="0"/>
              <w:adjustRightInd/>
              <w:snapToGrid/>
              <w:ind w:left="0" w:leftChars="0" w:firstLine="0" w:firstLineChars="0"/>
              <w:jc w:val="center"/>
              <w:textAlignment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4</w:t>
            </w:r>
          </w:p>
        </w:tc>
        <w:tc>
          <w:tcPr>
            <w:tcW w:w="726" w:type="dxa"/>
            <w:shd w:val="clear" w:color="auto" w:fill="auto"/>
            <w:vAlign w:val="center"/>
          </w:tcPr>
          <w:p w14:paraId="67ACAF93">
            <w:pPr>
              <w:keepNext w:val="0"/>
              <w:keepLines w:val="0"/>
              <w:pageBreakBefore w:val="0"/>
              <w:widowControl/>
              <w:kinsoku/>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点</w:t>
            </w:r>
          </w:p>
        </w:tc>
        <w:tc>
          <w:tcPr>
            <w:tcW w:w="960" w:type="dxa"/>
            <w:shd w:val="clear" w:color="auto" w:fill="auto"/>
            <w:vAlign w:val="center"/>
          </w:tcPr>
          <w:p w14:paraId="0BDE5BFA">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rPr>
            </w:pPr>
          </w:p>
        </w:tc>
        <w:tc>
          <w:tcPr>
            <w:tcW w:w="1128" w:type="dxa"/>
            <w:shd w:val="clear" w:color="auto" w:fill="auto"/>
            <w:vAlign w:val="center"/>
          </w:tcPr>
          <w:p w14:paraId="5F0CA48A">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rPr>
            </w:pPr>
          </w:p>
        </w:tc>
      </w:tr>
      <w:tr w14:paraId="76804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788" w:type="dxa"/>
            <w:vMerge w:val="continue"/>
            <w:shd w:val="clear" w:color="auto" w:fill="auto"/>
            <w:vAlign w:val="center"/>
          </w:tcPr>
          <w:p w14:paraId="642684AD">
            <w:pPr>
              <w:keepNext w:val="0"/>
              <w:keepLines w:val="0"/>
              <w:pageBreakBefore w:val="0"/>
              <w:widowControl/>
              <w:kinsoku/>
              <w:overflowPunct/>
              <w:topLinePunct w:val="0"/>
              <w:autoSpaceDE/>
              <w:autoSpaceDN/>
              <w:bidi w:val="0"/>
              <w:adjustRightInd/>
              <w:snapToGrid/>
              <w:spacing w:line="240" w:lineRule="atLeast"/>
              <w:ind w:firstLine="0" w:firstLineChars="0"/>
              <w:jc w:val="center"/>
              <w:textAlignment w:val="center"/>
              <w:rPr>
                <w:rFonts w:hint="eastAsia" w:ascii="宋体" w:hAnsi="宋体" w:eastAsia="宋体" w:cs="宋体"/>
                <w:color w:val="auto"/>
                <w:sz w:val="21"/>
                <w:szCs w:val="21"/>
              </w:rPr>
            </w:pPr>
          </w:p>
        </w:tc>
        <w:tc>
          <w:tcPr>
            <w:tcW w:w="1557" w:type="dxa"/>
            <w:shd w:val="clear" w:color="auto" w:fill="auto"/>
            <w:vAlign w:val="center"/>
          </w:tcPr>
          <w:p w14:paraId="6E9C00E9">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1"/>
                <w:szCs w:val="21"/>
                <w:lang w:eastAsia="zh-CN"/>
              </w:rPr>
            </w:pPr>
            <w:r>
              <w:rPr>
                <w:rFonts w:hint="eastAsia" w:ascii="宋体" w:hAnsi="宋体" w:cs="宋体"/>
                <w:color w:val="auto"/>
                <w:sz w:val="21"/>
                <w:szCs w:val="21"/>
                <w:lang w:eastAsia="zh-CN"/>
              </w:rPr>
              <w:t>混响时间</w:t>
            </w:r>
          </w:p>
        </w:tc>
        <w:tc>
          <w:tcPr>
            <w:tcW w:w="941" w:type="dxa"/>
            <w:shd w:val="clear" w:color="auto" w:fill="auto"/>
            <w:vAlign w:val="center"/>
          </w:tcPr>
          <w:p w14:paraId="1D7A29E3">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6.1.2</w:t>
            </w:r>
          </w:p>
        </w:tc>
        <w:tc>
          <w:tcPr>
            <w:tcW w:w="2385" w:type="dxa"/>
            <w:vMerge w:val="continue"/>
            <w:shd w:val="clear" w:color="auto" w:fill="auto"/>
            <w:vAlign w:val="center"/>
          </w:tcPr>
          <w:p w14:paraId="4CD44B21">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1"/>
                <w:szCs w:val="21"/>
              </w:rPr>
            </w:pPr>
          </w:p>
        </w:tc>
        <w:tc>
          <w:tcPr>
            <w:tcW w:w="726" w:type="dxa"/>
            <w:shd w:val="clear" w:color="auto" w:fill="auto"/>
            <w:vAlign w:val="center"/>
          </w:tcPr>
          <w:p w14:paraId="50FE7044">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18</w:t>
            </w:r>
          </w:p>
        </w:tc>
        <w:tc>
          <w:tcPr>
            <w:tcW w:w="726" w:type="dxa"/>
            <w:shd w:val="clear" w:color="auto" w:fill="auto"/>
            <w:vAlign w:val="center"/>
          </w:tcPr>
          <w:p w14:paraId="2B81D920">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点</w:t>
            </w:r>
          </w:p>
        </w:tc>
        <w:tc>
          <w:tcPr>
            <w:tcW w:w="960" w:type="dxa"/>
            <w:shd w:val="clear" w:color="auto" w:fill="auto"/>
            <w:vAlign w:val="center"/>
          </w:tcPr>
          <w:p w14:paraId="0793F1C7">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1"/>
                <w:szCs w:val="21"/>
              </w:rPr>
            </w:pPr>
          </w:p>
        </w:tc>
        <w:tc>
          <w:tcPr>
            <w:tcW w:w="1128" w:type="dxa"/>
            <w:shd w:val="clear" w:color="auto" w:fill="auto"/>
            <w:vAlign w:val="center"/>
          </w:tcPr>
          <w:p w14:paraId="5F82CB0F">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1"/>
                <w:szCs w:val="21"/>
              </w:rPr>
            </w:pPr>
          </w:p>
        </w:tc>
      </w:tr>
      <w:tr w14:paraId="116B9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788" w:type="dxa"/>
            <w:vMerge w:val="continue"/>
            <w:shd w:val="clear" w:color="auto" w:fill="auto"/>
            <w:vAlign w:val="center"/>
          </w:tcPr>
          <w:p w14:paraId="2FA2DDD9">
            <w:pPr>
              <w:keepNext w:val="0"/>
              <w:keepLines w:val="0"/>
              <w:pageBreakBefore w:val="0"/>
              <w:widowControl/>
              <w:kinsoku/>
              <w:overflowPunct/>
              <w:topLinePunct w:val="0"/>
              <w:autoSpaceDE/>
              <w:autoSpaceDN/>
              <w:bidi w:val="0"/>
              <w:adjustRightInd/>
              <w:snapToGrid/>
              <w:spacing w:line="240" w:lineRule="atLeast"/>
              <w:ind w:firstLine="0" w:firstLineChars="0"/>
              <w:jc w:val="center"/>
              <w:textAlignment w:val="center"/>
              <w:rPr>
                <w:rFonts w:hint="eastAsia" w:ascii="宋体" w:hAnsi="宋体" w:eastAsia="宋体" w:cs="宋体"/>
                <w:color w:val="auto"/>
                <w:sz w:val="21"/>
                <w:szCs w:val="21"/>
              </w:rPr>
            </w:pPr>
          </w:p>
        </w:tc>
        <w:tc>
          <w:tcPr>
            <w:tcW w:w="1557" w:type="dxa"/>
            <w:shd w:val="clear" w:color="auto" w:fill="auto"/>
            <w:vAlign w:val="center"/>
          </w:tcPr>
          <w:p w14:paraId="5C756A59">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空气声隔声性能（现场检测）</w:t>
            </w:r>
          </w:p>
        </w:tc>
        <w:tc>
          <w:tcPr>
            <w:tcW w:w="941" w:type="dxa"/>
            <w:shd w:val="clear" w:color="auto" w:fill="auto"/>
            <w:vAlign w:val="center"/>
          </w:tcPr>
          <w:p w14:paraId="0DD25273">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6.1.3</w:t>
            </w:r>
          </w:p>
        </w:tc>
        <w:tc>
          <w:tcPr>
            <w:tcW w:w="2385" w:type="dxa"/>
            <w:vMerge w:val="continue"/>
            <w:shd w:val="clear" w:color="auto" w:fill="auto"/>
            <w:vAlign w:val="center"/>
          </w:tcPr>
          <w:p w14:paraId="22E6E3E6">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1"/>
                <w:szCs w:val="21"/>
              </w:rPr>
            </w:pPr>
          </w:p>
        </w:tc>
        <w:tc>
          <w:tcPr>
            <w:tcW w:w="726" w:type="dxa"/>
            <w:shd w:val="clear" w:color="auto" w:fill="auto"/>
            <w:vAlign w:val="center"/>
          </w:tcPr>
          <w:p w14:paraId="48A9EF7B">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726" w:type="dxa"/>
            <w:shd w:val="clear" w:color="auto" w:fill="auto"/>
            <w:vAlign w:val="center"/>
          </w:tcPr>
          <w:p w14:paraId="667D7ED9">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处</w:t>
            </w:r>
          </w:p>
        </w:tc>
        <w:tc>
          <w:tcPr>
            <w:tcW w:w="960" w:type="dxa"/>
            <w:shd w:val="clear" w:color="auto" w:fill="auto"/>
            <w:vAlign w:val="center"/>
          </w:tcPr>
          <w:p w14:paraId="1FDB15D0">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1"/>
                <w:szCs w:val="21"/>
              </w:rPr>
            </w:pPr>
          </w:p>
        </w:tc>
        <w:tc>
          <w:tcPr>
            <w:tcW w:w="1128" w:type="dxa"/>
            <w:shd w:val="clear" w:color="auto" w:fill="auto"/>
            <w:vAlign w:val="center"/>
          </w:tcPr>
          <w:p w14:paraId="572BEFFB">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1"/>
                <w:szCs w:val="21"/>
              </w:rPr>
            </w:pPr>
          </w:p>
        </w:tc>
      </w:tr>
      <w:tr w14:paraId="6855C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788" w:type="dxa"/>
            <w:vMerge w:val="continue"/>
            <w:shd w:val="clear" w:color="auto" w:fill="auto"/>
            <w:vAlign w:val="center"/>
          </w:tcPr>
          <w:p w14:paraId="28B2F985">
            <w:pPr>
              <w:keepNext w:val="0"/>
              <w:keepLines w:val="0"/>
              <w:pageBreakBefore w:val="0"/>
              <w:widowControl/>
              <w:kinsoku/>
              <w:overflowPunct/>
              <w:topLinePunct w:val="0"/>
              <w:autoSpaceDE/>
              <w:autoSpaceDN/>
              <w:bidi w:val="0"/>
              <w:adjustRightInd/>
              <w:snapToGrid/>
              <w:spacing w:line="240" w:lineRule="atLeast"/>
              <w:ind w:firstLine="0" w:firstLineChars="0"/>
              <w:jc w:val="center"/>
              <w:textAlignment w:val="center"/>
              <w:rPr>
                <w:rFonts w:hint="eastAsia" w:ascii="宋体" w:hAnsi="宋体" w:eastAsia="宋体" w:cs="宋体"/>
                <w:color w:val="auto"/>
                <w:sz w:val="21"/>
                <w:szCs w:val="21"/>
              </w:rPr>
            </w:pPr>
          </w:p>
        </w:tc>
        <w:tc>
          <w:tcPr>
            <w:tcW w:w="1557" w:type="dxa"/>
            <w:shd w:val="clear" w:color="auto" w:fill="auto"/>
            <w:vAlign w:val="center"/>
          </w:tcPr>
          <w:p w14:paraId="19E90084">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撞击声隔声性能（现场检测）</w:t>
            </w:r>
          </w:p>
        </w:tc>
        <w:tc>
          <w:tcPr>
            <w:tcW w:w="941" w:type="dxa"/>
            <w:shd w:val="clear" w:color="auto" w:fill="auto"/>
            <w:vAlign w:val="center"/>
          </w:tcPr>
          <w:p w14:paraId="5801D002">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6.1.4</w:t>
            </w:r>
          </w:p>
        </w:tc>
        <w:tc>
          <w:tcPr>
            <w:tcW w:w="2385" w:type="dxa"/>
            <w:vMerge w:val="continue"/>
            <w:shd w:val="clear" w:color="auto" w:fill="auto"/>
            <w:vAlign w:val="center"/>
          </w:tcPr>
          <w:p w14:paraId="19E53685">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1"/>
                <w:szCs w:val="21"/>
              </w:rPr>
            </w:pPr>
          </w:p>
        </w:tc>
        <w:tc>
          <w:tcPr>
            <w:tcW w:w="726" w:type="dxa"/>
            <w:shd w:val="clear" w:color="auto" w:fill="auto"/>
            <w:vAlign w:val="center"/>
          </w:tcPr>
          <w:p w14:paraId="336E152E">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1"/>
                <w:szCs w:val="21"/>
                <w:lang w:eastAsia="zh-CN"/>
              </w:rPr>
            </w:pPr>
            <w:r>
              <w:rPr>
                <w:rFonts w:hint="eastAsia" w:ascii="宋体" w:hAnsi="宋体" w:cs="宋体"/>
                <w:color w:val="auto"/>
                <w:sz w:val="21"/>
                <w:szCs w:val="21"/>
                <w:lang w:val="en-US" w:eastAsia="zh-CN"/>
              </w:rPr>
              <w:t>4</w:t>
            </w:r>
          </w:p>
        </w:tc>
        <w:tc>
          <w:tcPr>
            <w:tcW w:w="726" w:type="dxa"/>
            <w:shd w:val="clear" w:color="auto" w:fill="auto"/>
            <w:vAlign w:val="center"/>
          </w:tcPr>
          <w:p w14:paraId="676543C9">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处</w:t>
            </w:r>
          </w:p>
        </w:tc>
        <w:tc>
          <w:tcPr>
            <w:tcW w:w="960" w:type="dxa"/>
            <w:shd w:val="clear" w:color="auto" w:fill="auto"/>
            <w:vAlign w:val="center"/>
          </w:tcPr>
          <w:p w14:paraId="2F42448C">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1"/>
                <w:szCs w:val="21"/>
              </w:rPr>
            </w:pPr>
          </w:p>
        </w:tc>
        <w:tc>
          <w:tcPr>
            <w:tcW w:w="1128" w:type="dxa"/>
            <w:shd w:val="clear" w:color="auto" w:fill="auto"/>
            <w:vAlign w:val="center"/>
          </w:tcPr>
          <w:p w14:paraId="5787D610">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1"/>
                <w:szCs w:val="21"/>
              </w:rPr>
            </w:pPr>
          </w:p>
        </w:tc>
      </w:tr>
      <w:tr w14:paraId="0F802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788" w:type="dxa"/>
            <w:shd w:val="clear" w:color="auto" w:fill="auto"/>
            <w:vAlign w:val="center"/>
          </w:tcPr>
          <w:p w14:paraId="1250BDA2">
            <w:pPr>
              <w:keepNext w:val="0"/>
              <w:keepLines w:val="0"/>
              <w:pageBreakBefore w:val="0"/>
              <w:widowControl/>
              <w:kinsoku/>
              <w:overflowPunct/>
              <w:topLinePunct w:val="0"/>
              <w:autoSpaceDE/>
              <w:autoSpaceDN/>
              <w:bidi w:val="0"/>
              <w:adjustRightInd/>
              <w:snapToGrid/>
              <w:spacing w:line="240" w:lineRule="atLeast"/>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环境噪声</w:t>
            </w:r>
          </w:p>
        </w:tc>
        <w:tc>
          <w:tcPr>
            <w:tcW w:w="1557" w:type="dxa"/>
            <w:shd w:val="clear" w:color="auto" w:fill="auto"/>
            <w:vAlign w:val="center"/>
          </w:tcPr>
          <w:p w14:paraId="5320B5FE">
            <w:pPr>
              <w:keepNext w:val="0"/>
              <w:keepLines w:val="0"/>
              <w:pageBreakBefore w:val="0"/>
              <w:widowControl/>
              <w:kinsoku/>
              <w:overflowPunct/>
              <w:topLinePunct w:val="0"/>
              <w:autoSpaceDE/>
              <w:autoSpaceDN/>
              <w:bidi w:val="0"/>
              <w:adjustRightInd/>
              <w:snapToGrid/>
              <w:spacing w:line="240" w:lineRule="atLeast"/>
              <w:ind w:firstLine="0" w:firstLineChars="0"/>
              <w:jc w:val="center"/>
              <w:textAlignment w:val="center"/>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lang w:eastAsia="zh-CN"/>
              </w:rPr>
              <w:t>周围环境噪声</w:t>
            </w:r>
          </w:p>
        </w:tc>
        <w:tc>
          <w:tcPr>
            <w:tcW w:w="941" w:type="dxa"/>
            <w:shd w:val="clear" w:color="auto" w:fill="auto"/>
            <w:vAlign w:val="center"/>
          </w:tcPr>
          <w:p w14:paraId="1EED37C7">
            <w:pPr>
              <w:keepNext w:val="0"/>
              <w:keepLines w:val="0"/>
              <w:pageBreakBefore w:val="0"/>
              <w:widowControl/>
              <w:kinsoku/>
              <w:overflowPunct/>
              <w:topLinePunct w:val="0"/>
              <w:autoSpaceDE/>
              <w:autoSpaceDN/>
              <w:bidi w:val="0"/>
              <w:adjustRightInd/>
              <w:snapToGrid/>
              <w:spacing w:line="240" w:lineRule="atLeast"/>
              <w:ind w:firstLine="0" w:firstLineChars="0"/>
              <w:jc w:val="center"/>
              <w:textAlignment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6.1.1</w:t>
            </w:r>
          </w:p>
        </w:tc>
        <w:tc>
          <w:tcPr>
            <w:tcW w:w="2385" w:type="dxa"/>
            <w:shd w:val="clear" w:color="auto" w:fill="auto"/>
            <w:vAlign w:val="center"/>
          </w:tcPr>
          <w:p w14:paraId="366868F8">
            <w:pPr>
              <w:keepNext w:val="0"/>
              <w:keepLines w:val="0"/>
              <w:pageBreakBefore w:val="0"/>
              <w:widowControl/>
              <w:kinsoku/>
              <w:overflowPunct/>
              <w:topLinePunct w:val="0"/>
              <w:autoSpaceDE/>
              <w:autoSpaceDN/>
              <w:bidi w:val="0"/>
              <w:adjustRightInd/>
              <w:snapToGrid/>
              <w:spacing w:line="240" w:lineRule="atLeast"/>
              <w:ind w:firstLine="0" w:firstLineChars="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4个方向4个点，白天和夜间</w:t>
            </w:r>
          </w:p>
        </w:tc>
        <w:tc>
          <w:tcPr>
            <w:tcW w:w="726" w:type="dxa"/>
            <w:shd w:val="clear" w:color="auto" w:fill="auto"/>
            <w:vAlign w:val="center"/>
          </w:tcPr>
          <w:p w14:paraId="1A0231D8">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16</w:t>
            </w:r>
          </w:p>
        </w:tc>
        <w:tc>
          <w:tcPr>
            <w:tcW w:w="726" w:type="dxa"/>
            <w:shd w:val="clear" w:color="auto" w:fill="auto"/>
            <w:vAlign w:val="center"/>
          </w:tcPr>
          <w:p w14:paraId="53BF02C1">
            <w:pPr>
              <w:keepNext w:val="0"/>
              <w:keepLines w:val="0"/>
              <w:pageBreakBefore w:val="0"/>
              <w:widowControl/>
              <w:kinsoku/>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lang w:eastAsia="zh-CN"/>
              </w:rPr>
              <w:t>点</w:t>
            </w:r>
          </w:p>
        </w:tc>
        <w:tc>
          <w:tcPr>
            <w:tcW w:w="960" w:type="dxa"/>
            <w:shd w:val="clear" w:color="auto" w:fill="auto"/>
            <w:vAlign w:val="center"/>
          </w:tcPr>
          <w:p w14:paraId="2D35CA7A">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c>
          <w:tcPr>
            <w:tcW w:w="1128" w:type="dxa"/>
            <w:shd w:val="clear" w:color="auto" w:fill="auto"/>
            <w:vAlign w:val="center"/>
          </w:tcPr>
          <w:p w14:paraId="3E75CDFD">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r>
      <w:tr w14:paraId="47AE7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0" w:hRule="atLeast"/>
        </w:trPr>
        <w:tc>
          <w:tcPr>
            <w:tcW w:w="788" w:type="dxa"/>
            <w:shd w:val="clear" w:color="auto" w:fill="auto"/>
            <w:vAlign w:val="center"/>
          </w:tcPr>
          <w:p w14:paraId="33184819">
            <w:pPr>
              <w:keepNext w:val="0"/>
              <w:keepLines w:val="0"/>
              <w:pageBreakBefore w:val="0"/>
              <w:widowControl/>
              <w:kinsoku/>
              <w:overflowPunct/>
              <w:topLinePunct w:val="0"/>
              <w:autoSpaceDE/>
              <w:autoSpaceDN/>
              <w:bidi w:val="0"/>
              <w:adjustRightInd/>
              <w:snapToGrid/>
              <w:spacing w:line="240" w:lineRule="auto"/>
              <w:ind w:firstLine="0" w:firstLineChars="0"/>
              <w:jc w:val="center"/>
              <w:rPr>
                <w:rFonts w:hint="default" w:ascii="宋体" w:hAnsi="宋体" w:eastAsia="宋体" w:cs="宋体"/>
                <w:color w:val="auto"/>
                <w:kern w:val="0"/>
                <w:sz w:val="21"/>
                <w:szCs w:val="21"/>
                <w:lang w:val="en-US" w:eastAsia="zh-CN" w:bidi="ar-SA"/>
              </w:rPr>
            </w:pPr>
            <w:r>
              <w:rPr>
                <w:rFonts w:hint="eastAsia" w:ascii="宋体" w:hAnsi="宋体" w:cs="宋体"/>
                <w:color w:val="auto"/>
                <w:kern w:val="0"/>
                <w:sz w:val="21"/>
                <w:szCs w:val="21"/>
              </w:rPr>
              <w:t>土壤</w:t>
            </w:r>
            <w:r>
              <w:rPr>
                <w:rFonts w:hint="eastAsia" w:ascii="宋体" w:hAnsi="宋体" w:cs="宋体"/>
                <w:color w:val="auto"/>
                <w:kern w:val="0"/>
                <w:sz w:val="21"/>
                <w:szCs w:val="21"/>
                <w:lang w:val="en-US" w:eastAsia="zh-CN"/>
              </w:rPr>
              <w:t>放射性</w:t>
            </w:r>
          </w:p>
        </w:tc>
        <w:tc>
          <w:tcPr>
            <w:tcW w:w="1557" w:type="dxa"/>
            <w:shd w:val="clear" w:color="auto" w:fill="auto"/>
            <w:vAlign w:val="center"/>
          </w:tcPr>
          <w:p w14:paraId="50EB0E15">
            <w:pPr>
              <w:keepNext w:val="0"/>
              <w:keepLines w:val="0"/>
              <w:pageBreakBefore w:val="0"/>
              <w:widowControl/>
              <w:kinsoku/>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lang w:val="en-US" w:eastAsia="zh-CN" w:bidi="ar-SA"/>
              </w:rPr>
            </w:pPr>
            <w:r>
              <w:rPr>
                <w:rFonts w:hint="eastAsia" w:ascii="宋体" w:hAnsi="宋体" w:cs="宋体"/>
                <w:color w:val="auto"/>
                <w:kern w:val="0"/>
                <w:sz w:val="21"/>
                <w:szCs w:val="21"/>
              </w:rPr>
              <w:t>土壤氡</w:t>
            </w:r>
            <w:r>
              <w:rPr>
                <w:rFonts w:hint="eastAsia" w:ascii="宋体" w:hAnsi="宋体" w:cs="宋体"/>
                <w:color w:val="auto"/>
                <w:kern w:val="0"/>
                <w:sz w:val="21"/>
                <w:szCs w:val="21"/>
                <w:lang w:val="en-US" w:eastAsia="zh-CN"/>
              </w:rPr>
              <w:t>浓度</w:t>
            </w:r>
          </w:p>
        </w:tc>
        <w:tc>
          <w:tcPr>
            <w:tcW w:w="941" w:type="dxa"/>
            <w:shd w:val="clear" w:color="auto" w:fill="auto"/>
            <w:vAlign w:val="center"/>
          </w:tcPr>
          <w:p w14:paraId="616C6122">
            <w:pPr>
              <w:keepNext w:val="0"/>
              <w:keepLines w:val="0"/>
              <w:pageBreakBefore w:val="0"/>
              <w:widowControl/>
              <w:kinsoku/>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lang w:val="en-US" w:eastAsia="zh-CN" w:bidi="ar-SA"/>
              </w:rPr>
            </w:pPr>
            <w:r>
              <w:rPr>
                <w:rFonts w:hint="eastAsia" w:ascii="宋体" w:hAnsi="宋体" w:cs="宋体"/>
                <w:color w:val="auto"/>
                <w:kern w:val="0"/>
                <w:sz w:val="21"/>
                <w:szCs w:val="21"/>
              </w:rPr>
              <w:t>8.2.1</w:t>
            </w:r>
          </w:p>
        </w:tc>
        <w:tc>
          <w:tcPr>
            <w:tcW w:w="2385" w:type="dxa"/>
            <w:shd w:val="clear" w:color="auto" w:fill="auto"/>
            <w:vAlign w:val="center"/>
          </w:tcPr>
          <w:p w14:paraId="24A4A388">
            <w:pPr>
              <w:keepNext w:val="0"/>
              <w:keepLines w:val="0"/>
              <w:pageBreakBefore w:val="0"/>
              <w:widowControl/>
              <w:kinsoku/>
              <w:overflowPunct/>
              <w:topLinePunct w:val="0"/>
              <w:autoSpaceDE/>
              <w:autoSpaceDN/>
              <w:bidi w:val="0"/>
              <w:adjustRightInd/>
              <w:snapToGrid/>
              <w:spacing w:line="240" w:lineRule="auto"/>
              <w:ind w:firstLine="0" w:firstLineChars="0"/>
              <w:jc w:val="center"/>
              <w:rPr>
                <w:rFonts w:hint="eastAsia" w:ascii="宋体" w:hAnsi="宋体" w:eastAsia="宋体" w:cs="宋体"/>
                <w:color w:val="auto"/>
                <w:kern w:val="0"/>
                <w:sz w:val="21"/>
                <w:szCs w:val="21"/>
                <w:lang w:val="en-US" w:eastAsia="zh-CN" w:bidi="ar-SA"/>
              </w:rPr>
            </w:pPr>
            <w:r>
              <w:rPr>
                <w:rFonts w:hint="eastAsia" w:ascii="宋体" w:hAnsi="宋体" w:cs="宋体"/>
                <w:color w:val="auto"/>
                <w:kern w:val="0"/>
                <w:sz w:val="21"/>
                <w:szCs w:val="21"/>
              </w:rPr>
              <w:t>以间距10m作网格，各网格点即为测试点，布点数不应少于16个，布点位置应覆盖基础工程范围</w:t>
            </w:r>
          </w:p>
        </w:tc>
        <w:tc>
          <w:tcPr>
            <w:tcW w:w="726" w:type="dxa"/>
            <w:shd w:val="clear" w:color="auto" w:fill="auto"/>
            <w:vAlign w:val="center"/>
          </w:tcPr>
          <w:p w14:paraId="0A2CA114">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54</w:t>
            </w:r>
          </w:p>
        </w:tc>
        <w:tc>
          <w:tcPr>
            <w:tcW w:w="726" w:type="dxa"/>
            <w:shd w:val="clear" w:color="auto" w:fill="auto"/>
            <w:vAlign w:val="center"/>
          </w:tcPr>
          <w:p w14:paraId="50E6354D">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点</w:t>
            </w:r>
          </w:p>
        </w:tc>
        <w:tc>
          <w:tcPr>
            <w:tcW w:w="960" w:type="dxa"/>
            <w:shd w:val="clear" w:color="auto" w:fill="auto"/>
            <w:vAlign w:val="center"/>
          </w:tcPr>
          <w:p w14:paraId="2997596E">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bidi="ar-SA"/>
              </w:rPr>
            </w:pPr>
          </w:p>
        </w:tc>
        <w:tc>
          <w:tcPr>
            <w:tcW w:w="1128" w:type="dxa"/>
            <w:shd w:val="clear" w:color="auto" w:fill="auto"/>
            <w:vAlign w:val="center"/>
          </w:tcPr>
          <w:p w14:paraId="6C04C250">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bidi="ar-SA"/>
              </w:rPr>
            </w:pPr>
          </w:p>
        </w:tc>
      </w:tr>
      <w:tr w14:paraId="34370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123" w:type="dxa"/>
            <w:gridSpan w:val="6"/>
            <w:shd w:val="clear" w:color="auto" w:fill="auto"/>
            <w:vAlign w:val="center"/>
          </w:tcPr>
          <w:p w14:paraId="1B1C647E">
            <w:pPr>
              <w:keepNext w:val="0"/>
              <w:keepLines w:val="0"/>
              <w:pageBreakBefore w:val="0"/>
              <w:widowControl/>
              <w:kinsoku/>
              <w:overflowPunct/>
              <w:topLinePunct w:val="0"/>
              <w:autoSpaceDE/>
              <w:autoSpaceDN/>
              <w:bidi w:val="0"/>
              <w:adjustRightInd/>
              <w:snapToGrid/>
              <w:spacing w:line="240" w:lineRule="atLeast"/>
              <w:ind w:firstLine="0" w:firstLineChars="0"/>
              <w:jc w:val="center"/>
              <w:textAlignment w:val="center"/>
              <w:rPr>
                <w:rFonts w:hint="eastAsia" w:ascii="宋体" w:hAnsi="宋体" w:eastAsia="宋体" w:cs="宋体"/>
                <w:b/>
                <w:bCs/>
                <w:color w:val="auto"/>
                <w:kern w:val="0"/>
                <w:sz w:val="21"/>
                <w:szCs w:val="21"/>
              </w:rPr>
            </w:pPr>
            <w:r>
              <w:rPr>
                <w:rFonts w:hint="eastAsia" w:ascii="宋体" w:hAnsi="宋体" w:eastAsia="宋体" w:cs="宋体"/>
                <w:color w:val="auto"/>
                <w:kern w:val="0"/>
                <w:sz w:val="21"/>
                <w:szCs w:val="21"/>
              </w:rPr>
              <w:t>建筑环境检测总费用合计（元）</w:t>
            </w:r>
          </w:p>
        </w:tc>
        <w:tc>
          <w:tcPr>
            <w:tcW w:w="2088" w:type="dxa"/>
            <w:gridSpan w:val="2"/>
            <w:shd w:val="clear" w:color="auto" w:fill="auto"/>
            <w:vAlign w:val="center"/>
          </w:tcPr>
          <w:p w14:paraId="1C217A44">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r>
      <w:tr w14:paraId="6A7A5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7123" w:type="dxa"/>
            <w:gridSpan w:val="6"/>
            <w:shd w:val="clear" w:color="auto" w:fill="auto"/>
            <w:vAlign w:val="center"/>
          </w:tcPr>
          <w:p w14:paraId="228D5C27">
            <w:pPr>
              <w:keepNext w:val="0"/>
              <w:keepLines w:val="0"/>
              <w:pageBreakBefore w:val="0"/>
              <w:widowControl/>
              <w:kinsoku/>
              <w:overflowPunct/>
              <w:topLinePunct w:val="0"/>
              <w:autoSpaceDE/>
              <w:autoSpaceDN/>
              <w:bidi w:val="0"/>
              <w:adjustRightInd/>
              <w:snapToGrid/>
              <w:spacing w:line="240" w:lineRule="atLeast"/>
              <w:ind w:firstLine="0" w:firstLineChars="0"/>
              <w:jc w:val="center"/>
              <w:textAlignment w:val="center"/>
              <w:rPr>
                <w:rFonts w:hint="eastAsia" w:ascii="宋体" w:hAnsi="宋体" w:eastAsia="宋体" w:cs="宋体"/>
                <w:b/>
                <w:bCs/>
                <w:color w:val="auto"/>
                <w:kern w:val="0"/>
                <w:sz w:val="21"/>
                <w:szCs w:val="21"/>
                <w:lang w:eastAsia="zh-CN"/>
              </w:rPr>
            </w:pPr>
            <w:r>
              <w:rPr>
                <w:rFonts w:hint="eastAsia" w:ascii="宋体" w:hAnsi="宋体" w:eastAsia="宋体" w:cs="宋体"/>
                <w:color w:val="auto"/>
                <w:kern w:val="0"/>
                <w:sz w:val="21"/>
                <w:szCs w:val="21"/>
              </w:rPr>
              <w:t>建筑环境检测总费用下浮</w:t>
            </w:r>
            <w:r>
              <w:rPr>
                <w:rFonts w:hint="eastAsia" w:ascii="宋体" w:hAnsi="宋体" w:cs="宋体"/>
                <w:color w:val="auto"/>
                <w:kern w:val="0"/>
                <w:sz w:val="21"/>
                <w:szCs w:val="21"/>
                <w:lang w:val="en-US" w:eastAsia="zh-CN"/>
              </w:rPr>
              <w:t>55</w:t>
            </w:r>
            <w:r>
              <w:rPr>
                <w:rFonts w:hint="eastAsia" w:ascii="宋体" w:hAnsi="宋体" w:eastAsia="宋体" w:cs="宋体"/>
                <w:color w:val="auto"/>
                <w:kern w:val="0"/>
                <w:sz w:val="21"/>
                <w:szCs w:val="21"/>
              </w:rPr>
              <w:t>%计算</w:t>
            </w:r>
            <w:r>
              <w:rPr>
                <w:rFonts w:hint="eastAsia" w:ascii="宋体" w:hAnsi="宋体" w:cs="宋体"/>
                <w:color w:val="auto"/>
                <w:kern w:val="0"/>
                <w:sz w:val="21"/>
                <w:szCs w:val="21"/>
                <w:lang w:eastAsia="zh-CN"/>
              </w:rPr>
              <w:t>（元）</w:t>
            </w:r>
          </w:p>
        </w:tc>
        <w:tc>
          <w:tcPr>
            <w:tcW w:w="2088" w:type="dxa"/>
            <w:gridSpan w:val="2"/>
            <w:shd w:val="clear" w:color="auto" w:fill="auto"/>
            <w:vAlign w:val="center"/>
          </w:tcPr>
          <w:p w14:paraId="7E9009A0">
            <w:pPr>
              <w:keepNext w:val="0"/>
              <w:keepLines w:val="0"/>
              <w:pageBreakBefore w:val="0"/>
              <w:widowControl/>
              <w:kinsoku/>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r>
      <w:tr w14:paraId="5B72C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9211" w:type="dxa"/>
            <w:gridSpan w:val="8"/>
            <w:shd w:val="clear" w:color="auto" w:fill="auto"/>
            <w:vAlign w:val="center"/>
          </w:tcPr>
          <w:p w14:paraId="05C3BC85">
            <w:pPr>
              <w:keepNext w:val="0"/>
              <w:keepLines w:val="0"/>
              <w:pageBreakBefore w:val="0"/>
              <w:widowControl/>
              <w:kinsoku/>
              <w:overflowPunct/>
              <w:topLinePunct w:val="0"/>
              <w:autoSpaceDE/>
              <w:autoSpaceDN/>
              <w:bidi w:val="0"/>
              <w:adjustRightInd/>
              <w:snapToGrid/>
              <w:spacing w:line="240" w:lineRule="atLeast"/>
              <w:ind w:left="0" w:leftChars="0" w:firstLine="0" w:firstLineChars="0"/>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注</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以实际发生量为准</w:t>
            </w:r>
            <w:r>
              <w:rPr>
                <w:rFonts w:hint="eastAsia" w:ascii="宋体" w:hAnsi="宋体" w:eastAsia="宋体" w:cs="宋体"/>
                <w:color w:val="auto"/>
                <w:kern w:val="0"/>
                <w:sz w:val="21"/>
                <w:szCs w:val="21"/>
                <w:lang w:eastAsia="zh-CN"/>
              </w:rPr>
              <w:t>。</w:t>
            </w:r>
          </w:p>
        </w:tc>
      </w:tr>
    </w:tbl>
    <w:p w14:paraId="31A20B67">
      <w:pPr>
        <w:numPr>
          <w:ilvl w:val="0"/>
          <w:numId w:val="0"/>
        </w:numPr>
        <w:rPr>
          <w:rFonts w:hint="default" w:eastAsia="宋体"/>
          <w:lang w:val="en-US" w:eastAsia="zh-CN"/>
        </w:rPr>
      </w:pPr>
    </w:p>
    <w:p w14:paraId="19BEA38F">
      <w:pPr>
        <w:pStyle w:val="118"/>
        <w:keepNext w:val="0"/>
        <w:keepLines w:val="0"/>
        <w:pageBreakBefore w:val="0"/>
        <w:widowControl w:val="0"/>
        <w:numPr>
          <w:ilvl w:val="0"/>
          <w:numId w:val="1"/>
        </w:numPr>
        <w:tabs>
          <w:tab w:val="left" w:pos="-1486"/>
          <w:tab w:val="left" w:pos="-142"/>
        </w:tabs>
        <w:kinsoku/>
        <w:wordWrap/>
        <w:overflowPunct/>
        <w:topLinePunct w:val="0"/>
        <w:autoSpaceDE/>
        <w:autoSpaceDN/>
        <w:bidi w:val="0"/>
        <w:adjustRightInd/>
        <w:snapToGrid/>
        <w:spacing w:before="100" w:beforeLines="30" w:after="67" w:afterLines="20" w:line="560" w:lineRule="exact"/>
        <w:ind w:left="6" w:leftChars="0" w:hanging="6" w:firstLineChars="0"/>
        <w:jc w:val="center"/>
        <w:textAlignment w:val="auto"/>
        <w:rPr>
          <w:rFonts w:hint="eastAsia" w:ascii="宋体" w:hAnsi="宋体" w:eastAsia="宋体" w:cs="宋体"/>
          <w:b/>
          <w:bCs w:val="0"/>
          <w:color w:val="000000" w:themeColor="text1"/>
          <w:sz w:val="28"/>
          <w:szCs w:val="28"/>
          <w:highlight w:val="none"/>
          <w14:textFill>
            <w14:solidFill>
              <w14:schemeClr w14:val="tx1"/>
            </w14:solidFill>
          </w14:textFill>
        </w:rPr>
      </w:pPr>
      <w:r>
        <w:rPr>
          <w:rFonts w:hint="eastAsia" w:ascii="宋体" w:hAnsi="宋体" w:eastAsia="宋体" w:cs="宋体"/>
          <w:b/>
          <w:bCs w:val="0"/>
          <w:color w:val="000000" w:themeColor="text1"/>
          <w:sz w:val="28"/>
          <w:szCs w:val="28"/>
          <w:highlight w:val="none"/>
          <w14:textFill>
            <w14:solidFill>
              <w14:schemeClr w14:val="tx1"/>
            </w14:solidFill>
          </w14:textFill>
        </w:rPr>
        <w:t>防雷检测</w:t>
      </w:r>
    </w:p>
    <w:tbl>
      <w:tblPr>
        <w:tblStyle w:val="26"/>
        <w:tblW w:w="9184"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fixed"/>
        <w:tblCellMar>
          <w:top w:w="0" w:type="dxa"/>
          <w:left w:w="108" w:type="dxa"/>
          <w:bottom w:w="0" w:type="dxa"/>
          <w:right w:w="108" w:type="dxa"/>
        </w:tblCellMar>
      </w:tblPr>
      <w:tblGrid>
        <w:gridCol w:w="1748"/>
        <w:gridCol w:w="1054"/>
        <w:gridCol w:w="1069"/>
        <w:gridCol w:w="1068"/>
        <w:gridCol w:w="1152"/>
        <w:gridCol w:w="720"/>
        <w:gridCol w:w="1080"/>
        <w:gridCol w:w="1293"/>
      </w:tblGrid>
      <w:tr w14:paraId="249094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472" w:hRule="atLeast"/>
          <w:jc w:val="center"/>
        </w:trPr>
        <w:tc>
          <w:tcPr>
            <w:tcW w:w="9184" w:type="dxa"/>
            <w:gridSpan w:val="8"/>
            <w:tcBorders>
              <w:tl2br w:val="nil"/>
              <w:tr2bl w:val="nil"/>
            </w:tcBorders>
            <w:shd w:val="clear" w:color="auto" w:fill="auto"/>
            <w:vAlign w:val="center"/>
          </w:tcPr>
          <w:p w14:paraId="03B67D8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防雷检测数量表</w:t>
            </w:r>
          </w:p>
        </w:tc>
      </w:tr>
      <w:tr w14:paraId="354513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16" w:hRule="atLeast"/>
          <w:jc w:val="center"/>
        </w:trPr>
        <w:tc>
          <w:tcPr>
            <w:tcW w:w="1748" w:type="dxa"/>
            <w:tcBorders>
              <w:tl2br w:val="nil"/>
              <w:tr2bl w:val="nil"/>
            </w:tcBorders>
            <w:shd w:val="clear" w:color="auto" w:fill="auto"/>
            <w:vAlign w:val="center"/>
          </w:tcPr>
          <w:p w14:paraId="4A9706A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楼号</w:t>
            </w:r>
          </w:p>
        </w:tc>
        <w:tc>
          <w:tcPr>
            <w:tcW w:w="1054" w:type="dxa"/>
            <w:tcBorders>
              <w:tl2br w:val="nil"/>
              <w:tr2bl w:val="nil"/>
            </w:tcBorders>
            <w:shd w:val="clear" w:color="auto" w:fill="auto"/>
            <w:vAlign w:val="center"/>
          </w:tcPr>
          <w:p w14:paraId="4EBF07B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检测项目序号</w:t>
            </w:r>
          </w:p>
        </w:tc>
        <w:tc>
          <w:tcPr>
            <w:tcW w:w="1069" w:type="dxa"/>
            <w:tcBorders>
              <w:tl2br w:val="nil"/>
              <w:tr2bl w:val="nil"/>
            </w:tcBorders>
            <w:shd w:val="clear" w:color="auto" w:fill="auto"/>
            <w:vAlign w:val="center"/>
          </w:tcPr>
          <w:p w14:paraId="789B1F3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抽检规则</w:t>
            </w:r>
          </w:p>
        </w:tc>
        <w:tc>
          <w:tcPr>
            <w:tcW w:w="1068" w:type="dxa"/>
            <w:tcBorders>
              <w:tl2br w:val="nil"/>
              <w:tr2bl w:val="nil"/>
            </w:tcBorders>
            <w:shd w:val="clear" w:color="auto" w:fill="auto"/>
            <w:vAlign w:val="center"/>
          </w:tcPr>
          <w:p w14:paraId="13F5593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防雷等级</w:t>
            </w:r>
          </w:p>
        </w:tc>
        <w:tc>
          <w:tcPr>
            <w:tcW w:w="1152" w:type="dxa"/>
            <w:tcBorders>
              <w:tl2br w:val="nil"/>
              <w:tr2bl w:val="nil"/>
            </w:tcBorders>
            <w:shd w:val="clear" w:color="auto" w:fill="auto"/>
            <w:vAlign w:val="center"/>
          </w:tcPr>
          <w:p w14:paraId="3012BA8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抽检数量</w:t>
            </w:r>
          </w:p>
        </w:tc>
        <w:tc>
          <w:tcPr>
            <w:tcW w:w="720" w:type="dxa"/>
            <w:tcBorders>
              <w:tl2br w:val="nil"/>
              <w:tr2bl w:val="nil"/>
            </w:tcBorders>
            <w:shd w:val="clear" w:color="auto" w:fill="auto"/>
            <w:vAlign w:val="center"/>
          </w:tcPr>
          <w:p w14:paraId="0DC64AD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计费单位</w:t>
            </w:r>
          </w:p>
        </w:tc>
        <w:tc>
          <w:tcPr>
            <w:tcW w:w="1080" w:type="dxa"/>
            <w:tcBorders>
              <w:tl2br w:val="nil"/>
              <w:tr2bl w:val="nil"/>
            </w:tcBorders>
            <w:shd w:val="clear" w:color="auto" w:fill="auto"/>
            <w:vAlign w:val="center"/>
          </w:tcPr>
          <w:p w14:paraId="07578F4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单价</w:t>
            </w:r>
          </w:p>
          <w:p w14:paraId="23EE797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(元/㎡)</w:t>
            </w:r>
          </w:p>
        </w:tc>
        <w:tc>
          <w:tcPr>
            <w:tcW w:w="1293" w:type="dxa"/>
            <w:tcBorders>
              <w:tl2br w:val="nil"/>
              <w:tr2bl w:val="nil"/>
            </w:tcBorders>
            <w:shd w:val="clear" w:color="auto" w:fill="auto"/>
            <w:vAlign w:val="center"/>
          </w:tcPr>
          <w:p w14:paraId="73CF459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小计</w:t>
            </w:r>
          </w:p>
          <w:p w14:paraId="59B96EB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仿宋" w:cs="宋体"/>
                <w:color w:val="auto"/>
                <w:kern w:val="0"/>
                <w:sz w:val="21"/>
                <w:szCs w:val="21"/>
                <w:lang w:val="en-US" w:eastAsia="zh-CN"/>
              </w:rPr>
            </w:pPr>
            <w:r>
              <w:rPr>
                <w:rFonts w:hint="eastAsia" w:ascii="宋体" w:hAnsi="宋体" w:eastAsia="宋体" w:cs="宋体"/>
                <w:color w:val="auto"/>
                <w:kern w:val="0"/>
                <w:sz w:val="21"/>
                <w:szCs w:val="21"/>
                <w:lang w:val="en-US" w:eastAsia="zh-CN"/>
              </w:rPr>
              <w:t>（元）</w:t>
            </w:r>
          </w:p>
        </w:tc>
      </w:tr>
      <w:tr w14:paraId="48B75B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532" w:hRule="atLeast"/>
          <w:jc w:val="center"/>
        </w:trPr>
        <w:tc>
          <w:tcPr>
            <w:tcW w:w="1748" w:type="dxa"/>
            <w:tcBorders>
              <w:tl2br w:val="nil"/>
              <w:tr2bl w:val="nil"/>
            </w:tcBorders>
            <w:shd w:val="clear" w:color="auto" w:fill="auto"/>
            <w:vAlign w:val="center"/>
          </w:tcPr>
          <w:p w14:paraId="32A1623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eastAsia" w:ascii="宋体" w:hAnsi="宋体" w:eastAsia="宋体" w:cs="宋体"/>
                <w:color w:val="auto"/>
                <w:kern w:val="0"/>
                <w:sz w:val="21"/>
                <w:szCs w:val="21"/>
                <w:lang w:val="en-US" w:eastAsia="zh-CN" w:bidi="ar-SA"/>
              </w:rPr>
            </w:pPr>
            <w:r>
              <w:rPr>
                <w:rFonts w:hint="eastAsia" w:ascii="宋体" w:hAnsi="宋体" w:cs="宋体"/>
                <w:color w:val="auto"/>
                <w:sz w:val="21"/>
                <w:szCs w:val="21"/>
                <w:lang w:val="en-US" w:eastAsia="zh-CN"/>
              </w:rPr>
              <w:t>1#综合大楼</w:t>
            </w:r>
          </w:p>
        </w:tc>
        <w:tc>
          <w:tcPr>
            <w:tcW w:w="1054" w:type="dxa"/>
            <w:vMerge w:val="restart"/>
            <w:tcBorders>
              <w:tl2br w:val="nil"/>
              <w:tr2bl w:val="nil"/>
            </w:tcBorders>
            <w:shd w:val="clear" w:color="auto" w:fill="auto"/>
            <w:vAlign w:val="center"/>
          </w:tcPr>
          <w:p w14:paraId="2E1C726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7.3.1</w:t>
            </w:r>
          </w:p>
        </w:tc>
        <w:tc>
          <w:tcPr>
            <w:tcW w:w="1069" w:type="dxa"/>
            <w:vMerge w:val="restart"/>
            <w:tcBorders>
              <w:tl2br w:val="nil"/>
              <w:tr2bl w:val="nil"/>
            </w:tcBorders>
            <w:shd w:val="clear" w:color="auto" w:fill="auto"/>
            <w:vAlign w:val="center"/>
          </w:tcPr>
          <w:p w14:paraId="56D97E7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按建筑面积计算</w:t>
            </w:r>
          </w:p>
        </w:tc>
        <w:tc>
          <w:tcPr>
            <w:tcW w:w="1068" w:type="dxa"/>
            <w:tcBorders>
              <w:tl2br w:val="nil"/>
              <w:tr2bl w:val="nil"/>
            </w:tcBorders>
            <w:shd w:val="clear" w:color="auto" w:fill="auto"/>
            <w:vAlign w:val="center"/>
          </w:tcPr>
          <w:p w14:paraId="6E91FB6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二类</w:t>
            </w:r>
          </w:p>
        </w:tc>
        <w:tc>
          <w:tcPr>
            <w:tcW w:w="1152" w:type="dxa"/>
            <w:tcBorders>
              <w:tl2br w:val="nil"/>
              <w:tr2bl w:val="nil"/>
            </w:tcBorders>
            <w:shd w:val="clear" w:color="auto" w:fill="auto"/>
            <w:vAlign w:val="center"/>
          </w:tcPr>
          <w:p w14:paraId="011B58C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sz w:val="21"/>
                <w:szCs w:val="21"/>
                <w:lang w:val="en-US" w:eastAsia="zh-CN"/>
              </w:rPr>
              <w:t>27941.21</w:t>
            </w:r>
          </w:p>
        </w:tc>
        <w:tc>
          <w:tcPr>
            <w:tcW w:w="720" w:type="dxa"/>
            <w:tcBorders>
              <w:tl2br w:val="nil"/>
              <w:tr2bl w:val="nil"/>
            </w:tcBorders>
            <w:shd w:val="clear" w:color="auto" w:fill="auto"/>
            <w:vAlign w:val="center"/>
          </w:tcPr>
          <w:p w14:paraId="08A0919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w:t>
            </w:r>
          </w:p>
        </w:tc>
        <w:tc>
          <w:tcPr>
            <w:tcW w:w="1080" w:type="dxa"/>
            <w:tcBorders>
              <w:tl2br w:val="nil"/>
              <w:tr2bl w:val="nil"/>
            </w:tcBorders>
            <w:shd w:val="clear" w:color="auto" w:fill="auto"/>
            <w:vAlign w:val="center"/>
          </w:tcPr>
          <w:p w14:paraId="3DD2F66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0"/>
                <w:sz w:val="21"/>
                <w:szCs w:val="21"/>
                <w:lang w:val="en-US" w:eastAsia="zh-CN" w:bidi="ar-SA"/>
              </w:rPr>
            </w:pPr>
          </w:p>
        </w:tc>
        <w:tc>
          <w:tcPr>
            <w:tcW w:w="1293" w:type="dxa"/>
            <w:tcBorders>
              <w:tl2br w:val="nil"/>
              <w:tr2bl w:val="nil"/>
            </w:tcBorders>
            <w:shd w:val="clear" w:color="auto" w:fill="auto"/>
            <w:vAlign w:val="center"/>
          </w:tcPr>
          <w:p w14:paraId="21BC387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bidi="ar-SA"/>
              </w:rPr>
            </w:pPr>
          </w:p>
        </w:tc>
      </w:tr>
      <w:tr w14:paraId="14B298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524" w:hRule="atLeast"/>
          <w:jc w:val="center"/>
        </w:trPr>
        <w:tc>
          <w:tcPr>
            <w:tcW w:w="1748" w:type="dxa"/>
            <w:tcBorders>
              <w:tl2br w:val="nil"/>
              <w:tr2bl w:val="nil"/>
            </w:tcBorders>
            <w:shd w:val="clear" w:color="auto" w:fill="auto"/>
            <w:vAlign w:val="center"/>
          </w:tcPr>
          <w:p w14:paraId="707F589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sz w:val="21"/>
                <w:szCs w:val="21"/>
                <w:lang w:val="en-US" w:eastAsia="zh-CN"/>
              </w:rPr>
              <w:t>2#门卫室</w:t>
            </w:r>
          </w:p>
        </w:tc>
        <w:tc>
          <w:tcPr>
            <w:tcW w:w="1054" w:type="dxa"/>
            <w:vMerge w:val="continue"/>
            <w:tcBorders>
              <w:tl2br w:val="nil"/>
              <w:tr2bl w:val="nil"/>
            </w:tcBorders>
            <w:shd w:val="clear" w:color="auto" w:fill="auto"/>
            <w:vAlign w:val="center"/>
          </w:tcPr>
          <w:p w14:paraId="18DCD9C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p>
        </w:tc>
        <w:tc>
          <w:tcPr>
            <w:tcW w:w="1069" w:type="dxa"/>
            <w:vMerge w:val="continue"/>
            <w:tcBorders>
              <w:tl2br w:val="nil"/>
              <w:tr2bl w:val="nil"/>
            </w:tcBorders>
            <w:shd w:val="clear" w:color="auto" w:fill="auto"/>
            <w:vAlign w:val="center"/>
          </w:tcPr>
          <w:p w14:paraId="1D2E89C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p>
        </w:tc>
        <w:tc>
          <w:tcPr>
            <w:tcW w:w="1068" w:type="dxa"/>
            <w:tcBorders>
              <w:tl2br w:val="nil"/>
              <w:tr2bl w:val="nil"/>
            </w:tcBorders>
            <w:shd w:val="clear" w:color="auto" w:fill="auto"/>
            <w:vAlign w:val="center"/>
          </w:tcPr>
          <w:p w14:paraId="557EF9E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rPr>
              <w:t>三</w:t>
            </w:r>
            <w:r>
              <w:rPr>
                <w:rFonts w:hint="eastAsia" w:ascii="宋体" w:hAnsi="宋体" w:eastAsia="宋体" w:cs="宋体"/>
                <w:color w:val="auto"/>
                <w:kern w:val="0"/>
                <w:sz w:val="21"/>
                <w:szCs w:val="21"/>
                <w:lang w:val="en-US" w:eastAsia="zh-CN"/>
              </w:rPr>
              <w:t>类</w:t>
            </w:r>
          </w:p>
        </w:tc>
        <w:tc>
          <w:tcPr>
            <w:tcW w:w="1152" w:type="dxa"/>
            <w:tcBorders>
              <w:tl2br w:val="nil"/>
              <w:tr2bl w:val="nil"/>
            </w:tcBorders>
            <w:shd w:val="clear" w:color="auto" w:fill="auto"/>
            <w:vAlign w:val="center"/>
          </w:tcPr>
          <w:p w14:paraId="1DC2671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45.6</w:t>
            </w:r>
          </w:p>
        </w:tc>
        <w:tc>
          <w:tcPr>
            <w:tcW w:w="720" w:type="dxa"/>
            <w:tcBorders>
              <w:tl2br w:val="nil"/>
              <w:tr2bl w:val="nil"/>
            </w:tcBorders>
            <w:shd w:val="clear" w:color="auto" w:fill="auto"/>
            <w:vAlign w:val="center"/>
          </w:tcPr>
          <w:p w14:paraId="6E7448E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w:t>
            </w:r>
          </w:p>
        </w:tc>
        <w:tc>
          <w:tcPr>
            <w:tcW w:w="1080" w:type="dxa"/>
            <w:tcBorders>
              <w:tl2br w:val="nil"/>
              <w:tr2bl w:val="nil"/>
            </w:tcBorders>
            <w:shd w:val="clear" w:color="auto" w:fill="auto"/>
            <w:vAlign w:val="center"/>
          </w:tcPr>
          <w:p w14:paraId="558FF40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bidi="ar-SA"/>
              </w:rPr>
            </w:pPr>
          </w:p>
        </w:tc>
        <w:tc>
          <w:tcPr>
            <w:tcW w:w="1293" w:type="dxa"/>
            <w:tcBorders>
              <w:tl2br w:val="nil"/>
              <w:tr2bl w:val="nil"/>
            </w:tcBorders>
            <w:shd w:val="clear" w:color="auto" w:fill="auto"/>
            <w:vAlign w:val="center"/>
          </w:tcPr>
          <w:p w14:paraId="7ED992C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0"/>
                <w:sz w:val="21"/>
                <w:szCs w:val="21"/>
                <w:lang w:val="en-US" w:eastAsia="zh-CN" w:bidi="ar-SA"/>
              </w:rPr>
            </w:pPr>
          </w:p>
        </w:tc>
      </w:tr>
      <w:tr w14:paraId="045AC1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469" w:hRule="atLeast"/>
          <w:jc w:val="center"/>
        </w:trPr>
        <w:tc>
          <w:tcPr>
            <w:tcW w:w="6811" w:type="dxa"/>
            <w:gridSpan w:val="6"/>
            <w:tcBorders>
              <w:right w:val="single" w:color="auto" w:sz="4" w:space="0"/>
              <w:tl2br w:val="nil"/>
              <w:tr2bl w:val="nil"/>
            </w:tcBorders>
            <w:shd w:val="clear" w:color="auto" w:fill="auto"/>
            <w:vAlign w:val="center"/>
          </w:tcPr>
          <w:p w14:paraId="083CE96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防雷检测总费用合计（元）</w:t>
            </w:r>
          </w:p>
        </w:tc>
        <w:tc>
          <w:tcPr>
            <w:tcW w:w="2373" w:type="dxa"/>
            <w:gridSpan w:val="2"/>
            <w:tcBorders>
              <w:left w:val="single" w:color="auto" w:sz="4" w:space="0"/>
              <w:tl2br w:val="nil"/>
              <w:tr2bl w:val="nil"/>
            </w:tcBorders>
            <w:shd w:val="clear" w:color="auto" w:fill="auto"/>
            <w:vAlign w:val="center"/>
          </w:tcPr>
          <w:p w14:paraId="4744F1A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0"/>
                <w:sz w:val="21"/>
                <w:szCs w:val="21"/>
                <w:lang w:val="en-US" w:eastAsia="zh-CN"/>
              </w:rPr>
            </w:pPr>
          </w:p>
        </w:tc>
      </w:tr>
      <w:tr w14:paraId="27883E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469" w:hRule="atLeast"/>
          <w:jc w:val="center"/>
        </w:trPr>
        <w:tc>
          <w:tcPr>
            <w:tcW w:w="6811" w:type="dxa"/>
            <w:gridSpan w:val="6"/>
            <w:tcBorders>
              <w:right w:val="single" w:color="auto" w:sz="4" w:space="0"/>
              <w:tl2br w:val="nil"/>
              <w:tr2bl w:val="nil"/>
            </w:tcBorders>
            <w:shd w:val="clear" w:color="auto" w:fill="auto"/>
            <w:vAlign w:val="center"/>
          </w:tcPr>
          <w:p w14:paraId="5E0FC26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防雷检测总费用下浮</w:t>
            </w:r>
            <w:r>
              <w:rPr>
                <w:rFonts w:hint="eastAsia" w:ascii="宋体" w:hAnsi="宋体" w:cs="宋体"/>
                <w:color w:val="auto"/>
                <w:kern w:val="0"/>
                <w:sz w:val="21"/>
                <w:szCs w:val="21"/>
                <w:lang w:val="en-US" w:eastAsia="zh-CN"/>
              </w:rPr>
              <w:t>55</w:t>
            </w:r>
            <w:r>
              <w:rPr>
                <w:rFonts w:hint="eastAsia" w:ascii="宋体" w:hAnsi="宋体" w:eastAsia="宋体" w:cs="宋体"/>
                <w:color w:val="auto"/>
                <w:kern w:val="0"/>
                <w:sz w:val="21"/>
                <w:szCs w:val="21"/>
                <w:lang w:val="en-US" w:eastAsia="zh-CN"/>
              </w:rPr>
              <w:t>%计算（元）</w:t>
            </w:r>
          </w:p>
        </w:tc>
        <w:tc>
          <w:tcPr>
            <w:tcW w:w="2373" w:type="dxa"/>
            <w:gridSpan w:val="2"/>
            <w:tcBorders>
              <w:left w:val="single" w:color="auto" w:sz="4" w:space="0"/>
              <w:tl2br w:val="nil"/>
              <w:tr2bl w:val="nil"/>
            </w:tcBorders>
            <w:shd w:val="clear" w:color="auto" w:fill="auto"/>
            <w:vAlign w:val="center"/>
          </w:tcPr>
          <w:p w14:paraId="604F525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color w:val="auto"/>
                <w:kern w:val="0"/>
                <w:sz w:val="21"/>
                <w:szCs w:val="21"/>
                <w:lang w:val="en-US" w:eastAsia="zh-CN"/>
              </w:rPr>
            </w:pPr>
          </w:p>
        </w:tc>
      </w:tr>
      <w:tr w14:paraId="05B181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469" w:hRule="atLeast"/>
          <w:jc w:val="center"/>
        </w:trPr>
        <w:tc>
          <w:tcPr>
            <w:tcW w:w="9184" w:type="dxa"/>
            <w:gridSpan w:val="8"/>
            <w:tcBorders>
              <w:tl2br w:val="nil"/>
              <w:tr2bl w:val="nil"/>
            </w:tcBorders>
            <w:shd w:val="clear" w:color="auto" w:fill="auto"/>
            <w:vAlign w:val="center"/>
          </w:tcPr>
          <w:p w14:paraId="6E6B6AD5">
            <w:pPr>
              <w:keepNext w:val="0"/>
              <w:keepLines w:val="0"/>
              <w:pageBreakBefore w:val="0"/>
              <w:widowControl/>
              <w:kinsoku/>
              <w:wordWrap/>
              <w:overflowPunct/>
              <w:topLinePunct w:val="0"/>
              <w:autoSpaceDE/>
              <w:autoSpaceDN/>
              <w:bidi w:val="0"/>
              <w:adjustRightInd/>
              <w:snapToGrid/>
              <w:spacing w:line="360" w:lineRule="exact"/>
              <w:ind w:firstLine="0" w:firstLineChars="0"/>
              <w:jc w:val="left"/>
              <w:textAlignment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注：以实际发生量为准。</w:t>
            </w:r>
          </w:p>
        </w:tc>
      </w:tr>
    </w:tbl>
    <w:p w14:paraId="4F50154C">
      <w:pPr>
        <w:pStyle w:val="118"/>
        <w:keepNext w:val="0"/>
        <w:keepLines w:val="0"/>
        <w:pageBreakBefore w:val="0"/>
        <w:widowControl w:val="0"/>
        <w:numPr>
          <w:ilvl w:val="0"/>
          <w:numId w:val="1"/>
        </w:numPr>
        <w:tabs>
          <w:tab w:val="left" w:pos="-1486"/>
          <w:tab w:val="left" w:pos="-142"/>
        </w:tabs>
        <w:kinsoku/>
        <w:wordWrap/>
        <w:overflowPunct/>
        <w:topLinePunct w:val="0"/>
        <w:autoSpaceDE/>
        <w:autoSpaceDN/>
        <w:bidi w:val="0"/>
        <w:adjustRightInd/>
        <w:snapToGrid/>
        <w:spacing w:before="100" w:beforeLines="30" w:after="67" w:afterLines="20" w:line="560" w:lineRule="exact"/>
        <w:ind w:left="6" w:leftChars="0" w:hanging="6" w:firstLineChars="0"/>
        <w:jc w:val="center"/>
        <w:textAlignment w:val="auto"/>
        <w:rPr>
          <w:rFonts w:hint="eastAsia" w:ascii="宋体" w:hAnsi="宋体" w:eastAsia="宋体" w:cs="宋体"/>
          <w:b/>
          <w:bCs w:val="0"/>
          <w:color w:val="000000" w:themeColor="text1"/>
          <w:sz w:val="28"/>
          <w:szCs w:val="28"/>
          <w:highlight w:val="none"/>
          <w14:textFill>
            <w14:solidFill>
              <w14:schemeClr w14:val="tx1"/>
            </w14:solidFill>
          </w14:textFill>
        </w:rPr>
      </w:pPr>
      <w:r>
        <w:rPr>
          <w:rFonts w:hint="eastAsia" w:ascii="宋体" w:hAnsi="宋体" w:eastAsia="宋体" w:cs="宋体"/>
          <w:b/>
          <w:bCs w:val="0"/>
          <w:color w:val="000000" w:themeColor="text1"/>
          <w:sz w:val="28"/>
          <w:szCs w:val="28"/>
          <w:highlight w:val="none"/>
          <w14:textFill>
            <w14:solidFill>
              <w14:schemeClr w14:val="tx1"/>
            </w14:solidFill>
          </w14:textFill>
        </w:rPr>
        <w:t>消防查验</w:t>
      </w:r>
    </w:p>
    <w:tbl>
      <w:tblPr>
        <w:tblStyle w:val="117"/>
        <w:tblpPr w:leftFromText="180" w:rightFromText="180" w:vertAnchor="text" w:horzAnchor="page" w:tblpX="1590" w:tblpY="5"/>
        <w:tblOverlap w:val="never"/>
        <w:tblW w:w="90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19"/>
        <w:gridCol w:w="1044"/>
        <w:gridCol w:w="1608"/>
        <w:gridCol w:w="1272"/>
        <w:gridCol w:w="756"/>
        <w:gridCol w:w="1140"/>
        <w:gridCol w:w="1188"/>
      </w:tblGrid>
      <w:tr w14:paraId="3EA62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trPr>
        <w:tc>
          <w:tcPr>
            <w:tcW w:w="9027" w:type="dxa"/>
            <w:gridSpan w:val="7"/>
            <w:noWrap w:val="0"/>
            <w:vAlign w:val="center"/>
          </w:tcPr>
          <w:p w14:paraId="00FC582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消防查验数量表</w:t>
            </w:r>
          </w:p>
        </w:tc>
      </w:tr>
      <w:tr w14:paraId="7CA24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8" w:hRule="atLeast"/>
        </w:trPr>
        <w:tc>
          <w:tcPr>
            <w:tcW w:w="2019" w:type="dxa"/>
            <w:noWrap w:val="0"/>
            <w:vAlign w:val="center"/>
          </w:tcPr>
          <w:p w14:paraId="33162C6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单体名称</w:t>
            </w:r>
          </w:p>
        </w:tc>
        <w:tc>
          <w:tcPr>
            <w:tcW w:w="1044" w:type="dxa"/>
            <w:noWrap w:val="0"/>
            <w:vAlign w:val="center"/>
          </w:tcPr>
          <w:p w14:paraId="2566BD5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检测项目序号</w:t>
            </w:r>
          </w:p>
        </w:tc>
        <w:tc>
          <w:tcPr>
            <w:tcW w:w="1608" w:type="dxa"/>
            <w:noWrap w:val="0"/>
            <w:vAlign w:val="center"/>
          </w:tcPr>
          <w:p w14:paraId="01C5ABB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抽检频率</w:t>
            </w:r>
          </w:p>
        </w:tc>
        <w:tc>
          <w:tcPr>
            <w:tcW w:w="1272" w:type="dxa"/>
            <w:noWrap w:val="0"/>
            <w:vAlign w:val="center"/>
          </w:tcPr>
          <w:p w14:paraId="6EC00A5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试验数量</w:t>
            </w:r>
          </w:p>
        </w:tc>
        <w:tc>
          <w:tcPr>
            <w:tcW w:w="756" w:type="dxa"/>
            <w:noWrap w:val="0"/>
            <w:vAlign w:val="center"/>
          </w:tcPr>
          <w:p w14:paraId="2B4A184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单位</w:t>
            </w:r>
          </w:p>
        </w:tc>
        <w:tc>
          <w:tcPr>
            <w:tcW w:w="1140" w:type="dxa"/>
            <w:noWrap w:val="0"/>
            <w:vAlign w:val="center"/>
          </w:tcPr>
          <w:p w14:paraId="2E47722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单价（元）</w:t>
            </w:r>
          </w:p>
        </w:tc>
        <w:tc>
          <w:tcPr>
            <w:tcW w:w="1188" w:type="dxa"/>
            <w:noWrap w:val="0"/>
            <w:vAlign w:val="center"/>
          </w:tcPr>
          <w:p w14:paraId="6027D08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小计（元）</w:t>
            </w:r>
          </w:p>
        </w:tc>
      </w:tr>
      <w:tr w14:paraId="27FC7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1" w:hRule="atLeast"/>
        </w:trPr>
        <w:tc>
          <w:tcPr>
            <w:tcW w:w="2019" w:type="dxa"/>
            <w:noWrap w:val="0"/>
            <w:vAlign w:val="center"/>
          </w:tcPr>
          <w:p w14:paraId="1A842E9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1#综合大楼</w:t>
            </w:r>
          </w:p>
        </w:tc>
        <w:tc>
          <w:tcPr>
            <w:tcW w:w="1044" w:type="dxa"/>
            <w:vMerge w:val="restart"/>
            <w:noWrap w:val="0"/>
            <w:vAlign w:val="center"/>
          </w:tcPr>
          <w:p w14:paraId="0710351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7.4.1</w:t>
            </w:r>
          </w:p>
        </w:tc>
        <w:tc>
          <w:tcPr>
            <w:tcW w:w="1608" w:type="dxa"/>
            <w:vMerge w:val="restart"/>
            <w:noWrap w:val="0"/>
            <w:vAlign w:val="center"/>
          </w:tcPr>
          <w:p w14:paraId="04086CD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按建筑面积计算</w:t>
            </w:r>
          </w:p>
        </w:tc>
        <w:tc>
          <w:tcPr>
            <w:tcW w:w="1272" w:type="dxa"/>
            <w:noWrap w:val="0"/>
            <w:vAlign w:val="center"/>
          </w:tcPr>
          <w:p w14:paraId="3301322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sz w:val="21"/>
                <w:szCs w:val="21"/>
                <w:lang w:val="en-US" w:eastAsia="zh-CN"/>
              </w:rPr>
              <w:t>27941.21</w:t>
            </w:r>
          </w:p>
        </w:tc>
        <w:tc>
          <w:tcPr>
            <w:tcW w:w="756" w:type="dxa"/>
            <w:noWrap w:val="0"/>
            <w:vAlign w:val="center"/>
          </w:tcPr>
          <w:p w14:paraId="3DA54DE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w:t>
            </w:r>
          </w:p>
        </w:tc>
        <w:tc>
          <w:tcPr>
            <w:tcW w:w="1140" w:type="dxa"/>
            <w:noWrap w:val="0"/>
            <w:vAlign w:val="center"/>
          </w:tcPr>
          <w:p w14:paraId="24EE9E5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p>
        </w:tc>
        <w:tc>
          <w:tcPr>
            <w:tcW w:w="1188" w:type="dxa"/>
            <w:noWrap w:val="0"/>
            <w:vAlign w:val="center"/>
          </w:tcPr>
          <w:p w14:paraId="636A373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p>
        </w:tc>
      </w:tr>
      <w:tr w14:paraId="34B62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1" w:hRule="atLeast"/>
        </w:trPr>
        <w:tc>
          <w:tcPr>
            <w:tcW w:w="2019" w:type="dxa"/>
            <w:noWrap w:val="0"/>
            <w:vAlign w:val="center"/>
          </w:tcPr>
          <w:p w14:paraId="0CBA67B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2#大门</w:t>
            </w:r>
          </w:p>
        </w:tc>
        <w:tc>
          <w:tcPr>
            <w:tcW w:w="1044" w:type="dxa"/>
            <w:vMerge w:val="continue"/>
            <w:noWrap w:val="0"/>
            <w:vAlign w:val="center"/>
          </w:tcPr>
          <w:p w14:paraId="46E9F5D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p>
        </w:tc>
        <w:tc>
          <w:tcPr>
            <w:tcW w:w="1608" w:type="dxa"/>
            <w:vMerge w:val="continue"/>
            <w:noWrap w:val="0"/>
            <w:vAlign w:val="center"/>
          </w:tcPr>
          <w:p w14:paraId="4ED8BB7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p>
        </w:tc>
        <w:tc>
          <w:tcPr>
            <w:tcW w:w="1272" w:type="dxa"/>
            <w:noWrap w:val="0"/>
            <w:vAlign w:val="center"/>
          </w:tcPr>
          <w:p w14:paraId="46AA431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45.6</w:t>
            </w:r>
          </w:p>
        </w:tc>
        <w:tc>
          <w:tcPr>
            <w:tcW w:w="756" w:type="dxa"/>
            <w:noWrap w:val="0"/>
            <w:vAlign w:val="center"/>
          </w:tcPr>
          <w:p w14:paraId="7F1D430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w:t>
            </w:r>
          </w:p>
        </w:tc>
        <w:tc>
          <w:tcPr>
            <w:tcW w:w="1140" w:type="dxa"/>
            <w:noWrap w:val="0"/>
            <w:vAlign w:val="center"/>
          </w:tcPr>
          <w:p w14:paraId="3CC5421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c>
          <w:tcPr>
            <w:tcW w:w="1188" w:type="dxa"/>
            <w:noWrap w:val="0"/>
            <w:vAlign w:val="center"/>
          </w:tcPr>
          <w:p w14:paraId="67D1271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r>
      <w:tr w14:paraId="0F19E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1" w:hRule="atLeast"/>
        </w:trPr>
        <w:tc>
          <w:tcPr>
            <w:tcW w:w="2019" w:type="dxa"/>
            <w:noWrap w:val="0"/>
            <w:vAlign w:val="center"/>
          </w:tcPr>
          <w:p w14:paraId="1FD6759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3#洗衣房、污物间</w:t>
            </w:r>
          </w:p>
        </w:tc>
        <w:tc>
          <w:tcPr>
            <w:tcW w:w="1044" w:type="dxa"/>
            <w:vMerge w:val="continue"/>
            <w:noWrap w:val="0"/>
            <w:vAlign w:val="center"/>
          </w:tcPr>
          <w:p w14:paraId="15214D1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p>
        </w:tc>
        <w:tc>
          <w:tcPr>
            <w:tcW w:w="1608" w:type="dxa"/>
            <w:vMerge w:val="continue"/>
            <w:noWrap w:val="0"/>
            <w:vAlign w:val="center"/>
          </w:tcPr>
          <w:p w14:paraId="1028A1F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p>
        </w:tc>
        <w:tc>
          <w:tcPr>
            <w:tcW w:w="1272" w:type="dxa"/>
            <w:noWrap w:val="0"/>
            <w:vAlign w:val="center"/>
          </w:tcPr>
          <w:p w14:paraId="6B5167B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252</w:t>
            </w:r>
          </w:p>
        </w:tc>
        <w:tc>
          <w:tcPr>
            <w:tcW w:w="756" w:type="dxa"/>
            <w:noWrap w:val="0"/>
            <w:vAlign w:val="center"/>
          </w:tcPr>
          <w:p w14:paraId="41BCF8D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w:t>
            </w:r>
          </w:p>
        </w:tc>
        <w:tc>
          <w:tcPr>
            <w:tcW w:w="1140" w:type="dxa"/>
            <w:noWrap w:val="0"/>
            <w:vAlign w:val="center"/>
          </w:tcPr>
          <w:p w14:paraId="6746562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c>
          <w:tcPr>
            <w:tcW w:w="1188" w:type="dxa"/>
            <w:noWrap w:val="0"/>
            <w:vAlign w:val="center"/>
          </w:tcPr>
          <w:p w14:paraId="00CE9B8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r>
      <w:tr w14:paraId="38823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7" w:hRule="atLeast"/>
        </w:trPr>
        <w:tc>
          <w:tcPr>
            <w:tcW w:w="6699" w:type="dxa"/>
            <w:gridSpan w:val="5"/>
            <w:noWrap w:val="0"/>
            <w:vAlign w:val="center"/>
          </w:tcPr>
          <w:p w14:paraId="79B4C8E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lang w:val="en-US" w:eastAsia="zh-CN"/>
              </w:rPr>
            </w:pPr>
            <w:r>
              <w:rPr>
                <w:rFonts w:hint="eastAsia" w:ascii="宋体" w:hAnsi="宋体" w:eastAsia="宋体" w:cs="宋体"/>
                <w:color w:val="auto"/>
                <w:kern w:val="0"/>
                <w:sz w:val="21"/>
                <w:szCs w:val="21"/>
                <w:lang w:val="en-US" w:eastAsia="zh-CN"/>
              </w:rPr>
              <w:t>消防查验总费用合计（元）</w:t>
            </w:r>
          </w:p>
        </w:tc>
        <w:tc>
          <w:tcPr>
            <w:tcW w:w="2328" w:type="dxa"/>
            <w:gridSpan w:val="2"/>
            <w:noWrap w:val="0"/>
            <w:vAlign w:val="center"/>
          </w:tcPr>
          <w:p w14:paraId="6AD2DC6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rPr>
            </w:pPr>
          </w:p>
        </w:tc>
      </w:tr>
      <w:tr w14:paraId="0A5D1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7" w:hRule="atLeast"/>
        </w:trPr>
        <w:tc>
          <w:tcPr>
            <w:tcW w:w="6699" w:type="dxa"/>
            <w:gridSpan w:val="5"/>
            <w:noWrap w:val="0"/>
            <w:vAlign w:val="center"/>
          </w:tcPr>
          <w:p w14:paraId="191DE69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lang w:val="en-US" w:eastAsia="zh-CN"/>
              </w:rPr>
            </w:pPr>
            <w:r>
              <w:rPr>
                <w:rFonts w:hint="eastAsia" w:ascii="宋体" w:hAnsi="宋体" w:eastAsia="宋体" w:cs="宋体"/>
                <w:color w:val="auto"/>
                <w:kern w:val="0"/>
                <w:sz w:val="21"/>
                <w:szCs w:val="21"/>
                <w:lang w:val="en-US" w:eastAsia="zh-CN"/>
              </w:rPr>
              <w:t>消防查验总费用下浮</w:t>
            </w:r>
            <w:r>
              <w:rPr>
                <w:rFonts w:hint="eastAsia" w:ascii="宋体" w:hAnsi="宋体" w:cs="宋体"/>
                <w:color w:val="auto"/>
                <w:kern w:val="0"/>
                <w:sz w:val="21"/>
                <w:szCs w:val="21"/>
                <w:lang w:val="en-US" w:eastAsia="zh-CN"/>
              </w:rPr>
              <w:t>55</w:t>
            </w:r>
            <w:r>
              <w:rPr>
                <w:rFonts w:hint="eastAsia" w:ascii="宋体" w:hAnsi="宋体" w:eastAsia="宋体" w:cs="宋体"/>
                <w:color w:val="auto"/>
                <w:kern w:val="0"/>
                <w:sz w:val="21"/>
                <w:szCs w:val="21"/>
                <w:lang w:val="en-US" w:eastAsia="zh-CN"/>
              </w:rPr>
              <w:t>%计算（元）</w:t>
            </w:r>
          </w:p>
        </w:tc>
        <w:tc>
          <w:tcPr>
            <w:tcW w:w="2328" w:type="dxa"/>
            <w:gridSpan w:val="2"/>
            <w:noWrap w:val="0"/>
            <w:vAlign w:val="center"/>
          </w:tcPr>
          <w:p w14:paraId="1B6D5B5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1"/>
                <w:szCs w:val="21"/>
                <w:lang w:val="en-US" w:eastAsia="zh-CN"/>
              </w:rPr>
            </w:pPr>
          </w:p>
        </w:tc>
      </w:tr>
      <w:tr w14:paraId="49743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7" w:hRule="atLeast"/>
        </w:trPr>
        <w:tc>
          <w:tcPr>
            <w:tcW w:w="9027" w:type="dxa"/>
            <w:gridSpan w:val="7"/>
            <w:noWrap w:val="0"/>
            <w:vAlign w:val="center"/>
          </w:tcPr>
          <w:p w14:paraId="1F9EAD1C">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center"/>
              <w:rPr>
                <w:rFonts w:hint="default"/>
                <w:color w:val="auto"/>
                <w:sz w:val="21"/>
                <w:szCs w:val="21"/>
                <w:lang w:val="en-US" w:eastAsia="zh-CN"/>
              </w:rPr>
            </w:pPr>
            <w:r>
              <w:rPr>
                <w:rFonts w:hint="eastAsia" w:ascii="宋体" w:hAnsi="宋体" w:eastAsia="宋体" w:cs="宋体"/>
                <w:color w:val="auto"/>
                <w:kern w:val="0"/>
                <w:sz w:val="21"/>
                <w:szCs w:val="21"/>
                <w:lang w:val="en-US" w:eastAsia="zh-CN"/>
              </w:rPr>
              <w:t>注：以实际发生量为准。</w:t>
            </w:r>
          </w:p>
        </w:tc>
      </w:tr>
    </w:tbl>
    <w:p w14:paraId="573E992F">
      <w:pPr>
        <w:pStyle w:val="118"/>
        <w:keepNext w:val="0"/>
        <w:keepLines w:val="0"/>
        <w:pageBreakBefore w:val="0"/>
        <w:widowControl w:val="0"/>
        <w:numPr>
          <w:ilvl w:val="0"/>
          <w:numId w:val="0"/>
        </w:numPr>
        <w:tabs>
          <w:tab w:val="left" w:pos="-1486"/>
          <w:tab w:val="left" w:pos="-142"/>
        </w:tabs>
        <w:kinsoku/>
        <w:wordWrap/>
        <w:overflowPunct/>
        <w:topLinePunct w:val="0"/>
        <w:autoSpaceDE/>
        <w:autoSpaceDN/>
        <w:bidi w:val="0"/>
        <w:adjustRightInd/>
        <w:snapToGrid/>
        <w:spacing w:before="100" w:beforeLines="30" w:after="67" w:afterLines="20" w:line="560" w:lineRule="exact"/>
        <w:ind w:leftChars="0"/>
        <w:jc w:val="center"/>
        <w:textAlignment w:val="auto"/>
        <w:rPr>
          <w:rFonts w:hint="eastAsia" w:ascii="宋体" w:hAnsi="宋体" w:eastAsia="宋体" w:cs="宋体"/>
          <w:b/>
          <w:bCs w:val="0"/>
          <w:color w:val="000000" w:themeColor="text1"/>
          <w:sz w:val="28"/>
          <w:szCs w:val="28"/>
          <w:highlight w:val="none"/>
          <w14:textFill>
            <w14:solidFill>
              <w14:schemeClr w14:val="tx1"/>
            </w14:solidFill>
          </w14:textFill>
        </w:rPr>
      </w:pPr>
      <w:r>
        <w:rPr>
          <w:rFonts w:hint="eastAsia" w:ascii="宋体" w:hAnsi="宋体" w:eastAsia="宋体" w:cs="宋体"/>
          <w:b/>
          <w:bCs w:val="0"/>
          <w:color w:val="000000" w:themeColor="text1"/>
          <w:sz w:val="28"/>
          <w:szCs w:val="28"/>
          <w:highlight w:val="none"/>
          <w14:textFill>
            <w14:solidFill>
              <w14:schemeClr w14:val="tx1"/>
            </w14:solidFill>
          </w14:textFill>
        </w:rPr>
        <w:t>（十）检测样品二维码唯一性标识</w:t>
      </w:r>
    </w:p>
    <w:tbl>
      <w:tblPr>
        <w:tblStyle w:val="26"/>
        <w:tblW w:w="90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4"/>
        <w:gridCol w:w="1529"/>
        <w:gridCol w:w="1501"/>
        <w:gridCol w:w="1240"/>
        <w:gridCol w:w="1235"/>
        <w:gridCol w:w="1787"/>
      </w:tblGrid>
      <w:tr w14:paraId="3AD8E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9036" w:type="dxa"/>
            <w:gridSpan w:val="6"/>
            <w:shd w:val="clear" w:color="auto" w:fill="auto"/>
            <w:vAlign w:val="center"/>
          </w:tcPr>
          <w:p w14:paraId="541E4D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检测样品二维码唯一性标识数量表</w:t>
            </w:r>
          </w:p>
        </w:tc>
      </w:tr>
      <w:tr w14:paraId="55468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744" w:type="dxa"/>
            <w:shd w:val="clear" w:color="auto" w:fill="auto"/>
            <w:vAlign w:val="center"/>
          </w:tcPr>
          <w:p w14:paraId="5F20D8B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二维码类别</w:t>
            </w:r>
          </w:p>
        </w:tc>
        <w:tc>
          <w:tcPr>
            <w:tcW w:w="1529" w:type="dxa"/>
            <w:shd w:val="clear" w:color="auto" w:fill="auto"/>
            <w:vAlign w:val="center"/>
          </w:tcPr>
          <w:p w14:paraId="780953F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检测项目序号</w:t>
            </w:r>
          </w:p>
        </w:tc>
        <w:tc>
          <w:tcPr>
            <w:tcW w:w="1501" w:type="dxa"/>
            <w:shd w:val="clear" w:color="auto" w:fill="auto"/>
            <w:vAlign w:val="center"/>
          </w:tcPr>
          <w:p w14:paraId="1596866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预估数量</w:t>
            </w:r>
          </w:p>
        </w:tc>
        <w:tc>
          <w:tcPr>
            <w:tcW w:w="1240" w:type="dxa"/>
            <w:shd w:val="clear" w:color="auto" w:fill="auto"/>
            <w:vAlign w:val="center"/>
          </w:tcPr>
          <w:p w14:paraId="72C7C4F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计费</w:t>
            </w:r>
            <w:r>
              <w:rPr>
                <w:rFonts w:hint="eastAsia" w:ascii="宋体" w:hAnsi="宋体" w:eastAsia="宋体" w:cs="宋体"/>
                <w:color w:val="auto"/>
                <w:kern w:val="0"/>
                <w:sz w:val="21"/>
                <w:szCs w:val="21"/>
                <w:lang w:val="en-US" w:eastAsia="zh-CN"/>
              </w:rPr>
              <w:t>单位</w:t>
            </w:r>
          </w:p>
        </w:tc>
        <w:tc>
          <w:tcPr>
            <w:tcW w:w="1235" w:type="dxa"/>
            <w:shd w:val="clear" w:color="auto" w:fill="auto"/>
            <w:vAlign w:val="center"/>
          </w:tcPr>
          <w:p w14:paraId="5619CDB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单价（元）</w:t>
            </w:r>
          </w:p>
        </w:tc>
        <w:tc>
          <w:tcPr>
            <w:tcW w:w="1787" w:type="dxa"/>
            <w:shd w:val="clear" w:color="auto" w:fill="auto"/>
            <w:vAlign w:val="center"/>
          </w:tcPr>
          <w:p w14:paraId="02D8DF6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小计（元）</w:t>
            </w:r>
          </w:p>
        </w:tc>
      </w:tr>
      <w:tr w14:paraId="6E3B8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744" w:type="dxa"/>
            <w:shd w:val="clear" w:color="auto" w:fill="auto"/>
            <w:vAlign w:val="center"/>
          </w:tcPr>
          <w:p w14:paraId="35D93C2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砼抗压</w:t>
            </w:r>
          </w:p>
        </w:tc>
        <w:tc>
          <w:tcPr>
            <w:tcW w:w="1529" w:type="dxa"/>
            <w:shd w:val="clear" w:color="auto" w:fill="auto"/>
            <w:vAlign w:val="center"/>
          </w:tcPr>
          <w:p w14:paraId="4080194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14.1.1</w:t>
            </w:r>
          </w:p>
        </w:tc>
        <w:tc>
          <w:tcPr>
            <w:tcW w:w="1501" w:type="dxa"/>
            <w:shd w:val="clear" w:color="auto" w:fill="auto"/>
            <w:vAlign w:val="center"/>
          </w:tcPr>
          <w:p w14:paraId="23A8F7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w:t>
            </w:r>
            <w:r>
              <w:rPr>
                <w:rFonts w:hint="eastAsia" w:ascii="宋体" w:hAnsi="宋体" w:cs="宋体"/>
                <w:color w:val="auto"/>
                <w:kern w:val="0"/>
                <w:sz w:val="21"/>
                <w:szCs w:val="21"/>
                <w:lang w:val="en-US" w:eastAsia="zh-CN"/>
              </w:rPr>
              <w:t>4</w:t>
            </w:r>
            <w:r>
              <w:rPr>
                <w:rFonts w:hint="eastAsia" w:ascii="宋体" w:hAnsi="宋体" w:eastAsia="宋体" w:cs="宋体"/>
                <w:color w:val="auto"/>
                <w:kern w:val="0"/>
                <w:sz w:val="21"/>
                <w:szCs w:val="21"/>
                <w:lang w:val="en-US" w:eastAsia="zh-CN"/>
              </w:rPr>
              <w:t>0</w:t>
            </w:r>
          </w:p>
        </w:tc>
        <w:tc>
          <w:tcPr>
            <w:tcW w:w="1240" w:type="dxa"/>
            <w:shd w:val="clear" w:color="auto" w:fill="auto"/>
            <w:vAlign w:val="center"/>
          </w:tcPr>
          <w:p w14:paraId="386F303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组</w:t>
            </w:r>
          </w:p>
        </w:tc>
        <w:tc>
          <w:tcPr>
            <w:tcW w:w="1235" w:type="dxa"/>
            <w:shd w:val="clear" w:color="auto" w:fill="auto"/>
            <w:vAlign w:val="center"/>
          </w:tcPr>
          <w:p w14:paraId="4AD4039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p>
        </w:tc>
        <w:tc>
          <w:tcPr>
            <w:tcW w:w="1787" w:type="dxa"/>
            <w:shd w:val="clear" w:color="auto" w:fill="auto"/>
            <w:vAlign w:val="center"/>
          </w:tcPr>
          <w:p w14:paraId="556706F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r>
      <w:tr w14:paraId="4424A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744" w:type="dxa"/>
            <w:shd w:val="clear" w:color="auto" w:fill="auto"/>
            <w:vAlign w:val="center"/>
          </w:tcPr>
          <w:p w14:paraId="62F604D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抗渗</w:t>
            </w:r>
          </w:p>
        </w:tc>
        <w:tc>
          <w:tcPr>
            <w:tcW w:w="1529" w:type="dxa"/>
            <w:shd w:val="clear" w:color="auto" w:fill="auto"/>
            <w:vAlign w:val="center"/>
          </w:tcPr>
          <w:p w14:paraId="1FA5B31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14.1.2</w:t>
            </w:r>
          </w:p>
        </w:tc>
        <w:tc>
          <w:tcPr>
            <w:tcW w:w="1501" w:type="dxa"/>
            <w:shd w:val="clear" w:color="auto" w:fill="auto"/>
            <w:vAlign w:val="center"/>
          </w:tcPr>
          <w:p w14:paraId="016DBF5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6</w:t>
            </w:r>
            <w:r>
              <w:rPr>
                <w:rFonts w:hint="eastAsia" w:ascii="宋体" w:hAnsi="宋体" w:eastAsia="宋体" w:cs="宋体"/>
                <w:color w:val="auto"/>
                <w:kern w:val="0"/>
                <w:sz w:val="21"/>
                <w:szCs w:val="21"/>
                <w:lang w:val="en-US" w:eastAsia="zh-CN"/>
              </w:rPr>
              <w:t>0</w:t>
            </w:r>
          </w:p>
        </w:tc>
        <w:tc>
          <w:tcPr>
            <w:tcW w:w="1240" w:type="dxa"/>
            <w:shd w:val="clear" w:color="auto" w:fill="auto"/>
            <w:vAlign w:val="center"/>
          </w:tcPr>
          <w:p w14:paraId="6F415B1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组</w:t>
            </w:r>
          </w:p>
        </w:tc>
        <w:tc>
          <w:tcPr>
            <w:tcW w:w="1235" w:type="dxa"/>
            <w:shd w:val="clear" w:color="auto" w:fill="auto"/>
            <w:vAlign w:val="center"/>
          </w:tcPr>
          <w:p w14:paraId="2DB8BEB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p>
        </w:tc>
        <w:tc>
          <w:tcPr>
            <w:tcW w:w="1787" w:type="dxa"/>
            <w:shd w:val="clear" w:color="auto" w:fill="auto"/>
            <w:vAlign w:val="center"/>
          </w:tcPr>
          <w:p w14:paraId="7ED58D1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r>
      <w:tr w14:paraId="48096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744" w:type="dxa"/>
            <w:shd w:val="clear" w:color="auto" w:fill="auto"/>
            <w:vAlign w:val="center"/>
          </w:tcPr>
          <w:p w14:paraId="7CF1E3B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短扎带</w:t>
            </w:r>
          </w:p>
        </w:tc>
        <w:tc>
          <w:tcPr>
            <w:tcW w:w="1529" w:type="dxa"/>
            <w:shd w:val="clear" w:color="auto" w:fill="auto"/>
            <w:vAlign w:val="center"/>
          </w:tcPr>
          <w:p w14:paraId="5FFEF4F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14.1.3</w:t>
            </w:r>
          </w:p>
        </w:tc>
        <w:tc>
          <w:tcPr>
            <w:tcW w:w="1501" w:type="dxa"/>
            <w:shd w:val="clear" w:color="auto" w:fill="auto"/>
            <w:vAlign w:val="center"/>
          </w:tcPr>
          <w:p w14:paraId="1CD4B14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400</w:t>
            </w:r>
          </w:p>
        </w:tc>
        <w:tc>
          <w:tcPr>
            <w:tcW w:w="1240" w:type="dxa"/>
            <w:shd w:val="clear" w:color="auto" w:fill="auto"/>
            <w:vAlign w:val="center"/>
          </w:tcPr>
          <w:p w14:paraId="02DC4FD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根</w:t>
            </w:r>
          </w:p>
        </w:tc>
        <w:tc>
          <w:tcPr>
            <w:tcW w:w="1235" w:type="dxa"/>
            <w:shd w:val="clear" w:color="auto" w:fill="auto"/>
            <w:vAlign w:val="center"/>
          </w:tcPr>
          <w:p w14:paraId="15E27DB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p>
        </w:tc>
        <w:tc>
          <w:tcPr>
            <w:tcW w:w="1787" w:type="dxa"/>
            <w:shd w:val="clear" w:color="auto" w:fill="auto"/>
            <w:vAlign w:val="center"/>
          </w:tcPr>
          <w:p w14:paraId="7DBEFF6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r>
      <w:tr w14:paraId="6190B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744" w:type="dxa"/>
            <w:shd w:val="clear" w:color="auto" w:fill="auto"/>
            <w:vAlign w:val="center"/>
          </w:tcPr>
          <w:p w14:paraId="1D1A9B4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长扎带</w:t>
            </w:r>
          </w:p>
        </w:tc>
        <w:tc>
          <w:tcPr>
            <w:tcW w:w="1529" w:type="dxa"/>
            <w:shd w:val="clear" w:color="auto" w:fill="auto"/>
            <w:vAlign w:val="center"/>
          </w:tcPr>
          <w:p w14:paraId="06433AA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14.1.4</w:t>
            </w:r>
          </w:p>
        </w:tc>
        <w:tc>
          <w:tcPr>
            <w:tcW w:w="1501" w:type="dxa"/>
            <w:shd w:val="clear" w:color="auto" w:fill="auto"/>
            <w:vAlign w:val="center"/>
          </w:tcPr>
          <w:p w14:paraId="653158A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400</w:t>
            </w:r>
          </w:p>
        </w:tc>
        <w:tc>
          <w:tcPr>
            <w:tcW w:w="1240" w:type="dxa"/>
            <w:shd w:val="clear" w:color="auto" w:fill="auto"/>
            <w:vAlign w:val="center"/>
          </w:tcPr>
          <w:p w14:paraId="62AFBD7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根</w:t>
            </w:r>
          </w:p>
        </w:tc>
        <w:tc>
          <w:tcPr>
            <w:tcW w:w="1235" w:type="dxa"/>
            <w:shd w:val="clear" w:color="auto" w:fill="auto"/>
            <w:vAlign w:val="center"/>
          </w:tcPr>
          <w:p w14:paraId="68912BE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p>
        </w:tc>
        <w:tc>
          <w:tcPr>
            <w:tcW w:w="1787" w:type="dxa"/>
            <w:shd w:val="clear" w:color="auto" w:fill="auto"/>
            <w:vAlign w:val="center"/>
          </w:tcPr>
          <w:p w14:paraId="2CDED6D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r>
      <w:tr w14:paraId="1B036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744" w:type="dxa"/>
            <w:shd w:val="clear" w:color="auto" w:fill="auto"/>
            <w:vAlign w:val="center"/>
          </w:tcPr>
          <w:p w14:paraId="2A5E7F8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贴纸</w:t>
            </w:r>
          </w:p>
        </w:tc>
        <w:tc>
          <w:tcPr>
            <w:tcW w:w="1529" w:type="dxa"/>
            <w:shd w:val="clear" w:color="auto" w:fill="auto"/>
            <w:vAlign w:val="center"/>
          </w:tcPr>
          <w:p w14:paraId="20E2EE6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14.1.5</w:t>
            </w:r>
          </w:p>
        </w:tc>
        <w:tc>
          <w:tcPr>
            <w:tcW w:w="1501" w:type="dxa"/>
            <w:shd w:val="clear" w:color="auto" w:fill="auto"/>
            <w:vAlign w:val="center"/>
          </w:tcPr>
          <w:p w14:paraId="4B86833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80</w:t>
            </w:r>
          </w:p>
        </w:tc>
        <w:tc>
          <w:tcPr>
            <w:tcW w:w="1240" w:type="dxa"/>
            <w:shd w:val="clear" w:color="auto" w:fill="auto"/>
            <w:vAlign w:val="center"/>
          </w:tcPr>
          <w:p w14:paraId="3E3B692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张</w:t>
            </w:r>
          </w:p>
        </w:tc>
        <w:tc>
          <w:tcPr>
            <w:tcW w:w="1235" w:type="dxa"/>
            <w:shd w:val="clear" w:color="auto" w:fill="auto"/>
            <w:vAlign w:val="center"/>
          </w:tcPr>
          <w:p w14:paraId="3279CDB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1"/>
                <w:szCs w:val="21"/>
                <w:lang w:val="en-US" w:eastAsia="zh-CN"/>
              </w:rPr>
            </w:pPr>
          </w:p>
        </w:tc>
        <w:tc>
          <w:tcPr>
            <w:tcW w:w="1787" w:type="dxa"/>
            <w:shd w:val="clear" w:color="auto" w:fill="auto"/>
            <w:vAlign w:val="center"/>
          </w:tcPr>
          <w:p w14:paraId="7B109EA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p>
        </w:tc>
      </w:tr>
      <w:tr w14:paraId="0CFAC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6014" w:type="dxa"/>
            <w:gridSpan w:val="4"/>
            <w:shd w:val="clear" w:color="auto" w:fill="auto"/>
            <w:vAlign w:val="center"/>
          </w:tcPr>
          <w:p w14:paraId="017918E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检测样品二维码唯一性标识总费用合计（元）</w:t>
            </w:r>
          </w:p>
        </w:tc>
        <w:tc>
          <w:tcPr>
            <w:tcW w:w="3022" w:type="dxa"/>
            <w:gridSpan w:val="2"/>
            <w:shd w:val="clear" w:color="auto" w:fill="auto"/>
            <w:vAlign w:val="center"/>
          </w:tcPr>
          <w:p w14:paraId="3DC52E0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lang w:val="en-US" w:eastAsia="zh-CN"/>
              </w:rPr>
            </w:pPr>
          </w:p>
        </w:tc>
      </w:tr>
      <w:tr w14:paraId="02BE6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9036" w:type="dxa"/>
            <w:gridSpan w:val="6"/>
            <w:shd w:val="clear" w:color="auto" w:fill="auto"/>
            <w:vAlign w:val="center"/>
          </w:tcPr>
          <w:p w14:paraId="45767DF0">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注：以实际量为准</w:t>
            </w:r>
            <w:r>
              <w:rPr>
                <w:rFonts w:hint="eastAsia" w:ascii="宋体" w:hAnsi="宋体" w:eastAsia="宋体" w:cs="宋体"/>
                <w:color w:val="auto"/>
                <w:kern w:val="0"/>
                <w:sz w:val="21"/>
                <w:szCs w:val="21"/>
                <w:lang w:eastAsia="zh-CN"/>
              </w:rPr>
              <w:t>。</w:t>
            </w:r>
          </w:p>
        </w:tc>
      </w:tr>
    </w:tbl>
    <w:p w14:paraId="217EBE14">
      <w:pPr>
        <w:rPr>
          <w:rFonts w:hint="eastAsia" w:ascii="宋体" w:hAnsi="宋体" w:eastAsia="宋体" w:cs="宋体"/>
          <w:b/>
          <w:bCs w:val="0"/>
          <w:color w:val="000000" w:themeColor="text1"/>
          <w:sz w:val="28"/>
          <w:szCs w:val="28"/>
          <w:highlight w:val="none"/>
          <w14:textFill>
            <w14:solidFill>
              <w14:schemeClr w14:val="tx1"/>
            </w14:solidFill>
          </w14:textFill>
        </w:rPr>
      </w:pPr>
    </w:p>
    <w:p w14:paraId="5A4BB7CA">
      <w:pPr>
        <w:pStyle w:val="10"/>
        <w:rPr>
          <w:rFonts w:hint="eastAsia" w:ascii="宋体" w:hAnsi="宋体" w:eastAsia="宋体" w:cs="宋体"/>
          <w:b/>
          <w:bCs w:val="0"/>
          <w:color w:val="000000" w:themeColor="text1"/>
          <w:sz w:val="28"/>
          <w:szCs w:val="28"/>
          <w:highlight w:val="none"/>
          <w14:textFill>
            <w14:solidFill>
              <w14:schemeClr w14:val="tx1"/>
            </w14:solidFill>
          </w14:textFill>
        </w:rPr>
      </w:pPr>
    </w:p>
    <w:p w14:paraId="673FDA14">
      <w:pPr>
        <w:rPr>
          <w:rFonts w:hint="eastAsia" w:ascii="宋体" w:hAnsi="宋体" w:eastAsia="宋体" w:cs="宋体"/>
          <w:b/>
          <w:bCs w:val="0"/>
          <w:color w:val="000000" w:themeColor="text1"/>
          <w:sz w:val="28"/>
          <w:szCs w:val="28"/>
          <w:highlight w:val="none"/>
          <w14:textFill>
            <w14:solidFill>
              <w14:schemeClr w14:val="tx1"/>
            </w14:solidFill>
          </w14:textFill>
        </w:rPr>
      </w:pPr>
    </w:p>
    <w:p w14:paraId="1BEC5AC1">
      <w:pPr>
        <w:pStyle w:val="10"/>
        <w:rPr>
          <w:rFonts w:hint="eastAsia" w:ascii="宋体" w:hAnsi="宋体" w:eastAsia="宋体" w:cs="宋体"/>
          <w:b/>
          <w:bCs w:val="0"/>
          <w:color w:val="000000" w:themeColor="text1"/>
          <w:sz w:val="28"/>
          <w:szCs w:val="28"/>
          <w:highlight w:val="none"/>
          <w14:textFill>
            <w14:solidFill>
              <w14:schemeClr w14:val="tx1"/>
            </w14:solidFill>
          </w14:textFill>
        </w:rPr>
      </w:pPr>
    </w:p>
    <w:p w14:paraId="24418CF5">
      <w:pPr>
        <w:rPr>
          <w:rFonts w:hint="eastAsia"/>
        </w:rPr>
      </w:pPr>
    </w:p>
    <w:p w14:paraId="43485A30">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附件</w:t>
      </w:r>
      <w:r>
        <w:rPr>
          <w:rFonts w:hint="eastAsia" w:asciiTheme="minorEastAsia" w:hAnsiTheme="minorEastAsia" w:eastAsiaTheme="minorEastAsia" w:cstheme="minorEastAsia"/>
          <w:b/>
          <w:bCs/>
          <w:color w:val="000000" w:themeColor="text1"/>
          <w:sz w:val="24"/>
          <w:szCs w:val="24"/>
          <w:highlight w:val="none"/>
          <w:lang w:val="en-US" w:eastAsia="zh-CN"/>
          <w14:textFill>
            <w14:solidFill>
              <w14:schemeClr w14:val="tx1"/>
            </w14:solidFill>
          </w14:textFill>
        </w:rPr>
        <w:t>1</w:t>
      </w: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w:t>
      </w:r>
    </w:p>
    <w:p w14:paraId="60B6C52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000000" w:themeColor="text1"/>
          <w:sz w:val="32"/>
          <w:szCs w:val="32"/>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32"/>
          <w:szCs w:val="32"/>
          <w:highlight w:val="none"/>
          <w14:textFill>
            <w14:solidFill>
              <w14:schemeClr w14:val="tx1"/>
            </w14:solidFill>
          </w14:textFill>
        </w:rPr>
        <w:t>中小微企业划型标准</w:t>
      </w:r>
    </w:p>
    <w:tbl>
      <w:tblPr>
        <w:tblStyle w:val="26"/>
        <w:tblW w:w="5000" w:type="pct"/>
        <w:tblInd w:w="0" w:type="dxa"/>
        <w:tblLayout w:type="autofit"/>
        <w:tblCellMar>
          <w:top w:w="0" w:type="dxa"/>
          <w:left w:w="108" w:type="dxa"/>
          <w:bottom w:w="0" w:type="dxa"/>
          <w:right w:w="108" w:type="dxa"/>
        </w:tblCellMar>
      </w:tblPr>
      <w:tblGrid>
        <w:gridCol w:w="1729"/>
        <w:gridCol w:w="1733"/>
        <w:gridCol w:w="1240"/>
        <w:gridCol w:w="1763"/>
        <w:gridCol w:w="1763"/>
        <w:gridCol w:w="1173"/>
      </w:tblGrid>
      <w:tr w14:paraId="050B5CA8">
        <w:tblPrEx>
          <w:tblCellMar>
            <w:top w:w="0" w:type="dxa"/>
            <w:left w:w="108" w:type="dxa"/>
            <w:bottom w:w="0" w:type="dxa"/>
            <w:right w:w="108" w:type="dxa"/>
          </w:tblCellMar>
        </w:tblPrEx>
        <w:trPr>
          <w:trHeight w:val="486" w:hRule="atLeast"/>
        </w:trPr>
        <w:tc>
          <w:tcPr>
            <w:tcW w:w="919" w:type="pct"/>
            <w:tcBorders>
              <w:top w:val="single" w:color="auto" w:sz="4" w:space="0"/>
              <w:left w:val="single" w:color="auto" w:sz="4" w:space="0"/>
              <w:bottom w:val="single" w:color="auto" w:sz="4" w:space="0"/>
              <w:right w:val="single" w:color="auto" w:sz="4" w:space="0"/>
            </w:tcBorders>
            <w:vAlign w:val="center"/>
          </w:tcPr>
          <w:p w14:paraId="0936EEB7">
            <w:pPr>
              <w:widowControl/>
              <w:spacing w:line="240" w:lineRule="auto"/>
              <w:jc w:val="left"/>
              <w:rPr>
                <w:rFonts w:hint="eastAsia" w:asciiTheme="minorEastAsia" w:hAnsiTheme="minorEastAsia" w:eastAsiaTheme="minorEastAsia" w:cstheme="minorEastAsia"/>
                <w:b/>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0"/>
                <w:sz w:val="21"/>
                <w:szCs w:val="21"/>
                <w:highlight w:val="none"/>
                <w14:textFill>
                  <w14:solidFill>
                    <w14:schemeClr w14:val="tx1"/>
                  </w14:solidFill>
                </w14:textFill>
              </w:rPr>
              <w:t>行业名称</w:t>
            </w:r>
          </w:p>
        </w:tc>
        <w:tc>
          <w:tcPr>
            <w:tcW w:w="921" w:type="pct"/>
            <w:tcBorders>
              <w:top w:val="single" w:color="auto" w:sz="4" w:space="0"/>
              <w:left w:val="nil"/>
              <w:bottom w:val="single" w:color="auto" w:sz="4" w:space="0"/>
              <w:right w:val="single" w:color="auto" w:sz="4" w:space="0"/>
            </w:tcBorders>
            <w:vAlign w:val="center"/>
          </w:tcPr>
          <w:p w14:paraId="0AFB1128">
            <w:pPr>
              <w:widowControl/>
              <w:spacing w:line="240" w:lineRule="auto"/>
              <w:jc w:val="left"/>
              <w:rPr>
                <w:rFonts w:hint="eastAsia" w:asciiTheme="minorEastAsia" w:hAnsiTheme="minorEastAsia" w:eastAsiaTheme="minorEastAsia" w:cstheme="minorEastAsia"/>
                <w:b/>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0"/>
                <w:sz w:val="21"/>
                <w:szCs w:val="21"/>
                <w:highlight w:val="none"/>
                <w14:textFill>
                  <w14:solidFill>
                    <w14:schemeClr w14:val="tx1"/>
                  </w14:solidFill>
                </w14:textFill>
              </w:rPr>
              <w:t>指标名称</w:t>
            </w:r>
          </w:p>
        </w:tc>
        <w:tc>
          <w:tcPr>
            <w:tcW w:w="659" w:type="pct"/>
            <w:tcBorders>
              <w:top w:val="single" w:color="auto" w:sz="4" w:space="0"/>
              <w:left w:val="nil"/>
              <w:bottom w:val="single" w:color="auto" w:sz="4" w:space="0"/>
              <w:right w:val="single" w:color="auto" w:sz="4" w:space="0"/>
            </w:tcBorders>
            <w:vAlign w:val="center"/>
          </w:tcPr>
          <w:p w14:paraId="2E7CEABB">
            <w:pPr>
              <w:widowControl/>
              <w:spacing w:line="240" w:lineRule="auto"/>
              <w:jc w:val="left"/>
              <w:rPr>
                <w:rFonts w:hint="eastAsia" w:asciiTheme="minorEastAsia" w:hAnsiTheme="minorEastAsia" w:eastAsiaTheme="minorEastAsia" w:cstheme="minorEastAsia"/>
                <w:b/>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0"/>
                <w:sz w:val="21"/>
                <w:szCs w:val="21"/>
                <w:highlight w:val="none"/>
                <w14:textFill>
                  <w14:solidFill>
                    <w14:schemeClr w14:val="tx1"/>
                  </w14:solidFill>
                </w14:textFill>
              </w:rPr>
              <w:t>计量单位</w:t>
            </w:r>
          </w:p>
        </w:tc>
        <w:tc>
          <w:tcPr>
            <w:tcW w:w="937" w:type="pct"/>
            <w:tcBorders>
              <w:top w:val="single" w:color="auto" w:sz="4" w:space="0"/>
              <w:left w:val="nil"/>
              <w:bottom w:val="single" w:color="auto" w:sz="4" w:space="0"/>
              <w:right w:val="single" w:color="auto" w:sz="4" w:space="0"/>
            </w:tcBorders>
            <w:vAlign w:val="center"/>
          </w:tcPr>
          <w:p w14:paraId="6516A4D8">
            <w:pPr>
              <w:widowControl/>
              <w:spacing w:line="240" w:lineRule="auto"/>
              <w:jc w:val="left"/>
              <w:rPr>
                <w:rFonts w:hint="eastAsia" w:asciiTheme="minorEastAsia" w:hAnsiTheme="minorEastAsia" w:eastAsiaTheme="minorEastAsia" w:cstheme="minorEastAsia"/>
                <w:b/>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0"/>
                <w:sz w:val="21"/>
                <w:szCs w:val="21"/>
                <w:highlight w:val="none"/>
                <w14:textFill>
                  <w14:solidFill>
                    <w14:schemeClr w14:val="tx1"/>
                  </w14:solidFill>
                </w14:textFill>
              </w:rPr>
              <w:t>中型</w:t>
            </w:r>
          </w:p>
        </w:tc>
        <w:tc>
          <w:tcPr>
            <w:tcW w:w="937" w:type="pct"/>
            <w:tcBorders>
              <w:top w:val="single" w:color="auto" w:sz="4" w:space="0"/>
              <w:left w:val="nil"/>
              <w:bottom w:val="single" w:color="auto" w:sz="4" w:space="0"/>
              <w:right w:val="single" w:color="auto" w:sz="4" w:space="0"/>
            </w:tcBorders>
            <w:vAlign w:val="center"/>
          </w:tcPr>
          <w:p w14:paraId="068DE11F">
            <w:pPr>
              <w:widowControl/>
              <w:spacing w:line="240" w:lineRule="auto"/>
              <w:jc w:val="left"/>
              <w:rPr>
                <w:rFonts w:hint="eastAsia" w:asciiTheme="minorEastAsia" w:hAnsiTheme="minorEastAsia" w:eastAsiaTheme="minorEastAsia" w:cstheme="minorEastAsia"/>
                <w:b/>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0"/>
                <w:sz w:val="21"/>
                <w:szCs w:val="21"/>
                <w:highlight w:val="none"/>
                <w14:textFill>
                  <w14:solidFill>
                    <w14:schemeClr w14:val="tx1"/>
                  </w14:solidFill>
                </w14:textFill>
              </w:rPr>
              <w:t>小型</w:t>
            </w:r>
          </w:p>
        </w:tc>
        <w:tc>
          <w:tcPr>
            <w:tcW w:w="623" w:type="pct"/>
            <w:tcBorders>
              <w:top w:val="single" w:color="auto" w:sz="4" w:space="0"/>
              <w:left w:val="nil"/>
              <w:bottom w:val="single" w:color="auto" w:sz="4" w:space="0"/>
              <w:right w:val="single" w:color="auto" w:sz="4" w:space="0"/>
            </w:tcBorders>
            <w:vAlign w:val="center"/>
          </w:tcPr>
          <w:p w14:paraId="163932CE">
            <w:pPr>
              <w:widowControl/>
              <w:spacing w:line="240" w:lineRule="auto"/>
              <w:jc w:val="left"/>
              <w:rPr>
                <w:rFonts w:hint="eastAsia" w:asciiTheme="minorEastAsia" w:hAnsiTheme="minorEastAsia" w:eastAsiaTheme="minorEastAsia" w:cstheme="minorEastAsia"/>
                <w:b/>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0"/>
                <w:sz w:val="21"/>
                <w:szCs w:val="21"/>
                <w:highlight w:val="none"/>
                <w14:textFill>
                  <w14:solidFill>
                    <w14:schemeClr w14:val="tx1"/>
                  </w14:solidFill>
                </w14:textFill>
              </w:rPr>
              <w:t>微型</w:t>
            </w:r>
          </w:p>
        </w:tc>
      </w:tr>
      <w:tr w14:paraId="227ED75B">
        <w:tblPrEx>
          <w:tblCellMar>
            <w:top w:w="0" w:type="dxa"/>
            <w:left w:w="108" w:type="dxa"/>
            <w:bottom w:w="0" w:type="dxa"/>
            <w:right w:w="108" w:type="dxa"/>
          </w:tblCellMar>
        </w:tblPrEx>
        <w:trPr>
          <w:trHeight w:val="225" w:hRule="atLeast"/>
        </w:trPr>
        <w:tc>
          <w:tcPr>
            <w:tcW w:w="919" w:type="pct"/>
            <w:tcBorders>
              <w:top w:val="nil"/>
              <w:left w:val="single" w:color="auto" w:sz="4" w:space="0"/>
              <w:bottom w:val="single" w:color="auto" w:sz="4" w:space="0"/>
              <w:right w:val="single" w:color="auto" w:sz="4" w:space="0"/>
            </w:tcBorders>
            <w:vAlign w:val="bottom"/>
          </w:tcPr>
          <w:p w14:paraId="1CAD871E">
            <w:pPr>
              <w:widowControl/>
              <w:spacing w:line="240" w:lineRule="auto"/>
              <w:jc w:val="cente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农、林、牧、渔</w:t>
            </w:r>
          </w:p>
        </w:tc>
        <w:tc>
          <w:tcPr>
            <w:tcW w:w="921" w:type="pct"/>
            <w:tcBorders>
              <w:top w:val="nil"/>
              <w:left w:val="nil"/>
              <w:bottom w:val="single" w:color="auto" w:sz="4" w:space="0"/>
              <w:right w:val="single" w:color="auto" w:sz="4" w:space="0"/>
            </w:tcBorders>
            <w:vAlign w:val="center"/>
          </w:tcPr>
          <w:p w14:paraId="38CC76C9">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营业收入（Y）</w:t>
            </w:r>
          </w:p>
        </w:tc>
        <w:tc>
          <w:tcPr>
            <w:tcW w:w="659" w:type="pct"/>
            <w:tcBorders>
              <w:top w:val="nil"/>
              <w:left w:val="nil"/>
              <w:bottom w:val="single" w:color="auto" w:sz="4" w:space="0"/>
              <w:right w:val="single" w:color="auto" w:sz="4" w:space="0"/>
            </w:tcBorders>
            <w:vAlign w:val="center"/>
          </w:tcPr>
          <w:p w14:paraId="2C70C153">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万元</w:t>
            </w:r>
          </w:p>
        </w:tc>
        <w:tc>
          <w:tcPr>
            <w:tcW w:w="937" w:type="pct"/>
            <w:tcBorders>
              <w:top w:val="nil"/>
              <w:left w:val="nil"/>
              <w:bottom w:val="single" w:color="auto" w:sz="4" w:space="0"/>
              <w:right w:val="single" w:color="auto" w:sz="4" w:space="0"/>
            </w:tcBorders>
            <w:vAlign w:val="center"/>
          </w:tcPr>
          <w:p w14:paraId="19F97FF0">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500≤Y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20000</w:t>
            </w:r>
          </w:p>
        </w:tc>
        <w:tc>
          <w:tcPr>
            <w:tcW w:w="937" w:type="pct"/>
            <w:tcBorders>
              <w:top w:val="nil"/>
              <w:left w:val="nil"/>
              <w:bottom w:val="single" w:color="auto" w:sz="4" w:space="0"/>
              <w:right w:val="single" w:color="auto" w:sz="4" w:space="0"/>
            </w:tcBorders>
            <w:vAlign w:val="center"/>
          </w:tcPr>
          <w:p w14:paraId="06C063D2">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50≤Y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500</w:t>
            </w:r>
          </w:p>
        </w:tc>
        <w:tc>
          <w:tcPr>
            <w:tcW w:w="623" w:type="pct"/>
            <w:tcBorders>
              <w:top w:val="nil"/>
              <w:left w:val="nil"/>
              <w:bottom w:val="single" w:color="auto" w:sz="4" w:space="0"/>
              <w:right w:val="single" w:color="auto" w:sz="4" w:space="0"/>
            </w:tcBorders>
            <w:vAlign w:val="center"/>
          </w:tcPr>
          <w:p w14:paraId="2FCB3CD6">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50</w:t>
            </w:r>
          </w:p>
        </w:tc>
      </w:tr>
      <w:tr w14:paraId="1F01DD6E">
        <w:tblPrEx>
          <w:tblCellMar>
            <w:top w:w="0" w:type="dxa"/>
            <w:left w:w="108" w:type="dxa"/>
            <w:bottom w:w="0" w:type="dxa"/>
            <w:right w:w="108" w:type="dxa"/>
          </w:tblCellMar>
        </w:tblPrEx>
        <w:trPr>
          <w:trHeight w:val="225" w:hRule="atLeast"/>
        </w:trPr>
        <w:tc>
          <w:tcPr>
            <w:tcW w:w="919" w:type="pct"/>
            <w:vMerge w:val="restart"/>
            <w:tcBorders>
              <w:top w:val="nil"/>
              <w:left w:val="single" w:color="auto" w:sz="4" w:space="0"/>
              <w:bottom w:val="single" w:color="auto" w:sz="4" w:space="0"/>
              <w:right w:val="single" w:color="auto" w:sz="4" w:space="0"/>
            </w:tcBorders>
            <w:vAlign w:val="bottom"/>
          </w:tcPr>
          <w:p w14:paraId="588BED3F">
            <w:pPr>
              <w:widowControl/>
              <w:spacing w:line="240" w:lineRule="auto"/>
              <w:jc w:val="cente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工业</w:t>
            </w:r>
          </w:p>
        </w:tc>
        <w:tc>
          <w:tcPr>
            <w:tcW w:w="921" w:type="pct"/>
            <w:tcBorders>
              <w:top w:val="nil"/>
              <w:left w:val="nil"/>
              <w:bottom w:val="single" w:color="auto" w:sz="4" w:space="0"/>
              <w:right w:val="single" w:color="auto" w:sz="4" w:space="0"/>
            </w:tcBorders>
            <w:vAlign w:val="center"/>
          </w:tcPr>
          <w:p w14:paraId="3FACF05E">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从业人员（X）</w:t>
            </w:r>
          </w:p>
        </w:tc>
        <w:tc>
          <w:tcPr>
            <w:tcW w:w="659" w:type="pct"/>
            <w:tcBorders>
              <w:top w:val="nil"/>
              <w:left w:val="nil"/>
              <w:bottom w:val="single" w:color="auto" w:sz="4" w:space="0"/>
              <w:right w:val="single" w:color="auto" w:sz="4" w:space="0"/>
            </w:tcBorders>
            <w:vAlign w:val="center"/>
          </w:tcPr>
          <w:p w14:paraId="249AFCE2">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人</w:t>
            </w:r>
          </w:p>
        </w:tc>
        <w:tc>
          <w:tcPr>
            <w:tcW w:w="937" w:type="pct"/>
            <w:tcBorders>
              <w:top w:val="nil"/>
              <w:left w:val="nil"/>
              <w:bottom w:val="single" w:color="auto" w:sz="4" w:space="0"/>
              <w:right w:val="single" w:color="auto" w:sz="4" w:space="0"/>
            </w:tcBorders>
            <w:vAlign w:val="center"/>
          </w:tcPr>
          <w:p w14:paraId="1B2EC862">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300≤X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1000</w:t>
            </w:r>
          </w:p>
        </w:tc>
        <w:tc>
          <w:tcPr>
            <w:tcW w:w="937" w:type="pct"/>
            <w:tcBorders>
              <w:top w:val="nil"/>
              <w:left w:val="nil"/>
              <w:bottom w:val="single" w:color="auto" w:sz="4" w:space="0"/>
              <w:right w:val="single" w:color="auto" w:sz="4" w:space="0"/>
            </w:tcBorders>
            <w:vAlign w:val="center"/>
          </w:tcPr>
          <w:p w14:paraId="51460BA7">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20≤X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300</w:t>
            </w:r>
          </w:p>
        </w:tc>
        <w:tc>
          <w:tcPr>
            <w:tcW w:w="623" w:type="pct"/>
            <w:tcBorders>
              <w:top w:val="nil"/>
              <w:left w:val="nil"/>
              <w:bottom w:val="single" w:color="auto" w:sz="4" w:space="0"/>
              <w:right w:val="single" w:color="auto" w:sz="4" w:space="0"/>
            </w:tcBorders>
            <w:vAlign w:val="center"/>
          </w:tcPr>
          <w:p w14:paraId="566BAF94">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20</w:t>
            </w:r>
          </w:p>
        </w:tc>
      </w:tr>
      <w:tr w14:paraId="279731F5">
        <w:tblPrEx>
          <w:tblCellMar>
            <w:top w:w="0" w:type="dxa"/>
            <w:left w:w="108" w:type="dxa"/>
            <w:bottom w:w="0" w:type="dxa"/>
            <w:right w:w="108" w:type="dxa"/>
          </w:tblCellMar>
        </w:tblPrEx>
        <w:trPr>
          <w:trHeight w:val="225" w:hRule="atLeast"/>
        </w:trPr>
        <w:tc>
          <w:tcPr>
            <w:tcW w:w="919" w:type="pct"/>
            <w:vMerge w:val="continue"/>
            <w:tcBorders>
              <w:top w:val="nil"/>
              <w:left w:val="single" w:color="auto" w:sz="4" w:space="0"/>
              <w:bottom w:val="single" w:color="auto" w:sz="4" w:space="0"/>
              <w:right w:val="single" w:color="auto" w:sz="4" w:space="0"/>
            </w:tcBorders>
            <w:vAlign w:val="center"/>
          </w:tcPr>
          <w:p w14:paraId="0EC78C09">
            <w:pPr>
              <w:widowControl/>
              <w:spacing w:line="240" w:lineRule="auto"/>
              <w:jc w:val="left"/>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p>
        </w:tc>
        <w:tc>
          <w:tcPr>
            <w:tcW w:w="921" w:type="pct"/>
            <w:tcBorders>
              <w:top w:val="nil"/>
              <w:left w:val="nil"/>
              <w:bottom w:val="single" w:color="auto" w:sz="4" w:space="0"/>
              <w:right w:val="single" w:color="auto" w:sz="4" w:space="0"/>
            </w:tcBorders>
            <w:vAlign w:val="center"/>
          </w:tcPr>
          <w:p w14:paraId="1B68D272">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营业收入（Y）</w:t>
            </w:r>
          </w:p>
        </w:tc>
        <w:tc>
          <w:tcPr>
            <w:tcW w:w="659" w:type="pct"/>
            <w:tcBorders>
              <w:top w:val="nil"/>
              <w:left w:val="nil"/>
              <w:bottom w:val="single" w:color="auto" w:sz="4" w:space="0"/>
              <w:right w:val="single" w:color="auto" w:sz="4" w:space="0"/>
            </w:tcBorders>
            <w:vAlign w:val="center"/>
          </w:tcPr>
          <w:p w14:paraId="78F6CAAA">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万元</w:t>
            </w:r>
          </w:p>
        </w:tc>
        <w:tc>
          <w:tcPr>
            <w:tcW w:w="937" w:type="pct"/>
            <w:tcBorders>
              <w:top w:val="nil"/>
              <w:left w:val="nil"/>
              <w:bottom w:val="single" w:color="auto" w:sz="4" w:space="0"/>
              <w:right w:val="single" w:color="auto" w:sz="4" w:space="0"/>
            </w:tcBorders>
            <w:vAlign w:val="center"/>
          </w:tcPr>
          <w:p w14:paraId="62AAED78">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2000≤Y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40000</w:t>
            </w:r>
          </w:p>
        </w:tc>
        <w:tc>
          <w:tcPr>
            <w:tcW w:w="937" w:type="pct"/>
            <w:tcBorders>
              <w:top w:val="nil"/>
              <w:left w:val="nil"/>
              <w:bottom w:val="single" w:color="auto" w:sz="4" w:space="0"/>
              <w:right w:val="single" w:color="auto" w:sz="4" w:space="0"/>
            </w:tcBorders>
            <w:vAlign w:val="center"/>
          </w:tcPr>
          <w:p w14:paraId="6FE7DE3C">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300≤Y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2000</w:t>
            </w:r>
          </w:p>
        </w:tc>
        <w:tc>
          <w:tcPr>
            <w:tcW w:w="623" w:type="pct"/>
            <w:tcBorders>
              <w:top w:val="nil"/>
              <w:left w:val="nil"/>
              <w:bottom w:val="single" w:color="auto" w:sz="4" w:space="0"/>
              <w:right w:val="single" w:color="auto" w:sz="4" w:space="0"/>
            </w:tcBorders>
            <w:vAlign w:val="center"/>
          </w:tcPr>
          <w:p w14:paraId="0EB131A3">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300</w:t>
            </w:r>
          </w:p>
        </w:tc>
      </w:tr>
      <w:tr w14:paraId="77113F4B">
        <w:tblPrEx>
          <w:tblCellMar>
            <w:top w:w="0" w:type="dxa"/>
            <w:left w:w="108" w:type="dxa"/>
            <w:bottom w:w="0" w:type="dxa"/>
            <w:right w:w="108" w:type="dxa"/>
          </w:tblCellMar>
        </w:tblPrEx>
        <w:trPr>
          <w:trHeight w:val="225" w:hRule="atLeast"/>
        </w:trPr>
        <w:tc>
          <w:tcPr>
            <w:tcW w:w="919" w:type="pct"/>
            <w:vMerge w:val="restart"/>
            <w:tcBorders>
              <w:top w:val="nil"/>
              <w:left w:val="single" w:color="auto" w:sz="4" w:space="0"/>
              <w:bottom w:val="single" w:color="auto" w:sz="4" w:space="0"/>
              <w:right w:val="single" w:color="auto" w:sz="4" w:space="0"/>
            </w:tcBorders>
            <w:vAlign w:val="bottom"/>
          </w:tcPr>
          <w:p w14:paraId="528D779B">
            <w:pPr>
              <w:widowControl/>
              <w:spacing w:line="240" w:lineRule="auto"/>
              <w:jc w:val="cente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建筑业</w:t>
            </w:r>
          </w:p>
        </w:tc>
        <w:tc>
          <w:tcPr>
            <w:tcW w:w="921" w:type="pct"/>
            <w:tcBorders>
              <w:top w:val="nil"/>
              <w:left w:val="nil"/>
              <w:bottom w:val="single" w:color="auto" w:sz="4" w:space="0"/>
              <w:right w:val="single" w:color="auto" w:sz="4" w:space="0"/>
            </w:tcBorders>
            <w:vAlign w:val="center"/>
          </w:tcPr>
          <w:p w14:paraId="525D6320">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营业收入（Y）</w:t>
            </w:r>
          </w:p>
        </w:tc>
        <w:tc>
          <w:tcPr>
            <w:tcW w:w="659" w:type="pct"/>
            <w:tcBorders>
              <w:top w:val="nil"/>
              <w:left w:val="nil"/>
              <w:bottom w:val="single" w:color="auto" w:sz="4" w:space="0"/>
              <w:right w:val="single" w:color="auto" w:sz="4" w:space="0"/>
            </w:tcBorders>
            <w:vAlign w:val="center"/>
          </w:tcPr>
          <w:p w14:paraId="0A8B8770">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万元</w:t>
            </w:r>
          </w:p>
        </w:tc>
        <w:tc>
          <w:tcPr>
            <w:tcW w:w="937" w:type="pct"/>
            <w:tcBorders>
              <w:top w:val="nil"/>
              <w:left w:val="nil"/>
              <w:bottom w:val="single" w:color="auto" w:sz="4" w:space="0"/>
              <w:right w:val="single" w:color="auto" w:sz="4" w:space="0"/>
            </w:tcBorders>
            <w:vAlign w:val="center"/>
          </w:tcPr>
          <w:p w14:paraId="743F0704">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6000≤Y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80000</w:t>
            </w:r>
          </w:p>
        </w:tc>
        <w:tc>
          <w:tcPr>
            <w:tcW w:w="937" w:type="pct"/>
            <w:tcBorders>
              <w:top w:val="nil"/>
              <w:left w:val="nil"/>
              <w:bottom w:val="single" w:color="auto" w:sz="4" w:space="0"/>
              <w:right w:val="single" w:color="auto" w:sz="4" w:space="0"/>
            </w:tcBorders>
            <w:vAlign w:val="center"/>
          </w:tcPr>
          <w:p w14:paraId="5CC8D658">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300≤Y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6000</w:t>
            </w:r>
          </w:p>
        </w:tc>
        <w:tc>
          <w:tcPr>
            <w:tcW w:w="623" w:type="pct"/>
            <w:tcBorders>
              <w:top w:val="nil"/>
              <w:left w:val="nil"/>
              <w:bottom w:val="single" w:color="auto" w:sz="4" w:space="0"/>
              <w:right w:val="single" w:color="auto" w:sz="4" w:space="0"/>
            </w:tcBorders>
            <w:vAlign w:val="center"/>
          </w:tcPr>
          <w:p w14:paraId="6E919828">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300</w:t>
            </w:r>
          </w:p>
        </w:tc>
      </w:tr>
      <w:tr w14:paraId="27D45D3F">
        <w:tblPrEx>
          <w:tblCellMar>
            <w:top w:w="0" w:type="dxa"/>
            <w:left w:w="108" w:type="dxa"/>
            <w:bottom w:w="0" w:type="dxa"/>
            <w:right w:w="108" w:type="dxa"/>
          </w:tblCellMar>
        </w:tblPrEx>
        <w:trPr>
          <w:trHeight w:val="225" w:hRule="atLeast"/>
        </w:trPr>
        <w:tc>
          <w:tcPr>
            <w:tcW w:w="919" w:type="pct"/>
            <w:vMerge w:val="continue"/>
            <w:tcBorders>
              <w:top w:val="nil"/>
              <w:left w:val="single" w:color="auto" w:sz="4" w:space="0"/>
              <w:bottom w:val="single" w:color="auto" w:sz="4" w:space="0"/>
              <w:right w:val="single" w:color="auto" w:sz="4" w:space="0"/>
            </w:tcBorders>
            <w:vAlign w:val="center"/>
          </w:tcPr>
          <w:p w14:paraId="554DEECC">
            <w:pPr>
              <w:widowControl/>
              <w:spacing w:line="240" w:lineRule="auto"/>
              <w:jc w:val="left"/>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p>
        </w:tc>
        <w:tc>
          <w:tcPr>
            <w:tcW w:w="921" w:type="pct"/>
            <w:tcBorders>
              <w:top w:val="nil"/>
              <w:left w:val="nil"/>
              <w:bottom w:val="single" w:color="auto" w:sz="4" w:space="0"/>
              <w:right w:val="single" w:color="auto" w:sz="4" w:space="0"/>
            </w:tcBorders>
            <w:vAlign w:val="center"/>
          </w:tcPr>
          <w:p w14:paraId="26F517F5">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资产总额（Z）</w:t>
            </w:r>
          </w:p>
        </w:tc>
        <w:tc>
          <w:tcPr>
            <w:tcW w:w="659" w:type="pct"/>
            <w:tcBorders>
              <w:top w:val="nil"/>
              <w:left w:val="nil"/>
              <w:bottom w:val="single" w:color="auto" w:sz="4" w:space="0"/>
              <w:right w:val="single" w:color="auto" w:sz="4" w:space="0"/>
            </w:tcBorders>
            <w:vAlign w:val="center"/>
          </w:tcPr>
          <w:p w14:paraId="409ACC75">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万元</w:t>
            </w:r>
          </w:p>
        </w:tc>
        <w:tc>
          <w:tcPr>
            <w:tcW w:w="937" w:type="pct"/>
            <w:tcBorders>
              <w:top w:val="nil"/>
              <w:left w:val="nil"/>
              <w:bottom w:val="single" w:color="auto" w:sz="4" w:space="0"/>
              <w:right w:val="single" w:color="auto" w:sz="4" w:space="0"/>
            </w:tcBorders>
            <w:vAlign w:val="center"/>
          </w:tcPr>
          <w:p w14:paraId="240AA8BD">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5000≤Z</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80000</w:t>
            </w:r>
          </w:p>
        </w:tc>
        <w:tc>
          <w:tcPr>
            <w:tcW w:w="937" w:type="pct"/>
            <w:tcBorders>
              <w:top w:val="nil"/>
              <w:left w:val="nil"/>
              <w:bottom w:val="single" w:color="auto" w:sz="4" w:space="0"/>
              <w:right w:val="single" w:color="auto" w:sz="4" w:space="0"/>
            </w:tcBorders>
            <w:vAlign w:val="center"/>
          </w:tcPr>
          <w:p w14:paraId="65393304">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300≤Z</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5000</w:t>
            </w:r>
          </w:p>
        </w:tc>
        <w:tc>
          <w:tcPr>
            <w:tcW w:w="623" w:type="pct"/>
            <w:tcBorders>
              <w:top w:val="nil"/>
              <w:left w:val="nil"/>
              <w:bottom w:val="single" w:color="auto" w:sz="4" w:space="0"/>
              <w:right w:val="single" w:color="auto" w:sz="4" w:space="0"/>
            </w:tcBorders>
            <w:vAlign w:val="center"/>
          </w:tcPr>
          <w:p w14:paraId="26E0BE85">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Z</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300</w:t>
            </w:r>
          </w:p>
        </w:tc>
      </w:tr>
      <w:tr w14:paraId="0A2C92EA">
        <w:tblPrEx>
          <w:tblCellMar>
            <w:top w:w="0" w:type="dxa"/>
            <w:left w:w="108" w:type="dxa"/>
            <w:bottom w:w="0" w:type="dxa"/>
            <w:right w:w="108" w:type="dxa"/>
          </w:tblCellMar>
        </w:tblPrEx>
        <w:trPr>
          <w:trHeight w:val="225" w:hRule="atLeast"/>
        </w:trPr>
        <w:tc>
          <w:tcPr>
            <w:tcW w:w="919" w:type="pct"/>
            <w:vMerge w:val="restart"/>
            <w:tcBorders>
              <w:top w:val="nil"/>
              <w:left w:val="single" w:color="auto" w:sz="4" w:space="0"/>
              <w:bottom w:val="single" w:color="auto" w:sz="4" w:space="0"/>
              <w:right w:val="single" w:color="auto" w:sz="4" w:space="0"/>
            </w:tcBorders>
            <w:vAlign w:val="bottom"/>
          </w:tcPr>
          <w:p w14:paraId="4E297150">
            <w:pPr>
              <w:widowControl/>
              <w:spacing w:line="240" w:lineRule="auto"/>
              <w:jc w:val="cente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批发业</w:t>
            </w:r>
          </w:p>
        </w:tc>
        <w:tc>
          <w:tcPr>
            <w:tcW w:w="921" w:type="pct"/>
            <w:tcBorders>
              <w:top w:val="nil"/>
              <w:left w:val="nil"/>
              <w:bottom w:val="single" w:color="auto" w:sz="4" w:space="0"/>
              <w:right w:val="single" w:color="auto" w:sz="4" w:space="0"/>
            </w:tcBorders>
            <w:vAlign w:val="center"/>
          </w:tcPr>
          <w:p w14:paraId="3FF143EA">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从业人员（X）</w:t>
            </w:r>
          </w:p>
        </w:tc>
        <w:tc>
          <w:tcPr>
            <w:tcW w:w="659" w:type="pct"/>
            <w:tcBorders>
              <w:top w:val="nil"/>
              <w:left w:val="nil"/>
              <w:bottom w:val="single" w:color="auto" w:sz="4" w:space="0"/>
              <w:right w:val="single" w:color="auto" w:sz="4" w:space="0"/>
            </w:tcBorders>
            <w:vAlign w:val="center"/>
          </w:tcPr>
          <w:p w14:paraId="2D7CEB3F">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人</w:t>
            </w:r>
          </w:p>
        </w:tc>
        <w:tc>
          <w:tcPr>
            <w:tcW w:w="937" w:type="pct"/>
            <w:tcBorders>
              <w:top w:val="nil"/>
              <w:left w:val="nil"/>
              <w:bottom w:val="single" w:color="auto" w:sz="4" w:space="0"/>
              <w:right w:val="single" w:color="auto" w:sz="4" w:space="0"/>
            </w:tcBorders>
            <w:vAlign w:val="center"/>
          </w:tcPr>
          <w:p w14:paraId="438A54A9">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20≤X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200</w:t>
            </w:r>
          </w:p>
        </w:tc>
        <w:tc>
          <w:tcPr>
            <w:tcW w:w="937" w:type="pct"/>
            <w:tcBorders>
              <w:top w:val="nil"/>
              <w:left w:val="nil"/>
              <w:bottom w:val="single" w:color="auto" w:sz="4" w:space="0"/>
              <w:right w:val="single" w:color="auto" w:sz="4" w:space="0"/>
            </w:tcBorders>
            <w:vAlign w:val="center"/>
          </w:tcPr>
          <w:p w14:paraId="1CF503A2">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5≤X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20</w:t>
            </w:r>
          </w:p>
        </w:tc>
        <w:tc>
          <w:tcPr>
            <w:tcW w:w="623" w:type="pct"/>
            <w:tcBorders>
              <w:top w:val="nil"/>
              <w:left w:val="nil"/>
              <w:bottom w:val="single" w:color="auto" w:sz="4" w:space="0"/>
              <w:right w:val="single" w:color="auto" w:sz="4" w:space="0"/>
            </w:tcBorders>
            <w:vAlign w:val="center"/>
          </w:tcPr>
          <w:p w14:paraId="028B7B81">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5</w:t>
            </w:r>
          </w:p>
        </w:tc>
      </w:tr>
      <w:tr w14:paraId="1288CD17">
        <w:tblPrEx>
          <w:tblCellMar>
            <w:top w:w="0" w:type="dxa"/>
            <w:left w:w="108" w:type="dxa"/>
            <w:bottom w:w="0" w:type="dxa"/>
            <w:right w:w="108" w:type="dxa"/>
          </w:tblCellMar>
        </w:tblPrEx>
        <w:trPr>
          <w:trHeight w:val="225" w:hRule="atLeast"/>
        </w:trPr>
        <w:tc>
          <w:tcPr>
            <w:tcW w:w="919" w:type="pct"/>
            <w:vMerge w:val="continue"/>
            <w:tcBorders>
              <w:top w:val="nil"/>
              <w:left w:val="single" w:color="auto" w:sz="4" w:space="0"/>
              <w:bottom w:val="single" w:color="auto" w:sz="4" w:space="0"/>
              <w:right w:val="single" w:color="auto" w:sz="4" w:space="0"/>
            </w:tcBorders>
            <w:vAlign w:val="center"/>
          </w:tcPr>
          <w:p w14:paraId="520F109F">
            <w:pPr>
              <w:widowControl/>
              <w:spacing w:line="240" w:lineRule="auto"/>
              <w:jc w:val="left"/>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p>
        </w:tc>
        <w:tc>
          <w:tcPr>
            <w:tcW w:w="921" w:type="pct"/>
            <w:tcBorders>
              <w:top w:val="nil"/>
              <w:left w:val="nil"/>
              <w:bottom w:val="single" w:color="auto" w:sz="4" w:space="0"/>
              <w:right w:val="single" w:color="auto" w:sz="4" w:space="0"/>
            </w:tcBorders>
            <w:vAlign w:val="center"/>
          </w:tcPr>
          <w:p w14:paraId="61B0DC0C">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营业收入（Y）</w:t>
            </w:r>
          </w:p>
        </w:tc>
        <w:tc>
          <w:tcPr>
            <w:tcW w:w="659" w:type="pct"/>
            <w:tcBorders>
              <w:top w:val="nil"/>
              <w:left w:val="nil"/>
              <w:bottom w:val="single" w:color="auto" w:sz="4" w:space="0"/>
              <w:right w:val="single" w:color="auto" w:sz="4" w:space="0"/>
            </w:tcBorders>
            <w:vAlign w:val="center"/>
          </w:tcPr>
          <w:p w14:paraId="273D3596">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万元</w:t>
            </w:r>
          </w:p>
        </w:tc>
        <w:tc>
          <w:tcPr>
            <w:tcW w:w="937" w:type="pct"/>
            <w:tcBorders>
              <w:top w:val="nil"/>
              <w:left w:val="nil"/>
              <w:bottom w:val="single" w:color="auto" w:sz="4" w:space="0"/>
              <w:right w:val="single" w:color="auto" w:sz="4" w:space="0"/>
            </w:tcBorders>
            <w:vAlign w:val="center"/>
          </w:tcPr>
          <w:p w14:paraId="616664A8">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5000≤Y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40000</w:t>
            </w:r>
          </w:p>
        </w:tc>
        <w:tc>
          <w:tcPr>
            <w:tcW w:w="937" w:type="pct"/>
            <w:tcBorders>
              <w:top w:val="nil"/>
              <w:left w:val="nil"/>
              <w:bottom w:val="single" w:color="auto" w:sz="4" w:space="0"/>
              <w:right w:val="single" w:color="auto" w:sz="4" w:space="0"/>
            </w:tcBorders>
            <w:vAlign w:val="center"/>
          </w:tcPr>
          <w:p w14:paraId="314B2814">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1000≤Y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5000</w:t>
            </w:r>
          </w:p>
        </w:tc>
        <w:tc>
          <w:tcPr>
            <w:tcW w:w="623" w:type="pct"/>
            <w:tcBorders>
              <w:top w:val="nil"/>
              <w:left w:val="nil"/>
              <w:bottom w:val="single" w:color="auto" w:sz="4" w:space="0"/>
              <w:right w:val="single" w:color="auto" w:sz="4" w:space="0"/>
            </w:tcBorders>
            <w:vAlign w:val="center"/>
          </w:tcPr>
          <w:p w14:paraId="24D865EA">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1000</w:t>
            </w:r>
          </w:p>
        </w:tc>
      </w:tr>
      <w:tr w14:paraId="14E60D1B">
        <w:tblPrEx>
          <w:tblCellMar>
            <w:top w:w="0" w:type="dxa"/>
            <w:left w:w="108" w:type="dxa"/>
            <w:bottom w:w="0" w:type="dxa"/>
            <w:right w:w="108" w:type="dxa"/>
          </w:tblCellMar>
        </w:tblPrEx>
        <w:trPr>
          <w:trHeight w:val="225" w:hRule="atLeast"/>
        </w:trPr>
        <w:tc>
          <w:tcPr>
            <w:tcW w:w="919" w:type="pct"/>
            <w:vMerge w:val="restart"/>
            <w:tcBorders>
              <w:top w:val="nil"/>
              <w:left w:val="single" w:color="auto" w:sz="4" w:space="0"/>
              <w:bottom w:val="single" w:color="auto" w:sz="4" w:space="0"/>
              <w:right w:val="single" w:color="auto" w:sz="4" w:space="0"/>
            </w:tcBorders>
            <w:vAlign w:val="bottom"/>
          </w:tcPr>
          <w:p w14:paraId="16EA6523">
            <w:pPr>
              <w:widowControl/>
              <w:spacing w:line="240" w:lineRule="auto"/>
              <w:jc w:val="cente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零售业</w:t>
            </w:r>
          </w:p>
        </w:tc>
        <w:tc>
          <w:tcPr>
            <w:tcW w:w="921" w:type="pct"/>
            <w:tcBorders>
              <w:top w:val="nil"/>
              <w:left w:val="nil"/>
              <w:bottom w:val="single" w:color="auto" w:sz="4" w:space="0"/>
              <w:right w:val="single" w:color="auto" w:sz="4" w:space="0"/>
            </w:tcBorders>
            <w:vAlign w:val="center"/>
          </w:tcPr>
          <w:p w14:paraId="483A8E1C">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从业人员（X）</w:t>
            </w:r>
          </w:p>
        </w:tc>
        <w:tc>
          <w:tcPr>
            <w:tcW w:w="659" w:type="pct"/>
            <w:tcBorders>
              <w:top w:val="nil"/>
              <w:left w:val="nil"/>
              <w:bottom w:val="single" w:color="auto" w:sz="4" w:space="0"/>
              <w:right w:val="single" w:color="auto" w:sz="4" w:space="0"/>
            </w:tcBorders>
            <w:vAlign w:val="center"/>
          </w:tcPr>
          <w:p w14:paraId="17E7FCBC">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人</w:t>
            </w:r>
          </w:p>
        </w:tc>
        <w:tc>
          <w:tcPr>
            <w:tcW w:w="937" w:type="pct"/>
            <w:tcBorders>
              <w:top w:val="nil"/>
              <w:left w:val="nil"/>
              <w:bottom w:val="single" w:color="auto" w:sz="4" w:space="0"/>
              <w:right w:val="single" w:color="auto" w:sz="4" w:space="0"/>
            </w:tcBorders>
            <w:vAlign w:val="center"/>
          </w:tcPr>
          <w:p w14:paraId="341682AA">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50≤X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300</w:t>
            </w:r>
          </w:p>
        </w:tc>
        <w:tc>
          <w:tcPr>
            <w:tcW w:w="937" w:type="pct"/>
            <w:tcBorders>
              <w:top w:val="nil"/>
              <w:left w:val="nil"/>
              <w:bottom w:val="single" w:color="auto" w:sz="4" w:space="0"/>
              <w:right w:val="single" w:color="auto" w:sz="4" w:space="0"/>
            </w:tcBorders>
            <w:vAlign w:val="center"/>
          </w:tcPr>
          <w:p w14:paraId="1A42E92D">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50</w:t>
            </w:r>
          </w:p>
        </w:tc>
        <w:tc>
          <w:tcPr>
            <w:tcW w:w="623" w:type="pct"/>
            <w:tcBorders>
              <w:top w:val="nil"/>
              <w:left w:val="nil"/>
              <w:bottom w:val="single" w:color="auto" w:sz="4" w:space="0"/>
              <w:right w:val="single" w:color="auto" w:sz="4" w:space="0"/>
            </w:tcBorders>
            <w:vAlign w:val="center"/>
          </w:tcPr>
          <w:p w14:paraId="73AE0705">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w:t>
            </w:r>
          </w:p>
        </w:tc>
      </w:tr>
      <w:tr w14:paraId="3E0F8BE2">
        <w:tblPrEx>
          <w:tblCellMar>
            <w:top w:w="0" w:type="dxa"/>
            <w:left w:w="108" w:type="dxa"/>
            <w:bottom w:w="0" w:type="dxa"/>
            <w:right w:w="108" w:type="dxa"/>
          </w:tblCellMar>
        </w:tblPrEx>
        <w:trPr>
          <w:trHeight w:val="225" w:hRule="atLeast"/>
        </w:trPr>
        <w:tc>
          <w:tcPr>
            <w:tcW w:w="919" w:type="pct"/>
            <w:vMerge w:val="continue"/>
            <w:tcBorders>
              <w:top w:val="nil"/>
              <w:left w:val="single" w:color="auto" w:sz="4" w:space="0"/>
              <w:bottom w:val="single" w:color="auto" w:sz="4" w:space="0"/>
              <w:right w:val="single" w:color="auto" w:sz="4" w:space="0"/>
            </w:tcBorders>
            <w:vAlign w:val="center"/>
          </w:tcPr>
          <w:p w14:paraId="4875184C">
            <w:pPr>
              <w:widowControl/>
              <w:spacing w:line="240" w:lineRule="auto"/>
              <w:jc w:val="left"/>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p>
        </w:tc>
        <w:tc>
          <w:tcPr>
            <w:tcW w:w="921" w:type="pct"/>
            <w:tcBorders>
              <w:top w:val="nil"/>
              <w:left w:val="nil"/>
              <w:bottom w:val="single" w:color="auto" w:sz="4" w:space="0"/>
              <w:right w:val="single" w:color="auto" w:sz="4" w:space="0"/>
            </w:tcBorders>
            <w:vAlign w:val="center"/>
          </w:tcPr>
          <w:p w14:paraId="720B3DE3">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营业收入（Y）</w:t>
            </w:r>
          </w:p>
        </w:tc>
        <w:tc>
          <w:tcPr>
            <w:tcW w:w="659" w:type="pct"/>
            <w:tcBorders>
              <w:top w:val="nil"/>
              <w:left w:val="nil"/>
              <w:bottom w:val="single" w:color="auto" w:sz="4" w:space="0"/>
              <w:right w:val="single" w:color="auto" w:sz="4" w:space="0"/>
            </w:tcBorders>
            <w:vAlign w:val="center"/>
          </w:tcPr>
          <w:p w14:paraId="1E08E19C">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万元</w:t>
            </w:r>
          </w:p>
        </w:tc>
        <w:tc>
          <w:tcPr>
            <w:tcW w:w="937" w:type="pct"/>
            <w:tcBorders>
              <w:top w:val="nil"/>
              <w:left w:val="nil"/>
              <w:bottom w:val="single" w:color="auto" w:sz="4" w:space="0"/>
              <w:right w:val="single" w:color="auto" w:sz="4" w:space="0"/>
            </w:tcBorders>
            <w:vAlign w:val="center"/>
          </w:tcPr>
          <w:p w14:paraId="05A57415">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500≤Y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20000</w:t>
            </w:r>
          </w:p>
        </w:tc>
        <w:tc>
          <w:tcPr>
            <w:tcW w:w="937" w:type="pct"/>
            <w:tcBorders>
              <w:top w:val="nil"/>
              <w:left w:val="nil"/>
              <w:bottom w:val="single" w:color="auto" w:sz="4" w:space="0"/>
              <w:right w:val="single" w:color="auto" w:sz="4" w:space="0"/>
            </w:tcBorders>
            <w:vAlign w:val="center"/>
          </w:tcPr>
          <w:p w14:paraId="54C022CC">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500</w:t>
            </w:r>
          </w:p>
        </w:tc>
        <w:tc>
          <w:tcPr>
            <w:tcW w:w="623" w:type="pct"/>
            <w:tcBorders>
              <w:top w:val="nil"/>
              <w:left w:val="nil"/>
              <w:bottom w:val="single" w:color="auto" w:sz="4" w:space="0"/>
              <w:right w:val="single" w:color="auto" w:sz="4" w:space="0"/>
            </w:tcBorders>
            <w:vAlign w:val="center"/>
          </w:tcPr>
          <w:p w14:paraId="4D501F5A">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w:t>
            </w:r>
          </w:p>
        </w:tc>
      </w:tr>
      <w:tr w14:paraId="6E69D550">
        <w:tblPrEx>
          <w:tblCellMar>
            <w:top w:w="0" w:type="dxa"/>
            <w:left w:w="108" w:type="dxa"/>
            <w:bottom w:w="0" w:type="dxa"/>
            <w:right w:w="108" w:type="dxa"/>
          </w:tblCellMar>
        </w:tblPrEx>
        <w:trPr>
          <w:trHeight w:val="225" w:hRule="atLeast"/>
        </w:trPr>
        <w:tc>
          <w:tcPr>
            <w:tcW w:w="919" w:type="pct"/>
            <w:vMerge w:val="restart"/>
            <w:tcBorders>
              <w:top w:val="nil"/>
              <w:left w:val="single" w:color="auto" w:sz="4" w:space="0"/>
              <w:bottom w:val="single" w:color="auto" w:sz="4" w:space="0"/>
              <w:right w:val="single" w:color="auto" w:sz="4" w:space="0"/>
            </w:tcBorders>
            <w:vAlign w:val="bottom"/>
          </w:tcPr>
          <w:p w14:paraId="3C093664">
            <w:pPr>
              <w:widowControl/>
              <w:spacing w:line="240" w:lineRule="auto"/>
              <w:jc w:val="cente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交通运输业</w:t>
            </w:r>
          </w:p>
        </w:tc>
        <w:tc>
          <w:tcPr>
            <w:tcW w:w="921" w:type="pct"/>
            <w:tcBorders>
              <w:top w:val="nil"/>
              <w:left w:val="nil"/>
              <w:bottom w:val="single" w:color="auto" w:sz="4" w:space="0"/>
              <w:right w:val="single" w:color="auto" w:sz="4" w:space="0"/>
            </w:tcBorders>
            <w:vAlign w:val="center"/>
          </w:tcPr>
          <w:p w14:paraId="78A5BE3C">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从业人员（X）</w:t>
            </w:r>
          </w:p>
        </w:tc>
        <w:tc>
          <w:tcPr>
            <w:tcW w:w="659" w:type="pct"/>
            <w:tcBorders>
              <w:top w:val="nil"/>
              <w:left w:val="nil"/>
              <w:bottom w:val="single" w:color="auto" w:sz="4" w:space="0"/>
              <w:right w:val="single" w:color="auto" w:sz="4" w:space="0"/>
            </w:tcBorders>
            <w:vAlign w:val="center"/>
          </w:tcPr>
          <w:p w14:paraId="60771349">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人</w:t>
            </w:r>
          </w:p>
        </w:tc>
        <w:tc>
          <w:tcPr>
            <w:tcW w:w="937" w:type="pct"/>
            <w:tcBorders>
              <w:top w:val="nil"/>
              <w:left w:val="nil"/>
              <w:bottom w:val="single" w:color="auto" w:sz="4" w:space="0"/>
              <w:right w:val="single" w:color="auto" w:sz="4" w:space="0"/>
            </w:tcBorders>
            <w:vAlign w:val="center"/>
          </w:tcPr>
          <w:p w14:paraId="6F2D14B9">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300≤X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1000</w:t>
            </w:r>
          </w:p>
        </w:tc>
        <w:tc>
          <w:tcPr>
            <w:tcW w:w="937" w:type="pct"/>
            <w:tcBorders>
              <w:top w:val="nil"/>
              <w:left w:val="nil"/>
              <w:bottom w:val="single" w:color="auto" w:sz="4" w:space="0"/>
              <w:right w:val="single" w:color="auto" w:sz="4" w:space="0"/>
            </w:tcBorders>
            <w:vAlign w:val="center"/>
          </w:tcPr>
          <w:p w14:paraId="756543A8">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20≤X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300</w:t>
            </w:r>
          </w:p>
        </w:tc>
        <w:tc>
          <w:tcPr>
            <w:tcW w:w="623" w:type="pct"/>
            <w:tcBorders>
              <w:top w:val="nil"/>
              <w:left w:val="nil"/>
              <w:bottom w:val="single" w:color="auto" w:sz="4" w:space="0"/>
              <w:right w:val="single" w:color="auto" w:sz="4" w:space="0"/>
            </w:tcBorders>
            <w:vAlign w:val="center"/>
          </w:tcPr>
          <w:p w14:paraId="3292D364">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20</w:t>
            </w:r>
          </w:p>
        </w:tc>
      </w:tr>
      <w:tr w14:paraId="1F49FCF9">
        <w:tblPrEx>
          <w:tblCellMar>
            <w:top w:w="0" w:type="dxa"/>
            <w:left w:w="108" w:type="dxa"/>
            <w:bottom w:w="0" w:type="dxa"/>
            <w:right w:w="108" w:type="dxa"/>
          </w:tblCellMar>
        </w:tblPrEx>
        <w:trPr>
          <w:trHeight w:val="225" w:hRule="atLeast"/>
        </w:trPr>
        <w:tc>
          <w:tcPr>
            <w:tcW w:w="919" w:type="pct"/>
            <w:vMerge w:val="continue"/>
            <w:tcBorders>
              <w:top w:val="nil"/>
              <w:left w:val="single" w:color="auto" w:sz="4" w:space="0"/>
              <w:bottom w:val="single" w:color="auto" w:sz="4" w:space="0"/>
              <w:right w:val="single" w:color="auto" w:sz="4" w:space="0"/>
            </w:tcBorders>
            <w:vAlign w:val="center"/>
          </w:tcPr>
          <w:p w14:paraId="2CEC4660">
            <w:pPr>
              <w:widowControl/>
              <w:spacing w:line="240" w:lineRule="auto"/>
              <w:jc w:val="left"/>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p>
        </w:tc>
        <w:tc>
          <w:tcPr>
            <w:tcW w:w="921" w:type="pct"/>
            <w:tcBorders>
              <w:top w:val="nil"/>
              <w:left w:val="nil"/>
              <w:bottom w:val="single" w:color="auto" w:sz="4" w:space="0"/>
              <w:right w:val="single" w:color="auto" w:sz="4" w:space="0"/>
            </w:tcBorders>
            <w:vAlign w:val="center"/>
          </w:tcPr>
          <w:p w14:paraId="7E4804EC">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营业收入（Y）</w:t>
            </w:r>
          </w:p>
        </w:tc>
        <w:tc>
          <w:tcPr>
            <w:tcW w:w="659" w:type="pct"/>
            <w:tcBorders>
              <w:top w:val="nil"/>
              <w:left w:val="nil"/>
              <w:bottom w:val="single" w:color="auto" w:sz="4" w:space="0"/>
              <w:right w:val="single" w:color="auto" w:sz="4" w:space="0"/>
            </w:tcBorders>
            <w:vAlign w:val="center"/>
          </w:tcPr>
          <w:p w14:paraId="1FC0F146">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万元</w:t>
            </w:r>
          </w:p>
        </w:tc>
        <w:tc>
          <w:tcPr>
            <w:tcW w:w="937" w:type="pct"/>
            <w:tcBorders>
              <w:top w:val="nil"/>
              <w:left w:val="nil"/>
              <w:bottom w:val="single" w:color="auto" w:sz="4" w:space="0"/>
              <w:right w:val="single" w:color="auto" w:sz="4" w:space="0"/>
            </w:tcBorders>
            <w:vAlign w:val="center"/>
          </w:tcPr>
          <w:p w14:paraId="3CFCA608">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3000≤Y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30000</w:t>
            </w:r>
          </w:p>
        </w:tc>
        <w:tc>
          <w:tcPr>
            <w:tcW w:w="937" w:type="pct"/>
            <w:tcBorders>
              <w:top w:val="nil"/>
              <w:left w:val="nil"/>
              <w:bottom w:val="single" w:color="auto" w:sz="4" w:space="0"/>
              <w:right w:val="single" w:color="auto" w:sz="4" w:space="0"/>
            </w:tcBorders>
            <w:vAlign w:val="center"/>
          </w:tcPr>
          <w:p w14:paraId="67804A64">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200≤Y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3000</w:t>
            </w:r>
          </w:p>
        </w:tc>
        <w:tc>
          <w:tcPr>
            <w:tcW w:w="623" w:type="pct"/>
            <w:tcBorders>
              <w:top w:val="nil"/>
              <w:left w:val="nil"/>
              <w:bottom w:val="single" w:color="auto" w:sz="4" w:space="0"/>
              <w:right w:val="single" w:color="auto" w:sz="4" w:space="0"/>
            </w:tcBorders>
            <w:vAlign w:val="center"/>
          </w:tcPr>
          <w:p w14:paraId="4F92013F">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200</w:t>
            </w:r>
          </w:p>
        </w:tc>
      </w:tr>
      <w:tr w14:paraId="1DFE1CA6">
        <w:tblPrEx>
          <w:tblCellMar>
            <w:top w:w="0" w:type="dxa"/>
            <w:left w:w="108" w:type="dxa"/>
            <w:bottom w:w="0" w:type="dxa"/>
            <w:right w:w="108" w:type="dxa"/>
          </w:tblCellMar>
        </w:tblPrEx>
        <w:trPr>
          <w:trHeight w:val="225" w:hRule="atLeast"/>
        </w:trPr>
        <w:tc>
          <w:tcPr>
            <w:tcW w:w="919" w:type="pct"/>
            <w:vMerge w:val="restart"/>
            <w:tcBorders>
              <w:top w:val="nil"/>
              <w:left w:val="single" w:color="auto" w:sz="4" w:space="0"/>
              <w:bottom w:val="single" w:color="auto" w:sz="4" w:space="0"/>
              <w:right w:val="single" w:color="auto" w:sz="4" w:space="0"/>
            </w:tcBorders>
            <w:vAlign w:val="bottom"/>
          </w:tcPr>
          <w:p w14:paraId="6CECE80D">
            <w:pPr>
              <w:widowControl/>
              <w:spacing w:line="240" w:lineRule="auto"/>
              <w:jc w:val="cente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仓储业</w:t>
            </w:r>
          </w:p>
        </w:tc>
        <w:tc>
          <w:tcPr>
            <w:tcW w:w="921" w:type="pct"/>
            <w:tcBorders>
              <w:top w:val="nil"/>
              <w:left w:val="nil"/>
              <w:bottom w:val="single" w:color="auto" w:sz="4" w:space="0"/>
              <w:right w:val="single" w:color="auto" w:sz="4" w:space="0"/>
            </w:tcBorders>
            <w:vAlign w:val="center"/>
          </w:tcPr>
          <w:p w14:paraId="1BFE32AA">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从业人员（X）</w:t>
            </w:r>
          </w:p>
        </w:tc>
        <w:tc>
          <w:tcPr>
            <w:tcW w:w="659" w:type="pct"/>
            <w:tcBorders>
              <w:top w:val="nil"/>
              <w:left w:val="nil"/>
              <w:bottom w:val="single" w:color="auto" w:sz="4" w:space="0"/>
              <w:right w:val="single" w:color="auto" w:sz="4" w:space="0"/>
            </w:tcBorders>
            <w:vAlign w:val="center"/>
          </w:tcPr>
          <w:p w14:paraId="21E47895">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人</w:t>
            </w:r>
          </w:p>
        </w:tc>
        <w:tc>
          <w:tcPr>
            <w:tcW w:w="937" w:type="pct"/>
            <w:tcBorders>
              <w:top w:val="nil"/>
              <w:left w:val="nil"/>
              <w:bottom w:val="single" w:color="auto" w:sz="4" w:space="0"/>
              <w:right w:val="single" w:color="auto" w:sz="4" w:space="0"/>
            </w:tcBorders>
            <w:vAlign w:val="center"/>
          </w:tcPr>
          <w:p w14:paraId="4F7F945D">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200</w:t>
            </w:r>
          </w:p>
        </w:tc>
        <w:tc>
          <w:tcPr>
            <w:tcW w:w="937" w:type="pct"/>
            <w:tcBorders>
              <w:top w:val="nil"/>
              <w:left w:val="nil"/>
              <w:bottom w:val="single" w:color="auto" w:sz="4" w:space="0"/>
              <w:right w:val="single" w:color="auto" w:sz="4" w:space="0"/>
            </w:tcBorders>
            <w:vAlign w:val="center"/>
          </w:tcPr>
          <w:p w14:paraId="6E0701AF">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20≤X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w:t>
            </w:r>
          </w:p>
        </w:tc>
        <w:tc>
          <w:tcPr>
            <w:tcW w:w="623" w:type="pct"/>
            <w:tcBorders>
              <w:top w:val="nil"/>
              <w:left w:val="nil"/>
              <w:bottom w:val="single" w:color="auto" w:sz="4" w:space="0"/>
              <w:right w:val="single" w:color="auto" w:sz="4" w:space="0"/>
            </w:tcBorders>
            <w:vAlign w:val="center"/>
          </w:tcPr>
          <w:p w14:paraId="17CA1BB7">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20</w:t>
            </w:r>
          </w:p>
        </w:tc>
      </w:tr>
      <w:tr w14:paraId="5BD7191A">
        <w:tblPrEx>
          <w:tblCellMar>
            <w:top w:w="0" w:type="dxa"/>
            <w:left w:w="108" w:type="dxa"/>
            <w:bottom w:w="0" w:type="dxa"/>
            <w:right w:w="108" w:type="dxa"/>
          </w:tblCellMar>
        </w:tblPrEx>
        <w:trPr>
          <w:trHeight w:val="225" w:hRule="atLeast"/>
        </w:trPr>
        <w:tc>
          <w:tcPr>
            <w:tcW w:w="919" w:type="pct"/>
            <w:vMerge w:val="continue"/>
            <w:tcBorders>
              <w:top w:val="nil"/>
              <w:left w:val="single" w:color="auto" w:sz="4" w:space="0"/>
              <w:bottom w:val="single" w:color="auto" w:sz="4" w:space="0"/>
              <w:right w:val="single" w:color="auto" w:sz="4" w:space="0"/>
            </w:tcBorders>
            <w:vAlign w:val="center"/>
          </w:tcPr>
          <w:p w14:paraId="35118646">
            <w:pPr>
              <w:widowControl/>
              <w:spacing w:line="240" w:lineRule="auto"/>
              <w:jc w:val="left"/>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p>
        </w:tc>
        <w:tc>
          <w:tcPr>
            <w:tcW w:w="921" w:type="pct"/>
            <w:tcBorders>
              <w:top w:val="nil"/>
              <w:left w:val="nil"/>
              <w:bottom w:val="single" w:color="auto" w:sz="4" w:space="0"/>
              <w:right w:val="single" w:color="auto" w:sz="4" w:space="0"/>
            </w:tcBorders>
            <w:vAlign w:val="center"/>
          </w:tcPr>
          <w:p w14:paraId="591BB7F0">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营业收入（Y）</w:t>
            </w:r>
          </w:p>
        </w:tc>
        <w:tc>
          <w:tcPr>
            <w:tcW w:w="659" w:type="pct"/>
            <w:tcBorders>
              <w:top w:val="nil"/>
              <w:left w:val="nil"/>
              <w:bottom w:val="single" w:color="auto" w:sz="4" w:space="0"/>
              <w:right w:val="single" w:color="auto" w:sz="4" w:space="0"/>
            </w:tcBorders>
            <w:vAlign w:val="center"/>
          </w:tcPr>
          <w:p w14:paraId="57B94C48">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万元</w:t>
            </w:r>
          </w:p>
        </w:tc>
        <w:tc>
          <w:tcPr>
            <w:tcW w:w="937" w:type="pct"/>
            <w:tcBorders>
              <w:top w:val="nil"/>
              <w:left w:val="nil"/>
              <w:bottom w:val="single" w:color="auto" w:sz="4" w:space="0"/>
              <w:right w:val="single" w:color="auto" w:sz="4" w:space="0"/>
            </w:tcBorders>
            <w:vAlign w:val="center"/>
          </w:tcPr>
          <w:p w14:paraId="583E3A53">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1000≤Y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30000</w:t>
            </w:r>
          </w:p>
        </w:tc>
        <w:tc>
          <w:tcPr>
            <w:tcW w:w="937" w:type="pct"/>
            <w:tcBorders>
              <w:top w:val="nil"/>
              <w:left w:val="nil"/>
              <w:bottom w:val="single" w:color="auto" w:sz="4" w:space="0"/>
              <w:right w:val="single" w:color="auto" w:sz="4" w:space="0"/>
            </w:tcBorders>
            <w:vAlign w:val="center"/>
          </w:tcPr>
          <w:p w14:paraId="4F80169C">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1000</w:t>
            </w:r>
          </w:p>
        </w:tc>
        <w:tc>
          <w:tcPr>
            <w:tcW w:w="623" w:type="pct"/>
            <w:tcBorders>
              <w:top w:val="nil"/>
              <w:left w:val="nil"/>
              <w:bottom w:val="single" w:color="auto" w:sz="4" w:space="0"/>
              <w:right w:val="single" w:color="auto" w:sz="4" w:space="0"/>
            </w:tcBorders>
            <w:vAlign w:val="center"/>
          </w:tcPr>
          <w:p w14:paraId="3FC17156">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w:t>
            </w:r>
          </w:p>
        </w:tc>
      </w:tr>
      <w:tr w14:paraId="5600BE75">
        <w:tblPrEx>
          <w:tblCellMar>
            <w:top w:w="0" w:type="dxa"/>
            <w:left w:w="108" w:type="dxa"/>
            <w:bottom w:w="0" w:type="dxa"/>
            <w:right w:w="108" w:type="dxa"/>
          </w:tblCellMar>
        </w:tblPrEx>
        <w:trPr>
          <w:trHeight w:val="225" w:hRule="atLeast"/>
        </w:trPr>
        <w:tc>
          <w:tcPr>
            <w:tcW w:w="919" w:type="pct"/>
            <w:vMerge w:val="restart"/>
            <w:tcBorders>
              <w:top w:val="nil"/>
              <w:left w:val="single" w:color="auto" w:sz="4" w:space="0"/>
              <w:bottom w:val="single" w:color="auto" w:sz="4" w:space="0"/>
              <w:right w:val="single" w:color="auto" w:sz="4" w:space="0"/>
            </w:tcBorders>
            <w:vAlign w:val="bottom"/>
          </w:tcPr>
          <w:p w14:paraId="15DEBF1C">
            <w:pPr>
              <w:widowControl/>
              <w:spacing w:line="240" w:lineRule="auto"/>
              <w:jc w:val="cente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邮政业</w:t>
            </w:r>
          </w:p>
        </w:tc>
        <w:tc>
          <w:tcPr>
            <w:tcW w:w="921" w:type="pct"/>
            <w:tcBorders>
              <w:top w:val="nil"/>
              <w:left w:val="nil"/>
              <w:bottom w:val="single" w:color="auto" w:sz="4" w:space="0"/>
              <w:right w:val="single" w:color="auto" w:sz="4" w:space="0"/>
            </w:tcBorders>
            <w:vAlign w:val="center"/>
          </w:tcPr>
          <w:p w14:paraId="193007F4">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从业人员（X）</w:t>
            </w:r>
          </w:p>
        </w:tc>
        <w:tc>
          <w:tcPr>
            <w:tcW w:w="659" w:type="pct"/>
            <w:tcBorders>
              <w:top w:val="nil"/>
              <w:left w:val="nil"/>
              <w:bottom w:val="single" w:color="auto" w:sz="4" w:space="0"/>
              <w:right w:val="single" w:color="auto" w:sz="4" w:space="0"/>
            </w:tcBorders>
            <w:vAlign w:val="center"/>
          </w:tcPr>
          <w:p w14:paraId="28BB695C">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人</w:t>
            </w:r>
          </w:p>
        </w:tc>
        <w:tc>
          <w:tcPr>
            <w:tcW w:w="937" w:type="pct"/>
            <w:tcBorders>
              <w:top w:val="nil"/>
              <w:left w:val="nil"/>
              <w:bottom w:val="single" w:color="auto" w:sz="4" w:space="0"/>
              <w:right w:val="single" w:color="auto" w:sz="4" w:space="0"/>
            </w:tcBorders>
            <w:vAlign w:val="center"/>
          </w:tcPr>
          <w:p w14:paraId="13C0137D">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300≤X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1000</w:t>
            </w:r>
          </w:p>
        </w:tc>
        <w:tc>
          <w:tcPr>
            <w:tcW w:w="937" w:type="pct"/>
            <w:tcBorders>
              <w:top w:val="nil"/>
              <w:left w:val="nil"/>
              <w:bottom w:val="single" w:color="auto" w:sz="4" w:space="0"/>
              <w:right w:val="single" w:color="auto" w:sz="4" w:space="0"/>
            </w:tcBorders>
            <w:vAlign w:val="center"/>
          </w:tcPr>
          <w:p w14:paraId="0D163BF3">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20≤X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300</w:t>
            </w:r>
          </w:p>
        </w:tc>
        <w:tc>
          <w:tcPr>
            <w:tcW w:w="623" w:type="pct"/>
            <w:tcBorders>
              <w:top w:val="nil"/>
              <w:left w:val="nil"/>
              <w:bottom w:val="single" w:color="auto" w:sz="4" w:space="0"/>
              <w:right w:val="single" w:color="auto" w:sz="4" w:space="0"/>
            </w:tcBorders>
            <w:vAlign w:val="center"/>
          </w:tcPr>
          <w:p w14:paraId="0E404AC3">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20</w:t>
            </w:r>
          </w:p>
        </w:tc>
      </w:tr>
      <w:tr w14:paraId="600470F6">
        <w:tblPrEx>
          <w:tblCellMar>
            <w:top w:w="0" w:type="dxa"/>
            <w:left w:w="108" w:type="dxa"/>
            <w:bottom w:w="0" w:type="dxa"/>
            <w:right w:w="108" w:type="dxa"/>
          </w:tblCellMar>
        </w:tblPrEx>
        <w:trPr>
          <w:trHeight w:val="225" w:hRule="atLeast"/>
        </w:trPr>
        <w:tc>
          <w:tcPr>
            <w:tcW w:w="919" w:type="pct"/>
            <w:vMerge w:val="continue"/>
            <w:tcBorders>
              <w:top w:val="nil"/>
              <w:left w:val="single" w:color="auto" w:sz="4" w:space="0"/>
              <w:bottom w:val="single" w:color="auto" w:sz="4" w:space="0"/>
              <w:right w:val="single" w:color="auto" w:sz="4" w:space="0"/>
            </w:tcBorders>
            <w:vAlign w:val="center"/>
          </w:tcPr>
          <w:p w14:paraId="42D3542C">
            <w:pPr>
              <w:widowControl/>
              <w:spacing w:line="240" w:lineRule="auto"/>
              <w:jc w:val="left"/>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p>
        </w:tc>
        <w:tc>
          <w:tcPr>
            <w:tcW w:w="921" w:type="pct"/>
            <w:tcBorders>
              <w:top w:val="nil"/>
              <w:left w:val="nil"/>
              <w:bottom w:val="single" w:color="auto" w:sz="4" w:space="0"/>
              <w:right w:val="single" w:color="auto" w:sz="4" w:space="0"/>
            </w:tcBorders>
            <w:vAlign w:val="center"/>
          </w:tcPr>
          <w:p w14:paraId="14289273">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营业收入（Y）</w:t>
            </w:r>
          </w:p>
        </w:tc>
        <w:tc>
          <w:tcPr>
            <w:tcW w:w="659" w:type="pct"/>
            <w:tcBorders>
              <w:top w:val="nil"/>
              <w:left w:val="nil"/>
              <w:bottom w:val="single" w:color="auto" w:sz="4" w:space="0"/>
              <w:right w:val="single" w:color="auto" w:sz="4" w:space="0"/>
            </w:tcBorders>
            <w:vAlign w:val="center"/>
          </w:tcPr>
          <w:p w14:paraId="62123826">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万元</w:t>
            </w:r>
          </w:p>
        </w:tc>
        <w:tc>
          <w:tcPr>
            <w:tcW w:w="937" w:type="pct"/>
            <w:tcBorders>
              <w:top w:val="nil"/>
              <w:left w:val="nil"/>
              <w:bottom w:val="single" w:color="auto" w:sz="4" w:space="0"/>
              <w:right w:val="single" w:color="auto" w:sz="4" w:space="0"/>
            </w:tcBorders>
            <w:vAlign w:val="center"/>
          </w:tcPr>
          <w:p w14:paraId="2CB56C3F">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2000≤Y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30000</w:t>
            </w:r>
          </w:p>
        </w:tc>
        <w:tc>
          <w:tcPr>
            <w:tcW w:w="937" w:type="pct"/>
            <w:tcBorders>
              <w:top w:val="nil"/>
              <w:left w:val="nil"/>
              <w:bottom w:val="single" w:color="auto" w:sz="4" w:space="0"/>
              <w:right w:val="single" w:color="auto" w:sz="4" w:space="0"/>
            </w:tcBorders>
            <w:vAlign w:val="center"/>
          </w:tcPr>
          <w:p w14:paraId="20639FEA">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2000</w:t>
            </w:r>
          </w:p>
        </w:tc>
        <w:tc>
          <w:tcPr>
            <w:tcW w:w="623" w:type="pct"/>
            <w:tcBorders>
              <w:top w:val="nil"/>
              <w:left w:val="nil"/>
              <w:bottom w:val="single" w:color="auto" w:sz="4" w:space="0"/>
              <w:right w:val="single" w:color="auto" w:sz="4" w:space="0"/>
            </w:tcBorders>
            <w:vAlign w:val="center"/>
          </w:tcPr>
          <w:p w14:paraId="1E7A2F3E">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w:t>
            </w:r>
          </w:p>
        </w:tc>
      </w:tr>
      <w:tr w14:paraId="17F32C9F">
        <w:tblPrEx>
          <w:tblCellMar>
            <w:top w:w="0" w:type="dxa"/>
            <w:left w:w="108" w:type="dxa"/>
            <w:bottom w:w="0" w:type="dxa"/>
            <w:right w:w="108" w:type="dxa"/>
          </w:tblCellMar>
        </w:tblPrEx>
        <w:trPr>
          <w:trHeight w:val="225" w:hRule="atLeast"/>
        </w:trPr>
        <w:tc>
          <w:tcPr>
            <w:tcW w:w="919" w:type="pct"/>
            <w:vMerge w:val="restart"/>
            <w:tcBorders>
              <w:top w:val="nil"/>
              <w:left w:val="single" w:color="auto" w:sz="4" w:space="0"/>
              <w:bottom w:val="single" w:color="auto" w:sz="4" w:space="0"/>
              <w:right w:val="single" w:color="auto" w:sz="4" w:space="0"/>
            </w:tcBorders>
            <w:vAlign w:val="bottom"/>
          </w:tcPr>
          <w:p w14:paraId="08D435C9">
            <w:pPr>
              <w:widowControl/>
              <w:spacing w:line="240" w:lineRule="auto"/>
              <w:jc w:val="cente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住宿业</w:t>
            </w:r>
          </w:p>
        </w:tc>
        <w:tc>
          <w:tcPr>
            <w:tcW w:w="921" w:type="pct"/>
            <w:tcBorders>
              <w:top w:val="nil"/>
              <w:left w:val="nil"/>
              <w:bottom w:val="single" w:color="auto" w:sz="4" w:space="0"/>
              <w:right w:val="single" w:color="auto" w:sz="4" w:space="0"/>
            </w:tcBorders>
            <w:vAlign w:val="center"/>
          </w:tcPr>
          <w:p w14:paraId="3464707A">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从业人员（X）</w:t>
            </w:r>
          </w:p>
        </w:tc>
        <w:tc>
          <w:tcPr>
            <w:tcW w:w="659" w:type="pct"/>
            <w:tcBorders>
              <w:top w:val="nil"/>
              <w:left w:val="nil"/>
              <w:bottom w:val="single" w:color="auto" w:sz="4" w:space="0"/>
              <w:right w:val="single" w:color="auto" w:sz="4" w:space="0"/>
            </w:tcBorders>
            <w:vAlign w:val="center"/>
          </w:tcPr>
          <w:p w14:paraId="03AB8AB3">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人</w:t>
            </w:r>
          </w:p>
        </w:tc>
        <w:tc>
          <w:tcPr>
            <w:tcW w:w="937" w:type="pct"/>
            <w:tcBorders>
              <w:top w:val="nil"/>
              <w:left w:val="nil"/>
              <w:bottom w:val="single" w:color="auto" w:sz="4" w:space="0"/>
              <w:right w:val="single" w:color="auto" w:sz="4" w:space="0"/>
            </w:tcBorders>
            <w:vAlign w:val="center"/>
          </w:tcPr>
          <w:p w14:paraId="3DA170E2">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300</w:t>
            </w:r>
          </w:p>
        </w:tc>
        <w:tc>
          <w:tcPr>
            <w:tcW w:w="937" w:type="pct"/>
            <w:tcBorders>
              <w:top w:val="nil"/>
              <w:left w:val="nil"/>
              <w:bottom w:val="single" w:color="auto" w:sz="4" w:space="0"/>
              <w:right w:val="single" w:color="auto" w:sz="4" w:space="0"/>
            </w:tcBorders>
            <w:vAlign w:val="center"/>
          </w:tcPr>
          <w:p w14:paraId="2505C8B2">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w:t>
            </w:r>
          </w:p>
        </w:tc>
        <w:tc>
          <w:tcPr>
            <w:tcW w:w="623" w:type="pct"/>
            <w:tcBorders>
              <w:top w:val="nil"/>
              <w:left w:val="nil"/>
              <w:bottom w:val="single" w:color="auto" w:sz="4" w:space="0"/>
              <w:right w:val="single" w:color="auto" w:sz="4" w:space="0"/>
            </w:tcBorders>
            <w:vAlign w:val="center"/>
          </w:tcPr>
          <w:p w14:paraId="3434B7E6">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w:t>
            </w:r>
          </w:p>
        </w:tc>
      </w:tr>
      <w:tr w14:paraId="6BE2B4DB">
        <w:tblPrEx>
          <w:tblCellMar>
            <w:top w:w="0" w:type="dxa"/>
            <w:left w:w="108" w:type="dxa"/>
            <w:bottom w:w="0" w:type="dxa"/>
            <w:right w:w="108" w:type="dxa"/>
          </w:tblCellMar>
        </w:tblPrEx>
        <w:trPr>
          <w:trHeight w:val="225" w:hRule="atLeast"/>
        </w:trPr>
        <w:tc>
          <w:tcPr>
            <w:tcW w:w="919" w:type="pct"/>
            <w:vMerge w:val="continue"/>
            <w:tcBorders>
              <w:top w:val="nil"/>
              <w:left w:val="single" w:color="auto" w:sz="4" w:space="0"/>
              <w:bottom w:val="single" w:color="auto" w:sz="4" w:space="0"/>
              <w:right w:val="single" w:color="auto" w:sz="4" w:space="0"/>
            </w:tcBorders>
            <w:vAlign w:val="center"/>
          </w:tcPr>
          <w:p w14:paraId="73A4E52F">
            <w:pPr>
              <w:widowControl/>
              <w:spacing w:line="240" w:lineRule="auto"/>
              <w:jc w:val="left"/>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p>
        </w:tc>
        <w:tc>
          <w:tcPr>
            <w:tcW w:w="921" w:type="pct"/>
            <w:tcBorders>
              <w:top w:val="nil"/>
              <w:left w:val="nil"/>
              <w:bottom w:val="single" w:color="auto" w:sz="4" w:space="0"/>
              <w:right w:val="single" w:color="auto" w:sz="4" w:space="0"/>
            </w:tcBorders>
            <w:vAlign w:val="center"/>
          </w:tcPr>
          <w:p w14:paraId="0F8D6F94">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营业收入（Y）</w:t>
            </w:r>
          </w:p>
        </w:tc>
        <w:tc>
          <w:tcPr>
            <w:tcW w:w="659" w:type="pct"/>
            <w:tcBorders>
              <w:top w:val="nil"/>
              <w:left w:val="nil"/>
              <w:bottom w:val="single" w:color="auto" w:sz="4" w:space="0"/>
              <w:right w:val="single" w:color="auto" w:sz="4" w:space="0"/>
            </w:tcBorders>
            <w:vAlign w:val="center"/>
          </w:tcPr>
          <w:p w14:paraId="26C94BE3">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万元</w:t>
            </w:r>
          </w:p>
        </w:tc>
        <w:tc>
          <w:tcPr>
            <w:tcW w:w="937" w:type="pct"/>
            <w:tcBorders>
              <w:top w:val="nil"/>
              <w:left w:val="nil"/>
              <w:bottom w:val="single" w:color="auto" w:sz="4" w:space="0"/>
              <w:right w:val="single" w:color="auto" w:sz="4" w:space="0"/>
            </w:tcBorders>
            <w:vAlign w:val="center"/>
          </w:tcPr>
          <w:p w14:paraId="49432366">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2000≤Y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10000</w:t>
            </w:r>
          </w:p>
        </w:tc>
        <w:tc>
          <w:tcPr>
            <w:tcW w:w="937" w:type="pct"/>
            <w:tcBorders>
              <w:top w:val="nil"/>
              <w:left w:val="nil"/>
              <w:bottom w:val="single" w:color="auto" w:sz="4" w:space="0"/>
              <w:right w:val="single" w:color="auto" w:sz="4" w:space="0"/>
            </w:tcBorders>
            <w:vAlign w:val="center"/>
          </w:tcPr>
          <w:p w14:paraId="2CA1C3A9">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2000</w:t>
            </w:r>
          </w:p>
        </w:tc>
        <w:tc>
          <w:tcPr>
            <w:tcW w:w="623" w:type="pct"/>
            <w:tcBorders>
              <w:top w:val="nil"/>
              <w:left w:val="nil"/>
              <w:bottom w:val="single" w:color="auto" w:sz="4" w:space="0"/>
              <w:right w:val="single" w:color="auto" w:sz="4" w:space="0"/>
            </w:tcBorders>
            <w:vAlign w:val="center"/>
          </w:tcPr>
          <w:p w14:paraId="32F682DE">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w:t>
            </w:r>
          </w:p>
        </w:tc>
      </w:tr>
      <w:tr w14:paraId="71E56CD2">
        <w:tblPrEx>
          <w:tblCellMar>
            <w:top w:w="0" w:type="dxa"/>
            <w:left w:w="108" w:type="dxa"/>
            <w:bottom w:w="0" w:type="dxa"/>
            <w:right w:w="108" w:type="dxa"/>
          </w:tblCellMar>
        </w:tblPrEx>
        <w:trPr>
          <w:trHeight w:val="225" w:hRule="atLeast"/>
        </w:trPr>
        <w:tc>
          <w:tcPr>
            <w:tcW w:w="919" w:type="pct"/>
            <w:vMerge w:val="restart"/>
            <w:tcBorders>
              <w:top w:val="nil"/>
              <w:left w:val="single" w:color="auto" w:sz="4" w:space="0"/>
              <w:bottom w:val="single" w:color="auto" w:sz="4" w:space="0"/>
              <w:right w:val="single" w:color="auto" w:sz="4" w:space="0"/>
            </w:tcBorders>
            <w:vAlign w:val="bottom"/>
          </w:tcPr>
          <w:p w14:paraId="2367F0D3">
            <w:pPr>
              <w:widowControl/>
              <w:spacing w:line="240" w:lineRule="auto"/>
              <w:jc w:val="cente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餐饮业</w:t>
            </w:r>
          </w:p>
        </w:tc>
        <w:tc>
          <w:tcPr>
            <w:tcW w:w="921" w:type="pct"/>
            <w:tcBorders>
              <w:top w:val="nil"/>
              <w:left w:val="nil"/>
              <w:bottom w:val="single" w:color="auto" w:sz="4" w:space="0"/>
              <w:right w:val="single" w:color="auto" w:sz="4" w:space="0"/>
            </w:tcBorders>
            <w:vAlign w:val="center"/>
          </w:tcPr>
          <w:p w14:paraId="48B11F43">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从业人员（X）</w:t>
            </w:r>
          </w:p>
        </w:tc>
        <w:tc>
          <w:tcPr>
            <w:tcW w:w="659" w:type="pct"/>
            <w:tcBorders>
              <w:top w:val="nil"/>
              <w:left w:val="nil"/>
              <w:bottom w:val="single" w:color="auto" w:sz="4" w:space="0"/>
              <w:right w:val="single" w:color="auto" w:sz="4" w:space="0"/>
            </w:tcBorders>
            <w:vAlign w:val="center"/>
          </w:tcPr>
          <w:p w14:paraId="2E03DE63">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人</w:t>
            </w:r>
          </w:p>
        </w:tc>
        <w:tc>
          <w:tcPr>
            <w:tcW w:w="937" w:type="pct"/>
            <w:tcBorders>
              <w:top w:val="nil"/>
              <w:left w:val="nil"/>
              <w:bottom w:val="single" w:color="auto" w:sz="4" w:space="0"/>
              <w:right w:val="single" w:color="auto" w:sz="4" w:space="0"/>
            </w:tcBorders>
            <w:vAlign w:val="center"/>
          </w:tcPr>
          <w:p w14:paraId="1B17CEAD">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300</w:t>
            </w:r>
          </w:p>
        </w:tc>
        <w:tc>
          <w:tcPr>
            <w:tcW w:w="937" w:type="pct"/>
            <w:tcBorders>
              <w:top w:val="nil"/>
              <w:left w:val="nil"/>
              <w:bottom w:val="single" w:color="auto" w:sz="4" w:space="0"/>
              <w:right w:val="single" w:color="auto" w:sz="4" w:space="0"/>
            </w:tcBorders>
            <w:vAlign w:val="center"/>
          </w:tcPr>
          <w:p w14:paraId="5DE8945A">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w:t>
            </w:r>
          </w:p>
        </w:tc>
        <w:tc>
          <w:tcPr>
            <w:tcW w:w="623" w:type="pct"/>
            <w:tcBorders>
              <w:top w:val="nil"/>
              <w:left w:val="nil"/>
              <w:bottom w:val="single" w:color="auto" w:sz="4" w:space="0"/>
              <w:right w:val="single" w:color="auto" w:sz="4" w:space="0"/>
            </w:tcBorders>
            <w:vAlign w:val="center"/>
          </w:tcPr>
          <w:p w14:paraId="7991554D">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w:t>
            </w:r>
          </w:p>
        </w:tc>
      </w:tr>
      <w:tr w14:paraId="2C175935">
        <w:tblPrEx>
          <w:tblCellMar>
            <w:top w:w="0" w:type="dxa"/>
            <w:left w:w="108" w:type="dxa"/>
            <w:bottom w:w="0" w:type="dxa"/>
            <w:right w:w="108" w:type="dxa"/>
          </w:tblCellMar>
        </w:tblPrEx>
        <w:trPr>
          <w:trHeight w:val="225" w:hRule="atLeast"/>
        </w:trPr>
        <w:tc>
          <w:tcPr>
            <w:tcW w:w="919" w:type="pct"/>
            <w:vMerge w:val="continue"/>
            <w:tcBorders>
              <w:top w:val="nil"/>
              <w:left w:val="single" w:color="auto" w:sz="4" w:space="0"/>
              <w:bottom w:val="single" w:color="auto" w:sz="4" w:space="0"/>
              <w:right w:val="single" w:color="auto" w:sz="4" w:space="0"/>
            </w:tcBorders>
            <w:vAlign w:val="center"/>
          </w:tcPr>
          <w:p w14:paraId="311D2FAA">
            <w:pPr>
              <w:widowControl/>
              <w:spacing w:line="240" w:lineRule="auto"/>
              <w:jc w:val="left"/>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p>
        </w:tc>
        <w:tc>
          <w:tcPr>
            <w:tcW w:w="921" w:type="pct"/>
            <w:tcBorders>
              <w:top w:val="nil"/>
              <w:left w:val="nil"/>
              <w:bottom w:val="single" w:color="auto" w:sz="4" w:space="0"/>
              <w:right w:val="single" w:color="auto" w:sz="4" w:space="0"/>
            </w:tcBorders>
            <w:vAlign w:val="center"/>
          </w:tcPr>
          <w:p w14:paraId="59EC072E">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营业收入（Y）</w:t>
            </w:r>
          </w:p>
        </w:tc>
        <w:tc>
          <w:tcPr>
            <w:tcW w:w="659" w:type="pct"/>
            <w:tcBorders>
              <w:top w:val="nil"/>
              <w:left w:val="nil"/>
              <w:bottom w:val="single" w:color="auto" w:sz="4" w:space="0"/>
              <w:right w:val="single" w:color="auto" w:sz="4" w:space="0"/>
            </w:tcBorders>
            <w:vAlign w:val="center"/>
          </w:tcPr>
          <w:p w14:paraId="6F6E3A58">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万元</w:t>
            </w:r>
          </w:p>
        </w:tc>
        <w:tc>
          <w:tcPr>
            <w:tcW w:w="937" w:type="pct"/>
            <w:tcBorders>
              <w:top w:val="nil"/>
              <w:left w:val="nil"/>
              <w:bottom w:val="single" w:color="auto" w:sz="4" w:space="0"/>
              <w:right w:val="single" w:color="auto" w:sz="4" w:space="0"/>
            </w:tcBorders>
            <w:vAlign w:val="center"/>
          </w:tcPr>
          <w:p w14:paraId="43BD7DFC">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2000≤Y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10000</w:t>
            </w:r>
          </w:p>
        </w:tc>
        <w:tc>
          <w:tcPr>
            <w:tcW w:w="937" w:type="pct"/>
            <w:tcBorders>
              <w:top w:val="nil"/>
              <w:left w:val="nil"/>
              <w:bottom w:val="single" w:color="auto" w:sz="4" w:space="0"/>
              <w:right w:val="single" w:color="auto" w:sz="4" w:space="0"/>
            </w:tcBorders>
            <w:vAlign w:val="center"/>
          </w:tcPr>
          <w:p w14:paraId="6920C5EA">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2000</w:t>
            </w:r>
          </w:p>
        </w:tc>
        <w:tc>
          <w:tcPr>
            <w:tcW w:w="623" w:type="pct"/>
            <w:tcBorders>
              <w:top w:val="nil"/>
              <w:left w:val="nil"/>
              <w:bottom w:val="single" w:color="auto" w:sz="4" w:space="0"/>
              <w:right w:val="single" w:color="auto" w:sz="4" w:space="0"/>
            </w:tcBorders>
            <w:vAlign w:val="center"/>
          </w:tcPr>
          <w:p w14:paraId="7063AC57">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w:t>
            </w:r>
          </w:p>
        </w:tc>
      </w:tr>
      <w:tr w14:paraId="08833349">
        <w:tblPrEx>
          <w:tblCellMar>
            <w:top w:w="0" w:type="dxa"/>
            <w:left w:w="108" w:type="dxa"/>
            <w:bottom w:w="0" w:type="dxa"/>
            <w:right w:w="108" w:type="dxa"/>
          </w:tblCellMar>
        </w:tblPrEx>
        <w:trPr>
          <w:trHeight w:val="225" w:hRule="atLeast"/>
        </w:trPr>
        <w:tc>
          <w:tcPr>
            <w:tcW w:w="919" w:type="pct"/>
            <w:vMerge w:val="restart"/>
            <w:tcBorders>
              <w:top w:val="nil"/>
              <w:left w:val="single" w:color="auto" w:sz="4" w:space="0"/>
              <w:bottom w:val="single" w:color="auto" w:sz="4" w:space="0"/>
              <w:right w:val="single" w:color="auto" w:sz="4" w:space="0"/>
            </w:tcBorders>
            <w:vAlign w:val="bottom"/>
          </w:tcPr>
          <w:p w14:paraId="7E6FB79D">
            <w:pPr>
              <w:widowControl/>
              <w:spacing w:line="240" w:lineRule="auto"/>
              <w:jc w:val="cente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信息传输业</w:t>
            </w:r>
          </w:p>
        </w:tc>
        <w:tc>
          <w:tcPr>
            <w:tcW w:w="921" w:type="pct"/>
            <w:tcBorders>
              <w:top w:val="nil"/>
              <w:left w:val="nil"/>
              <w:bottom w:val="single" w:color="auto" w:sz="4" w:space="0"/>
              <w:right w:val="single" w:color="auto" w:sz="4" w:space="0"/>
            </w:tcBorders>
            <w:vAlign w:val="center"/>
          </w:tcPr>
          <w:p w14:paraId="043E30A4">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从业人员（X）</w:t>
            </w:r>
          </w:p>
        </w:tc>
        <w:tc>
          <w:tcPr>
            <w:tcW w:w="659" w:type="pct"/>
            <w:tcBorders>
              <w:top w:val="nil"/>
              <w:left w:val="nil"/>
              <w:bottom w:val="single" w:color="auto" w:sz="4" w:space="0"/>
              <w:right w:val="single" w:color="auto" w:sz="4" w:space="0"/>
            </w:tcBorders>
            <w:vAlign w:val="center"/>
          </w:tcPr>
          <w:p w14:paraId="107A0CA5">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人</w:t>
            </w:r>
          </w:p>
        </w:tc>
        <w:tc>
          <w:tcPr>
            <w:tcW w:w="937" w:type="pct"/>
            <w:tcBorders>
              <w:top w:val="nil"/>
              <w:left w:val="nil"/>
              <w:bottom w:val="single" w:color="auto" w:sz="4" w:space="0"/>
              <w:right w:val="single" w:color="auto" w:sz="4" w:space="0"/>
            </w:tcBorders>
            <w:vAlign w:val="center"/>
          </w:tcPr>
          <w:p w14:paraId="5CBFC3F4">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2000</w:t>
            </w:r>
          </w:p>
        </w:tc>
        <w:tc>
          <w:tcPr>
            <w:tcW w:w="937" w:type="pct"/>
            <w:tcBorders>
              <w:top w:val="nil"/>
              <w:left w:val="nil"/>
              <w:bottom w:val="single" w:color="auto" w:sz="4" w:space="0"/>
              <w:right w:val="single" w:color="auto" w:sz="4" w:space="0"/>
            </w:tcBorders>
            <w:vAlign w:val="center"/>
          </w:tcPr>
          <w:p w14:paraId="7F932F10">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w:t>
            </w:r>
          </w:p>
        </w:tc>
        <w:tc>
          <w:tcPr>
            <w:tcW w:w="623" w:type="pct"/>
            <w:tcBorders>
              <w:top w:val="nil"/>
              <w:left w:val="nil"/>
              <w:bottom w:val="single" w:color="auto" w:sz="4" w:space="0"/>
              <w:right w:val="single" w:color="auto" w:sz="4" w:space="0"/>
            </w:tcBorders>
            <w:vAlign w:val="center"/>
          </w:tcPr>
          <w:p w14:paraId="3F548AE8">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w:t>
            </w:r>
          </w:p>
        </w:tc>
      </w:tr>
      <w:tr w14:paraId="58299609">
        <w:tblPrEx>
          <w:tblCellMar>
            <w:top w:w="0" w:type="dxa"/>
            <w:left w:w="108" w:type="dxa"/>
            <w:bottom w:w="0" w:type="dxa"/>
            <w:right w:w="108" w:type="dxa"/>
          </w:tblCellMar>
        </w:tblPrEx>
        <w:trPr>
          <w:trHeight w:val="225" w:hRule="atLeast"/>
        </w:trPr>
        <w:tc>
          <w:tcPr>
            <w:tcW w:w="919" w:type="pct"/>
            <w:vMerge w:val="continue"/>
            <w:tcBorders>
              <w:top w:val="nil"/>
              <w:left w:val="single" w:color="auto" w:sz="4" w:space="0"/>
              <w:bottom w:val="single" w:color="auto" w:sz="4" w:space="0"/>
              <w:right w:val="single" w:color="auto" w:sz="4" w:space="0"/>
            </w:tcBorders>
            <w:vAlign w:val="center"/>
          </w:tcPr>
          <w:p w14:paraId="5CD66558">
            <w:pPr>
              <w:widowControl/>
              <w:spacing w:line="240" w:lineRule="auto"/>
              <w:jc w:val="left"/>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p>
        </w:tc>
        <w:tc>
          <w:tcPr>
            <w:tcW w:w="921" w:type="pct"/>
            <w:tcBorders>
              <w:top w:val="nil"/>
              <w:left w:val="nil"/>
              <w:bottom w:val="single" w:color="auto" w:sz="4" w:space="0"/>
              <w:right w:val="single" w:color="auto" w:sz="4" w:space="0"/>
            </w:tcBorders>
            <w:vAlign w:val="center"/>
          </w:tcPr>
          <w:p w14:paraId="7824E9E2">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营业收入（Y）</w:t>
            </w:r>
          </w:p>
        </w:tc>
        <w:tc>
          <w:tcPr>
            <w:tcW w:w="659" w:type="pct"/>
            <w:tcBorders>
              <w:top w:val="nil"/>
              <w:left w:val="nil"/>
              <w:bottom w:val="single" w:color="auto" w:sz="4" w:space="0"/>
              <w:right w:val="single" w:color="auto" w:sz="4" w:space="0"/>
            </w:tcBorders>
            <w:vAlign w:val="center"/>
          </w:tcPr>
          <w:p w14:paraId="016BFFCF">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万元</w:t>
            </w:r>
          </w:p>
        </w:tc>
        <w:tc>
          <w:tcPr>
            <w:tcW w:w="937" w:type="pct"/>
            <w:tcBorders>
              <w:top w:val="nil"/>
              <w:left w:val="nil"/>
              <w:bottom w:val="single" w:color="auto" w:sz="4" w:space="0"/>
              <w:right w:val="single" w:color="auto" w:sz="4" w:space="0"/>
            </w:tcBorders>
            <w:vAlign w:val="center"/>
          </w:tcPr>
          <w:p w14:paraId="40211F96">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1000≤Y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100000</w:t>
            </w:r>
          </w:p>
        </w:tc>
        <w:tc>
          <w:tcPr>
            <w:tcW w:w="937" w:type="pct"/>
            <w:tcBorders>
              <w:top w:val="nil"/>
              <w:left w:val="nil"/>
              <w:bottom w:val="single" w:color="auto" w:sz="4" w:space="0"/>
              <w:right w:val="single" w:color="auto" w:sz="4" w:space="0"/>
            </w:tcBorders>
            <w:vAlign w:val="center"/>
          </w:tcPr>
          <w:p w14:paraId="6163CA18">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1000</w:t>
            </w:r>
          </w:p>
        </w:tc>
        <w:tc>
          <w:tcPr>
            <w:tcW w:w="623" w:type="pct"/>
            <w:tcBorders>
              <w:top w:val="nil"/>
              <w:left w:val="nil"/>
              <w:bottom w:val="single" w:color="auto" w:sz="4" w:space="0"/>
              <w:right w:val="single" w:color="auto" w:sz="4" w:space="0"/>
            </w:tcBorders>
            <w:vAlign w:val="center"/>
          </w:tcPr>
          <w:p w14:paraId="6709D9DF">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w:t>
            </w:r>
          </w:p>
        </w:tc>
      </w:tr>
      <w:tr w14:paraId="0D323658">
        <w:tblPrEx>
          <w:tblCellMar>
            <w:top w:w="0" w:type="dxa"/>
            <w:left w:w="108" w:type="dxa"/>
            <w:bottom w:w="0" w:type="dxa"/>
            <w:right w:w="108" w:type="dxa"/>
          </w:tblCellMar>
        </w:tblPrEx>
        <w:trPr>
          <w:trHeight w:val="225" w:hRule="atLeast"/>
        </w:trPr>
        <w:tc>
          <w:tcPr>
            <w:tcW w:w="919" w:type="pct"/>
            <w:vMerge w:val="restart"/>
            <w:tcBorders>
              <w:top w:val="nil"/>
              <w:left w:val="single" w:color="auto" w:sz="4" w:space="0"/>
              <w:bottom w:val="single" w:color="auto" w:sz="4" w:space="0"/>
              <w:right w:val="single" w:color="auto" w:sz="4" w:space="0"/>
            </w:tcBorders>
            <w:vAlign w:val="bottom"/>
          </w:tcPr>
          <w:p w14:paraId="10D5AB69">
            <w:pPr>
              <w:widowControl/>
              <w:spacing w:line="240" w:lineRule="auto"/>
              <w:jc w:val="cente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软件和信息技术服务业</w:t>
            </w:r>
          </w:p>
        </w:tc>
        <w:tc>
          <w:tcPr>
            <w:tcW w:w="921" w:type="pct"/>
            <w:tcBorders>
              <w:top w:val="nil"/>
              <w:left w:val="nil"/>
              <w:bottom w:val="single" w:color="auto" w:sz="4" w:space="0"/>
              <w:right w:val="single" w:color="auto" w:sz="4" w:space="0"/>
            </w:tcBorders>
            <w:vAlign w:val="center"/>
          </w:tcPr>
          <w:p w14:paraId="70795748">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从业人员（X）</w:t>
            </w:r>
          </w:p>
        </w:tc>
        <w:tc>
          <w:tcPr>
            <w:tcW w:w="659" w:type="pct"/>
            <w:tcBorders>
              <w:top w:val="nil"/>
              <w:left w:val="nil"/>
              <w:bottom w:val="single" w:color="auto" w:sz="4" w:space="0"/>
              <w:right w:val="single" w:color="auto" w:sz="4" w:space="0"/>
            </w:tcBorders>
            <w:vAlign w:val="center"/>
          </w:tcPr>
          <w:p w14:paraId="41466285">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人</w:t>
            </w:r>
          </w:p>
        </w:tc>
        <w:tc>
          <w:tcPr>
            <w:tcW w:w="937" w:type="pct"/>
            <w:tcBorders>
              <w:top w:val="nil"/>
              <w:left w:val="nil"/>
              <w:bottom w:val="single" w:color="auto" w:sz="4" w:space="0"/>
              <w:right w:val="single" w:color="auto" w:sz="4" w:space="0"/>
            </w:tcBorders>
            <w:vAlign w:val="center"/>
          </w:tcPr>
          <w:p w14:paraId="278BD7A4">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300</w:t>
            </w:r>
          </w:p>
        </w:tc>
        <w:tc>
          <w:tcPr>
            <w:tcW w:w="937" w:type="pct"/>
            <w:tcBorders>
              <w:top w:val="nil"/>
              <w:left w:val="nil"/>
              <w:bottom w:val="single" w:color="auto" w:sz="4" w:space="0"/>
              <w:right w:val="single" w:color="auto" w:sz="4" w:space="0"/>
            </w:tcBorders>
            <w:vAlign w:val="center"/>
          </w:tcPr>
          <w:p w14:paraId="3047314B">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w:t>
            </w:r>
          </w:p>
        </w:tc>
        <w:tc>
          <w:tcPr>
            <w:tcW w:w="623" w:type="pct"/>
            <w:tcBorders>
              <w:top w:val="nil"/>
              <w:left w:val="nil"/>
              <w:bottom w:val="single" w:color="auto" w:sz="4" w:space="0"/>
              <w:right w:val="single" w:color="auto" w:sz="4" w:space="0"/>
            </w:tcBorders>
            <w:vAlign w:val="center"/>
          </w:tcPr>
          <w:p w14:paraId="650ACFFC">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w:t>
            </w:r>
          </w:p>
        </w:tc>
      </w:tr>
      <w:tr w14:paraId="7C8B7BD6">
        <w:tblPrEx>
          <w:tblCellMar>
            <w:top w:w="0" w:type="dxa"/>
            <w:left w:w="108" w:type="dxa"/>
            <w:bottom w:w="0" w:type="dxa"/>
            <w:right w:w="108" w:type="dxa"/>
          </w:tblCellMar>
        </w:tblPrEx>
        <w:trPr>
          <w:trHeight w:val="225" w:hRule="atLeast"/>
        </w:trPr>
        <w:tc>
          <w:tcPr>
            <w:tcW w:w="919" w:type="pct"/>
            <w:vMerge w:val="continue"/>
            <w:tcBorders>
              <w:top w:val="nil"/>
              <w:left w:val="single" w:color="auto" w:sz="4" w:space="0"/>
              <w:bottom w:val="single" w:color="auto" w:sz="4" w:space="0"/>
              <w:right w:val="single" w:color="auto" w:sz="4" w:space="0"/>
            </w:tcBorders>
            <w:vAlign w:val="center"/>
          </w:tcPr>
          <w:p w14:paraId="45606365">
            <w:pPr>
              <w:widowControl/>
              <w:spacing w:line="240" w:lineRule="auto"/>
              <w:jc w:val="left"/>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p>
        </w:tc>
        <w:tc>
          <w:tcPr>
            <w:tcW w:w="921" w:type="pct"/>
            <w:tcBorders>
              <w:top w:val="nil"/>
              <w:left w:val="nil"/>
              <w:bottom w:val="single" w:color="auto" w:sz="4" w:space="0"/>
              <w:right w:val="single" w:color="auto" w:sz="4" w:space="0"/>
            </w:tcBorders>
            <w:vAlign w:val="center"/>
          </w:tcPr>
          <w:p w14:paraId="09EA0E85">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营业收入（Y）</w:t>
            </w:r>
          </w:p>
        </w:tc>
        <w:tc>
          <w:tcPr>
            <w:tcW w:w="659" w:type="pct"/>
            <w:tcBorders>
              <w:top w:val="nil"/>
              <w:left w:val="nil"/>
              <w:bottom w:val="single" w:color="auto" w:sz="4" w:space="0"/>
              <w:right w:val="single" w:color="auto" w:sz="4" w:space="0"/>
            </w:tcBorders>
            <w:vAlign w:val="center"/>
          </w:tcPr>
          <w:p w14:paraId="5AA3F3DC">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万元</w:t>
            </w:r>
          </w:p>
        </w:tc>
        <w:tc>
          <w:tcPr>
            <w:tcW w:w="937" w:type="pct"/>
            <w:tcBorders>
              <w:top w:val="nil"/>
              <w:left w:val="nil"/>
              <w:bottom w:val="single" w:color="auto" w:sz="4" w:space="0"/>
              <w:right w:val="single" w:color="auto" w:sz="4" w:space="0"/>
            </w:tcBorders>
            <w:vAlign w:val="center"/>
          </w:tcPr>
          <w:p w14:paraId="0C546D75">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1000≤Y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10000</w:t>
            </w:r>
          </w:p>
        </w:tc>
        <w:tc>
          <w:tcPr>
            <w:tcW w:w="937" w:type="pct"/>
            <w:tcBorders>
              <w:top w:val="nil"/>
              <w:left w:val="nil"/>
              <w:bottom w:val="single" w:color="auto" w:sz="4" w:space="0"/>
              <w:right w:val="single" w:color="auto" w:sz="4" w:space="0"/>
            </w:tcBorders>
            <w:vAlign w:val="center"/>
          </w:tcPr>
          <w:p w14:paraId="46891FE6">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50≤Y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1000</w:t>
            </w:r>
          </w:p>
        </w:tc>
        <w:tc>
          <w:tcPr>
            <w:tcW w:w="623" w:type="pct"/>
            <w:tcBorders>
              <w:top w:val="nil"/>
              <w:left w:val="nil"/>
              <w:bottom w:val="single" w:color="auto" w:sz="4" w:space="0"/>
              <w:right w:val="single" w:color="auto" w:sz="4" w:space="0"/>
            </w:tcBorders>
            <w:vAlign w:val="center"/>
          </w:tcPr>
          <w:p w14:paraId="423F17D9">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50</w:t>
            </w:r>
          </w:p>
        </w:tc>
      </w:tr>
      <w:tr w14:paraId="3481636F">
        <w:tblPrEx>
          <w:tblCellMar>
            <w:top w:w="0" w:type="dxa"/>
            <w:left w:w="108" w:type="dxa"/>
            <w:bottom w:w="0" w:type="dxa"/>
            <w:right w:w="108" w:type="dxa"/>
          </w:tblCellMar>
        </w:tblPrEx>
        <w:trPr>
          <w:trHeight w:val="225" w:hRule="atLeast"/>
        </w:trPr>
        <w:tc>
          <w:tcPr>
            <w:tcW w:w="919" w:type="pct"/>
            <w:vMerge w:val="restart"/>
            <w:tcBorders>
              <w:top w:val="nil"/>
              <w:left w:val="single" w:color="auto" w:sz="4" w:space="0"/>
              <w:bottom w:val="single" w:color="auto" w:sz="4" w:space="0"/>
              <w:right w:val="single" w:color="auto" w:sz="4" w:space="0"/>
            </w:tcBorders>
            <w:vAlign w:val="bottom"/>
          </w:tcPr>
          <w:p w14:paraId="35D479C1">
            <w:pPr>
              <w:widowControl/>
              <w:spacing w:line="240" w:lineRule="auto"/>
              <w:jc w:val="cente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房地产开发经营</w:t>
            </w:r>
          </w:p>
        </w:tc>
        <w:tc>
          <w:tcPr>
            <w:tcW w:w="921" w:type="pct"/>
            <w:tcBorders>
              <w:top w:val="nil"/>
              <w:left w:val="nil"/>
              <w:bottom w:val="single" w:color="auto" w:sz="4" w:space="0"/>
              <w:right w:val="single" w:color="auto" w:sz="4" w:space="0"/>
            </w:tcBorders>
            <w:vAlign w:val="center"/>
          </w:tcPr>
          <w:p w14:paraId="1C2F1270">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营业收入（Y）</w:t>
            </w:r>
          </w:p>
        </w:tc>
        <w:tc>
          <w:tcPr>
            <w:tcW w:w="659" w:type="pct"/>
            <w:tcBorders>
              <w:top w:val="nil"/>
              <w:left w:val="nil"/>
              <w:bottom w:val="single" w:color="auto" w:sz="4" w:space="0"/>
              <w:right w:val="single" w:color="auto" w:sz="4" w:space="0"/>
            </w:tcBorders>
            <w:vAlign w:val="center"/>
          </w:tcPr>
          <w:p w14:paraId="344E11B1">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万元</w:t>
            </w:r>
          </w:p>
        </w:tc>
        <w:tc>
          <w:tcPr>
            <w:tcW w:w="937" w:type="pct"/>
            <w:tcBorders>
              <w:top w:val="nil"/>
              <w:left w:val="nil"/>
              <w:bottom w:val="single" w:color="auto" w:sz="4" w:space="0"/>
              <w:right w:val="single" w:color="auto" w:sz="4" w:space="0"/>
            </w:tcBorders>
            <w:vAlign w:val="center"/>
          </w:tcPr>
          <w:p w14:paraId="7B5D0886">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1000≤Y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200000</w:t>
            </w:r>
          </w:p>
        </w:tc>
        <w:tc>
          <w:tcPr>
            <w:tcW w:w="937" w:type="pct"/>
            <w:tcBorders>
              <w:top w:val="nil"/>
              <w:left w:val="nil"/>
              <w:bottom w:val="single" w:color="auto" w:sz="4" w:space="0"/>
              <w:right w:val="single" w:color="auto" w:sz="4" w:space="0"/>
            </w:tcBorders>
            <w:vAlign w:val="center"/>
          </w:tcPr>
          <w:p w14:paraId="651C228D">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1000</w:t>
            </w:r>
          </w:p>
        </w:tc>
        <w:tc>
          <w:tcPr>
            <w:tcW w:w="623" w:type="pct"/>
            <w:tcBorders>
              <w:top w:val="nil"/>
              <w:left w:val="nil"/>
              <w:bottom w:val="single" w:color="auto" w:sz="4" w:space="0"/>
              <w:right w:val="single" w:color="auto" w:sz="4" w:space="0"/>
            </w:tcBorders>
            <w:vAlign w:val="center"/>
          </w:tcPr>
          <w:p w14:paraId="6B44865E">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w:t>
            </w:r>
          </w:p>
        </w:tc>
      </w:tr>
      <w:tr w14:paraId="7E717528">
        <w:tblPrEx>
          <w:tblCellMar>
            <w:top w:w="0" w:type="dxa"/>
            <w:left w:w="108" w:type="dxa"/>
            <w:bottom w:w="0" w:type="dxa"/>
            <w:right w:w="108" w:type="dxa"/>
          </w:tblCellMar>
        </w:tblPrEx>
        <w:trPr>
          <w:trHeight w:val="225" w:hRule="atLeast"/>
        </w:trPr>
        <w:tc>
          <w:tcPr>
            <w:tcW w:w="919" w:type="pct"/>
            <w:vMerge w:val="continue"/>
            <w:tcBorders>
              <w:top w:val="nil"/>
              <w:left w:val="single" w:color="auto" w:sz="4" w:space="0"/>
              <w:bottom w:val="single" w:color="auto" w:sz="4" w:space="0"/>
              <w:right w:val="single" w:color="auto" w:sz="4" w:space="0"/>
            </w:tcBorders>
            <w:vAlign w:val="center"/>
          </w:tcPr>
          <w:p w14:paraId="0AC45F43">
            <w:pPr>
              <w:widowControl/>
              <w:spacing w:line="240" w:lineRule="auto"/>
              <w:jc w:val="left"/>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p>
        </w:tc>
        <w:tc>
          <w:tcPr>
            <w:tcW w:w="921" w:type="pct"/>
            <w:tcBorders>
              <w:top w:val="nil"/>
              <w:left w:val="nil"/>
              <w:bottom w:val="single" w:color="auto" w:sz="4" w:space="0"/>
              <w:right w:val="single" w:color="auto" w:sz="4" w:space="0"/>
            </w:tcBorders>
            <w:vAlign w:val="center"/>
          </w:tcPr>
          <w:p w14:paraId="3122493D">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资产总额（Z）</w:t>
            </w:r>
          </w:p>
        </w:tc>
        <w:tc>
          <w:tcPr>
            <w:tcW w:w="659" w:type="pct"/>
            <w:tcBorders>
              <w:top w:val="nil"/>
              <w:left w:val="nil"/>
              <w:bottom w:val="single" w:color="auto" w:sz="4" w:space="0"/>
              <w:right w:val="single" w:color="auto" w:sz="4" w:space="0"/>
            </w:tcBorders>
            <w:vAlign w:val="center"/>
          </w:tcPr>
          <w:p w14:paraId="6223F93A">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万元</w:t>
            </w:r>
          </w:p>
        </w:tc>
        <w:tc>
          <w:tcPr>
            <w:tcW w:w="937" w:type="pct"/>
            <w:tcBorders>
              <w:top w:val="nil"/>
              <w:left w:val="nil"/>
              <w:bottom w:val="single" w:color="auto" w:sz="4" w:space="0"/>
              <w:right w:val="single" w:color="auto" w:sz="4" w:space="0"/>
            </w:tcBorders>
            <w:vAlign w:val="center"/>
          </w:tcPr>
          <w:p w14:paraId="19589A5C">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5000≤Z</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10000</w:t>
            </w:r>
          </w:p>
        </w:tc>
        <w:tc>
          <w:tcPr>
            <w:tcW w:w="937" w:type="pct"/>
            <w:tcBorders>
              <w:top w:val="nil"/>
              <w:left w:val="nil"/>
              <w:bottom w:val="single" w:color="auto" w:sz="4" w:space="0"/>
              <w:right w:val="single" w:color="auto" w:sz="4" w:space="0"/>
            </w:tcBorders>
            <w:vAlign w:val="center"/>
          </w:tcPr>
          <w:p w14:paraId="646A6E0C">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2000≤Y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5000</w:t>
            </w:r>
          </w:p>
        </w:tc>
        <w:tc>
          <w:tcPr>
            <w:tcW w:w="623" w:type="pct"/>
            <w:tcBorders>
              <w:top w:val="nil"/>
              <w:left w:val="nil"/>
              <w:bottom w:val="single" w:color="auto" w:sz="4" w:space="0"/>
              <w:right w:val="single" w:color="auto" w:sz="4" w:space="0"/>
            </w:tcBorders>
            <w:vAlign w:val="center"/>
          </w:tcPr>
          <w:p w14:paraId="3AC8EC47">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2000</w:t>
            </w:r>
          </w:p>
        </w:tc>
      </w:tr>
      <w:tr w14:paraId="363FF2A2">
        <w:tblPrEx>
          <w:tblCellMar>
            <w:top w:w="0" w:type="dxa"/>
            <w:left w:w="108" w:type="dxa"/>
            <w:bottom w:w="0" w:type="dxa"/>
            <w:right w:w="108" w:type="dxa"/>
          </w:tblCellMar>
        </w:tblPrEx>
        <w:trPr>
          <w:trHeight w:val="225" w:hRule="atLeast"/>
        </w:trPr>
        <w:tc>
          <w:tcPr>
            <w:tcW w:w="919" w:type="pct"/>
            <w:vMerge w:val="restart"/>
            <w:tcBorders>
              <w:top w:val="nil"/>
              <w:left w:val="single" w:color="auto" w:sz="4" w:space="0"/>
              <w:bottom w:val="single" w:color="auto" w:sz="4" w:space="0"/>
              <w:right w:val="single" w:color="auto" w:sz="4" w:space="0"/>
            </w:tcBorders>
            <w:vAlign w:val="bottom"/>
          </w:tcPr>
          <w:p w14:paraId="4FBD4175">
            <w:pPr>
              <w:widowControl/>
              <w:spacing w:line="240" w:lineRule="auto"/>
              <w:jc w:val="cente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物业管理</w:t>
            </w:r>
          </w:p>
        </w:tc>
        <w:tc>
          <w:tcPr>
            <w:tcW w:w="921" w:type="pct"/>
            <w:tcBorders>
              <w:top w:val="nil"/>
              <w:left w:val="nil"/>
              <w:bottom w:val="single" w:color="auto" w:sz="4" w:space="0"/>
              <w:right w:val="single" w:color="auto" w:sz="4" w:space="0"/>
            </w:tcBorders>
            <w:vAlign w:val="center"/>
          </w:tcPr>
          <w:p w14:paraId="0B7C3510">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从业人员（X）</w:t>
            </w:r>
          </w:p>
        </w:tc>
        <w:tc>
          <w:tcPr>
            <w:tcW w:w="659" w:type="pct"/>
            <w:tcBorders>
              <w:top w:val="nil"/>
              <w:left w:val="nil"/>
              <w:bottom w:val="single" w:color="auto" w:sz="4" w:space="0"/>
              <w:right w:val="single" w:color="auto" w:sz="4" w:space="0"/>
            </w:tcBorders>
            <w:vAlign w:val="center"/>
          </w:tcPr>
          <w:p w14:paraId="63A59D1A">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人</w:t>
            </w:r>
          </w:p>
        </w:tc>
        <w:tc>
          <w:tcPr>
            <w:tcW w:w="937" w:type="pct"/>
            <w:tcBorders>
              <w:top w:val="nil"/>
              <w:left w:val="nil"/>
              <w:bottom w:val="single" w:color="auto" w:sz="4" w:space="0"/>
              <w:right w:val="single" w:color="auto" w:sz="4" w:space="0"/>
            </w:tcBorders>
            <w:vAlign w:val="center"/>
          </w:tcPr>
          <w:p w14:paraId="6F86102A">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300≤X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1000</w:t>
            </w:r>
          </w:p>
        </w:tc>
        <w:tc>
          <w:tcPr>
            <w:tcW w:w="937" w:type="pct"/>
            <w:tcBorders>
              <w:top w:val="nil"/>
              <w:left w:val="nil"/>
              <w:bottom w:val="single" w:color="auto" w:sz="4" w:space="0"/>
              <w:right w:val="single" w:color="auto" w:sz="4" w:space="0"/>
            </w:tcBorders>
            <w:vAlign w:val="center"/>
          </w:tcPr>
          <w:p w14:paraId="40454039">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300</w:t>
            </w:r>
          </w:p>
        </w:tc>
        <w:tc>
          <w:tcPr>
            <w:tcW w:w="623" w:type="pct"/>
            <w:tcBorders>
              <w:top w:val="nil"/>
              <w:left w:val="nil"/>
              <w:bottom w:val="single" w:color="auto" w:sz="4" w:space="0"/>
              <w:right w:val="single" w:color="auto" w:sz="4" w:space="0"/>
            </w:tcBorders>
            <w:vAlign w:val="center"/>
          </w:tcPr>
          <w:p w14:paraId="025FD206">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w:t>
            </w:r>
          </w:p>
        </w:tc>
      </w:tr>
      <w:tr w14:paraId="7740507B">
        <w:tblPrEx>
          <w:tblCellMar>
            <w:top w:w="0" w:type="dxa"/>
            <w:left w:w="108" w:type="dxa"/>
            <w:bottom w:w="0" w:type="dxa"/>
            <w:right w:w="108" w:type="dxa"/>
          </w:tblCellMar>
        </w:tblPrEx>
        <w:trPr>
          <w:trHeight w:val="225" w:hRule="atLeast"/>
        </w:trPr>
        <w:tc>
          <w:tcPr>
            <w:tcW w:w="919" w:type="pct"/>
            <w:vMerge w:val="continue"/>
            <w:tcBorders>
              <w:top w:val="nil"/>
              <w:left w:val="single" w:color="auto" w:sz="4" w:space="0"/>
              <w:bottom w:val="single" w:color="auto" w:sz="4" w:space="0"/>
              <w:right w:val="single" w:color="auto" w:sz="4" w:space="0"/>
            </w:tcBorders>
            <w:vAlign w:val="center"/>
          </w:tcPr>
          <w:p w14:paraId="66896E58">
            <w:pPr>
              <w:widowControl/>
              <w:spacing w:line="240" w:lineRule="auto"/>
              <w:jc w:val="left"/>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p>
        </w:tc>
        <w:tc>
          <w:tcPr>
            <w:tcW w:w="921" w:type="pct"/>
            <w:tcBorders>
              <w:top w:val="nil"/>
              <w:left w:val="nil"/>
              <w:bottom w:val="single" w:color="auto" w:sz="4" w:space="0"/>
              <w:right w:val="single" w:color="auto" w:sz="4" w:space="0"/>
            </w:tcBorders>
            <w:vAlign w:val="center"/>
          </w:tcPr>
          <w:p w14:paraId="520594E5">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营业收入（Y）</w:t>
            </w:r>
          </w:p>
        </w:tc>
        <w:tc>
          <w:tcPr>
            <w:tcW w:w="659" w:type="pct"/>
            <w:tcBorders>
              <w:top w:val="nil"/>
              <w:left w:val="nil"/>
              <w:bottom w:val="single" w:color="auto" w:sz="4" w:space="0"/>
              <w:right w:val="single" w:color="auto" w:sz="4" w:space="0"/>
            </w:tcBorders>
            <w:vAlign w:val="center"/>
          </w:tcPr>
          <w:p w14:paraId="28C9C1B3">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万元</w:t>
            </w:r>
          </w:p>
        </w:tc>
        <w:tc>
          <w:tcPr>
            <w:tcW w:w="937" w:type="pct"/>
            <w:tcBorders>
              <w:top w:val="nil"/>
              <w:left w:val="nil"/>
              <w:bottom w:val="single" w:color="auto" w:sz="4" w:space="0"/>
              <w:right w:val="single" w:color="auto" w:sz="4" w:space="0"/>
            </w:tcBorders>
            <w:vAlign w:val="center"/>
          </w:tcPr>
          <w:p w14:paraId="348B0E8E">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1000≤Y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5000</w:t>
            </w:r>
          </w:p>
        </w:tc>
        <w:tc>
          <w:tcPr>
            <w:tcW w:w="937" w:type="pct"/>
            <w:tcBorders>
              <w:top w:val="nil"/>
              <w:left w:val="nil"/>
              <w:bottom w:val="single" w:color="auto" w:sz="4" w:space="0"/>
              <w:right w:val="single" w:color="auto" w:sz="4" w:space="0"/>
            </w:tcBorders>
            <w:vAlign w:val="center"/>
          </w:tcPr>
          <w:p w14:paraId="1F6DBF05">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500≤Y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1000</w:t>
            </w:r>
          </w:p>
        </w:tc>
        <w:tc>
          <w:tcPr>
            <w:tcW w:w="623" w:type="pct"/>
            <w:tcBorders>
              <w:top w:val="nil"/>
              <w:left w:val="nil"/>
              <w:bottom w:val="single" w:color="auto" w:sz="4" w:space="0"/>
              <w:right w:val="single" w:color="auto" w:sz="4" w:space="0"/>
            </w:tcBorders>
            <w:vAlign w:val="center"/>
          </w:tcPr>
          <w:p w14:paraId="14351097">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500</w:t>
            </w:r>
          </w:p>
        </w:tc>
      </w:tr>
      <w:tr w14:paraId="49B8CC1C">
        <w:tblPrEx>
          <w:tblCellMar>
            <w:top w:w="0" w:type="dxa"/>
            <w:left w:w="108" w:type="dxa"/>
            <w:bottom w:w="0" w:type="dxa"/>
            <w:right w:w="108" w:type="dxa"/>
          </w:tblCellMar>
        </w:tblPrEx>
        <w:trPr>
          <w:trHeight w:val="225" w:hRule="atLeast"/>
        </w:trPr>
        <w:tc>
          <w:tcPr>
            <w:tcW w:w="919" w:type="pct"/>
            <w:vMerge w:val="restart"/>
            <w:tcBorders>
              <w:top w:val="nil"/>
              <w:left w:val="single" w:color="auto" w:sz="4" w:space="0"/>
              <w:bottom w:val="single" w:color="auto" w:sz="4" w:space="0"/>
              <w:right w:val="single" w:color="auto" w:sz="4" w:space="0"/>
            </w:tcBorders>
            <w:vAlign w:val="bottom"/>
          </w:tcPr>
          <w:p w14:paraId="5DB4CFC9">
            <w:pPr>
              <w:widowControl/>
              <w:spacing w:line="240" w:lineRule="auto"/>
              <w:jc w:val="cente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租赁和商务服务业</w:t>
            </w:r>
          </w:p>
        </w:tc>
        <w:tc>
          <w:tcPr>
            <w:tcW w:w="921" w:type="pct"/>
            <w:tcBorders>
              <w:top w:val="nil"/>
              <w:left w:val="nil"/>
              <w:bottom w:val="single" w:color="auto" w:sz="4" w:space="0"/>
              <w:right w:val="single" w:color="auto" w:sz="4" w:space="0"/>
            </w:tcBorders>
            <w:vAlign w:val="center"/>
          </w:tcPr>
          <w:p w14:paraId="2E2D0A8A">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从业人员（X）</w:t>
            </w:r>
          </w:p>
        </w:tc>
        <w:tc>
          <w:tcPr>
            <w:tcW w:w="659" w:type="pct"/>
            <w:tcBorders>
              <w:top w:val="nil"/>
              <w:left w:val="nil"/>
              <w:bottom w:val="single" w:color="auto" w:sz="4" w:space="0"/>
              <w:right w:val="single" w:color="auto" w:sz="4" w:space="0"/>
            </w:tcBorders>
            <w:vAlign w:val="center"/>
          </w:tcPr>
          <w:p w14:paraId="51DB0E5E">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人</w:t>
            </w:r>
          </w:p>
        </w:tc>
        <w:tc>
          <w:tcPr>
            <w:tcW w:w="937" w:type="pct"/>
            <w:tcBorders>
              <w:top w:val="nil"/>
              <w:left w:val="nil"/>
              <w:bottom w:val="single" w:color="auto" w:sz="4" w:space="0"/>
              <w:right w:val="single" w:color="auto" w:sz="4" w:space="0"/>
            </w:tcBorders>
            <w:vAlign w:val="center"/>
          </w:tcPr>
          <w:p w14:paraId="55F3192D">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300</w:t>
            </w:r>
          </w:p>
        </w:tc>
        <w:tc>
          <w:tcPr>
            <w:tcW w:w="937" w:type="pct"/>
            <w:tcBorders>
              <w:top w:val="nil"/>
              <w:left w:val="nil"/>
              <w:bottom w:val="single" w:color="auto" w:sz="4" w:space="0"/>
              <w:right w:val="single" w:color="auto" w:sz="4" w:space="0"/>
            </w:tcBorders>
            <w:vAlign w:val="center"/>
          </w:tcPr>
          <w:p w14:paraId="5F0DDA84">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w:t>
            </w:r>
          </w:p>
        </w:tc>
        <w:tc>
          <w:tcPr>
            <w:tcW w:w="623" w:type="pct"/>
            <w:tcBorders>
              <w:top w:val="nil"/>
              <w:left w:val="nil"/>
              <w:bottom w:val="single" w:color="auto" w:sz="4" w:space="0"/>
              <w:right w:val="single" w:color="auto" w:sz="4" w:space="0"/>
            </w:tcBorders>
            <w:vAlign w:val="center"/>
          </w:tcPr>
          <w:p w14:paraId="2DF7B87B">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w:t>
            </w:r>
          </w:p>
        </w:tc>
      </w:tr>
      <w:tr w14:paraId="4A4B7AC5">
        <w:tblPrEx>
          <w:tblCellMar>
            <w:top w:w="0" w:type="dxa"/>
            <w:left w:w="108" w:type="dxa"/>
            <w:bottom w:w="0" w:type="dxa"/>
            <w:right w:w="108" w:type="dxa"/>
          </w:tblCellMar>
        </w:tblPrEx>
        <w:trPr>
          <w:trHeight w:val="225" w:hRule="atLeast"/>
        </w:trPr>
        <w:tc>
          <w:tcPr>
            <w:tcW w:w="919" w:type="pct"/>
            <w:vMerge w:val="continue"/>
            <w:tcBorders>
              <w:top w:val="nil"/>
              <w:left w:val="single" w:color="auto" w:sz="4" w:space="0"/>
              <w:bottom w:val="single" w:color="auto" w:sz="4" w:space="0"/>
              <w:right w:val="single" w:color="auto" w:sz="4" w:space="0"/>
            </w:tcBorders>
            <w:vAlign w:val="center"/>
          </w:tcPr>
          <w:p w14:paraId="0FE1D550">
            <w:pPr>
              <w:widowControl/>
              <w:spacing w:line="240" w:lineRule="auto"/>
              <w:jc w:val="left"/>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p>
        </w:tc>
        <w:tc>
          <w:tcPr>
            <w:tcW w:w="921" w:type="pct"/>
            <w:tcBorders>
              <w:top w:val="nil"/>
              <w:left w:val="nil"/>
              <w:bottom w:val="single" w:color="auto" w:sz="4" w:space="0"/>
              <w:right w:val="single" w:color="auto" w:sz="4" w:space="0"/>
            </w:tcBorders>
            <w:vAlign w:val="center"/>
          </w:tcPr>
          <w:p w14:paraId="1BCC4B20">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资产总额（Z）</w:t>
            </w:r>
          </w:p>
        </w:tc>
        <w:tc>
          <w:tcPr>
            <w:tcW w:w="659" w:type="pct"/>
            <w:tcBorders>
              <w:top w:val="nil"/>
              <w:left w:val="nil"/>
              <w:bottom w:val="single" w:color="auto" w:sz="4" w:space="0"/>
              <w:right w:val="single" w:color="auto" w:sz="4" w:space="0"/>
            </w:tcBorders>
            <w:vAlign w:val="center"/>
          </w:tcPr>
          <w:p w14:paraId="012E74D0">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万元</w:t>
            </w:r>
          </w:p>
        </w:tc>
        <w:tc>
          <w:tcPr>
            <w:tcW w:w="937" w:type="pct"/>
            <w:tcBorders>
              <w:top w:val="nil"/>
              <w:left w:val="nil"/>
              <w:bottom w:val="single" w:color="auto" w:sz="4" w:space="0"/>
              <w:right w:val="single" w:color="auto" w:sz="4" w:space="0"/>
            </w:tcBorders>
            <w:vAlign w:val="center"/>
          </w:tcPr>
          <w:p w14:paraId="155427E4">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8000≤Z</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120000</w:t>
            </w:r>
          </w:p>
        </w:tc>
        <w:tc>
          <w:tcPr>
            <w:tcW w:w="937" w:type="pct"/>
            <w:tcBorders>
              <w:top w:val="nil"/>
              <w:left w:val="nil"/>
              <w:bottom w:val="single" w:color="auto" w:sz="4" w:space="0"/>
              <w:right w:val="single" w:color="auto" w:sz="4" w:space="0"/>
            </w:tcBorders>
            <w:vAlign w:val="center"/>
          </w:tcPr>
          <w:p w14:paraId="223AF47A">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100≤Z</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8000</w:t>
            </w:r>
          </w:p>
        </w:tc>
        <w:tc>
          <w:tcPr>
            <w:tcW w:w="623" w:type="pct"/>
            <w:tcBorders>
              <w:top w:val="nil"/>
              <w:left w:val="nil"/>
              <w:bottom w:val="single" w:color="auto" w:sz="4" w:space="0"/>
              <w:right w:val="single" w:color="auto" w:sz="4" w:space="0"/>
            </w:tcBorders>
            <w:vAlign w:val="center"/>
          </w:tcPr>
          <w:p w14:paraId="7E77139B">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Y</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w:t>
            </w:r>
          </w:p>
        </w:tc>
      </w:tr>
      <w:tr w14:paraId="3E3E06E3">
        <w:tblPrEx>
          <w:tblCellMar>
            <w:top w:w="0" w:type="dxa"/>
            <w:left w:w="108" w:type="dxa"/>
            <w:bottom w:w="0" w:type="dxa"/>
            <w:right w:w="108" w:type="dxa"/>
          </w:tblCellMar>
        </w:tblPrEx>
        <w:trPr>
          <w:trHeight w:val="225" w:hRule="atLeast"/>
        </w:trPr>
        <w:tc>
          <w:tcPr>
            <w:tcW w:w="919" w:type="pct"/>
            <w:tcBorders>
              <w:top w:val="nil"/>
              <w:left w:val="single" w:color="auto" w:sz="4" w:space="0"/>
              <w:bottom w:val="single" w:color="auto" w:sz="4" w:space="0"/>
              <w:right w:val="single" w:color="auto" w:sz="4" w:space="0"/>
            </w:tcBorders>
            <w:vAlign w:val="bottom"/>
          </w:tcPr>
          <w:p w14:paraId="3E2F7938">
            <w:pPr>
              <w:widowControl/>
              <w:spacing w:line="240" w:lineRule="auto"/>
              <w:jc w:val="cente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其他未列明行业</w:t>
            </w:r>
          </w:p>
        </w:tc>
        <w:tc>
          <w:tcPr>
            <w:tcW w:w="921" w:type="pct"/>
            <w:tcBorders>
              <w:top w:val="nil"/>
              <w:left w:val="nil"/>
              <w:bottom w:val="single" w:color="auto" w:sz="4" w:space="0"/>
              <w:right w:val="single" w:color="auto" w:sz="4" w:space="0"/>
            </w:tcBorders>
            <w:vAlign w:val="center"/>
          </w:tcPr>
          <w:p w14:paraId="7EDA9245">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从业人员（X）</w:t>
            </w:r>
          </w:p>
        </w:tc>
        <w:tc>
          <w:tcPr>
            <w:tcW w:w="659" w:type="pct"/>
            <w:tcBorders>
              <w:top w:val="nil"/>
              <w:left w:val="nil"/>
              <w:bottom w:val="single" w:color="auto" w:sz="4" w:space="0"/>
              <w:right w:val="single" w:color="auto" w:sz="4" w:space="0"/>
            </w:tcBorders>
            <w:vAlign w:val="center"/>
          </w:tcPr>
          <w:p w14:paraId="13ABC9A0">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人</w:t>
            </w:r>
          </w:p>
        </w:tc>
        <w:tc>
          <w:tcPr>
            <w:tcW w:w="937" w:type="pct"/>
            <w:tcBorders>
              <w:top w:val="nil"/>
              <w:left w:val="nil"/>
              <w:bottom w:val="single" w:color="auto" w:sz="4" w:space="0"/>
              <w:right w:val="single" w:color="auto" w:sz="4" w:space="0"/>
            </w:tcBorders>
            <w:vAlign w:val="center"/>
          </w:tcPr>
          <w:p w14:paraId="0A51AC83">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300</w:t>
            </w:r>
          </w:p>
        </w:tc>
        <w:tc>
          <w:tcPr>
            <w:tcW w:w="937" w:type="pct"/>
            <w:tcBorders>
              <w:top w:val="nil"/>
              <w:left w:val="nil"/>
              <w:bottom w:val="single" w:color="auto" w:sz="4" w:space="0"/>
              <w:right w:val="single" w:color="auto" w:sz="4" w:space="0"/>
            </w:tcBorders>
            <w:vAlign w:val="center"/>
          </w:tcPr>
          <w:p w14:paraId="133D2962">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100</w:t>
            </w:r>
          </w:p>
        </w:tc>
        <w:tc>
          <w:tcPr>
            <w:tcW w:w="623" w:type="pct"/>
            <w:tcBorders>
              <w:top w:val="nil"/>
              <w:left w:val="nil"/>
              <w:bottom w:val="single" w:color="auto" w:sz="4" w:space="0"/>
              <w:right w:val="single" w:color="auto" w:sz="4" w:space="0"/>
            </w:tcBorders>
            <w:vAlign w:val="center"/>
          </w:tcPr>
          <w:p w14:paraId="605C8B40">
            <w:pPr>
              <w:widowControl/>
              <w:spacing w:line="240" w:lineRule="auto"/>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X</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&lt;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10</w:t>
            </w:r>
          </w:p>
        </w:tc>
      </w:tr>
    </w:tbl>
    <w:p w14:paraId="018C24EC">
      <w:pPr>
        <w:spacing w:line="240" w:lineRule="auto"/>
        <w:ind w:firstLine="420" w:firstLineChars="200"/>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说明：上述标准参照《关于印发中小企业划型标准规定的通知》（工信部联企业</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〔2011〕300号</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），大型、中型和小型企业须同时满足所列指标的下限，否则下划一档；微型企业只</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需</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满足所列指标中的一项即可。</w:t>
      </w:r>
    </w:p>
    <w:p w14:paraId="24FCE1C8">
      <w:pPr>
        <w:pStyle w:val="16"/>
        <w:jc w:val="center"/>
        <w:outlineLvl w:val="0"/>
        <w:rPr>
          <w:rFonts w:hint="eastAsia" w:asciiTheme="minorEastAsia" w:hAnsiTheme="minorEastAsia" w:eastAsiaTheme="minorEastAsia" w:cstheme="minorEastAsia"/>
          <w:color w:val="000000" w:themeColor="text1"/>
          <w:highlight w:val="none"/>
          <w14:textFill>
            <w14:solidFill>
              <w14:schemeClr w14:val="tx1"/>
            </w14:solidFill>
          </w14:textFill>
        </w:rPr>
        <w:sectPr>
          <w:headerReference r:id="rId7" w:type="default"/>
          <w:footerReference r:id="rId8" w:type="default"/>
          <w:pgSz w:w="11906" w:h="16838"/>
          <w:pgMar w:top="1077" w:right="1304" w:bottom="1077" w:left="1417" w:header="720" w:footer="794" w:gutter="0"/>
          <w:pgBorders>
            <w:top w:val="none" w:sz="0" w:space="0"/>
            <w:left w:val="none" w:sz="0" w:space="0"/>
            <w:bottom w:val="none" w:sz="0" w:space="0"/>
            <w:right w:val="none" w:sz="0" w:space="0"/>
          </w:pgBorders>
          <w:pgNumType w:fmt="decimal" w:start="5"/>
          <w:cols w:space="720" w:num="1"/>
          <w:docGrid w:type="lines" w:linePitch="331" w:charSpace="0"/>
        </w:sectPr>
      </w:pPr>
    </w:p>
    <w:p w14:paraId="6BEAFF13">
      <w:pPr>
        <w:pStyle w:val="2"/>
        <w:keepNext/>
        <w:keepLines/>
        <w:pageBreakBefore w:val="0"/>
        <w:widowControl w:val="0"/>
        <w:kinsoku/>
        <w:wordWrap/>
        <w:overflowPunct/>
        <w:topLinePunct w:val="0"/>
        <w:autoSpaceDE/>
        <w:autoSpaceDN/>
        <w:bidi w:val="0"/>
        <w:adjustRightInd/>
        <w:snapToGrid/>
        <w:spacing w:before="0" w:after="0" w:line="600" w:lineRule="exact"/>
        <w:jc w:val="center"/>
        <w:textAlignment w:val="auto"/>
        <w:rPr>
          <w:rFonts w:hint="eastAsia" w:asciiTheme="minorEastAsia" w:hAnsiTheme="minorEastAsia" w:eastAsiaTheme="minorEastAsia" w:cstheme="minorEastAsia"/>
          <w:color w:val="000000" w:themeColor="text1"/>
          <w:sz w:val="36"/>
          <w:szCs w:val="36"/>
          <w:highlight w:val="none"/>
          <w14:textFill>
            <w14:solidFill>
              <w14:schemeClr w14:val="tx1"/>
            </w14:solidFill>
          </w14:textFill>
        </w:rPr>
      </w:pPr>
      <w:bookmarkStart w:id="17" w:name="_Toc87345226"/>
      <w:bookmarkEnd w:id="17"/>
      <w:r>
        <w:rPr>
          <w:rFonts w:hint="eastAsia" w:asciiTheme="minorEastAsia" w:hAnsiTheme="minorEastAsia" w:eastAsiaTheme="minorEastAsia" w:cstheme="minorEastAsia"/>
          <w:bCs w:val="0"/>
          <w:color w:val="000000" w:themeColor="text1"/>
          <w:sz w:val="36"/>
          <w:szCs w:val="36"/>
          <w:highlight w:val="none"/>
          <w14:textFill>
            <w14:solidFill>
              <w14:schemeClr w14:val="tx1"/>
            </w14:solidFill>
          </w14:textFill>
        </w:rPr>
        <w:t>第三章</w:t>
      </w:r>
      <w:r>
        <w:rPr>
          <w:rFonts w:hint="eastAsia" w:asciiTheme="minorEastAsia" w:hAnsiTheme="minorEastAsia" w:eastAsiaTheme="minorEastAsia" w:cstheme="minorEastAsia"/>
          <w:bCs w:val="0"/>
          <w:color w:val="000000" w:themeColor="text1"/>
          <w:sz w:val="36"/>
          <w:szCs w:val="36"/>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Cs w:val="0"/>
          <w:color w:val="000000" w:themeColor="text1"/>
          <w:sz w:val="36"/>
          <w:szCs w:val="36"/>
          <w:highlight w:val="none"/>
          <w14:textFill>
            <w14:solidFill>
              <w14:schemeClr w14:val="tx1"/>
            </w14:solidFill>
          </w14:textFill>
        </w:rPr>
        <w:t>供应商须知</w:t>
      </w:r>
    </w:p>
    <w:p w14:paraId="73AA6212">
      <w:pPr>
        <w:pStyle w:val="3"/>
        <w:keepNext/>
        <w:keepLines/>
        <w:pageBreakBefore w:val="0"/>
        <w:widowControl w:val="0"/>
        <w:kinsoku/>
        <w:wordWrap/>
        <w:overflowPunct/>
        <w:topLinePunct w:val="0"/>
        <w:autoSpaceDE/>
        <w:autoSpaceDN/>
        <w:bidi w:val="0"/>
        <w:adjustRightInd/>
        <w:snapToGrid/>
        <w:spacing w:before="0" w:after="0" w:line="600" w:lineRule="exact"/>
        <w:jc w:val="center"/>
        <w:textAlignment w:val="auto"/>
        <w:rPr>
          <w:rFonts w:hint="eastAsia" w:asciiTheme="minorEastAsia" w:hAnsiTheme="minorEastAsia" w:eastAsiaTheme="minorEastAsia" w:cstheme="minorEastAsia"/>
          <w:b w:val="0"/>
          <w:color w:val="000000" w:themeColor="text1"/>
          <w:highlight w:val="none"/>
          <w14:textFill>
            <w14:solidFill>
              <w14:schemeClr w14:val="tx1"/>
            </w14:solidFill>
          </w14:textFill>
        </w:rPr>
      </w:pPr>
      <w:bookmarkStart w:id="18" w:name="_Toc87345227"/>
      <w:bookmarkEnd w:id="18"/>
      <w:r>
        <w:rPr>
          <w:rFonts w:hint="eastAsia" w:asciiTheme="minorEastAsia" w:hAnsiTheme="minorEastAsia" w:eastAsiaTheme="minorEastAsia" w:cstheme="minorEastAsia"/>
          <w:b/>
          <w:bCs w:val="0"/>
          <w:color w:val="000000" w:themeColor="text1"/>
          <w:sz w:val="30"/>
          <w:szCs w:val="30"/>
          <w:highlight w:val="none"/>
          <w14:textFill>
            <w14:solidFill>
              <w14:schemeClr w14:val="tx1"/>
            </w14:solidFill>
          </w14:textFill>
        </w:rPr>
        <w:t>第一节 供应商须知前附表</w:t>
      </w:r>
    </w:p>
    <w:tbl>
      <w:tblPr>
        <w:tblStyle w:val="26"/>
        <w:tblW w:w="894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0"/>
        <w:gridCol w:w="2126"/>
        <w:gridCol w:w="5857"/>
      </w:tblGrid>
      <w:tr w14:paraId="3A231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60" w:type="dxa"/>
            <w:vAlign w:val="center"/>
          </w:tcPr>
          <w:p w14:paraId="3AEA4FE9">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t>条款号</w:t>
            </w:r>
          </w:p>
        </w:tc>
        <w:tc>
          <w:tcPr>
            <w:tcW w:w="2126" w:type="dxa"/>
            <w:vAlign w:val="center"/>
          </w:tcPr>
          <w:p w14:paraId="22794217">
            <w:pPr>
              <w:keepNext w:val="0"/>
              <w:keepLines w:val="0"/>
              <w:pageBreakBefore w:val="0"/>
              <w:widowControl w:val="0"/>
              <w:kinsoku/>
              <w:wordWrap/>
              <w:overflowPunct/>
              <w:topLinePunct w:val="0"/>
              <w:bidi w:val="0"/>
              <w:spacing w:line="400" w:lineRule="exact"/>
              <w:jc w:val="center"/>
              <w:rPr>
                <w:rFonts w:hint="default" w:asciiTheme="minorEastAsia" w:hAnsiTheme="minorEastAsia" w:eastAsiaTheme="minorEastAsia" w:cstheme="minorEastAsia"/>
                <w:b/>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t>条款</w:t>
            </w:r>
            <w:r>
              <w:rPr>
                <w:rFonts w:hint="eastAsia" w:asciiTheme="minorEastAsia" w:hAnsiTheme="minorEastAsia" w:eastAsiaTheme="minorEastAsia" w:cstheme="minorEastAsia"/>
                <w:b/>
                <w:color w:val="000000" w:themeColor="text1"/>
                <w:szCs w:val="21"/>
                <w:highlight w:val="none"/>
                <w:lang w:val="en-US" w:eastAsia="zh-CN"/>
                <w14:textFill>
                  <w14:solidFill>
                    <w14:schemeClr w14:val="tx1"/>
                  </w14:solidFill>
                </w14:textFill>
              </w:rPr>
              <w:t>名称</w:t>
            </w:r>
          </w:p>
        </w:tc>
        <w:tc>
          <w:tcPr>
            <w:tcW w:w="5857" w:type="dxa"/>
            <w:vAlign w:val="center"/>
          </w:tcPr>
          <w:p w14:paraId="0C03FFE1">
            <w:pPr>
              <w:keepNext w:val="0"/>
              <w:keepLines w:val="0"/>
              <w:pageBreakBefore w:val="0"/>
              <w:widowControl w:val="0"/>
              <w:kinsoku/>
              <w:wordWrap/>
              <w:overflowPunct/>
              <w:topLinePunct w:val="0"/>
              <w:bidi w:val="0"/>
              <w:spacing w:line="400" w:lineRule="exact"/>
              <w:jc w:val="center"/>
              <w:rPr>
                <w:rFonts w:hint="default" w:asciiTheme="minorEastAsia" w:hAnsiTheme="minorEastAsia" w:eastAsiaTheme="minorEastAsia" w:cstheme="minorEastAsia"/>
                <w:b/>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stheme="minorEastAsia"/>
                <w:b/>
                <w:color w:val="000000" w:themeColor="text1"/>
                <w:szCs w:val="21"/>
                <w:highlight w:val="none"/>
                <w:lang w:val="en-US" w:eastAsia="zh-CN"/>
                <w14:textFill>
                  <w14:solidFill>
                    <w14:schemeClr w14:val="tx1"/>
                  </w14:solidFill>
                </w14:textFill>
              </w:rPr>
              <w:t>编列内容</w:t>
            </w:r>
          </w:p>
        </w:tc>
      </w:tr>
      <w:tr w14:paraId="51BEF2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60" w:type="dxa"/>
            <w:vAlign w:val="center"/>
          </w:tcPr>
          <w:p w14:paraId="1E91F1B2">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3.1</w:t>
            </w:r>
          </w:p>
        </w:tc>
        <w:tc>
          <w:tcPr>
            <w:tcW w:w="2126" w:type="dxa"/>
            <w:vAlign w:val="center"/>
          </w:tcPr>
          <w:p w14:paraId="7FA9E7C2">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供应商资格条件</w:t>
            </w:r>
          </w:p>
        </w:tc>
        <w:tc>
          <w:tcPr>
            <w:tcW w:w="5857" w:type="dxa"/>
            <w:vAlign w:val="center"/>
          </w:tcPr>
          <w:p w14:paraId="36AC3162">
            <w:pPr>
              <w:pStyle w:val="116"/>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rPr>
                <w:rFonts w:hint="eastAsia" w:eastAsia="宋体"/>
                <w:color w:val="000000" w:themeColor="text1"/>
                <w:spacing w:val="9"/>
                <w:sz w:val="21"/>
                <w:szCs w:val="21"/>
                <w:highlight w:val="none"/>
                <w:lang w:val="en-US" w:eastAsia="zh-CN"/>
                <w14:textFill>
                  <w14:solidFill>
                    <w14:schemeClr w14:val="tx1"/>
                  </w14:solidFill>
                </w14:textFill>
              </w:rPr>
            </w:pPr>
            <w:r>
              <w:rPr>
                <w:rFonts w:hint="eastAsia"/>
                <w:color w:val="000000" w:themeColor="text1"/>
                <w:spacing w:val="9"/>
                <w:sz w:val="21"/>
                <w:szCs w:val="21"/>
                <w:highlight w:val="none"/>
                <w:lang w:eastAsia="zh-CN"/>
                <w14:textFill>
                  <w14:solidFill>
                    <w14:schemeClr w14:val="tx1"/>
                  </w14:solidFill>
                </w14:textFill>
              </w:rPr>
              <w:t>1.供应商的资格条件：详见竞争性磋商公告。</w:t>
            </w:r>
          </w:p>
          <w:p w14:paraId="7F871F1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2.供应商出现下列情形之一的，不得参加政府采购活动：</w:t>
            </w:r>
          </w:p>
          <w:p w14:paraId="7E0D8DB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2.1</w:t>
            </w:r>
            <w:r>
              <w:rPr>
                <w:rFonts w:hint="eastAsia" w:ascii="宋体" w:hAnsi="宋体"/>
                <w:color w:val="000000" w:themeColor="text1"/>
                <w:szCs w:val="21"/>
                <w:highlight w:val="none"/>
                <w14:textFill>
                  <w14:solidFill>
                    <w14:schemeClr w14:val="tx1"/>
                  </w14:solidFill>
                </w14:textFill>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557D3A1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2.2对在“信用中国”网站（www.creditchina.gov.cn）、中国政府采购网（www.ccgp.gov.cn）被列入失信被执行人、重大税收违法失信主体、政府采购严重违法失信行为记录名单及其他不符合《中华人民共和国政府采购法》第二十二条规定条件的供应商，不得参与政府采购活动</w:t>
            </w:r>
            <w:r>
              <w:rPr>
                <w:rFonts w:hint="eastAsia" w:ascii="宋体" w:hAnsi="宋体"/>
                <w:color w:val="000000" w:themeColor="text1"/>
                <w:szCs w:val="21"/>
                <w:highlight w:val="none"/>
                <w14:textFill>
                  <w14:solidFill>
                    <w14:schemeClr w14:val="tx1"/>
                  </w14:solidFill>
                </w14:textFill>
              </w:rPr>
              <w:t>。</w:t>
            </w:r>
          </w:p>
        </w:tc>
      </w:tr>
      <w:tr w14:paraId="39641E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8" w:hRule="atLeast"/>
          <w:jc w:val="center"/>
        </w:trPr>
        <w:tc>
          <w:tcPr>
            <w:tcW w:w="960" w:type="dxa"/>
            <w:vAlign w:val="center"/>
          </w:tcPr>
          <w:p w14:paraId="460BF51D">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5.1</w:t>
            </w:r>
          </w:p>
        </w:tc>
        <w:tc>
          <w:tcPr>
            <w:tcW w:w="2126" w:type="dxa"/>
            <w:vAlign w:val="center"/>
          </w:tcPr>
          <w:p w14:paraId="467EC94F">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是否接受联合体竞标</w:t>
            </w:r>
          </w:p>
        </w:tc>
        <w:tc>
          <w:tcPr>
            <w:tcW w:w="5857" w:type="dxa"/>
            <w:vAlign w:val="center"/>
          </w:tcPr>
          <w:p w14:paraId="773E7EAC">
            <w:pPr>
              <w:keepNext w:val="0"/>
              <w:keepLines w:val="0"/>
              <w:pageBreakBefore w:val="0"/>
              <w:widowControl w:val="0"/>
              <w:kinsoku/>
              <w:wordWrap/>
              <w:overflowPunct/>
              <w:topLinePunct w:val="0"/>
              <w:bidi w:val="0"/>
              <w:spacing w:line="400" w:lineRule="exact"/>
              <w:jc w:val="both"/>
              <w:rPr>
                <w:rFonts w:hint="eastAsia" w:asciiTheme="minorEastAsia" w:hAnsiTheme="minorEastAsia" w:eastAsiaTheme="minorEastAsia" w:cstheme="minorEastAsia"/>
                <w:b/>
                <w:bCs/>
                <w:color w:val="auto"/>
                <w:szCs w:val="21"/>
                <w:highlight w:val="none"/>
                <w:lang w:eastAsia="zh-CN"/>
              </w:rPr>
            </w:pPr>
            <w:r>
              <w:rPr>
                <w:rFonts w:hint="eastAsia" w:asciiTheme="minorEastAsia" w:hAnsiTheme="minorEastAsia" w:eastAsiaTheme="minorEastAsia" w:cstheme="minorEastAsia"/>
                <w:b/>
                <w:bCs/>
                <w:color w:val="auto"/>
                <w:szCs w:val="21"/>
                <w:highlight w:val="none"/>
              </w:rPr>
              <w:t>接受联合体竞标</w:t>
            </w:r>
            <w:r>
              <w:rPr>
                <w:rFonts w:hint="eastAsia" w:asciiTheme="minorEastAsia" w:hAnsiTheme="minorEastAsia" w:eastAsiaTheme="minorEastAsia" w:cstheme="minorEastAsia"/>
                <w:b/>
                <w:bCs/>
                <w:color w:val="auto"/>
                <w:szCs w:val="21"/>
                <w:highlight w:val="none"/>
                <w:lang w:eastAsia="zh-CN"/>
              </w:rPr>
              <w:t>。</w:t>
            </w:r>
          </w:p>
        </w:tc>
      </w:tr>
      <w:tr w14:paraId="72D1B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60" w:type="dxa"/>
            <w:vAlign w:val="center"/>
          </w:tcPr>
          <w:p w14:paraId="58AE9089">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5.2</w:t>
            </w:r>
          </w:p>
        </w:tc>
        <w:tc>
          <w:tcPr>
            <w:tcW w:w="2126" w:type="dxa"/>
            <w:vAlign w:val="center"/>
          </w:tcPr>
          <w:p w14:paraId="572F2DCD">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联合体竞标要求</w:t>
            </w:r>
          </w:p>
        </w:tc>
        <w:tc>
          <w:tcPr>
            <w:tcW w:w="5857" w:type="dxa"/>
            <w:shd w:val="clear" w:color="auto" w:fill="auto"/>
            <w:vAlign w:val="center"/>
          </w:tcPr>
          <w:p w14:paraId="14F3E6A1">
            <w:pPr>
              <w:keepNext w:val="0"/>
              <w:keepLines w:val="0"/>
              <w:pageBreakBefore w:val="0"/>
              <w:widowControl w:val="0"/>
              <w:kinsoku/>
              <w:wordWrap/>
              <w:overflowPunct/>
              <w:topLinePunct w:val="0"/>
              <w:bidi w:val="0"/>
              <w:spacing w:line="400" w:lineRule="exact"/>
              <w:jc w:val="both"/>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联合体竞标要求如下：</w:t>
            </w:r>
          </w:p>
          <w:p w14:paraId="77E0FCAD">
            <w:pPr>
              <w:keepNext w:val="0"/>
              <w:keepLines w:val="0"/>
              <w:pageBreakBefore w:val="0"/>
              <w:widowControl w:val="0"/>
              <w:kinsoku/>
              <w:wordWrap/>
              <w:overflowPunct/>
              <w:topLinePunct w:val="0"/>
              <w:bidi w:val="0"/>
              <w:spacing w:line="400" w:lineRule="exact"/>
              <w:jc w:val="both"/>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1.两个以上</w:t>
            </w:r>
            <w:r>
              <w:rPr>
                <w:rFonts w:hint="eastAsia" w:asciiTheme="minorEastAsia" w:hAnsiTheme="minorEastAsia" w:eastAsiaTheme="minorEastAsia" w:cstheme="minorEastAsia"/>
                <w:color w:val="auto"/>
                <w:szCs w:val="21"/>
                <w:highlight w:val="none"/>
                <w:lang w:val="en-US" w:eastAsia="zh-CN"/>
              </w:rPr>
              <w:t>供应商</w:t>
            </w:r>
            <w:r>
              <w:rPr>
                <w:rFonts w:hint="eastAsia" w:asciiTheme="minorEastAsia" w:hAnsiTheme="minorEastAsia" w:eastAsiaTheme="minorEastAsia" w:cstheme="minorEastAsia"/>
                <w:color w:val="auto"/>
                <w:szCs w:val="21"/>
                <w:highlight w:val="none"/>
              </w:rPr>
              <w:t>可以组成一个</w:t>
            </w:r>
            <w:r>
              <w:rPr>
                <w:rFonts w:hint="eastAsia" w:asciiTheme="minorEastAsia" w:hAnsiTheme="minorEastAsia" w:eastAsiaTheme="minorEastAsia" w:cstheme="minorEastAsia"/>
                <w:color w:val="auto"/>
                <w:szCs w:val="21"/>
                <w:highlight w:val="none"/>
                <w:lang w:val="en-US" w:eastAsia="zh-CN"/>
              </w:rPr>
              <w:t>竞</w:t>
            </w:r>
            <w:r>
              <w:rPr>
                <w:rFonts w:hint="eastAsia" w:asciiTheme="minorEastAsia" w:hAnsiTheme="minorEastAsia" w:eastAsiaTheme="minorEastAsia" w:cstheme="minorEastAsia"/>
                <w:color w:val="auto"/>
                <w:szCs w:val="21"/>
                <w:highlight w:val="none"/>
              </w:rPr>
              <w:t>标联合体，以一个</w:t>
            </w:r>
            <w:r>
              <w:rPr>
                <w:rFonts w:hint="eastAsia" w:asciiTheme="minorEastAsia" w:hAnsiTheme="minorEastAsia" w:eastAsiaTheme="minorEastAsia" w:cstheme="minorEastAsia"/>
                <w:color w:val="auto"/>
                <w:szCs w:val="21"/>
                <w:highlight w:val="none"/>
                <w:lang w:val="en-US" w:eastAsia="zh-CN"/>
              </w:rPr>
              <w:t>供应商</w:t>
            </w:r>
            <w:r>
              <w:rPr>
                <w:rFonts w:hint="eastAsia" w:asciiTheme="minorEastAsia" w:hAnsiTheme="minorEastAsia" w:eastAsiaTheme="minorEastAsia" w:cstheme="minorEastAsia"/>
                <w:color w:val="auto"/>
                <w:szCs w:val="21"/>
                <w:highlight w:val="none"/>
              </w:rPr>
              <w:t>的身份共同参加</w:t>
            </w:r>
            <w:r>
              <w:rPr>
                <w:rFonts w:hint="eastAsia" w:asciiTheme="minorEastAsia" w:hAnsiTheme="minorEastAsia" w:eastAsiaTheme="minorEastAsia" w:cstheme="minorEastAsia"/>
                <w:color w:val="auto"/>
                <w:szCs w:val="21"/>
                <w:highlight w:val="none"/>
                <w:lang w:eastAsia="zh-CN"/>
              </w:rPr>
              <w:t>竞标，联合体竞标人的名称应统一按“XXX公司与XXX公司的联合体”的规则填写</w:t>
            </w:r>
            <w:r>
              <w:rPr>
                <w:rFonts w:hint="eastAsia" w:asciiTheme="minorEastAsia" w:hAnsiTheme="minorEastAsia" w:eastAsiaTheme="minorEastAsia" w:cstheme="minorEastAsia"/>
                <w:color w:val="auto"/>
                <w:szCs w:val="21"/>
                <w:highlight w:val="none"/>
              </w:rPr>
              <w:t>。</w:t>
            </w:r>
          </w:p>
          <w:p w14:paraId="300B4250">
            <w:pPr>
              <w:keepNext w:val="0"/>
              <w:keepLines w:val="0"/>
              <w:pageBreakBefore w:val="0"/>
              <w:widowControl w:val="0"/>
              <w:kinsoku/>
              <w:wordWrap/>
              <w:overflowPunct/>
              <w:topLinePunct w:val="0"/>
              <w:bidi w:val="0"/>
              <w:spacing w:line="400" w:lineRule="exact"/>
              <w:jc w:val="both"/>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2.以联合体形式参加</w:t>
            </w:r>
            <w:r>
              <w:rPr>
                <w:rFonts w:hint="eastAsia" w:asciiTheme="minorEastAsia" w:hAnsiTheme="minorEastAsia" w:eastAsiaTheme="minorEastAsia" w:cstheme="minorEastAsia"/>
                <w:color w:val="auto"/>
                <w:szCs w:val="21"/>
                <w:highlight w:val="none"/>
                <w:lang w:eastAsia="zh-CN"/>
              </w:rPr>
              <w:t>竞标</w:t>
            </w:r>
            <w:r>
              <w:rPr>
                <w:rFonts w:hint="eastAsia" w:asciiTheme="minorEastAsia" w:hAnsiTheme="minorEastAsia" w:eastAsiaTheme="minorEastAsia" w:cstheme="minorEastAsia"/>
                <w:color w:val="auto"/>
                <w:szCs w:val="21"/>
                <w:highlight w:val="none"/>
              </w:rPr>
              <w:t>的，联合体各方均必须具备《中华人民共和国政府采购法》第二十二条第一款规定的基本条件（涉及行政许可范围的内容，联合体各方均应具备相应资质）。本项目有特殊要求规定</w:t>
            </w:r>
            <w:r>
              <w:rPr>
                <w:rFonts w:hint="eastAsia" w:asciiTheme="minorEastAsia" w:hAnsiTheme="minorEastAsia" w:eastAsiaTheme="minorEastAsia" w:cstheme="minorEastAsia"/>
                <w:color w:val="auto"/>
                <w:szCs w:val="21"/>
                <w:highlight w:val="none"/>
                <w:lang w:eastAsia="zh-CN"/>
              </w:rPr>
              <w:t>供应商</w:t>
            </w:r>
            <w:r>
              <w:rPr>
                <w:rFonts w:hint="eastAsia" w:asciiTheme="minorEastAsia" w:hAnsiTheme="minorEastAsia" w:eastAsiaTheme="minorEastAsia" w:cstheme="minorEastAsia"/>
                <w:color w:val="auto"/>
                <w:szCs w:val="21"/>
                <w:highlight w:val="none"/>
              </w:rPr>
              <w:t>特定条件的，联合体各方中至少有一方必须符合采购文件规定的</w:t>
            </w:r>
            <w:r>
              <w:rPr>
                <w:rFonts w:hint="eastAsia" w:asciiTheme="minorEastAsia" w:hAnsiTheme="minorEastAsia" w:eastAsiaTheme="minorEastAsia" w:cstheme="minorEastAsia"/>
                <w:color w:val="auto"/>
                <w:szCs w:val="21"/>
                <w:highlight w:val="none"/>
                <w:lang w:eastAsia="zh-CN"/>
              </w:rPr>
              <w:t>“4.本项目的特定条件”</w:t>
            </w:r>
            <w:r>
              <w:rPr>
                <w:rFonts w:hint="eastAsia" w:asciiTheme="minorEastAsia" w:hAnsiTheme="minorEastAsia" w:eastAsiaTheme="minorEastAsia" w:cstheme="minorEastAsia"/>
                <w:color w:val="auto"/>
                <w:szCs w:val="21"/>
                <w:highlight w:val="none"/>
              </w:rPr>
              <w:t>。</w:t>
            </w:r>
          </w:p>
          <w:p w14:paraId="692D9000">
            <w:pPr>
              <w:keepNext w:val="0"/>
              <w:keepLines w:val="0"/>
              <w:pageBreakBefore w:val="0"/>
              <w:widowControl w:val="0"/>
              <w:kinsoku/>
              <w:wordWrap/>
              <w:overflowPunct/>
              <w:topLinePunct w:val="0"/>
              <w:bidi w:val="0"/>
              <w:spacing w:line="400" w:lineRule="exact"/>
              <w:jc w:val="both"/>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联合体竞标的，须提供《联合体竞标协议书》（格式后附），协议书必须明确主体方（或者牵头方）并明确约定联合体各方承担的工作和相应的责任（各方承担责任与义务的分工必须符合采购需求，否则，联合体竞标无效），并将联合竞标协议放入响应文件。联合体各方必须共同与采购人签订采购合同，就采购合同约定的事项对采购人承担连带责任。</w:t>
            </w:r>
          </w:p>
          <w:p w14:paraId="59D83872">
            <w:pPr>
              <w:keepNext w:val="0"/>
              <w:keepLines w:val="0"/>
              <w:pageBreakBefore w:val="0"/>
              <w:widowControl w:val="0"/>
              <w:kinsoku/>
              <w:wordWrap/>
              <w:overflowPunct/>
              <w:topLinePunct w:val="0"/>
              <w:bidi w:val="0"/>
              <w:spacing w:line="400" w:lineRule="exact"/>
              <w:jc w:val="both"/>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4.以联合体形式参加政府采购活动的，联合体各方不得再单独参加或者与其他</w:t>
            </w:r>
            <w:r>
              <w:rPr>
                <w:rFonts w:hint="eastAsia" w:asciiTheme="minorEastAsia" w:hAnsiTheme="minorEastAsia" w:eastAsiaTheme="minorEastAsia" w:cstheme="minorEastAsia"/>
                <w:color w:val="auto"/>
                <w:szCs w:val="21"/>
                <w:highlight w:val="none"/>
                <w:lang w:eastAsia="zh-CN"/>
              </w:rPr>
              <w:t>供应商</w:t>
            </w:r>
            <w:r>
              <w:rPr>
                <w:rFonts w:hint="eastAsia" w:asciiTheme="minorEastAsia" w:hAnsiTheme="minorEastAsia" w:eastAsiaTheme="minorEastAsia" w:cstheme="minorEastAsia"/>
                <w:color w:val="auto"/>
                <w:szCs w:val="21"/>
                <w:highlight w:val="none"/>
              </w:rPr>
              <w:t>另外组成联合体参加同一合同项下的政府采购活动。</w:t>
            </w:r>
          </w:p>
          <w:p w14:paraId="5C052750">
            <w:pPr>
              <w:keepNext w:val="0"/>
              <w:keepLines w:val="0"/>
              <w:pageBreakBefore w:val="0"/>
              <w:widowControl w:val="0"/>
              <w:kinsoku/>
              <w:wordWrap/>
              <w:overflowPunct/>
              <w:topLinePunct w:val="0"/>
              <w:bidi w:val="0"/>
              <w:spacing w:line="400" w:lineRule="exact"/>
              <w:jc w:val="both"/>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5.联合体中有同类资质的竞标人按照联合体分工承担相同工作的，应当按照资质等级较低的竞标人确定资质等级。</w:t>
            </w:r>
          </w:p>
          <w:p w14:paraId="6679486B">
            <w:pPr>
              <w:keepNext w:val="0"/>
              <w:keepLines w:val="0"/>
              <w:pageBreakBefore w:val="0"/>
              <w:widowControl w:val="0"/>
              <w:kinsoku/>
              <w:wordWrap/>
              <w:overflowPunct/>
              <w:topLinePunct w:val="0"/>
              <w:bidi w:val="0"/>
              <w:spacing w:line="400" w:lineRule="exact"/>
              <w:jc w:val="both"/>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6.联合体</w:t>
            </w:r>
            <w:r>
              <w:rPr>
                <w:rFonts w:hint="eastAsia" w:asciiTheme="minorEastAsia" w:hAnsiTheme="minorEastAsia" w:eastAsiaTheme="minorEastAsia" w:cstheme="minorEastAsia"/>
                <w:color w:val="auto"/>
                <w:szCs w:val="21"/>
                <w:highlight w:val="none"/>
                <w:lang w:eastAsia="zh-CN"/>
              </w:rPr>
              <w:t>竞标</w:t>
            </w:r>
            <w:r>
              <w:rPr>
                <w:rFonts w:hint="eastAsia" w:asciiTheme="minorEastAsia" w:hAnsiTheme="minorEastAsia" w:eastAsiaTheme="minorEastAsia" w:cstheme="minorEastAsia"/>
                <w:color w:val="auto"/>
                <w:szCs w:val="21"/>
                <w:highlight w:val="none"/>
              </w:rPr>
              <w:t>业绩、履约能力按照联合体各方其中较高的一方认定并计算（采购文件另有规定的除外）。</w:t>
            </w:r>
          </w:p>
          <w:p w14:paraId="3B9BCC5A">
            <w:pPr>
              <w:keepNext w:val="0"/>
              <w:keepLines w:val="0"/>
              <w:pageBreakBefore w:val="0"/>
              <w:widowControl w:val="0"/>
              <w:kinsoku/>
              <w:wordWrap/>
              <w:overflowPunct/>
              <w:topLinePunct w:val="0"/>
              <w:bidi w:val="0"/>
              <w:spacing w:line="400" w:lineRule="exact"/>
              <w:jc w:val="both"/>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w:t>
            </w:r>
            <w:r>
              <w:rPr>
                <w:rFonts w:hint="eastAsia" w:asciiTheme="minorEastAsia" w:hAnsiTheme="minorEastAsia" w:eastAsiaTheme="minorEastAsia" w:cstheme="minorEastAsia"/>
                <w:color w:val="auto"/>
                <w:szCs w:val="21"/>
                <w:highlight w:val="none"/>
                <w:lang w:eastAsia="zh-CN"/>
              </w:rPr>
              <w:t>供应商</w:t>
            </w:r>
            <w:r>
              <w:rPr>
                <w:rFonts w:hint="eastAsia" w:asciiTheme="minorEastAsia" w:hAnsiTheme="minorEastAsia" w:eastAsiaTheme="minorEastAsia" w:cstheme="minorEastAsia"/>
                <w:color w:val="auto"/>
                <w:szCs w:val="21"/>
                <w:highlight w:val="none"/>
              </w:rPr>
              <w:t>为联合体的，可以由联合体中的一方或者多方共同交纳</w:t>
            </w:r>
            <w:r>
              <w:rPr>
                <w:rFonts w:hint="eastAsia" w:asciiTheme="minorEastAsia" w:hAnsiTheme="minorEastAsia" w:eastAsiaTheme="minorEastAsia" w:cstheme="minorEastAsia"/>
                <w:color w:val="auto"/>
                <w:szCs w:val="21"/>
                <w:highlight w:val="none"/>
                <w:lang w:eastAsia="zh-CN"/>
              </w:rPr>
              <w:t>竞标</w:t>
            </w:r>
            <w:r>
              <w:rPr>
                <w:rFonts w:hint="eastAsia" w:asciiTheme="minorEastAsia" w:hAnsiTheme="minorEastAsia" w:eastAsiaTheme="minorEastAsia" w:cstheme="minorEastAsia"/>
                <w:color w:val="auto"/>
                <w:szCs w:val="21"/>
                <w:highlight w:val="none"/>
              </w:rPr>
              <w:t>保证金，其交纳的保证金对联合体各方均具有约束力。</w:t>
            </w:r>
          </w:p>
          <w:p w14:paraId="57967D6B">
            <w:pPr>
              <w:keepNext w:val="0"/>
              <w:keepLines w:val="0"/>
              <w:pageBreakBefore w:val="0"/>
              <w:widowControl w:val="0"/>
              <w:kinsoku/>
              <w:wordWrap/>
              <w:overflowPunct/>
              <w:topLinePunct w:val="0"/>
              <w:bidi w:val="0"/>
              <w:spacing w:line="400" w:lineRule="exact"/>
              <w:jc w:val="both"/>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8.联合体各方均应按照采购文件的规定提交资格证明文件。除联合体协议书及特定备注要求需要双方盖法人单位公章（可采用纸质版盖联合体各方法人单位公章后扫描上传），其他只需盖联合体牵头单位的电子印章。</w:t>
            </w:r>
          </w:p>
        </w:tc>
      </w:tr>
      <w:tr w14:paraId="279B4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60" w:type="dxa"/>
            <w:vAlign w:val="center"/>
          </w:tcPr>
          <w:p w14:paraId="3E61D98D">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6.1</w:t>
            </w:r>
          </w:p>
        </w:tc>
        <w:tc>
          <w:tcPr>
            <w:tcW w:w="2126" w:type="dxa"/>
            <w:vAlign w:val="center"/>
          </w:tcPr>
          <w:p w14:paraId="5F7B883B">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是否允许分包</w:t>
            </w:r>
          </w:p>
        </w:tc>
        <w:tc>
          <w:tcPr>
            <w:tcW w:w="5857" w:type="dxa"/>
            <w:vAlign w:val="center"/>
          </w:tcPr>
          <w:p w14:paraId="63026012">
            <w:pPr>
              <w:pStyle w:val="11"/>
              <w:keepNext w:val="0"/>
              <w:keepLines w:val="0"/>
              <w:pageBreakBefore w:val="0"/>
              <w:widowControl w:val="0"/>
              <w:kinsoku/>
              <w:wordWrap/>
              <w:overflowPunct/>
              <w:topLinePunct w:val="0"/>
              <w:bidi w:val="0"/>
              <w:spacing w:line="400" w:lineRule="exact"/>
              <w:jc w:val="both"/>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不允许分包</w:t>
            </w:r>
          </w:p>
          <w:p w14:paraId="14E97A90">
            <w:pPr>
              <w:pStyle w:val="11"/>
              <w:keepNext w:val="0"/>
              <w:keepLines w:val="0"/>
              <w:pageBreakBefore w:val="0"/>
              <w:widowControl w:val="0"/>
              <w:kinsoku/>
              <w:wordWrap/>
              <w:overflowPunct/>
              <w:topLinePunct w:val="0"/>
              <w:bidi w:val="0"/>
              <w:spacing w:line="400" w:lineRule="exact"/>
              <w:jc w:val="both"/>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允许分包</w:t>
            </w:r>
          </w:p>
          <w:p w14:paraId="5A6DA127">
            <w:pPr>
              <w:pStyle w:val="11"/>
              <w:keepNext w:val="0"/>
              <w:keepLines w:val="0"/>
              <w:pageBreakBefore w:val="0"/>
              <w:widowControl w:val="0"/>
              <w:kinsoku/>
              <w:wordWrap/>
              <w:overflowPunct/>
              <w:topLinePunct w:val="0"/>
              <w:bidi w:val="0"/>
              <w:spacing w:line="400" w:lineRule="exact"/>
              <w:jc w:val="both"/>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分包内容：</w:t>
            </w:r>
            <w:r>
              <w:rPr>
                <w:rFonts w:hint="eastAsia" w:asciiTheme="minorEastAsia" w:hAnsiTheme="minorEastAsia" w:eastAsiaTheme="minorEastAsia" w:cstheme="minorEastAsia"/>
                <w:color w:val="000000" w:themeColor="text1"/>
                <w:szCs w:val="21"/>
                <w:highlight w:val="none"/>
                <w:u w:val="single"/>
                <w14:textFill>
                  <w14:solidFill>
                    <w14:schemeClr w14:val="tx1"/>
                  </w14:solidFill>
                </w14:textFill>
              </w:rPr>
              <w:t>本项目</w:t>
            </w:r>
            <w:r>
              <w:rPr>
                <w:rFonts w:hint="eastAsia" w:asciiTheme="minorEastAsia" w:hAnsiTheme="minorEastAsia" w:eastAsiaTheme="minorEastAsia" w:cstheme="minorEastAsia"/>
                <w:color w:val="000000" w:themeColor="text1"/>
                <w:szCs w:val="21"/>
                <w:highlight w:val="none"/>
                <w:u w:val="single"/>
                <w:lang w:val="en-US" w:eastAsia="zh-CN"/>
                <w14:textFill>
                  <w14:solidFill>
                    <w14:schemeClr w14:val="tx1"/>
                  </w14:solidFill>
                </w14:textFill>
              </w:rPr>
              <w:t>仅</w:t>
            </w:r>
            <w:r>
              <w:rPr>
                <w:rFonts w:hint="eastAsia" w:asciiTheme="minorEastAsia" w:hAnsiTheme="minorEastAsia" w:eastAsiaTheme="minorEastAsia" w:cstheme="minorEastAsia"/>
                <w:color w:val="000000" w:themeColor="text1"/>
                <w:szCs w:val="21"/>
                <w:highlight w:val="none"/>
                <w:u w:val="single"/>
                <w14:textFill>
                  <w14:solidFill>
                    <w14:schemeClr w14:val="tx1"/>
                  </w14:solidFill>
                </w14:textFill>
              </w:rPr>
              <w:t>防雷检测允许</w:t>
            </w:r>
            <w:r>
              <w:rPr>
                <w:rFonts w:hint="eastAsia" w:asciiTheme="minorEastAsia" w:hAnsiTheme="minorEastAsia" w:eastAsiaTheme="minorEastAsia" w:cstheme="minorEastAsia"/>
                <w:color w:val="000000" w:themeColor="text1"/>
                <w:szCs w:val="21"/>
                <w:highlight w:val="none"/>
                <w:u w:val="single"/>
                <w:lang w:val="en-US" w:eastAsia="zh-CN"/>
                <w14:textFill>
                  <w14:solidFill>
                    <w14:schemeClr w14:val="tx1"/>
                  </w14:solidFill>
                </w14:textFill>
              </w:rPr>
              <w:t>成交</w:t>
            </w:r>
            <w:r>
              <w:rPr>
                <w:rFonts w:hint="eastAsia" w:asciiTheme="minorEastAsia" w:hAnsiTheme="minorEastAsia" w:eastAsiaTheme="minorEastAsia" w:cstheme="minorEastAsia"/>
                <w:color w:val="000000" w:themeColor="text1"/>
                <w:szCs w:val="21"/>
                <w:highlight w:val="none"/>
                <w:u w:val="single"/>
                <w14:textFill>
                  <w14:solidFill>
                    <w14:schemeClr w14:val="tx1"/>
                  </w14:solidFill>
                </w14:textFill>
              </w:rPr>
              <w:t>供应商进行分包</w:t>
            </w:r>
            <w:r>
              <w:rPr>
                <w:rFonts w:hint="eastAsia" w:asciiTheme="minorEastAsia" w:hAnsiTheme="minorEastAsia" w:eastAsiaTheme="minorEastAsia" w:cstheme="minorEastAsia"/>
                <w:color w:val="000000" w:themeColor="text1"/>
                <w:szCs w:val="21"/>
                <w:highlight w:val="none"/>
                <w:u w:val="single"/>
                <w:lang w:eastAsia="zh-CN"/>
                <w14:textFill>
                  <w14:solidFill>
                    <w14:schemeClr w14:val="tx1"/>
                  </w14:solidFill>
                </w14:textFill>
              </w:rPr>
              <w:t>，</w:t>
            </w:r>
            <w:r>
              <w:rPr>
                <w:rFonts w:hint="eastAsia" w:ascii="宋体" w:hAnsi="宋体" w:eastAsia="宋体"/>
                <w:color w:val="auto"/>
                <w:szCs w:val="21"/>
                <w:highlight w:val="none"/>
                <w:u w:val="single"/>
              </w:rPr>
              <w:t>不要求竞标人必须具备相关资质</w:t>
            </w:r>
            <w:r>
              <w:rPr>
                <w:rFonts w:hint="eastAsia" w:ascii="宋体" w:hAnsi="宋体"/>
                <w:color w:val="auto"/>
                <w:szCs w:val="21"/>
                <w:highlight w:val="none"/>
                <w:u w:val="single"/>
                <w:lang w:eastAsia="zh-CN"/>
              </w:rPr>
              <w:t>。</w:t>
            </w:r>
            <w:r>
              <w:rPr>
                <w:rFonts w:hint="eastAsia" w:ascii="宋体" w:hAnsi="宋体" w:eastAsia="宋体"/>
                <w:color w:val="auto"/>
                <w:szCs w:val="21"/>
                <w:highlight w:val="none"/>
                <w:u w:val="single"/>
              </w:rPr>
              <w:t>本项目属于第二类防雷建筑物，按照《雷电防护装置检测资质管理办法》规定，负责防雷检测的分包单位具有省级或以上气象主管机构颁发的《雷电防护装置检测资质证》（资质等级：甲级），如为他省级（非广西）气象局认定的，应在广西壮族自治区气象局有备案登记并已向社会公示单位信息</w:t>
            </w:r>
            <w:r>
              <w:rPr>
                <w:rFonts w:hint="eastAsia" w:asciiTheme="minorEastAsia" w:hAnsiTheme="minorEastAsia" w:eastAsiaTheme="minorEastAsia" w:cstheme="minorEastAsia"/>
                <w:color w:val="auto"/>
                <w:szCs w:val="21"/>
                <w:highlight w:val="none"/>
              </w:rPr>
              <w:t>。</w:t>
            </w:r>
          </w:p>
          <w:p w14:paraId="780176A8">
            <w:pPr>
              <w:pStyle w:val="11"/>
              <w:keepNext w:val="0"/>
              <w:keepLines w:val="0"/>
              <w:pageBreakBefore w:val="0"/>
              <w:widowControl w:val="0"/>
              <w:kinsoku/>
              <w:wordWrap/>
              <w:overflowPunct/>
              <w:topLinePunct w:val="0"/>
              <w:bidi w:val="0"/>
              <w:spacing w:line="400" w:lineRule="exact"/>
              <w:jc w:val="both"/>
              <w:rPr>
                <w:rFonts w:hint="eastAsia" w:asciiTheme="minorEastAsia" w:hAnsiTheme="minorEastAsia" w:eastAsiaTheme="minorEastAsia" w:cstheme="minorEastAsia"/>
                <w:color w:val="000000" w:themeColor="text1"/>
                <w:szCs w:val="21"/>
                <w:highlight w:val="none"/>
                <w:u w:val="none"/>
                <w14:textFill>
                  <w14:solidFill>
                    <w14:schemeClr w14:val="tx1"/>
                  </w14:solidFill>
                </w14:textFill>
              </w:rPr>
            </w:pPr>
            <w:r>
              <w:rPr>
                <w:rFonts w:hint="eastAsia" w:asciiTheme="minorEastAsia" w:hAnsiTheme="minorEastAsia" w:eastAsiaTheme="minorEastAsia" w:cstheme="minorEastAsia"/>
                <w:color w:val="auto"/>
                <w:szCs w:val="21"/>
                <w:highlight w:val="none"/>
              </w:rPr>
              <w:t>分包金额或者比例</w:t>
            </w:r>
            <w:r>
              <w:rPr>
                <w:rFonts w:hint="eastAsia" w:asciiTheme="minorEastAsia" w:hAnsiTheme="minorEastAsia" w:eastAsiaTheme="minorEastAsia" w:cstheme="minorEastAsia"/>
                <w:i w:val="0"/>
                <w:iCs w:val="0"/>
                <w:color w:val="auto"/>
                <w:szCs w:val="21"/>
                <w:highlight w:val="none"/>
                <w:u w:val="none"/>
              </w:rPr>
              <w:t>：</w:t>
            </w:r>
            <w:r>
              <w:rPr>
                <w:rFonts w:hint="eastAsia" w:asciiTheme="minorEastAsia" w:hAnsiTheme="minorEastAsia" w:eastAsiaTheme="minorEastAsia" w:cstheme="minorEastAsia"/>
                <w:color w:val="auto"/>
                <w:szCs w:val="21"/>
                <w:highlight w:val="none"/>
                <w:u w:val="single"/>
                <w:lang w:val="en-US" w:eastAsia="zh-CN"/>
              </w:rPr>
              <w:t>采购阶段暂无法预先确定固定分包金额或者比例的，成交后以项目最终审定结算总价作为计算基数</w:t>
            </w:r>
            <w:r>
              <w:rPr>
                <w:rFonts w:hint="eastAsia" w:asciiTheme="minorEastAsia" w:hAnsiTheme="minorEastAsia" w:eastAsiaTheme="minorEastAsia" w:cstheme="minorEastAsia"/>
                <w:color w:val="auto"/>
                <w:szCs w:val="21"/>
                <w:highlight w:val="none"/>
                <w:u w:val="none"/>
              </w:rPr>
              <w:t>。</w:t>
            </w:r>
          </w:p>
        </w:tc>
      </w:tr>
      <w:tr w14:paraId="79B7A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60" w:type="dxa"/>
            <w:vAlign w:val="center"/>
          </w:tcPr>
          <w:p w14:paraId="31CEF359">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12.1.1</w:t>
            </w:r>
          </w:p>
        </w:tc>
        <w:tc>
          <w:tcPr>
            <w:tcW w:w="2126" w:type="dxa"/>
            <w:vAlign w:val="center"/>
          </w:tcPr>
          <w:p w14:paraId="057EB0CD">
            <w:pPr>
              <w:keepNext w:val="0"/>
              <w:keepLines w:val="0"/>
              <w:pageBreakBefore w:val="0"/>
              <w:widowControl w:val="0"/>
              <w:kinsoku/>
              <w:wordWrap/>
              <w:overflowPunct/>
              <w:topLinePunct w:val="0"/>
              <w:bidi w:val="0"/>
              <w:snapToGrid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t>资格证明文件组成</w:t>
            </w:r>
          </w:p>
        </w:tc>
        <w:tc>
          <w:tcPr>
            <w:tcW w:w="5857" w:type="dxa"/>
            <w:vAlign w:val="center"/>
          </w:tcPr>
          <w:p w14:paraId="133DA63B">
            <w:pPr>
              <w:pStyle w:val="11"/>
              <w:keepNext w:val="0"/>
              <w:keepLines w:val="0"/>
              <w:pageBreakBefore w:val="0"/>
              <w:widowControl w:val="0"/>
              <w:kinsoku/>
              <w:wordWrap/>
              <w:overflowPunct/>
              <w:topLinePunct w:val="0"/>
              <w:bidi w:val="0"/>
              <w:spacing w:line="400" w:lineRule="exact"/>
              <w:jc w:val="both"/>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1.供应商为法人或者其他组织的提供其营业执照等证明文件（如营业执照或者事业单位法人证书或者执业许可证等），供应商为自然人的提供其身份</w:t>
            </w:r>
            <w:r>
              <w:rPr>
                <w:rFonts w:hint="eastAsia" w:asciiTheme="minorEastAsia" w:hAnsiTheme="minorEastAsia" w:eastAsiaTheme="minorEastAsia" w:cstheme="minorEastAsia"/>
                <w:color w:val="auto"/>
                <w:szCs w:val="21"/>
                <w:highlight w:val="none"/>
              </w:rPr>
              <w:t>证复印件；</w:t>
            </w:r>
            <w:r>
              <w:rPr>
                <w:rFonts w:hint="eastAsia" w:asciiTheme="minorEastAsia" w:hAnsiTheme="minorEastAsia" w:eastAsiaTheme="minorEastAsia" w:cstheme="minorEastAsia"/>
                <w:b/>
                <w:bCs/>
                <w:color w:val="auto"/>
                <w:szCs w:val="21"/>
                <w:highlight w:val="none"/>
              </w:rPr>
              <w:t>（必须提供，否则响应文件按无效响应处理）</w:t>
            </w:r>
          </w:p>
          <w:p w14:paraId="297BCC54">
            <w:pPr>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color w:val="auto"/>
                <w:szCs w:val="21"/>
                <w:highlight w:val="none"/>
              </w:rPr>
              <w:t>2.供应商依法缴纳税收的相关材料（</w:t>
            </w:r>
            <w:r>
              <w:rPr>
                <w:rFonts w:hint="eastAsia" w:asciiTheme="minorEastAsia" w:hAnsiTheme="minorEastAsia" w:eastAsiaTheme="minorEastAsia" w:cstheme="minorEastAsia"/>
                <w:color w:val="auto"/>
                <w:szCs w:val="21"/>
                <w:highlight w:val="none"/>
                <w:u w:val="single"/>
              </w:rPr>
              <w:t>202</w:t>
            </w:r>
            <w:r>
              <w:rPr>
                <w:rFonts w:hint="eastAsia" w:asciiTheme="minorEastAsia" w:hAnsiTheme="minorEastAsia" w:eastAsiaTheme="minorEastAsia" w:cstheme="minorEastAsia"/>
                <w:color w:val="auto"/>
                <w:szCs w:val="21"/>
                <w:highlight w:val="none"/>
                <w:u w:val="single"/>
                <w:lang w:val="en-US" w:eastAsia="zh-CN"/>
              </w:rPr>
              <w:t>6</w:t>
            </w:r>
            <w:r>
              <w:rPr>
                <w:rFonts w:hint="eastAsia" w:asciiTheme="minorEastAsia" w:hAnsiTheme="minorEastAsia" w:eastAsiaTheme="minorEastAsia" w:cstheme="minorEastAsia"/>
                <w:color w:val="auto"/>
                <w:szCs w:val="21"/>
                <w:highlight w:val="none"/>
                <w:u w:val="single"/>
              </w:rPr>
              <w:t>年</w:t>
            </w:r>
            <w:r>
              <w:rPr>
                <w:rFonts w:hint="eastAsia" w:asciiTheme="minorEastAsia" w:hAnsiTheme="minorEastAsia" w:eastAsiaTheme="minorEastAsia" w:cstheme="minorEastAsia"/>
                <w:color w:val="auto"/>
                <w:szCs w:val="21"/>
                <w:highlight w:val="none"/>
                <w:u w:val="single"/>
                <w:lang w:val="en-US" w:eastAsia="zh-CN"/>
              </w:rPr>
              <w:t>02</w:t>
            </w:r>
            <w:r>
              <w:rPr>
                <w:rFonts w:hint="eastAsia" w:asciiTheme="minorEastAsia" w:hAnsiTheme="minorEastAsia" w:eastAsiaTheme="minorEastAsia" w:cstheme="minorEastAsia"/>
                <w:color w:val="auto"/>
                <w:szCs w:val="21"/>
                <w:highlight w:val="none"/>
                <w:u w:val="single"/>
              </w:rPr>
              <w:t>月至202</w:t>
            </w:r>
            <w:r>
              <w:rPr>
                <w:rFonts w:hint="eastAsia" w:asciiTheme="minorEastAsia" w:hAnsiTheme="minorEastAsia" w:eastAsiaTheme="minorEastAsia" w:cstheme="minorEastAsia"/>
                <w:color w:val="auto"/>
                <w:szCs w:val="21"/>
                <w:highlight w:val="none"/>
                <w:u w:val="single"/>
                <w:lang w:val="en-US" w:eastAsia="zh-CN"/>
              </w:rPr>
              <w:t>6</w:t>
            </w:r>
            <w:r>
              <w:rPr>
                <w:rFonts w:hint="eastAsia" w:asciiTheme="minorEastAsia" w:hAnsiTheme="minorEastAsia" w:eastAsiaTheme="minorEastAsia" w:cstheme="minorEastAsia"/>
                <w:color w:val="auto"/>
                <w:szCs w:val="21"/>
                <w:highlight w:val="none"/>
                <w:u w:val="single"/>
              </w:rPr>
              <w:t>年</w:t>
            </w:r>
            <w:r>
              <w:rPr>
                <w:rFonts w:hint="eastAsia" w:asciiTheme="minorEastAsia" w:hAnsiTheme="minorEastAsia" w:eastAsiaTheme="minorEastAsia" w:cstheme="minorEastAsia"/>
                <w:color w:val="auto"/>
                <w:szCs w:val="21"/>
                <w:highlight w:val="none"/>
                <w:u w:val="single"/>
                <w:lang w:val="en-US" w:eastAsia="zh-CN"/>
              </w:rPr>
              <w:t>08</w:t>
            </w:r>
            <w:r>
              <w:rPr>
                <w:rFonts w:hint="eastAsia" w:asciiTheme="minorEastAsia" w:hAnsiTheme="minorEastAsia" w:eastAsiaTheme="minorEastAsia" w:cstheme="minorEastAsia"/>
                <w:color w:val="auto"/>
                <w:szCs w:val="21"/>
                <w:highlight w:val="none"/>
                <w:u w:val="single"/>
              </w:rPr>
              <w:t>月</w:t>
            </w:r>
            <w:r>
              <w:rPr>
                <w:rFonts w:hint="eastAsia" w:asciiTheme="minorEastAsia" w:hAnsiTheme="minorEastAsia" w:eastAsiaTheme="minorEastAsia" w:cstheme="minorEastAsia"/>
                <w:color w:val="auto"/>
                <w:szCs w:val="21"/>
                <w:highlight w:val="none"/>
              </w:rPr>
              <w:t>内任意</w:t>
            </w:r>
            <w:r>
              <w:rPr>
                <w:rFonts w:hint="eastAsia" w:asciiTheme="minorEastAsia" w:hAnsiTheme="minorEastAsia" w:eastAsiaTheme="minorEastAsia" w:cstheme="minorEastAsia"/>
                <w:color w:val="auto"/>
                <w:szCs w:val="21"/>
                <w:highlight w:val="none"/>
                <w:lang w:val="en-US" w:eastAsia="zh-CN"/>
              </w:rPr>
              <w:t>连续</w:t>
            </w:r>
            <w:r>
              <w:rPr>
                <w:rFonts w:hint="eastAsia" w:asciiTheme="minorEastAsia" w:hAnsiTheme="minorEastAsia" w:eastAsiaTheme="minorEastAsia" w:cstheme="minorEastAsia"/>
                <w:color w:val="auto"/>
                <w:szCs w:val="21"/>
                <w:highlight w:val="none"/>
                <w:u w:val="single"/>
                <w:lang w:val="en-US" w:eastAsia="zh-CN"/>
              </w:rPr>
              <w:t>3</w:t>
            </w:r>
            <w:r>
              <w:rPr>
                <w:rFonts w:hint="eastAsia" w:asciiTheme="minorEastAsia" w:hAnsiTheme="minorEastAsia" w:eastAsiaTheme="minorEastAsia" w:cstheme="minorEastAsia"/>
                <w:color w:val="auto"/>
                <w:szCs w:val="21"/>
                <w:highlight w:val="none"/>
                <w:u w:val="single"/>
              </w:rPr>
              <w:t>个月</w:t>
            </w:r>
            <w:r>
              <w:rPr>
                <w:rFonts w:hint="eastAsia" w:asciiTheme="minorEastAsia" w:hAnsiTheme="minorEastAsia" w:eastAsiaTheme="minorEastAsia" w:cstheme="minorEastAsia"/>
                <w:color w:val="auto"/>
                <w:szCs w:val="21"/>
                <w:highlight w:val="none"/>
              </w:rPr>
              <w:t>的依法缴纳税收的凭据复印件或纳税申报）；依法免税的供应商，必须提供相应文件证明其依法免税。从取得营业执照时间起至响应文件提交截止时间为止不足要求月数的，只需提供从取得营业执照起的依法缴纳税收相应证明文件）；</w:t>
            </w:r>
            <w:r>
              <w:rPr>
                <w:rFonts w:hint="eastAsia" w:asciiTheme="minorEastAsia" w:hAnsiTheme="minorEastAsia" w:eastAsiaTheme="minorEastAsia" w:cstheme="minorEastAsia"/>
                <w:b/>
                <w:bCs/>
                <w:color w:val="auto"/>
                <w:szCs w:val="21"/>
                <w:highlight w:val="none"/>
              </w:rPr>
              <w:t>（必须提供，否则响应文件按无效响应处理）</w:t>
            </w:r>
          </w:p>
          <w:p w14:paraId="0631DDE4">
            <w:pPr>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auto"/>
                <w:szCs w:val="21"/>
                <w:highlight w:val="none"/>
              </w:rPr>
              <w:t>3.供应商依法缴纳社会保障资金的相关材料[</w:t>
            </w:r>
            <w:r>
              <w:rPr>
                <w:rFonts w:hint="eastAsia" w:asciiTheme="minorEastAsia" w:hAnsiTheme="minorEastAsia" w:eastAsiaTheme="minorEastAsia" w:cstheme="minorEastAsia"/>
                <w:color w:val="auto"/>
                <w:szCs w:val="21"/>
                <w:highlight w:val="none"/>
                <w:u w:val="single"/>
              </w:rPr>
              <w:t>202</w:t>
            </w:r>
            <w:r>
              <w:rPr>
                <w:rFonts w:hint="eastAsia" w:asciiTheme="minorEastAsia" w:hAnsiTheme="minorEastAsia" w:eastAsiaTheme="minorEastAsia" w:cstheme="minorEastAsia"/>
                <w:color w:val="auto"/>
                <w:szCs w:val="21"/>
                <w:highlight w:val="none"/>
                <w:u w:val="single"/>
                <w:lang w:val="en-US" w:eastAsia="zh-CN"/>
              </w:rPr>
              <w:t>6</w:t>
            </w:r>
            <w:r>
              <w:rPr>
                <w:rFonts w:hint="eastAsia" w:asciiTheme="minorEastAsia" w:hAnsiTheme="minorEastAsia" w:eastAsiaTheme="minorEastAsia" w:cstheme="minorEastAsia"/>
                <w:color w:val="auto"/>
                <w:szCs w:val="21"/>
                <w:highlight w:val="none"/>
                <w:u w:val="single"/>
              </w:rPr>
              <w:t>年</w:t>
            </w:r>
            <w:r>
              <w:rPr>
                <w:rFonts w:hint="eastAsia" w:asciiTheme="minorEastAsia" w:hAnsiTheme="minorEastAsia" w:eastAsiaTheme="minorEastAsia" w:cstheme="minorEastAsia"/>
                <w:color w:val="auto"/>
                <w:szCs w:val="21"/>
                <w:highlight w:val="none"/>
                <w:u w:val="single"/>
                <w:lang w:val="en-US" w:eastAsia="zh-CN"/>
              </w:rPr>
              <w:t>02</w:t>
            </w:r>
            <w:r>
              <w:rPr>
                <w:rFonts w:hint="eastAsia" w:asciiTheme="minorEastAsia" w:hAnsiTheme="minorEastAsia" w:eastAsiaTheme="minorEastAsia" w:cstheme="minorEastAsia"/>
                <w:color w:val="auto"/>
                <w:szCs w:val="21"/>
                <w:highlight w:val="none"/>
                <w:u w:val="single"/>
              </w:rPr>
              <w:t>月至202</w:t>
            </w:r>
            <w:r>
              <w:rPr>
                <w:rFonts w:hint="eastAsia" w:asciiTheme="minorEastAsia" w:hAnsiTheme="minorEastAsia" w:eastAsiaTheme="minorEastAsia" w:cstheme="minorEastAsia"/>
                <w:color w:val="auto"/>
                <w:szCs w:val="21"/>
                <w:highlight w:val="none"/>
                <w:u w:val="single"/>
                <w:lang w:val="en-US" w:eastAsia="zh-CN"/>
              </w:rPr>
              <w:t>6</w:t>
            </w:r>
            <w:r>
              <w:rPr>
                <w:rFonts w:hint="eastAsia" w:asciiTheme="minorEastAsia" w:hAnsiTheme="minorEastAsia" w:eastAsiaTheme="minorEastAsia" w:cstheme="minorEastAsia"/>
                <w:color w:val="auto"/>
                <w:szCs w:val="21"/>
                <w:highlight w:val="none"/>
                <w:u w:val="single"/>
              </w:rPr>
              <w:t>年</w:t>
            </w:r>
            <w:r>
              <w:rPr>
                <w:rFonts w:hint="eastAsia" w:asciiTheme="minorEastAsia" w:hAnsiTheme="minorEastAsia" w:eastAsiaTheme="minorEastAsia" w:cstheme="minorEastAsia"/>
                <w:color w:val="auto"/>
                <w:szCs w:val="21"/>
                <w:highlight w:val="none"/>
                <w:u w:val="single"/>
                <w:lang w:val="en-US" w:eastAsia="zh-CN"/>
              </w:rPr>
              <w:t>08</w:t>
            </w:r>
            <w:r>
              <w:rPr>
                <w:rFonts w:hint="eastAsia" w:asciiTheme="minorEastAsia" w:hAnsiTheme="minorEastAsia" w:eastAsiaTheme="minorEastAsia" w:cstheme="minorEastAsia"/>
                <w:color w:val="auto"/>
                <w:szCs w:val="21"/>
                <w:highlight w:val="none"/>
                <w:u w:val="single"/>
              </w:rPr>
              <w:t>月</w:t>
            </w:r>
            <w:r>
              <w:rPr>
                <w:rFonts w:hint="eastAsia" w:asciiTheme="minorEastAsia" w:hAnsiTheme="minorEastAsia" w:eastAsiaTheme="minorEastAsia" w:cstheme="minorEastAsia"/>
                <w:color w:val="auto"/>
                <w:szCs w:val="21"/>
                <w:highlight w:val="none"/>
              </w:rPr>
              <w:t>内任意</w:t>
            </w:r>
            <w:r>
              <w:rPr>
                <w:rFonts w:hint="eastAsia" w:asciiTheme="minorEastAsia" w:hAnsiTheme="minorEastAsia" w:eastAsiaTheme="minorEastAsia" w:cstheme="minorEastAsia"/>
                <w:color w:val="auto"/>
                <w:szCs w:val="21"/>
                <w:highlight w:val="none"/>
                <w:lang w:val="en-US" w:eastAsia="zh-CN"/>
              </w:rPr>
              <w:t>连续</w:t>
            </w:r>
            <w:r>
              <w:rPr>
                <w:rFonts w:hint="eastAsia" w:asciiTheme="minorEastAsia" w:hAnsiTheme="minorEastAsia" w:eastAsiaTheme="minorEastAsia" w:cstheme="minorEastAsia"/>
                <w:color w:val="auto"/>
                <w:szCs w:val="21"/>
                <w:highlight w:val="none"/>
                <w:u w:val="single"/>
                <w:lang w:val="en-US" w:eastAsia="zh-CN"/>
              </w:rPr>
              <w:t>3</w:t>
            </w:r>
            <w:r>
              <w:rPr>
                <w:rFonts w:hint="eastAsia" w:asciiTheme="minorEastAsia" w:hAnsiTheme="minorEastAsia" w:eastAsiaTheme="minorEastAsia" w:cstheme="minorEastAsia"/>
                <w:color w:val="auto"/>
                <w:szCs w:val="21"/>
                <w:highlight w:val="none"/>
                <w:u w:val="single"/>
              </w:rPr>
              <w:t>个月</w:t>
            </w:r>
            <w:r>
              <w:rPr>
                <w:rFonts w:hint="eastAsia" w:asciiTheme="minorEastAsia" w:hAnsiTheme="minorEastAsia" w:eastAsiaTheme="minorEastAsia" w:cstheme="minorEastAsia"/>
                <w:color w:val="auto"/>
                <w:szCs w:val="21"/>
                <w:highlight w:val="none"/>
              </w:rPr>
              <w:t>的依法缴纳社会保障资金的缴费凭证（专用收据或者社会保险</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缴纳清单）复印件；依法不需要缴纳社会保障资金的供应商，必须提供相应文件证明不需要缴纳社会保障资金。从取得营业执照时间起至响应文件提交截止时间为止不足要求月数的</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只需提供从取得营业执照起的依法缴纳社会保障资金的相应证明文件]；</w:t>
            </w: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（必须提供，否则</w:t>
            </w:r>
            <w:r>
              <w:rPr>
                <w:rFonts w:hint="eastAsia" w:asciiTheme="minorEastAsia" w:hAnsiTheme="minorEastAsia" w:eastAsiaTheme="minorEastAsia" w:cstheme="minorEastAsia"/>
                <w:b/>
                <w:bCs/>
                <w:color w:val="auto"/>
                <w:szCs w:val="21"/>
                <w:highlight w:val="none"/>
              </w:rPr>
              <w:t>响应文件按无效响应处理</w:t>
            </w: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w:t>
            </w:r>
          </w:p>
          <w:p w14:paraId="76F3D72E">
            <w:pPr>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b/>
                <w:bCs w:val="0"/>
                <w:color w:val="auto"/>
                <w:szCs w:val="21"/>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4.</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供应商</w:t>
            </w:r>
            <w:r>
              <w:rPr>
                <w:rFonts w:hint="eastAsia" w:ascii="新宋体" w:hAnsi="新宋体" w:eastAsia="新宋体" w:cs="新宋体"/>
                <w:color w:val="000000" w:themeColor="text1"/>
                <w:sz w:val="21"/>
                <w:szCs w:val="21"/>
                <w:highlight w:val="none"/>
                <w:lang w:eastAsia="zh-CN"/>
                <w14:textFill>
                  <w14:solidFill>
                    <w14:schemeClr w14:val="tx1"/>
                  </w14:solidFill>
                </w14:textFill>
              </w:rPr>
              <w:t>财务状况</w:t>
            </w:r>
            <w:r>
              <w:rPr>
                <w:rFonts w:hint="eastAsia" w:ascii="新宋体" w:hAnsi="新宋体" w:eastAsia="新宋体" w:cs="新宋体"/>
                <w:color w:val="auto"/>
                <w:sz w:val="21"/>
                <w:szCs w:val="21"/>
                <w:highlight w:val="none"/>
                <w:lang w:eastAsia="zh-CN"/>
              </w:rPr>
              <w:t>报告[</w:t>
            </w:r>
            <w:r>
              <w:rPr>
                <w:rFonts w:hint="eastAsia" w:ascii="新宋体" w:hAnsi="新宋体" w:eastAsia="新宋体" w:cs="新宋体"/>
                <w:color w:val="auto"/>
                <w:sz w:val="21"/>
                <w:szCs w:val="21"/>
                <w:highlight w:val="none"/>
                <w:u w:val="single"/>
                <w:lang w:val="en-US" w:eastAsia="zh-CN"/>
              </w:rPr>
              <w:t>2025年度</w:t>
            </w:r>
            <w:r>
              <w:rPr>
                <w:rFonts w:hint="eastAsia" w:ascii="宋体" w:hAnsi="宋体" w:eastAsia="宋体"/>
                <w:color w:val="auto"/>
                <w:szCs w:val="21"/>
                <w:highlight w:val="none"/>
              </w:rPr>
              <w:t>财务状况报告</w:t>
            </w:r>
            <w:r>
              <w:rPr>
                <w:rFonts w:hint="eastAsia" w:ascii="新宋体" w:hAnsi="新宋体" w:eastAsia="新宋体" w:cs="新宋体"/>
                <w:color w:val="auto"/>
                <w:sz w:val="21"/>
                <w:szCs w:val="21"/>
                <w:highlight w:val="none"/>
                <w:lang w:eastAsia="zh-CN"/>
              </w:rPr>
              <w:t>复印件；供应商成立不满一年的应按提供首次响应文件提交截止时间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宋体" w:hAnsi="宋体" w:eastAsia="宋体"/>
                <w:color w:val="auto"/>
                <w:szCs w:val="21"/>
                <w:highlight w:val="none"/>
              </w:rPr>
              <w:t>]</w:t>
            </w:r>
            <w:r>
              <w:rPr>
                <w:rFonts w:hint="eastAsia" w:ascii="新宋体" w:hAnsi="新宋体" w:eastAsia="新宋体" w:cs="新宋体"/>
                <w:color w:val="auto"/>
                <w:sz w:val="21"/>
                <w:szCs w:val="21"/>
                <w:highlight w:val="none"/>
                <w:lang w:eastAsia="zh-CN"/>
              </w:rPr>
              <w:t>；</w:t>
            </w:r>
            <w:r>
              <w:rPr>
                <w:rFonts w:hint="eastAsia" w:asciiTheme="minorEastAsia" w:hAnsiTheme="minorEastAsia" w:eastAsiaTheme="minorEastAsia" w:cstheme="minorEastAsia"/>
                <w:b/>
                <w:bCs/>
                <w:color w:val="auto"/>
                <w:szCs w:val="21"/>
                <w:highlight w:val="none"/>
              </w:rPr>
              <w:t>（必</w:t>
            </w:r>
            <w:r>
              <w:rPr>
                <w:rFonts w:hint="eastAsia" w:asciiTheme="minorEastAsia" w:hAnsiTheme="minorEastAsia" w:eastAsiaTheme="minorEastAsia" w:cstheme="minorEastAsia"/>
                <w:b/>
                <w:bCs w:val="0"/>
                <w:color w:val="auto"/>
                <w:szCs w:val="21"/>
                <w:highlight w:val="none"/>
              </w:rPr>
              <w:t>须提供，否则</w:t>
            </w:r>
            <w:r>
              <w:rPr>
                <w:rFonts w:hint="eastAsia" w:asciiTheme="minorEastAsia" w:hAnsiTheme="minorEastAsia" w:eastAsiaTheme="minorEastAsia" w:cstheme="minorEastAsia"/>
                <w:b/>
                <w:bCs/>
                <w:color w:val="auto"/>
                <w:szCs w:val="21"/>
                <w:highlight w:val="none"/>
              </w:rPr>
              <w:t>响应文件按无效响应处理</w:t>
            </w:r>
            <w:r>
              <w:rPr>
                <w:rFonts w:hint="eastAsia" w:asciiTheme="minorEastAsia" w:hAnsiTheme="minorEastAsia" w:eastAsiaTheme="minorEastAsia" w:cstheme="minorEastAsia"/>
                <w:b/>
                <w:bCs w:val="0"/>
                <w:color w:val="auto"/>
                <w:szCs w:val="21"/>
                <w:highlight w:val="none"/>
              </w:rPr>
              <w:t>）</w:t>
            </w:r>
          </w:p>
          <w:p w14:paraId="3F592E33">
            <w:pPr>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color w:val="auto"/>
                <w:szCs w:val="21"/>
                <w:highlight w:val="none"/>
              </w:rPr>
              <w:t>5.供应商直接控股、管理关系信息表；</w:t>
            </w:r>
            <w:r>
              <w:rPr>
                <w:rFonts w:hint="eastAsia" w:asciiTheme="minorEastAsia" w:hAnsiTheme="minorEastAsia" w:eastAsiaTheme="minorEastAsia" w:cstheme="minorEastAsia"/>
                <w:b/>
                <w:bCs/>
                <w:color w:val="auto"/>
                <w:szCs w:val="21"/>
                <w:highlight w:val="none"/>
              </w:rPr>
              <w:t>（必须提供，否则响应文件按无效响应处理）</w:t>
            </w:r>
          </w:p>
          <w:p w14:paraId="650620D8">
            <w:pPr>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color w:val="auto"/>
                <w:szCs w:val="21"/>
                <w:highlight w:val="none"/>
              </w:rPr>
              <w:t>6.资格声明函；</w:t>
            </w:r>
            <w:r>
              <w:rPr>
                <w:rFonts w:hint="eastAsia" w:asciiTheme="minorEastAsia" w:hAnsiTheme="minorEastAsia" w:eastAsiaTheme="minorEastAsia" w:cstheme="minorEastAsia"/>
                <w:b/>
                <w:bCs/>
                <w:color w:val="auto"/>
                <w:szCs w:val="21"/>
                <w:highlight w:val="none"/>
              </w:rPr>
              <w:t>（必须提供，否则响应文件按无效响应处理）</w:t>
            </w:r>
          </w:p>
          <w:p w14:paraId="115C7FB6">
            <w:pPr>
              <w:keepNext w:val="0"/>
              <w:keepLines w:val="0"/>
              <w:pageBreakBefore w:val="0"/>
              <w:widowControl w:val="0"/>
              <w:kinsoku/>
              <w:wordWrap/>
              <w:overflowPunct/>
              <w:topLinePunct w:val="0"/>
              <w:bidi w:val="0"/>
              <w:snapToGrid w:val="0"/>
              <w:spacing w:line="400" w:lineRule="exact"/>
              <w:jc w:val="both"/>
              <w:rPr>
                <w:rFonts w:hint="default"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rPr>
              <w:t>7.</w:t>
            </w:r>
            <w:r>
              <w:rPr>
                <w:rFonts w:hint="eastAsia" w:asciiTheme="minorEastAsia" w:hAnsiTheme="minorEastAsia" w:eastAsiaTheme="minorEastAsia" w:cstheme="minorEastAsia"/>
                <w:color w:val="auto"/>
                <w:szCs w:val="21"/>
                <w:highlight w:val="none"/>
                <w:lang w:val="en-US" w:eastAsia="zh-CN"/>
              </w:rPr>
              <w:t>联合体协议书；</w:t>
            </w:r>
            <w:r>
              <w:rPr>
                <w:rFonts w:hint="eastAsia" w:asciiTheme="minorEastAsia" w:hAnsiTheme="minorEastAsia" w:eastAsiaTheme="minorEastAsia" w:cstheme="minorEastAsia"/>
                <w:b/>
                <w:bCs/>
                <w:color w:val="auto"/>
                <w:szCs w:val="21"/>
                <w:highlight w:val="none"/>
                <w:lang w:val="en-US" w:eastAsia="zh-CN"/>
              </w:rPr>
              <w:t>（以联合体形式响应的，必须提供，</w:t>
            </w:r>
            <w:r>
              <w:rPr>
                <w:rFonts w:hint="eastAsia" w:asciiTheme="minorEastAsia" w:hAnsiTheme="minorEastAsia" w:eastAsiaTheme="minorEastAsia" w:cstheme="minorEastAsia"/>
                <w:b/>
                <w:bCs/>
                <w:color w:val="auto"/>
                <w:szCs w:val="21"/>
                <w:highlight w:val="none"/>
              </w:rPr>
              <w:t>否则响应文件按无效响应处理</w:t>
            </w:r>
            <w:r>
              <w:rPr>
                <w:rFonts w:hint="eastAsia" w:asciiTheme="minorEastAsia" w:hAnsiTheme="minorEastAsia" w:eastAsiaTheme="minorEastAsia" w:cstheme="minorEastAsia"/>
                <w:b/>
                <w:bCs/>
                <w:color w:val="auto"/>
                <w:szCs w:val="21"/>
                <w:highlight w:val="none"/>
                <w:lang w:val="en-US" w:eastAsia="zh-CN"/>
              </w:rPr>
              <w:t>）</w:t>
            </w:r>
          </w:p>
          <w:p w14:paraId="3204DDD9">
            <w:pPr>
              <w:keepNext w:val="0"/>
              <w:keepLines w:val="0"/>
              <w:pageBreakBefore w:val="0"/>
              <w:widowControl w:val="0"/>
              <w:kinsoku/>
              <w:wordWrap/>
              <w:overflowPunct/>
              <w:topLinePunct w:val="0"/>
              <w:bidi w:val="0"/>
              <w:adjustRightInd w:val="0"/>
              <w:spacing w:line="400" w:lineRule="exact"/>
              <w:jc w:val="both"/>
              <w:textAlignment w:val="baseline"/>
              <w:rPr>
                <w:rFonts w:ascii="Times New Roman" w:hAnsi="Times New Roman" w:eastAsia="宋体" w:cs="Times New Roman"/>
                <w:color w:val="auto"/>
                <w:kern w:val="0"/>
                <w:szCs w:val="24"/>
                <w:highlight w:val="none"/>
              </w:rPr>
            </w:pPr>
            <w:r>
              <w:rPr>
                <w:rFonts w:hint="eastAsia" w:asciiTheme="minorEastAsia" w:hAnsiTheme="minorEastAsia" w:eastAsiaTheme="minorEastAsia" w:cstheme="minorEastAsia"/>
                <w:color w:val="auto"/>
                <w:szCs w:val="21"/>
                <w:highlight w:val="none"/>
                <w:lang w:val="en-US" w:eastAsia="zh-CN"/>
              </w:rPr>
              <w:t>8.</w:t>
            </w:r>
            <w:r>
              <w:rPr>
                <w:rFonts w:hint="eastAsia" w:asciiTheme="minorEastAsia" w:hAnsiTheme="minorEastAsia" w:eastAsiaTheme="minorEastAsia" w:cstheme="minorEastAsia"/>
                <w:color w:val="auto"/>
                <w:szCs w:val="21"/>
                <w:highlight w:val="none"/>
              </w:rPr>
              <w:t>中小企业声明函或残疾人福利性单位声明函或属于监狱企业的证明文件</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（必须提供，</w:t>
            </w:r>
            <w:r>
              <w:rPr>
                <w:rFonts w:hint="eastAsia" w:asciiTheme="minorEastAsia" w:hAnsiTheme="minorEastAsia" w:eastAsiaTheme="minorEastAsia" w:cstheme="minorEastAsia"/>
                <w:b/>
                <w:bCs/>
                <w:color w:val="auto"/>
                <w:szCs w:val="21"/>
                <w:highlight w:val="none"/>
              </w:rPr>
              <w:t>否则响应文件按无效响应处理</w:t>
            </w:r>
            <w:r>
              <w:rPr>
                <w:rFonts w:hint="eastAsia" w:ascii="宋体" w:hAnsi="宋体" w:eastAsia="宋体" w:cs="宋体"/>
                <w:b/>
                <w:bCs/>
                <w:color w:val="auto"/>
                <w:szCs w:val="21"/>
                <w:highlight w:val="none"/>
              </w:rPr>
              <w:t>）</w:t>
            </w:r>
          </w:p>
          <w:p w14:paraId="5BE189A6">
            <w:pPr>
              <w:keepNext w:val="0"/>
              <w:keepLines w:val="0"/>
              <w:pageBreakBefore w:val="0"/>
              <w:widowControl w:val="0"/>
              <w:kinsoku/>
              <w:wordWrap/>
              <w:overflowPunct/>
              <w:topLinePunct w:val="0"/>
              <w:bidi w:val="0"/>
              <w:spacing w:line="400" w:lineRule="exact"/>
              <w:jc w:val="both"/>
              <w:rPr>
                <w:rFonts w:hint="default" w:asciiTheme="minorEastAsia" w:hAnsiTheme="minorEastAsia" w:eastAsiaTheme="minorEastAsia" w:cs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auto"/>
                <w:szCs w:val="21"/>
                <w:highlight w:val="none"/>
                <w:lang w:val="en-US" w:eastAsia="zh-CN"/>
              </w:rPr>
              <w:t>9.</w:t>
            </w:r>
            <w:r>
              <w:rPr>
                <w:rFonts w:hint="eastAsia" w:ascii="宋体" w:hAnsi="宋体" w:eastAsia="宋体" w:cs="宋体"/>
                <w:color w:val="auto"/>
                <w:szCs w:val="21"/>
                <w:highlight w:val="none"/>
              </w:rPr>
              <w:t>特定资格要求供应商提供的资格证明材料</w:t>
            </w:r>
            <w:r>
              <w:rPr>
                <w:rFonts w:hint="eastAsia" w:ascii="宋体" w:hAnsi="宋体" w:eastAsia="宋体" w:cs="宋体"/>
                <w:color w:val="auto"/>
                <w:highlight w:val="none"/>
                <w:lang w:eastAsia="zh-CN"/>
              </w:rPr>
              <w:t>。</w:t>
            </w:r>
            <w:r>
              <w:rPr>
                <w:rFonts w:hint="eastAsia" w:asciiTheme="minorEastAsia" w:hAnsiTheme="minorEastAsia" w:eastAsiaTheme="minorEastAsia" w:cstheme="minorEastAsia"/>
                <w:b/>
                <w:bCs/>
                <w:color w:val="auto"/>
                <w:szCs w:val="21"/>
                <w:highlight w:val="none"/>
              </w:rPr>
              <w:t>（</w:t>
            </w:r>
            <w:r>
              <w:rPr>
                <w:rFonts w:hint="eastAsia" w:ascii="宋体" w:hAnsi="宋体" w:eastAsia="宋体" w:cs="宋体"/>
                <w:b/>
                <w:bCs/>
                <w:color w:val="auto"/>
                <w:szCs w:val="21"/>
                <w:highlight w:val="none"/>
                <w:lang w:val="en-US" w:eastAsia="zh-CN"/>
              </w:rPr>
              <w:t>按采购公告要求提供，</w:t>
            </w: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必须提供</w:t>
            </w:r>
            <w:r>
              <w:rPr>
                <w:rFonts w:hint="eastAsia" w:asciiTheme="minorEastAsia" w:hAnsiTheme="minorEastAsia" w:eastAsiaTheme="minorEastAsia" w:cstheme="minorEastAsia"/>
                <w:b/>
                <w:bCs/>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否则响应文件按无效响应处理）</w:t>
            </w:r>
          </w:p>
          <w:p w14:paraId="5C50482D">
            <w:pPr>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除磋商文件规定必须提供以外，供应商认为需要提供的其他证明材料</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p>
          <w:p w14:paraId="0C52F5A9">
            <w:pPr>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t>注：</w:t>
            </w:r>
          </w:p>
          <w:p w14:paraId="31E8179F">
            <w:pPr>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t>以上标明“必须提供”的材料属于复印件的扫描件的，必须加盖供应商电子公章，否则响应文件按无效响应处理。</w:t>
            </w:r>
          </w:p>
        </w:tc>
      </w:tr>
      <w:tr w14:paraId="21FD08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60" w:type="dxa"/>
            <w:vMerge w:val="restart"/>
            <w:vAlign w:val="center"/>
          </w:tcPr>
          <w:p w14:paraId="07996556">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12.1.2</w:t>
            </w:r>
          </w:p>
        </w:tc>
        <w:tc>
          <w:tcPr>
            <w:tcW w:w="2126" w:type="dxa"/>
            <w:vAlign w:val="center"/>
          </w:tcPr>
          <w:p w14:paraId="7C36D4FE">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商务文件组成</w:t>
            </w:r>
          </w:p>
        </w:tc>
        <w:tc>
          <w:tcPr>
            <w:tcW w:w="5857" w:type="dxa"/>
            <w:vAlign w:val="center"/>
          </w:tcPr>
          <w:p w14:paraId="4DD367CF">
            <w:pPr>
              <w:keepNext w:val="0"/>
              <w:keepLines w:val="0"/>
              <w:pageBreakBefore w:val="0"/>
              <w:widowControl w:val="0"/>
              <w:kinsoku/>
              <w:wordWrap/>
              <w:overflowPunct/>
              <w:topLinePunct w:val="0"/>
              <w:bidi w:val="0"/>
              <w:spacing w:line="400" w:lineRule="exact"/>
              <w:contextualSpacing/>
              <w:jc w:val="both"/>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bookmarkStart w:id="19" w:name="_Hlk144805240"/>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1.无串通竞标行为的承诺函；</w:t>
            </w: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（必须提供，否则响应文件按无效响应处理）</w:t>
            </w:r>
          </w:p>
          <w:p w14:paraId="2FE8CD43">
            <w:pPr>
              <w:keepNext w:val="0"/>
              <w:keepLines w:val="0"/>
              <w:pageBreakBefore w:val="0"/>
              <w:widowControl w:val="0"/>
              <w:kinsoku/>
              <w:wordWrap/>
              <w:overflowPunct/>
              <w:topLinePunct w:val="0"/>
              <w:bidi w:val="0"/>
              <w:snapToGrid w:val="0"/>
              <w:spacing w:line="400" w:lineRule="exact"/>
              <w:contextualSpacing/>
              <w:jc w:val="both"/>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2.法定代表人身份证明书及法定代表人有效身份证正反面复印件；</w:t>
            </w: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（除自然人竞标外必须提供，否则响应文件按无效响应处理）</w:t>
            </w:r>
          </w:p>
          <w:p w14:paraId="216AF40D">
            <w:pPr>
              <w:keepNext w:val="0"/>
              <w:keepLines w:val="0"/>
              <w:pageBreakBefore w:val="0"/>
              <w:widowControl w:val="0"/>
              <w:kinsoku/>
              <w:wordWrap/>
              <w:overflowPunct/>
              <w:topLinePunct w:val="0"/>
              <w:bidi w:val="0"/>
              <w:spacing w:line="400" w:lineRule="exact"/>
              <w:contextualSpacing/>
              <w:jc w:val="both"/>
              <w:rPr>
                <w:rFonts w:hint="eastAsia" w:asciiTheme="minorEastAsia" w:hAnsiTheme="minorEastAsia" w:eastAsiaTheme="minorEastAsia" w:cs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3.法定代表人授权委托书及委托代理人有效身份证正反面复印件；</w:t>
            </w: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（委托时必须提供，否则响应文件按无效响应处理）</w:t>
            </w:r>
          </w:p>
          <w:p w14:paraId="49473326">
            <w:pPr>
              <w:keepNext w:val="0"/>
              <w:keepLines w:val="0"/>
              <w:pageBreakBefore w:val="0"/>
              <w:widowControl w:val="0"/>
              <w:kinsoku/>
              <w:wordWrap/>
              <w:overflowPunct/>
              <w:topLinePunct w:val="0"/>
              <w:bidi w:val="0"/>
              <w:spacing w:line="400" w:lineRule="exact"/>
              <w:contextualSpacing/>
              <w:jc w:val="both"/>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4.商务条款偏离表；</w:t>
            </w: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（必须提供，否则响应文件按无效响应处理）</w:t>
            </w:r>
          </w:p>
          <w:p w14:paraId="017FA56B">
            <w:pPr>
              <w:keepNext w:val="0"/>
              <w:keepLines w:val="0"/>
              <w:pageBreakBefore w:val="0"/>
              <w:widowControl w:val="0"/>
              <w:kinsoku/>
              <w:wordWrap/>
              <w:overflowPunct/>
              <w:topLinePunct w:val="0"/>
              <w:bidi w:val="0"/>
              <w:spacing w:line="400" w:lineRule="exact"/>
              <w:contextualSpacing/>
              <w:jc w:val="both"/>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5.竞标人</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基本</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情况</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表</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（必须提供，否则响应文件按无效响应处理）</w:t>
            </w:r>
          </w:p>
          <w:p w14:paraId="136D13D2">
            <w:pPr>
              <w:keepNext w:val="0"/>
              <w:keepLines w:val="0"/>
              <w:pageBreakBefore w:val="0"/>
              <w:widowControl w:val="0"/>
              <w:kinsoku/>
              <w:wordWrap/>
              <w:overflowPunct/>
              <w:topLinePunct w:val="0"/>
              <w:bidi w:val="0"/>
              <w:spacing w:line="400" w:lineRule="exact"/>
              <w:contextualSpacing/>
              <w:jc w:val="both"/>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6.供应商认为需要提供的其他有关资料。</w:t>
            </w:r>
          </w:p>
          <w:p w14:paraId="44FC2741">
            <w:pPr>
              <w:keepNext w:val="0"/>
              <w:keepLines w:val="0"/>
              <w:pageBreakBefore w:val="0"/>
              <w:widowControl w:val="0"/>
              <w:kinsoku/>
              <w:wordWrap/>
              <w:overflowPunct/>
              <w:topLinePunct w:val="0"/>
              <w:bidi w:val="0"/>
              <w:snapToGrid w:val="0"/>
              <w:spacing w:line="400" w:lineRule="exact"/>
              <w:contextualSpacing/>
              <w:jc w:val="both"/>
              <w:rPr>
                <w:rFonts w:hint="eastAsia" w:asciiTheme="minorEastAsia" w:hAnsiTheme="minorEastAsia" w:eastAsiaTheme="minorEastAsia" w:cs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t xml:space="preserve">注： </w:t>
            </w:r>
          </w:p>
          <w:p w14:paraId="2BC2B080">
            <w:pPr>
              <w:keepNext w:val="0"/>
              <w:keepLines w:val="0"/>
              <w:pageBreakBefore w:val="0"/>
              <w:widowControl w:val="0"/>
              <w:kinsoku/>
              <w:wordWrap/>
              <w:overflowPunct/>
              <w:topLinePunct w:val="0"/>
              <w:bidi w:val="0"/>
              <w:snapToGrid w:val="0"/>
              <w:spacing w:line="400" w:lineRule="exact"/>
              <w:contextualSpacing/>
              <w:jc w:val="both"/>
              <w:rPr>
                <w:rFonts w:hint="eastAsia" w:asciiTheme="minorEastAsia" w:hAnsiTheme="minorEastAsia" w:eastAsiaTheme="minorEastAsia" w:cs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t>1.法定代表人授权委托书必须由法定代表人及委托代理人签字，并加盖供应商公章（在线下盖章、签字上传原版扫描件），否则响应文件按无效响应处理。</w:t>
            </w:r>
          </w:p>
          <w:p w14:paraId="6633E97B">
            <w:pPr>
              <w:keepNext w:val="0"/>
              <w:keepLines w:val="0"/>
              <w:pageBreakBefore w:val="0"/>
              <w:widowControl w:val="0"/>
              <w:kinsoku/>
              <w:wordWrap/>
              <w:overflowPunct/>
              <w:topLinePunct w:val="0"/>
              <w:bidi w:val="0"/>
              <w:spacing w:line="400" w:lineRule="exact"/>
              <w:contextualSpacing/>
              <w:jc w:val="both"/>
              <w:rPr>
                <w:rFonts w:hint="eastAsia" w:asciiTheme="minorEastAsia" w:hAnsiTheme="minorEastAsia" w:eastAsiaTheme="minorEastAsia" w:cs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t>2.以上标明“必须提供”的材料属于复印件的扫描件的，必须加盖供应商电子公章，否则响应文件按无效响应处理。</w:t>
            </w:r>
          </w:p>
          <w:bookmarkEnd w:id="19"/>
        </w:tc>
      </w:tr>
      <w:tr w14:paraId="1E390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60" w:type="dxa"/>
            <w:vMerge w:val="continue"/>
            <w:vAlign w:val="center"/>
          </w:tcPr>
          <w:p w14:paraId="09841C38">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2126" w:type="dxa"/>
            <w:vAlign w:val="center"/>
          </w:tcPr>
          <w:p w14:paraId="6DE3E719">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技术文件组成</w:t>
            </w:r>
          </w:p>
        </w:tc>
        <w:tc>
          <w:tcPr>
            <w:tcW w:w="5857" w:type="dxa"/>
            <w:vAlign w:val="center"/>
          </w:tcPr>
          <w:p w14:paraId="5FAF8B3C">
            <w:pPr>
              <w:keepNext w:val="0"/>
              <w:keepLines w:val="0"/>
              <w:pageBreakBefore w:val="0"/>
              <w:widowControl w:val="0"/>
              <w:kinsoku/>
              <w:wordWrap/>
              <w:overflowPunct/>
              <w:topLinePunct w:val="0"/>
              <w:bidi w:val="0"/>
              <w:spacing w:line="400" w:lineRule="exact"/>
              <w:jc w:val="both"/>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pPr>
            <w:bookmarkStart w:id="20" w:name="_Hlk144805253"/>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技术</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需求偏离表；</w:t>
            </w: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（必须提供，否则响应文件按无效响应处理）</w:t>
            </w:r>
          </w:p>
          <w:p w14:paraId="00D87838">
            <w:pPr>
              <w:keepNext w:val="0"/>
              <w:keepLines w:val="0"/>
              <w:pageBreakBefore w:val="0"/>
              <w:widowControl w:val="0"/>
              <w:kinsoku/>
              <w:wordWrap/>
              <w:overflowPunct/>
              <w:topLinePunct w:val="0"/>
              <w:bidi w:val="0"/>
              <w:spacing w:line="400" w:lineRule="exact"/>
              <w:jc w:val="both"/>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2.服务方案；</w:t>
            </w:r>
          </w:p>
          <w:p w14:paraId="0733C66F">
            <w:pPr>
              <w:keepNext w:val="0"/>
              <w:keepLines w:val="0"/>
              <w:pageBreakBefore w:val="0"/>
              <w:widowControl w:val="0"/>
              <w:kinsoku/>
              <w:wordWrap/>
              <w:overflowPunct/>
              <w:topLinePunct w:val="0"/>
              <w:bidi w:val="0"/>
              <w:spacing w:line="400" w:lineRule="exact"/>
              <w:jc w:val="both"/>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3.售后服务</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方案</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p w14:paraId="6EADDB3B">
            <w:pPr>
              <w:keepNext w:val="0"/>
              <w:keepLines w:val="0"/>
              <w:pageBreakBefore w:val="0"/>
              <w:widowControl w:val="0"/>
              <w:kinsoku/>
              <w:wordWrap/>
              <w:overflowPunct/>
              <w:topLinePunct w:val="0"/>
              <w:bidi w:val="0"/>
              <w:spacing w:line="400" w:lineRule="exact"/>
              <w:jc w:val="both"/>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4.项目实施人员一览表；</w:t>
            </w:r>
          </w:p>
          <w:p w14:paraId="39FC76E8">
            <w:pPr>
              <w:keepNext w:val="0"/>
              <w:keepLines w:val="0"/>
              <w:pageBreakBefore w:val="0"/>
              <w:widowControl w:val="0"/>
              <w:kinsoku/>
              <w:wordWrap/>
              <w:overflowPunct/>
              <w:topLinePunct w:val="0"/>
              <w:bidi w:val="0"/>
              <w:spacing w:line="400" w:lineRule="exact"/>
              <w:jc w:val="both"/>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5.对应采购需求的服务需求、商务条款提供的其他文件资料；</w:t>
            </w:r>
          </w:p>
          <w:p w14:paraId="7B47FF6A">
            <w:pPr>
              <w:keepNext w:val="0"/>
              <w:keepLines w:val="0"/>
              <w:pageBreakBefore w:val="0"/>
              <w:widowControl w:val="0"/>
              <w:kinsoku/>
              <w:wordWrap/>
              <w:overflowPunct/>
              <w:topLinePunct w:val="0"/>
              <w:bidi w:val="0"/>
              <w:spacing w:line="400" w:lineRule="exact"/>
              <w:jc w:val="both"/>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6.供应商认为需要提供的其他有关资料。</w:t>
            </w:r>
          </w:p>
          <w:bookmarkEnd w:id="20"/>
          <w:p w14:paraId="5BC3CFA1">
            <w:pPr>
              <w:keepNext w:val="0"/>
              <w:keepLines w:val="0"/>
              <w:pageBreakBefore w:val="0"/>
              <w:widowControl w:val="0"/>
              <w:kinsoku/>
              <w:wordWrap/>
              <w:overflowPunct/>
              <w:topLinePunct w:val="0"/>
              <w:bidi w:val="0"/>
              <w:spacing w:line="400" w:lineRule="exact"/>
              <w:jc w:val="both"/>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t>注：以上标明“必须提供”的材料属于复印件的扫描件的，必须加盖供应商电子公章，否则响应文件按无效响应处理。</w:t>
            </w:r>
          </w:p>
        </w:tc>
      </w:tr>
      <w:tr w14:paraId="116941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60" w:type="dxa"/>
            <w:vAlign w:val="center"/>
          </w:tcPr>
          <w:p w14:paraId="5E0EE71D">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12.1.2</w:t>
            </w:r>
          </w:p>
        </w:tc>
        <w:tc>
          <w:tcPr>
            <w:tcW w:w="2126" w:type="dxa"/>
            <w:vAlign w:val="center"/>
          </w:tcPr>
          <w:p w14:paraId="039EE28A">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报价文件组成</w:t>
            </w:r>
          </w:p>
        </w:tc>
        <w:tc>
          <w:tcPr>
            <w:tcW w:w="5857" w:type="dxa"/>
            <w:vAlign w:val="center"/>
          </w:tcPr>
          <w:p w14:paraId="17552DDA">
            <w:pPr>
              <w:keepNext w:val="0"/>
              <w:keepLines w:val="0"/>
              <w:pageBreakBefore w:val="0"/>
              <w:widowControl w:val="0"/>
              <w:tabs>
                <w:tab w:val="left" w:pos="459"/>
              </w:tabs>
              <w:kinsoku/>
              <w:wordWrap/>
              <w:overflowPunct/>
              <w:topLinePunct w:val="0"/>
              <w:bidi w:val="0"/>
              <w:snapToGrid w:val="0"/>
              <w:spacing w:line="400" w:lineRule="exact"/>
              <w:jc w:val="both"/>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1.响应函；</w:t>
            </w:r>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t>（必须提供，否则作无效响应处理）</w:t>
            </w:r>
          </w:p>
          <w:p w14:paraId="7C271E6F">
            <w:pPr>
              <w:keepNext w:val="0"/>
              <w:keepLines w:val="0"/>
              <w:pageBreakBefore w:val="0"/>
              <w:widowControl w:val="0"/>
              <w:kinsoku/>
              <w:wordWrap/>
              <w:overflowPunct/>
              <w:topLinePunct w:val="0"/>
              <w:bidi w:val="0"/>
              <w:spacing w:line="400" w:lineRule="exact"/>
              <w:jc w:val="both"/>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2.响应报价表</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（必须提供，否则响应文件按无效响应处理）</w:t>
            </w:r>
          </w:p>
          <w:p w14:paraId="03352536">
            <w:pPr>
              <w:keepNext w:val="0"/>
              <w:keepLines w:val="0"/>
              <w:pageBreakBefore w:val="0"/>
              <w:widowControl w:val="0"/>
              <w:kinsoku/>
              <w:wordWrap/>
              <w:overflowPunct/>
              <w:topLinePunct w:val="0"/>
              <w:bidi w:val="0"/>
              <w:spacing w:line="400" w:lineRule="exact"/>
              <w:jc w:val="both"/>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3.供应商认为需要提供的其他有关资料。</w:t>
            </w:r>
          </w:p>
        </w:tc>
      </w:tr>
      <w:tr w14:paraId="0E593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60" w:type="dxa"/>
            <w:vAlign w:val="center"/>
          </w:tcPr>
          <w:p w14:paraId="5E338B8B">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12.2</w:t>
            </w:r>
          </w:p>
        </w:tc>
        <w:tc>
          <w:tcPr>
            <w:tcW w:w="2126" w:type="dxa"/>
            <w:vAlign w:val="center"/>
          </w:tcPr>
          <w:p w14:paraId="5747D0E8">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响应文件电子版要求</w:t>
            </w:r>
          </w:p>
        </w:tc>
        <w:tc>
          <w:tcPr>
            <w:tcW w:w="5857" w:type="dxa"/>
            <w:vAlign w:val="center"/>
          </w:tcPr>
          <w:p w14:paraId="3C8B3ED7">
            <w:pPr>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1.响应文件电子版要求：按照本采购文件“第五章 响应文件格式”编写（第五章未附格式的，由供应商自行拟定），不可涂改并在规定加盖公章处加盖电子公章，</w:t>
            </w:r>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t>否则响应文件按无效响应处理</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p w14:paraId="21E405A8">
            <w:pPr>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2.响应文件电子版密封方式：电子响应文件通过平台有效CA加密后在广西政府采购云平台投送。</w:t>
            </w:r>
          </w:p>
        </w:tc>
      </w:tr>
      <w:tr w14:paraId="397B2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60" w:type="dxa"/>
            <w:vAlign w:val="center"/>
          </w:tcPr>
          <w:p w14:paraId="47E8E527">
            <w:pPr>
              <w:keepNext w:val="0"/>
              <w:keepLines w:val="0"/>
              <w:pageBreakBefore w:val="0"/>
              <w:widowControl w:val="0"/>
              <w:kinsoku/>
              <w:wordWrap/>
              <w:overflowPunct/>
              <w:topLinePunct w:val="0"/>
              <w:bidi w:val="0"/>
              <w:spacing w:line="400" w:lineRule="exact"/>
              <w:jc w:val="center"/>
              <w:rPr>
                <w:rFonts w:hint="default" w:asciiTheme="minorEastAsia" w:hAnsiTheme="minorEastAsia" w:eastAsiaTheme="minorEastAsia" w:cs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15.2</w:t>
            </w:r>
          </w:p>
        </w:tc>
        <w:tc>
          <w:tcPr>
            <w:tcW w:w="2126" w:type="dxa"/>
            <w:vAlign w:val="center"/>
          </w:tcPr>
          <w:p w14:paraId="57E79CFC">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响应报价要求</w:t>
            </w:r>
          </w:p>
        </w:tc>
        <w:tc>
          <w:tcPr>
            <w:tcW w:w="5857" w:type="dxa"/>
            <w:vAlign w:val="center"/>
          </w:tcPr>
          <w:p w14:paraId="5D147D5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响应报价必须包含满足本次竞标全部采购需求所应提供的内容，以及伴随的货物和工程（如有）的价格；包含竞标服务、货物、工程的成本、运输（含保险）、安装（如有）、调试、检验、技术服务、培训、税费等所有费用。</w:t>
            </w: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（采购需求另有约定的，从其约定）</w:t>
            </w:r>
          </w:p>
        </w:tc>
      </w:tr>
      <w:tr w14:paraId="1ED55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2" w:hRule="atLeast"/>
          <w:jc w:val="center"/>
        </w:trPr>
        <w:tc>
          <w:tcPr>
            <w:tcW w:w="960" w:type="dxa"/>
            <w:vAlign w:val="center"/>
          </w:tcPr>
          <w:p w14:paraId="6F8A33D3">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16.2</w:t>
            </w:r>
          </w:p>
        </w:tc>
        <w:tc>
          <w:tcPr>
            <w:tcW w:w="2126" w:type="dxa"/>
            <w:vAlign w:val="center"/>
          </w:tcPr>
          <w:p w14:paraId="6A30AC13">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竞标有效期</w:t>
            </w:r>
          </w:p>
        </w:tc>
        <w:tc>
          <w:tcPr>
            <w:tcW w:w="5857" w:type="dxa"/>
            <w:vAlign w:val="center"/>
          </w:tcPr>
          <w:p w14:paraId="10EB64B0">
            <w:pPr>
              <w:pStyle w:val="9"/>
              <w:keepNext w:val="0"/>
              <w:keepLines w:val="0"/>
              <w:pageBreakBefore w:val="0"/>
              <w:widowControl w:val="0"/>
              <w:tabs>
                <w:tab w:val="clear" w:pos="454"/>
              </w:tabs>
              <w:kinsoku/>
              <w:wordWrap/>
              <w:overflowPunct/>
              <w:topLinePunct w:val="0"/>
              <w:bidi w:val="0"/>
              <w:snapToGrid w:val="0"/>
              <w:spacing w:afterLines="0" w:line="400" w:lineRule="exact"/>
              <w:ind w:left="283" w:hanging="283" w:hangingChars="135"/>
              <w:jc w:val="both"/>
              <w:rPr>
                <w:rFonts w:hint="eastAsia" w:asciiTheme="minorEastAsia" w:hAnsiTheme="minorEastAsia" w:eastAsiaTheme="minorEastAsia" w:cstheme="minorEastAsia"/>
                <w:color w:val="000000" w:themeColor="text1"/>
                <w:kern w:val="2"/>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2"/>
                <w:sz w:val="21"/>
                <w:szCs w:val="21"/>
                <w:highlight w:val="none"/>
                <w14:textFill>
                  <w14:solidFill>
                    <w14:schemeClr w14:val="tx1"/>
                  </w14:solidFill>
                </w14:textFill>
              </w:rPr>
              <w:t>自首次响应文件提交截止之日起</w:t>
            </w:r>
            <w:r>
              <w:rPr>
                <w:rFonts w:hint="eastAsia" w:asciiTheme="minorEastAsia" w:hAnsiTheme="minorEastAsia" w:eastAsiaTheme="minorEastAsia" w:cstheme="minorEastAsia"/>
                <w:color w:val="000000" w:themeColor="text1"/>
                <w:kern w:val="2"/>
                <w:sz w:val="21"/>
                <w:szCs w:val="21"/>
                <w:highlight w:val="none"/>
                <w:u w:val="single"/>
                <w:lang w:val="en-US" w:eastAsia="zh-CN"/>
                <w14:textFill>
                  <w14:solidFill>
                    <w14:schemeClr w14:val="tx1"/>
                  </w14:solidFill>
                </w14:textFill>
              </w:rPr>
              <w:t>60</w:t>
            </w:r>
            <w:r>
              <w:rPr>
                <w:rFonts w:hint="eastAsia" w:asciiTheme="minorEastAsia" w:hAnsiTheme="minorEastAsia" w:eastAsiaTheme="minorEastAsia" w:cstheme="minorEastAsia"/>
                <w:color w:val="000000" w:themeColor="text1"/>
                <w:kern w:val="2"/>
                <w:sz w:val="21"/>
                <w:szCs w:val="21"/>
                <w:highlight w:val="none"/>
                <w14:textFill>
                  <w14:solidFill>
                    <w14:schemeClr w14:val="tx1"/>
                  </w14:solidFill>
                </w14:textFill>
              </w:rPr>
              <w:t>日。</w:t>
            </w:r>
          </w:p>
        </w:tc>
      </w:tr>
      <w:tr w14:paraId="4EF30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2" w:hRule="atLeast"/>
          <w:jc w:val="center"/>
        </w:trPr>
        <w:tc>
          <w:tcPr>
            <w:tcW w:w="960" w:type="dxa"/>
            <w:vAlign w:val="center"/>
          </w:tcPr>
          <w:p w14:paraId="399BEECB">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17.1</w:t>
            </w:r>
          </w:p>
        </w:tc>
        <w:tc>
          <w:tcPr>
            <w:tcW w:w="2126" w:type="dxa"/>
            <w:vAlign w:val="center"/>
          </w:tcPr>
          <w:p w14:paraId="644B77D0">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磋商保证金</w:t>
            </w:r>
          </w:p>
        </w:tc>
        <w:tc>
          <w:tcPr>
            <w:tcW w:w="5857" w:type="dxa"/>
            <w:vAlign w:val="center"/>
          </w:tcPr>
          <w:p w14:paraId="4B690C9B">
            <w:pPr>
              <w:keepNext w:val="0"/>
              <w:keepLines w:val="0"/>
              <w:pageBreakBefore w:val="0"/>
              <w:widowControl w:val="0"/>
              <w:kinsoku/>
              <w:wordWrap/>
              <w:overflowPunct/>
              <w:topLinePunct w:val="0"/>
              <w:autoSpaceDE w:val="0"/>
              <w:autoSpaceDN w:val="0"/>
              <w:bidi w:val="0"/>
              <w:snapToGrid w:val="0"/>
              <w:spacing w:line="400" w:lineRule="exact"/>
              <w:jc w:val="both"/>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本项目不收取磋商保证金。</w:t>
            </w:r>
          </w:p>
        </w:tc>
      </w:tr>
      <w:tr w14:paraId="72F620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60" w:type="dxa"/>
            <w:vMerge w:val="restart"/>
            <w:vAlign w:val="center"/>
          </w:tcPr>
          <w:p w14:paraId="237F41AF">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20.1</w:t>
            </w:r>
          </w:p>
        </w:tc>
        <w:tc>
          <w:tcPr>
            <w:tcW w:w="2126" w:type="dxa"/>
            <w:vAlign w:val="center"/>
          </w:tcPr>
          <w:p w14:paraId="36B1B3C0">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首次响应文件提交起止时间</w:t>
            </w:r>
          </w:p>
        </w:tc>
        <w:tc>
          <w:tcPr>
            <w:tcW w:w="5857" w:type="dxa"/>
            <w:vAlign w:val="center"/>
          </w:tcPr>
          <w:p w14:paraId="11230D82">
            <w:pPr>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详见竞争性磋商公告。</w:t>
            </w:r>
          </w:p>
        </w:tc>
      </w:tr>
      <w:tr w14:paraId="29AF1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60" w:type="dxa"/>
            <w:vMerge w:val="continue"/>
            <w:vAlign w:val="center"/>
          </w:tcPr>
          <w:p w14:paraId="29314B92">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2126" w:type="dxa"/>
            <w:vAlign w:val="center"/>
          </w:tcPr>
          <w:p w14:paraId="08FE4097">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首次响应文件提交地点</w:t>
            </w:r>
          </w:p>
        </w:tc>
        <w:tc>
          <w:tcPr>
            <w:tcW w:w="5857" w:type="dxa"/>
            <w:vAlign w:val="center"/>
          </w:tcPr>
          <w:p w14:paraId="3D59B60D">
            <w:pPr>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详见竞争性磋商公告。</w:t>
            </w:r>
          </w:p>
        </w:tc>
      </w:tr>
      <w:tr w14:paraId="38F5F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6" w:hRule="atLeast"/>
          <w:jc w:val="center"/>
        </w:trPr>
        <w:tc>
          <w:tcPr>
            <w:tcW w:w="960" w:type="dxa"/>
            <w:vAlign w:val="center"/>
          </w:tcPr>
          <w:p w14:paraId="1992B7EE">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20.6</w:t>
            </w:r>
          </w:p>
        </w:tc>
        <w:tc>
          <w:tcPr>
            <w:tcW w:w="2126" w:type="dxa"/>
            <w:vAlign w:val="center"/>
          </w:tcPr>
          <w:p w14:paraId="5DACB7DA">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备份响应文件</w:t>
            </w:r>
          </w:p>
        </w:tc>
        <w:tc>
          <w:tcPr>
            <w:tcW w:w="5857" w:type="dxa"/>
            <w:vAlign w:val="center"/>
          </w:tcPr>
          <w:p w14:paraId="384F81DB">
            <w:pPr>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本项目不接受备份响应文件。</w:t>
            </w:r>
          </w:p>
        </w:tc>
      </w:tr>
      <w:tr w14:paraId="51C21C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6" w:hRule="atLeast"/>
          <w:jc w:val="center"/>
        </w:trPr>
        <w:tc>
          <w:tcPr>
            <w:tcW w:w="960" w:type="dxa"/>
            <w:vAlign w:val="center"/>
          </w:tcPr>
          <w:p w14:paraId="26799A39">
            <w:pPr>
              <w:keepNext w:val="0"/>
              <w:keepLines w:val="0"/>
              <w:pageBreakBefore w:val="0"/>
              <w:widowControl w:val="0"/>
              <w:kinsoku/>
              <w:wordWrap/>
              <w:overflowPunct/>
              <w:topLinePunct w:val="0"/>
              <w:bidi w:val="0"/>
              <w:spacing w:line="400" w:lineRule="exact"/>
              <w:jc w:val="center"/>
              <w:rPr>
                <w:rFonts w:hint="default" w:asciiTheme="minorEastAsia" w:hAnsiTheme="minorEastAsia" w:eastAsiaTheme="minorEastAsia" w:cs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22</w:t>
            </w:r>
          </w:p>
        </w:tc>
        <w:tc>
          <w:tcPr>
            <w:tcW w:w="2126" w:type="dxa"/>
            <w:vAlign w:val="center"/>
          </w:tcPr>
          <w:p w14:paraId="55006D37">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首次响应文件的退回</w:t>
            </w:r>
          </w:p>
        </w:tc>
        <w:tc>
          <w:tcPr>
            <w:tcW w:w="5857" w:type="dxa"/>
            <w:vAlign w:val="center"/>
          </w:tcPr>
          <w:p w14:paraId="7623EBF5">
            <w:pPr>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详见</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供应商须知正文”</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tc>
      </w:tr>
      <w:tr w14:paraId="6341E3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60" w:type="dxa"/>
            <w:vMerge w:val="restart"/>
            <w:vAlign w:val="center"/>
          </w:tcPr>
          <w:p w14:paraId="744DEEB1">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26.2</w:t>
            </w:r>
          </w:p>
        </w:tc>
        <w:tc>
          <w:tcPr>
            <w:tcW w:w="2126" w:type="dxa"/>
            <w:vAlign w:val="center"/>
          </w:tcPr>
          <w:p w14:paraId="5A5039B8">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t>负偏离要求</w:t>
            </w:r>
          </w:p>
        </w:tc>
        <w:tc>
          <w:tcPr>
            <w:tcW w:w="5857" w:type="dxa"/>
            <w:vAlign w:val="center"/>
          </w:tcPr>
          <w:p w14:paraId="2080F464">
            <w:pPr>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t>商务条款评审中允许负偏离的条款数为</w:t>
            </w:r>
            <w:r>
              <w:rPr>
                <w:rFonts w:hint="eastAsia" w:asciiTheme="minorEastAsia" w:hAnsiTheme="minorEastAsia" w:eastAsiaTheme="minorEastAsia" w:cstheme="minorEastAsia"/>
                <w:b/>
                <w:color w:val="000000" w:themeColor="text1"/>
                <w:szCs w:val="21"/>
                <w:highlight w:val="none"/>
                <w:u w:val="single"/>
                <w14:textFill>
                  <w14:solidFill>
                    <w14:schemeClr w14:val="tx1"/>
                  </w14:solidFill>
                </w14:textFill>
              </w:rPr>
              <w:t xml:space="preserve"> 0 </w:t>
            </w:r>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t>项。</w:t>
            </w:r>
          </w:p>
          <w:p w14:paraId="5098587C">
            <w:pPr>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t>技术服务要求条款评审中允许负偏离的条款数为</w:t>
            </w:r>
            <w:r>
              <w:rPr>
                <w:rFonts w:hint="eastAsia" w:asciiTheme="minorEastAsia" w:hAnsiTheme="minorEastAsia" w:eastAsiaTheme="minorEastAsia" w:cstheme="minorEastAsia"/>
                <w:b/>
                <w:color w:val="000000" w:themeColor="text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Cs w:val="21"/>
                <w:highlight w:val="none"/>
                <w:u w:val="single"/>
                <w14:textFill>
                  <w14:solidFill>
                    <w14:schemeClr w14:val="tx1"/>
                  </w14:solidFill>
                </w14:textFill>
              </w:rPr>
              <w:t>0</w:t>
            </w:r>
            <w:r>
              <w:rPr>
                <w:rFonts w:hint="eastAsia" w:asciiTheme="minorEastAsia" w:hAnsiTheme="minorEastAsia" w:eastAsiaTheme="minorEastAsia" w:cstheme="minorEastAsia"/>
                <w:b/>
                <w:color w:val="000000" w:themeColor="text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t>项。</w:t>
            </w:r>
          </w:p>
        </w:tc>
      </w:tr>
      <w:tr w14:paraId="7CB44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60" w:type="dxa"/>
            <w:vMerge w:val="continue"/>
            <w:vAlign w:val="center"/>
          </w:tcPr>
          <w:p w14:paraId="7D252CAD">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2126" w:type="dxa"/>
            <w:vAlign w:val="center"/>
          </w:tcPr>
          <w:p w14:paraId="1B916433">
            <w:pPr>
              <w:keepNext w:val="0"/>
              <w:keepLines w:val="0"/>
              <w:pageBreakBefore w:val="0"/>
              <w:widowControl w:val="0"/>
              <w:kinsoku/>
              <w:wordWrap/>
              <w:overflowPunct/>
              <w:topLinePunct w:val="0"/>
              <w:bidi w:val="0"/>
              <w:snapToGrid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磋商的顺序</w:t>
            </w:r>
          </w:p>
        </w:tc>
        <w:tc>
          <w:tcPr>
            <w:tcW w:w="5857" w:type="dxa"/>
            <w:vAlign w:val="center"/>
          </w:tcPr>
          <w:p w14:paraId="38778C62">
            <w:pPr>
              <w:pStyle w:val="11"/>
              <w:keepNext w:val="0"/>
              <w:keepLines w:val="0"/>
              <w:pageBreakBefore w:val="0"/>
              <w:widowControl w:val="0"/>
              <w:kinsoku/>
              <w:wordWrap/>
              <w:overflowPunct/>
              <w:topLinePunct w:val="0"/>
              <w:bidi w:val="0"/>
              <w:spacing w:line="400" w:lineRule="exact"/>
              <w:jc w:val="both"/>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□按照提交首次响应文件的顺序，通知磋商时，若某供应商不在通知现场时，该供应商排序到最后磋商，按照签到的顺序由其下一位供应商先参与磋商。</w:t>
            </w:r>
          </w:p>
          <w:p w14:paraId="57A9DF5D">
            <w:pPr>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随机排序。</w:t>
            </w:r>
          </w:p>
        </w:tc>
      </w:tr>
      <w:tr w14:paraId="429E76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960" w:type="dxa"/>
            <w:vAlign w:val="center"/>
          </w:tcPr>
          <w:p w14:paraId="797D9281">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28</w:t>
            </w:r>
          </w:p>
        </w:tc>
        <w:tc>
          <w:tcPr>
            <w:tcW w:w="2126" w:type="dxa"/>
            <w:vAlign w:val="center"/>
          </w:tcPr>
          <w:p w14:paraId="7761A61B">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履约保证金</w:t>
            </w:r>
          </w:p>
        </w:tc>
        <w:tc>
          <w:tcPr>
            <w:tcW w:w="5857" w:type="dxa"/>
            <w:vAlign w:val="center"/>
          </w:tcPr>
          <w:p w14:paraId="4821E21E">
            <w:pPr>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本项目不收取履约保证金</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 </w:t>
            </w:r>
          </w:p>
        </w:tc>
      </w:tr>
      <w:tr w14:paraId="422E84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960" w:type="dxa"/>
            <w:vAlign w:val="center"/>
          </w:tcPr>
          <w:p w14:paraId="48A86F78">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29.5</w:t>
            </w:r>
          </w:p>
        </w:tc>
        <w:tc>
          <w:tcPr>
            <w:tcW w:w="2126" w:type="dxa"/>
            <w:vAlign w:val="center"/>
          </w:tcPr>
          <w:p w14:paraId="3EB563A9">
            <w:pPr>
              <w:keepNext w:val="0"/>
              <w:keepLines w:val="0"/>
              <w:pageBreakBefore w:val="0"/>
              <w:widowControl w:val="0"/>
              <w:kinsoku/>
              <w:wordWrap/>
              <w:overflowPunct/>
              <w:topLinePunct w:val="0"/>
              <w:bidi w:val="0"/>
              <w:snapToGrid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签订合同携带的材料</w:t>
            </w:r>
          </w:p>
        </w:tc>
        <w:tc>
          <w:tcPr>
            <w:tcW w:w="5857" w:type="dxa"/>
            <w:vAlign w:val="center"/>
          </w:tcPr>
          <w:p w14:paraId="36C75A18">
            <w:pPr>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签订合同携带的证明材料：</w:t>
            </w:r>
          </w:p>
          <w:p w14:paraId="4F397F69">
            <w:pPr>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 xml:space="preserve">委托代理人负责签订合同的，须携带授权委托书及委托代理人身份证原件等其他资格证件。 </w:t>
            </w:r>
          </w:p>
          <w:p w14:paraId="00B4853E">
            <w:pPr>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2.法定代表人负责签订合同的，须携带法定代表人身份证明原件及身份证原件等其他证明材料。</w:t>
            </w:r>
          </w:p>
        </w:tc>
      </w:tr>
      <w:tr w14:paraId="4578F3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960" w:type="dxa"/>
            <w:vMerge w:val="restart"/>
            <w:vAlign w:val="center"/>
          </w:tcPr>
          <w:p w14:paraId="421C62DA">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31.2</w:t>
            </w:r>
          </w:p>
        </w:tc>
        <w:tc>
          <w:tcPr>
            <w:tcW w:w="2126" w:type="dxa"/>
            <w:vAlign w:val="center"/>
          </w:tcPr>
          <w:p w14:paraId="0127F424">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接收质疑函方式</w:t>
            </w:r>
          </w:p>
        </w:tc>
        <w:tc>
          <w:tcPr>
            <w:tcW w:w="5857" w:type="dxa"/>
            <w:vAlign w:val="center"/>
          </w:tcPr>
          <w:p w14:paraId="0A556649">
            <w:pPr>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以书面形式</w:t>
            </w:r>
          </w:p>
        </w:tc>
      </w:tr>
      <w:tr w14:paraId="2CA9A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60" w:type="dxa"/>
            <w:vMerge w:val="continue"/>
            <w:vAlign w:val="center"/>
          </w:tcPr>
          <w:p w14:paraId="7A7D4F7E">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2126" w:type="dxa"/>
            <w:vAlign w:val="center"/>
          </w:tcPr>
          <w:p w14:paraId="10C7DD23">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质疑联系部门及联系方式</w:t>
            </w:r>
          </w:p>
        </w:tc>
        <w:tc>
          <w:tcPr>
            <w:tcW w:w="5857" w:type="dxa"/>
            <w:vAlign w:val="center"/>
          </w:tcPr>
          <w:p w14:paraId="18EE806F">
            <w:pPr>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广西华诚达建设项目管理有限公司</w:t>
            </w:r>
          </w:p>
          <w:p w14:paraId="4C296454">
            <w:pPr>
              <w:keepNext w:val="0"/>
              <w:keepLines w:val="0"/>
              <w:pageBreakBefore w:val="0"/>
              <w:widowControl w:val="0"/>
              <w:kinsoku/>
              <w:wordWrap/>
              <w:overflowPunct/>
              <w:topLinePunct w:val="0"/>
              <w:bidi w:val="0"/>
              <w:snapToGrid w:val="0"/>
              <w:spacing w:line="400" w:lineRule="exact"/>
              <w:jc w:val="both"/>
              <w:rPr>
                <w:rFonts w:hint="default" w:asciiTheme="minorEastAsia" w:hAnsiTheme="minorEastAsia" w:eastAsiaTheme="minorEastAsia" w:cs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联系电话：077</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7-3601668</w:t>
            </w:r>
          </w:p>
          <w:p w14:paraId="624D0B80">
            <w:pPr>
              <w:keepNext w:val="0"/>
              <w:keepLines w:val="0"/>
              <w:pageBreakBefore w:val="0"/>
              <w:widowControl w:val="0"/>
              <w:kinsoku/>
              <w:wordWrap/>
              <w:overflowPunct/>
              <w:topLinePunct w:val="0"/>
              <w:bidi w:val="0"/>
              <w:snapToGrid w:val="0"/>
              <w:spacing w:line="400" w:lineRule="exact"/>
              <w:jc w:val="both"/>
              <w:rPr>
                <w:rFonts w:hint="default" w:asciiTheme="minorEastAsia" w:hAnsiTheme="minorEastAsia" w:eastAsiaTheme="minorEastAsia" w:cs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通讯地址：</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钦州</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市</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钦北区小江街小江九巷1号二楼</w:t>
            </w:r>
          </w:p>
          <w:p w14:paraId="4A772AE3">
            <w:pPr>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 xml:space="preserve">钦州市精神病医院  </w:t>
            </w:r>
          </w:p>
          <w:p w14:paraId="6F7BA265">
            <w:pPr>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联系电话：</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0777-3759053</w:t>
            </w:r>
          </w:p>
          <w:p w14:paraId="565ABFCA">
            <w:pPr>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通讯地址：钦州市钦北区子材街道北营社区郑屋村</w:t>
            </w:r>
          </w:p>
        </w:tc>
      </w:tr>
      <w:tr w14:paraId="7652CE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60" w:type="dxa"/>
            <w:vMerge w:val="continue"/>
            <w:vAlign w:val="center"/>
          </w:tcPr>
          <w:p w14:paraId="48D04E25">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2126" w:type="dxa"/>
            <w:vAlign w:val="center"/>
          </w:tcPr>
          <w:p w14:paraId="55AEDA6D">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现场提交质疑办理业务时间</w:t>
            </w:r>
          </w:p>
        </w:tc>
        <w:tc>
          <w:tcPr>
            <w:tcW w:w="5857" w:type="dxa"/>
            <w:vAlign w:val="center"/>
          </w:tcPr>
          <w:p w14:paraId="59EBFA91">
            <w:pPr>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质疑期内每个工作日8时00分到12时00分，15时00分到18时00分</w:t>
            </w:r>
          </w:p>
        </w:tc>
      </w:tr>
      <w:tr w14:paraId="46F7B8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60" w:type="dxa"/>
            <w:vAlign w:val="center"/>
          </w:tcPr>
          <w:p w14:paraId="716F0435">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31.6</w:t>
            </w:r>
          </w:p>
        </w:tc>
        <w:tc>
          <w:tcPr>
            <w:tcW w:w="2126" w:type="dxa"/>
            <w:vAlign w:val="center"/>
          </w:tcPr>
          <w:p w14:paraId="606D0F34">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受理投诉方式</w:t>
            </w:r>
          </w:p>
        </w:tc>
        <w:tc>
          <w:tcPr>
            <w:tcW w:w="5857" w:type="dxa"/>
            <w:vAlign w:val="center"/>
          </w:tcPr>
          <w:p w14:paraId="29C86FC0">
            <w:pPr>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t>1.受理方式：纸质方式受理，投诉书正、副本（经过质疑的事项才可投诉）。</w:t>
            </w:r>
          </w:p>
          <w:p w14:paraId="52B6896C">
            <w:pPr>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t>2.邮寄地址：</w:t>
            </w:r>
          </w:p>
          <w:p w14:paraId="5B8BFBA8">
            <w:pPr>
              <w:pStyle w:val="16"/>
              <w:keepNext w:val="0"/>
              <w:keepLines w:val="0"/>
              <w:pageBreakBefore w:val="0"/>
              <w:widowControl w:val="0"/>
              <w:kinsoku/>
              <w:wordWrap/>
              <w:overflowPunct/>
              <w:topLinePunct w:val="0"/>
              <w:bidi w:val="0"/>
              <w:adjustRightInd/>
              <w:snapToGrid w:val="0"/>
              <w:spacing w:line="410" w:lineRule="exact"/>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名称：钦州市财政局政府采购监督管理科</w:t>
            </w:r>
          </w:p>
          <w:p w14:paraId="5B89A9B2">
            <w:pPr>
              <w:keepNext w:val="0"/>
              <w:keepLines w:val="0"/>
              <w:pageBreakBefore w:val="0"/>
              <w:kinsoku/>
              <w:wordWrap/>
              <w:overflowPunct/>
              <w:topLinePunct w:val="0"/>
              <w:bidi w:val="0"/>
              <w:adjustRightInd/>
              <w:snapToGrid w:val="0"/>
              <w:spacing w:line="400" w:lineRule="exact"/>
              <w:ind w:left="0" w:leftChars="0" w:right="0" w:righ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地址：钦州市银河街125号钦州市财政局一楼</w:t>
            </w:r>
          </w:p>
          <w:p w14:paraId="53A31B44">
            <w:pPr>
              <w:pStyle w:val="16"/>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auto"/>
                <w:sz w:val="21"/>
                <w:szCs w:val="21"/>
                <w:highlight w:val="none"/>
              </w:rPr>
              <w:t>联系电话：0777-2895258</w:t>
            </w:r>
          </w:p>
        </w:tc>
      </w:tr>
      <w:tr w14:paraId="43A8BE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60" w:type="dxa"/>
            <w:vAlign w:val="center"/>
          </w:tcPr>
          <w:p w14:paraId="485F67DC">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33</w:t>
            </w:r>
          </w:p>
        </w:tc>
        <w:tc>
          <w:tcPr>
            <w:tcW w:w="2126" w:type="dxa"/>
            <w:vAlign w:val="center"/>
          </w:tcPr>
          <w:p w14:paraId="41F2A41B">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采购代理费</w:t>
            </w:r>
          </w:p>
        </w:tc>
        <w:tc>
          <w:tcPr>
            <w:tcW w:w="5857" w:type="dxa"/>
            <w:vAlign w:val="center"/>
          </w:tcPr>
          <w:p w14:paraId="70371585">
            <w:pPr>
              <w:pStyle w:val="16"/>
              <w:keepNext w:val="0"/>
              <w:keepLines w:val="0"/>
              <w:pageBreakBefore w:val="0"/>
              <w:widowControl w:val="0"/>
              <w:kinsoku/>
              <w:wordWrap/>
              <w:overflowPunct/>
              <w:topLinePunct w:val="0"/>
              <w:autoSpaceDE/>
              <w:autoSpaceDN/>
              <w:bidi w:val="0"/>
              <w:adjustRightInd/>
              <w:snapToGrid w:val="0"/>
              <w:spacing w:line="400" w:lineRule="exact"/>
              <w:ind w:left="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1.是否收取采购代理费：</w:t>
            </w:r>
          </w:p>
          <w:p w14:paraId="76B8D1E4">
            <w:pPr>
              <w:pStyle w:val="16"/>
              <w:keepNext w:val="0"/>
              <w:keepLines w:val="0"/>
              <w:pageBreakBefore w:val="0"/>
              <w:widowControl w:val="0"/>
              <w:kinsoku/>
              <w:wordWrap/>
              <w:overflowPunct/>
              <w:topLinePunct w:val="0"/>
              <w:autoSpaceDE/>
              <w:autoSpaceDN/>
              <w:bidi w:val="0"/>
              <w:adjustRightInd/>
              <w:snapToGrid w:val="0"/>
              <w:spacing w:line="400" w:lineRule="exact"/>
              <w:ind w:left="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☑是    □ 否</w:t>
            </w:r>
          </w:p>
          <w:p w14:paraId="393981FB">
            <w:pPr>
              <w:pStyle w:val="16"/>
              <w:keepNext w:val="0"/>
              <w:keepLines w:val="0"/>
              <w:pageBreakBefore w:val="0"/>
              <w:widowControl w:val="0"/>
              <w:kinsoku/>
              <w:wordWrap/>
              <w:overflowPunct/>
              <w:topLinePunct w:val="0"/>
              <w:autoSpaceDE/>
              <w:autoSpaceDN/>
              <w:bidi w:val="0"/>
              <w:adjustRightInd/>
              <w:snapToGrid w:val="0"/>
              <w:spacing w:line="400" w:lineRule="exact"/>
              <w:ind w:left="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2.采购代理费支付方式：</w:t>
            </w:r>
          </w:p>
          <w:p w14:paraId="2AF99860">
            <w:pPr>
              <w:pStyle w:val="16"/>
              <w:keepNext w:val="0"/>
              <w:keepLines w:val="0"/>
              <w:pageBreakBefore w:val="0"/>
              <w:widowControl w:val="0"/>
              <w:kinsoku/>
              <w:wordWrap/>
              <w:overflowPunct/>
              <w:topLinePunct w:val="0"/>
              <w:autoSpaceDE/>
              <w:autoSpaceDN/>
              <w:bidi w:val="0"/>
              <w:adjustRightInd/>
              <w:snapToGrid w:val="0"/>
              <w:spacing w:line="400" w:lineRule="exact"/>
              <w:ind w:left="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☑本项目代理服务费由</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成交供应商 </w:t>
            </w:r>
            <w:r>
              <w:rPr>
                <w:rFonts w:hint="eastAsia" w:ascii="宋体" w:hAnsi="宋体" w:eastAsia="宋体" w:cs="宋体"/>
                <w:color w:val="000000" w:themeColor="text1"/>
                <w:sz w:val="21"/>
                <w:szCs w:val="21"/>
                <w:highlight w:val="none"/>
                <w:lang w:val="en-US" w:eastAsia="zh-CN"/>
                <w14:textFill>
                  <w14:solidFill>
                    <w14:schemeClr w14:val="tx1"/>
                  </w14:solidFill>
                </w14:textFill>
              </w:rPr>
              <w:t>一次性向采购代理机构支付。</w:t>
            </w:r>
          </w:p>
          <w:p w14:paraId="67C27441">
            <w:pPr>
              <w:pStyle w:val="16"/>
              <w:keepNext w:val="0"/>
              <w:keepLines w:val="0"/>
              <w:pageBreakBefore w:val="0"/>
              <w:widowControl w:val="0"/>
              <w:kinsoku/>
              <w:wordWrap/>
              <w:overflowPunct/>
              <w:topLinePunct w:val="0"/>
              <w:autoSpaceDE/>
              <w:autoSpaceDN/>
              <w:bidi w:val="0"/>
              <w:adjustRightInd/>
              <w:snapToGrid w:val="0"/>
              <w:spacing w:line="400" w:lineRule="exact"/>
              <w:ind w:left="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□采购人支付。</w:t>
            </w:r>
          </w:p>
          <w:p w14:paraId="39A9D97F">
            <w:pPr>
              <w:pStyle w:val="16"/>
              <w:keepNext w:val="0"/>
              <w:keepLines w:val="0"/>
              <w:pageBreakBefore w:val="0"/>
              <w:widowControl w:val="0"/>
              <w:kinsoku/>
              <w:wordWrap/>
              <w:overflowPunct/>
              <w:topLinePunct w:val="0"/>
              <w:autoSpaceDE/>
              <w:autoSpaceDN/>
              <w:bidi w:val="0"/>
              <w:adjustRightInd/>
              <w:snapToGrid w:val="0"/>
              <w:spacing w:line="400" w:lineRule="exact"/>
              <w:ind w:left="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3.采购代理费收取标准：以成交金额为计费额，根据钦政办〔2025〕4号文，参照桂建标〔2018〕37号文（服务招标）计费</w:t>
            </w:r>
            <w:r>
              <w:rPr>
                <w:rFonts w:hint="eastAsia" w:hAnsi="宋体" w:cs="宋体"/>
                <w:color w:val="000000" w:themeColor="text1"/>
                <w:sz w:val="21"/>
                <w:szCs w:val="21"/>
                <w:highlight w:val="none"/>
                <w:lang w:val="en-US" w:eastAsia="zh-CN"/>
                <w14:textFill>
                  <w14:solidFill>
                    <w14:schemeClr w14:val="tx1"/>
                  </w14:solidFill>
                </w14:textFill>
              </w:rPr>
              <w:t>收</w:t>
            </w:r>
            <w:r>
              <w:rPr>
                <w:rFonts w:hint="eastAsia" w:ascii="宋体" w:hAnsi="宋体" w:eastAsia="宋体" w:cs="宋体"/>
                <w:color w:val="000000" w:themeColor="text1"/>
                <w:sz w:val="21"/>
                <w:szCs w:val="21"/>
                <w:highlight w:val="none"/>
                <w:lang w:val="en-US" w:eastAsia="zh-CN"/>
                <w14:textFill>
                  <w14:solidFill>
                    <w14:schemeClr w14:val="tx1"/>
                  </w14:solidFill>
                </w14:textFill>
              </w:rPr>
              <w:t>取。</w:t>
            </w:r>
          </w:p>
          <w:p w14:paraId="162EDC66">
            <w:pPr>
              <w:pStyle w:val="16"/>
              <w:keepNext w:val="0"/>
              <w:keepLines w:val="0"/>
              <w:pageBreakBefore w:val="0"/>
              <w:widowControl w:val="0"/>
              <w:kinsoku/>
              <w:wordWrap/>
              <w:overflowPunct/>
              <w:topLinePunct w:val="0"/>
              <w:autoSpaceDE/>
              <w:autoSpaceDN/>
              <w:bidi w:val="0"/>
              <w:adjustRightInd/>
              <w:snapToGrid w:val="0"/>
              <w:spacing w:line="400" w:lineRule="exact"/>
              <w:ind w:left="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4.采购代理费收取银行账户</w:t>
            </w:r>
          </w:p>
          <w:p w14:paraId="760BD290">
            <w:pPr>
              <w:pStyle w:val="16"/>
              <w:keepNext w:val="0"/>
              <w:keepLines w:val="0"/>
              <w:pageBreakBefore w:val="0"/>
              <w:widowControl w:val="0"/>
              <w:kinsoku/>
              <w:wordWrap/>
              <w:overflowPunct/>
              <w:topLinePunct w:val="0"/>
              <w:autoSpaceDE/>
              <w:autoSpaceDN/>
              <w:bidi w:val="0"/>
              <w:adjustRightInd/>
              <w:snapToGrid w:val="0"/>
              <w:spacing w:line="400" w:lineRule="exact"/>
              <w:ind w:left="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highlight w:val="none"/>
                <w:lang w:eastAsia="zh-CN"/>
                <w14:textFill>
                  <w14:solidFill>
                    <w14:schemeClr w14:val="tx1"/>
                  </w14:solidFill>
                </w14:textFill>
              </w:rPr>
              <w:t>账户名称</w:t>
            </w:r>
            <w:r>
              <w:rPr>
                <w:rFonts w:hint="eastAsia" w:ascii="宋体" w:hAnsi="宋体" w:eastAsia="宋体" w:cs="宋体"/>
                <w:color w:val="000000" w:themeColor="text1"/>
                <w:sz w:val="21"/>
                <w:szCs w:val="21"/>
                <w:highlight w:val="none"/>
                <w:lang w:val="en-US" w:eastAsia="zh-CN"/>
                <w14:textFill>
                  <w14:solidFill>
                    <w14:schemeClr w14:val="tx1"/>
                  </w14:solidFill>
                </w14:textFill>
              </w:rPr>
              <w:t>：广西华诚达建设项目管理有限公司钦州分公司</w:t>
            </w:r>
          </w:p>
          <w:p w14:paraId="65451C24">
            <w:pPr>
              <w:pStyle w:val="16"/>
              <w:keepNext w:val="0"/>
              <w:keepLines w:val="0"/>
              <w:pageBreakBefore w:val="0"/>
              <w:widowControl w:val="0"/>
              <w:kinsoku/>
              <w:wordWrap/>
              <w:overflowPunct/>
              <w:topLinePunct w:val="0"/>
              <w:autoSpaceDE/>
              <w:autoSpaceDN/>
              <w:bidi w:val="0"/>
              <w:adjustRightInd/>
              <w:snapToGrid w:val="0"/>
              <w:spacing w:line="400" w:lineRule="exact"/>
              <w:ind w:left="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开户银行：广西北部湾银行钦州分行</w:t>
            </w:r>
          </w:p>
          <w:p w14:paraId="57521954">
            <w:pPr>
              <w:pStyle w:val="16"/>
              <w:keepNext w:val="0"/>
              <w:keepLines w:val="0"/>
              <w:pageBreakBefore w:val="0"/>
              <w:widowControl w:val="0"/>
              <w:kinsoku/>
              <w:wordWrap/>
              <w:overflowPunct/>
              <w:topLinePunct w:val="0"/>
              <w:autoSpaceDE/>
              <w:autoSpaceDN/>
              <w:bidi w:val="0"/>
              <w:adjustRightInd/>
              <w:snapToGrid w:val="0"/>
              <w:spacing w:line="400" w:lineRule="exact"/>
              <w:ind w:left="0" w:firstLine="0" w:firstLineChars="0"/>
              <w:textAlignment w:val="auto"/>
              <w:rPr>
                <w:rFonts w:hint="eastAsia" w:asciiTheme="minorEastAsia" w:hAnsiTheme="minorEastAsia" w:eastAsiaTheme="minorEastAsia" w:cstheme="minorEastAsia"/>
                <w:color w:val="000000" w:themeColor="text1"/>
                <w:sz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银行账号：800095559800018</w:t>
            </w:r>
          </w:p>
        </w:tc>
      </w:tr>
      <w:tr w14:paraId="4F78F1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60" w:type="dxa"/>
            <w:vAlign w:val="center"/>
          </w:tcPr>
          <w:p w14:paraId="12897D80">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34.1</w:t>
            </w:r>
          </w:p>
        </w:tc>
        <w:tc>
          <w:tcPr>
            <w:tcW w:w="2126" w:type="dxa"/>
            <w:vAlign w:val="center"/>
          </w:tcPr>
          <w:p w14:paraId="11DB4AF5">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解释</w:t>
            </w:r>
          </w:p>
        </w:tc>
        <w:tc>
          <w:tcPr>
            <w:tcW w:w="5857" w:type="dxa"/>
            <w:vAlign w:val="center"/>
          </w:tcPr>
          <w:p w14:paraId="0A513886">
            <w:pPr>
              <w:pStyle w:val="16"/>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b/>
                <w:color w:val="000000" w:themeColor="text1"/>
                <w:sz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highlight w:val="none"/>
                <w14:textFill>
                  <w14:solidFill>
                    <w14:schemeClr w14:val="tx1"/>
                  </w14:solidFill>
                </w14:textFill>
              </w:rPr>
              <w:t>解释权：</w:t>
            </w:r>
            <w:r>
              <w:rPr>
                <w:rFonts w:hint="eastAsia" w:asciiTheme="minorEastAsia" w:hAnsiTheme="minorEastAsia" w:eastAsiaTheme="minorEastAsia" w:cstheme="minorEastAsia"/>
                <w:color w:val="000000" w:themeColor="text1"/>
                <w:sz w:val="21"/>
                <w:highlight w:val="none"/>
                <w14:textFill>
                  <w14:solidFill>
                    <w14:schemeClr w14:val="tx1"/>
                  </w14:solidFill>
                </w14:textFill>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asciiTheme="minorEastAsia" w:hAnsiTheme="minorEastAsia" w:eastAsiaTheme="minorEastAsia" w:cstheme="minorEastAsia"/>
                <w:b/>
                <w:color w:val="000000" w:themeColor="text1"/>
                <w:sz w:val="21"/>
                <w:highlight w:val="none"/>
                <w14:textFill>
                  <w14:solidFill>
                    <w14:schemeClr w14:val="tx1"/>
                  </w14:solidFill>
                </w14:textFill>
              </w:rPr>
              <w:t>由采购人或者采购代理机构负责解释。</w:t>
            </w:r>
          </w:p>
          <w:p w14:paraId="35B6412A">
            <w:pPr>
              <w:pStyle w:val="16"/>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color w:val="000000" w:themeColor="text1"/>
                <w:sz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highlight w:val="none"/>
                <w14:textFill>
                  <w14:solidFill>
                    <w14:schemeClr w14:val="tx1"/>
                  </w14:solidFill>
                </w14:textFill>
              </w:rPr>
              <w:t>法律责任：</w:t>
            </w:r>
            <w:r>
              <w:rPr>
                <w:rFonts w:hint="eastAsia" w:asciiTheme="minorEastAsia" w:hAnsiTheme="minorEastAsia" w:eastAsiaTheme="minorEastAsia" w:cstheme="minorEastAsia"/>
                <w:color w:val="000000" w:themeColor="text1"/>
                <w:sz w:val="21"/>
                <w:highlight w:val="none"/>
                <w14:textFill>
                  <w14:solidFill>
                    <w14:schemeClr w14:val="tx1"/>
                  </w14:solidFill>
                </w14:textFill>
              </w:rPr>
              <w:t>1.本采购文件根据《中华人民共和国政府采购法》《中华人民共和国民法典》；《中华人民共和国政府采购法实施条例》《政府采购非招标采购方式管理办法》等有关</w:t>
            </w:r>
            <w:r>
              <w:rPr>
                <w:rFonts w:hint="eastAsia" w:asciiTheme="minorEastAsia" w:hAnsiTheme="minorEastAsia" w:eastAsiaTheme="minorEastAsia" w:cstheme="minorEastAsia"/>
                <w:color w:val="000000" w:themeColor="text1"/>
                <w:sz w:val="21"/>
                <w:highlight w:val="none"/>
                <w:lang w:eastAsia="zh-CN"/>
                <w14:textFill>
                  <w14:solidFill>
                    <w14:schemeClr w14:val="tx1"/>
                  </w14:solidFill>
                </w14:textFill>
              </w:rPr>
              <w:t>法律法规</w:t>
            </w:r>
            <w:r>
              <w:rPr>
                <w:rFonts w:hint="eastAsia" w:asciiTheme="minorEastAsia" w:hAnsiTheme="minorEastAsia" w:eastAsiaTheme="minorEastAsia" w:cstheme="minorEastAsia"/>
                <w:color w:val="000000" w:themeColor="text1"/>
                <w:sz w:val="21"/>
                <w:highlight w:val="none"/>
                <w14:textFill>
                  <w14:solidFill>
                    <w14:schemeClr w14:val="tx1"/>
                  </w14:solidFill>
                </w14:textFill>
              </w:rPr>
              <w:t>编制，参与本项目的各政府采购当事人依法享有上述法律法规所赋予的权利与义务。</w:t>
            </w:r>
          </w:p>
          <w:p w14:paraId="45AFD8BB">
            <w:pPr>
              <w:pStyle w:val="16"/>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color w:val="000000" w:themeColor="text1"/>
                <w:kern w:val="2"/>
                <w:sz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highlight w:val="none"/>
                <w:lang w:val="en-US" w:eastAsia="zh-CN"/>
                <w14:textFill>
                  <w14:solidFill>
                    <w14:schemeClr w14:val="tx1"/>
                  </w14:solidFill>
                </w14:textFill>
              </w:rPr>
              <w:t>2.本项目采购代理机构应严格按照广西政府采购云平台项目采购全流程电子化电子开评标规程执行项目采购活动，代理机构在“项目管理”—“采购文件管理”内开评标规则设置作为本采购文件的组成部分，一经开标不可更改，因代理机构开评标规则设置错误导致采购活动无法开展下去的情况，由代理机构负责解释并承担后果。</w:t>
            </w:r>
          </w:p>
        </w:tc>
      </w:tr>
      <w:tr w14:paraId="3F8D28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60" w:type="dxa"/>
            <w:vAlign w:val="center"/>
          </w:tcPr>
          <w:p w14:paraId="5D7E99C0">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34.2</w:t>
            </w:r>
          </w:p>
        </w:tc>
        <w:tc>
          <w:tcPr>
            <w:tcW w:w="2126" w:type="dxa"/>
            <w:vAlign w:val="center"/>
          </w:tcPr>
          <w:p w14:paraId="3AA4A78F">
            <w:pPr>
              <w:keepNext w:val="0"/>
              <w:keepLines w:val="0"/>
              <w:pageBreakBefore w:val="0"/>
              <w:widowControl w:val="0"/>
              <w:kinsoku/>
              <w:wordWrap/>
              <w:overflowPunct/>
              <w:topLinePunct w:val="0"/>
              <w:bidi w:val="0"/>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其他</w:t>
            </w:r>
          </w:p>
        </w:tc>
        <w:tc>
          <w:tcPr>
            <w:tcW w:w="5857" w:type="dxa"/>
            <w:vAlign w:val="center"/>
          </w:tcPr>
          <w:p w14:paraId="5D733210">
            <w:pPr>
              <w:pStyle w:val="16"/>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color w:val="000000" w:themeColor="text1"/>
                <w:sz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highlight w:val="none"/>
                <w14:textFill>
                  <w14:solidFill>
                    <w14:schemeClr w14:val="tx1"/>
                  </w14:solidFill>
                </w14:textFill>
              </w:rPr>
              <w:t>1.本磋商文件中描述供应商的“公章”是指根据我国对公章的管理规定</w:t>
            </w:r>
            <w:r>
              <w:rPr>
                <w:rFonts w:hint="eastAsia" w:asciiTheme="minorEastAsia" w:hAnsiTheme="minorEastAsia" w:eastAsiaTheme="minorEastAsia" w:cstheme="minorEastAsia"/>
                <w:color w:val="000000" w:themeColor="text1"/>
                <w:sz w:val="21"/>
                <w:highlight w:val="none"/>
                <w:lang w:eastAsia="zh-CN"/>
                <w14:textFill>
                  <w14:solidFill>
                    <w14:schemeClr w14:val="tx1"/>
                  </w14:solidFill>
                </w14:textFill>
              </w:rPr>
              <w:t>，使</w:t>
            </w:r>
            <w:r>
              <w:rPr>
                <w:rFonts w:hint="eastAsia" w:asciiTheme="minorEastAsia" w:hAnsiTheme="minorEastAsia" w:eastAsiaTheme="minorEastAsia" w:cstheme="minorEastAsia"/>
                <w:color w:val="000000" w:themeColor="text1"/>
                <w:sz w:val="21"/>
                <w:highlight w:val="none"/>
                <w14:textFill>
                  <w14:solidFill>
                    <w14:schemeClr w14:val="tx1"/>
                  </w14:solidFill>
                </w14:textFill>
              </w:rPr>
              <w:t>用供应商法定主体行为名称制作的印章，除本磋商文件有特殊规定外，供应商的财务章、部门章、分公司章、工会章、合同章、竞标/</w:t>
            </w:r>
            <w:r>
              <w:rPr>
                <w:rFonts w:hint="eastAsia" w:asciiTheme="minorEastAsia" w:hAnsiTheme="minorEastAsia" w:eastAsiaTheme="minorEastAsia" w:cstheme="minorEastAsia"/>
                <w:color w:val="000000" w:themeColor="text1"/>
                <w:sz w:val="21"/>
                <w:highlight w:val="none"/>
                <w:lang w:eastAsia="zh-CN"/>
                <w14:textFill>
                  <w14:solidFill>
                    <w14:schemeClr w14:val="tx1"/>
                  </w14:solidFill>
                </w14:textFill>
              </w:rPr>
              <w:t>竞标</w:t>
            </w:r>
            <w:r>
              <w:rPr>
                <w:rFonts w:hint="eastAsia" w:asciiTheme="minorEastAsia" w:hAnsiTheme="minorEastAsia" w:eastAsiaTheme="minorEastAsia" w:cstheme="minorEastAsia"/>
                <w:color w:val="000000" w:themeColor="text1"/>
                <w:sz w:val="21"/>
                <w:highlight w:val="none"/>
                <w14:textFill>
                  <w14:solidFill>
                    <w14:schemeClr w14:val="tx1"/>
                  </w14:solidFill>
                </w14:textFill>
              </w:rPr>
              <w:t>专用章、业务专用章及银行的转账章、现金收讫章、现金付讫章等其他形式印章均不能代替公章。</w:t>
            </w:r>
          </w:p>
          <w:p w14:paraId="3D75F24C">
            <w:pPr>
              <w:pStyle w:val="16"/>
              <w:keepNext w:val="0"/>
              <w:keepLines w:val="0"/>
              <w:pageBreakBefore w:val="0"/>
              <w:widowControl w:val="0"/>
              <w:kinsoku/>
              <w:wordWrap/>
              <w:overflowPunct/>
              <w:topLinePunct w:val="0"/>
              <w:bidi w:val="0"/>
              <w:snapToGrid w:val="0"/>
              <w:spacing w:line="400" w:lineRule="exact"/>
              <w:jc w:val="both"/>
              <w:rPr>
                <w:rFonts w:hint="eastAsia" w:asciiTheme="minorEastAsia" w:hAnsiTheme="minorEastAsia" w:eastAsiaTheme="minorEastAsia" w:cstheme="minorEastAsia"/>
                <w:color w:val="000000" w:themeColor="text1"/>
                <w:sz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highlight w:val="none"/>
                <w14:textFill>
                  <w14:solidFill>
                    <w14:schemeClr w14:val="tx1"/>
                  </w14:solidFill>
                </w14:textFill>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205683FC">
            <w:pPr>
              <w:pStyle w:val="16"/>
              <w:keepNext w:val="0"/>
              <w:keepLines w:val="0"/>
              <w:pageBreakBefore w:val="0"/>
              <w:widowControl w:val="0"/>
              <w:kinsoku/>
              <w:wordWrap/>
              <w:overflowPunct/>
              <w:topLinePunct w:val="0"/>
              <w:autoSpaceDE/>
              <w:autoSpaceDN/>
              <w:bidi w:val="0"/>
              <w:adjustRightInd/>
              <w:snapToGrid w:val="0"/>
              <w:spacing w:beforeAutospacing="0" w:afterAutospacing="0" w:line="400" w:lineRule="exact"/>
              <w:jc w:val="both"/>
              <w:textAlignment w:val="auto"/>
              <w:rPr>
                <w:rFonts w:hint="eastAsia" w:asciiTheme="minorEastAsia" w:hAnsiTheme="minorEastAsia" w:eastAsiaTheme="minorEastAsia" w:cstheme="minorEastAsia"/>
                <w:color w:val="000000" w:themeColor="text1"/>
                <w:sz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highlight w:val="none"/>
                <w14:textFill>
                  <w14:solidFill>
                    <w14:schemeClr w14:val="tx1"/>
                  </w14:solidFill>
                </w14:textFill>
              </w:rPr>
              <w:t>3.本磋商文件中描述供应商的“签字”是指供应商的法定代表人或者委托代理人亲自在文件规定签署处亲笔写上个人的名字的行为，私章、签字章、印鉴、影印等其他形式均不能代替亲笔签字。</w:t>
            </w:r>
          </w:p>
          <w:p w14:paraId="06595CAD">
            <w:pPr>
              <w:pStyle w:val="16"/>
              <w:keepNext w:val="0"/>
              <w:keepLines w:val="0"/>
              <w:pageBreakBefore w:val="0"/>
              <w:widowControl w:val="0"/>
              <w:kinsoku/>
              <w:wordWrap/>
              <w:overflowPunct/>
              <w:topLinePunct w:val="0"/>
              <w:autoSpaceDE/>
              <w:autoSpaceDN/>
              <w:bidi w:val="0"/>
              <w:adjustRightInd/>
              <w:snapToGrid w:val="0"/>
              <w:spacing w:beforeAutospacing="0" w:afterAutospacing="0" w:line="400" w:lineRule="exact"/>
              <w:jc w:val="both"/>
              <w:textAlignment w:val="auto"/>
              <w:rPr>
                <w:rFonts w:hint="eastAsia" w:asciiTheme="minorEastAsia" w:hAnsiTheme="minorEastAsia" w:eastAsiaTheme="minorEastAsia" w:cstheme="minorEastAsia"/>
                <w:color w:val="000000" w:themeColor="text1"/>
                <w:sz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highlight w:val="none"/>
                <w14:textFill>
                  <w14:solidFill>
                    <w14:schemeClr w14:val="tx1"/>
                  </w14:solidFill>
                </w14:textFill>
              </w:rPr>
              <w:t>4.自然人竞标的，磋商文件规定盖公章处由自然人摁手指指印。</w:t>
            </w:r>
          </w:p>
          <w:p w14:paraId="1BE82533">
            <w:pPr>
              <w:pStyle w:val="16"/>
              <w:keepNext w:val="0"/>
              <w:keepLines w:val="0"/>
              <w:pageBreakBefore w:val="0"/>
              <w:widowControl w:val="0"/>
              <w:kinsoku/>
              <w:wordWrap/>
              <w:overflowPunct/>
              <w:topLinePunct w:val="0"/>
              <w:autoSpaceDE/>
              <w:autoSpaceDN/>
              <w:bidi w:val="0"/>
              <w:adjustRightInd/>
              <w:snapToGrid w:val="0"/>
              <w:spacing w:beforeAutospacing="0" w:afterAutospacing="0" w:line="400" w:lineRule="exact"/>
              <w:jc w:val="both"/>
              <w:textAlignment w:val="auto"/>
              <w:rPr>
                <w:rFonts w:hint="eastAsia" w:asciiTheme="minorEastAsia" w:hAnsiTheme="minorEastAsia" w:eastAsiaTheme="minorEastAsia" w:cstheme="minorEastAsia"/>
                <w:color w:val="000000" w:themeColor="text1"/>
                <w:sz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highlight w:val="none"/>
                <w14:textFill>
                  <w14:solidFill>
                    <w14:schemeClr w14:val="tx1"/>
                  </w14:solidFill>
                </w14:textFill>
              </w:rPr>
              <w:t>5.本磋商文件所称的“以上”“以下”“以内”“届满”，包括本数；所称的“不满”“超过”“以外”，不包括本数。</w:t>
            </w:r>
          </w:p>
          <w:p w14:paraId="3F1EDFF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default"/>
                <w:color w:val="000000" w:themeColor="text1"/>
                <w:highlight w:val="none"/>
                <w:lang w:val="en-US"/>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1"/>
                <w:szCs w:val="21"/>
                <w:highlight w:val="none"/>
                <w:lang w:val="en-US" w:eastAsia="zh-CN" w:bidi="ar-SA"/>
                <w14:textFill>
                  <w14:solidFill>
                    <w14:schemeClr w14:val="tx1"/>
                  </w14:solidFill>
                </w14:textFill>
              </w:rPr>
              <w:t>6.</w:t>
            </w:r>
            <w:r>
              <w:rPr>
                <w:rFonts w:hint="eastAsia" w:asciiTheme="minorEastAsia" w:hAnsiTheme="minorEastAsia" w:eastAsiaTheme="minorEastAsia" w:cstheme="minorEastAsia"/>
                <w:b/>
                <w:bCs/>
                <w:color w:val="000000" w:themeColor="text1"/>
                <w:kern w:val="0"/>
                <w:sz w:val="21"/>
                <w:szCs w:val="21"/>
                <w:highlight w:val="none"/>
                <w:lang w:val="en-US" w:eastAsia="zh-CN" w:bidi="ar-SA"/>
                <w14:textFill>
                  <w14:solidFill>
                    <w14:schemeClr w14:val="tx1"/>
                  </w14:solidFill>
                </w14:textFill>
              </w:rPr>
              <w:t>因项目存档需要，成交供应商须按以下要求提供2份纸质响应文件：</w:t>
            </w:r>
            <w:r>
              <w:rPr>
                <w:rFonts w:hint="eastAsia" w:asciiTheme="minorEastAsia" w:hAnsiTheme="minorEastAsia" w:eastAsiaTheme="minorEastAsia" w:cstheme="minorEastAsia"/>
                <w:b w:val="0"/>
                <w:bCs w:val="0"/>
                <w:color w:val="000000" w:themeColor="text1"/>
                <w:kern w:val="0"/>
                <w:sz w:val="21"/>
                <w:szCs w:val="21"/>
                <w:highlight w:val="none"/>
                <w:lang w:val="en-US" w:eastAsia="zh-CN" w:bidi="ar-SA"/>
                <w14:textFill>
                  <w14:solidFill>
                    <w14:schemeClr w14:val="tx1"/>
                  </w14:solidFill>
                </w14:textFill>
              </w:rPr>
              <w:t>需在采购合同签订前（含资格证明文件、报价文件、商务文件、技术文件）提交给采购代理机构。提交的纸质版响应文件文本必须与其上传系统的电子响应文件内容一致，不允许有篡改。如项目验收时因所提供的纸质响应文件与评标的响应文件不一致造成纠纷时，所有责任由供应商承担。</w:t>
            </w:r>
          </w:p>
        </w:tc>
      </w:tr>
      <w:tr w14:paraId="12265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3086" w:type="dxa"/>
            <w:gridSpan w:val="2"/>
            <w:vAlign w:val="center"/>
          </w:tcPr>
          <w:p w14:paraId="4CDF29F7">
            <w:pPr>
              <w:keepNext w:val="0"/>
              <w:keepLines w:val="0"/>
              <w:pageBreakBefore w:val="0"/>
              <w:widowControl w:val="0"/>
              <w:kinsoku/>
              <w:wordWrap/>
              <w:overflowPunct/>
              <w:topLinePunct w:val="0"/>
              <w:bidi w:val="0"/>
              <w:adjustRightInd/>
              <w:spacing w:line="4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政采贷</w:t>
            </w:r>
          </w:p>
        </w:tc>
        <w:tc>
          <w:tcPr>
            <w:tcW w:w="5857" w:type="dxa"/>
            <w:vAlign w:val="center"/>
          </w:tcPr>
          <w:p w14:paraId="3816F0BA">
            <w:pPr>
              <w:pStyle w:val="16"/>
              <w:keepNext w:val="0"/>
              <w:keepLines w:val="0"/>
              <w:pageBreakBefore w:val="0"/>
              <w:widowControl w:val="0"/>
              <w:kinsoku/>
              <w:wordWrap/>
              <w:overflowPunct/>
              <w:topLinePunct w:val="0"/>
              <w:bidi w:val="0"/>
              <w:adjustRightInd/>
              <w:spacing w:line="400" w:lineRule="exact"/>
              <w:ind w:left="63" w:leftChars="30" w:right="21" w:rightChars="10"/>
              <w:jc w:val="both"/>
              <w:rPr>
                <w:rFonts w:hint="eastAsia" w:asciiTheme="minorEastAsia" w:hAnsiTheme="minorEastAsia" w:eastAsiaTheme="minorEastAsia" w:cstheme="minorEastAsia"/>
                <w:color w:val="000000" w:themeColor="text1"/>
                <w:sz w:val="21"/>
                <w:highlight w:val="none"/>
                <w14:textFill>
                  <w14:solidFill>
                    <w14:schemeClr w14:val="tx1"/>
                  </w14:solidFill>
                </w14:textFill>
              </w:rPr>
            </w:pPr>
            <w:r>
              <w:rPr>
                <w:rFonts w:hint="eastAsia" w:hAnsi="宋体" w:eastAsia="宋体" w:cs="宋体"/>
                <w:color w:val="000000" w:themeColor="text1"/>
                <w:sz w:val="21"/>
                <w:highlight w:val="none"/>
                <w:lang w:eastAsia="zh-CN"/>
                <w14:textFill>
                  <w14:solidFill>
                    <w14:schemeClr w14:val="tx1"/>
                  </w14:solidFill>
                </w14:textFill>
              </w:rPr>
              <w:t>供应商可凭中标（成交）通知书或政府采购合同等在内的相关材料、信息，通过中征应收账款融资服务平台向银行业金融机构在线申请“政采贷”融资。相关金融产品和银行业金融机构联系方式，可在中征应收账款融资服务平台查询（网址：</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"https://www.crcrfsp.com/" </w:instrText>
            </w:r>
            <w:r>
              <w:rPr>
                <w:color w:val="000000" w:themeColor="text1"/>
                <w:highlight w:val="none"/>
                <w14:textFill>
                  <w14:solidFill>
                    <w14:schemeClr w14:val="tx1"/>
                  </w14:solidFill>
                </w14:textFill>
              </w:rPr>
              <w:fldChar w:fldCharType="separate"/>
            </w:r>
            <w:r>
              <w:rPr>
                <w:rFonts w:hint="eastAsia" w:hAnsi="宋体" w:eastAsia="宋体" w:cs="宋体"/>
                <w:color w:val="000000" w:themeColor="text1"/>
                <w:sz w:val="21"/>
                <w:highlight w:val="none"/>
                <w:lang w:eastAsia="zh-CN"/>
                <w14:textFill>
                  <w14:solidFill>
                    <w14:schemeClr w14:val="tx1"/>
                  </w14:solidFill>
                </w14:textFill>
              </w:rPr>
              <w:t>https://www.crcrfsp.com/</w:t>
            </w:r>
            <w:r>
              <w:rPr>
                <w:rFonts w:hint="eastAsia" w:hAnsi="宋体" w:eastAsia="宋体" w:cs="宋体"/>
                <w:color w:val="000000" w:themeColor="text1"/>
                <w:sz w:val="21"/>
                <w:highlight w:val="none"/>
                <w:lang w:eastAsia="zh-CN"/>
                <w14:textFill>
                  <w14:solidFill>
                    <w14:schemeClr w14:val="tx1"/>
                  </w14:solidFill>
                </w14:textFill>
              </w:rPr>
              <w:fldChar w:fldCharType="end"/>
            </w:r>
            <w:r>
              <w:rPr>
                <w:rFonts w:hint="eastAsia" w:hAnsi="宋体" w:eastAsia="宋体" w:cs="宋体"/>
                <w:color w:val="000000" w:themeColor="text1"/>
                <w:sz w:val="21"/>
                <w:highlight w:val="none"/>
                <w:lang w:eastAsia="zh-CN"/>
                <w14:textFill>
                  <w14:solidFill>
                    <w14:schemeClr w14:val="tx1"/>
                  </w14:solidFill>
                </w14:textFill>
              </w:rPr>
              <w:t>，客服电话：400-009-0001）。</w:t>
            </w:r>
          </w:p>
        </w:tc>
      </w:tr>
    </w:tbl>
    <w:p w14:paraId="331560FB">
      <w:pPr>
        <w:pStyle w:val="3"/>
        <w:keepNext/>
        <w:keepLines/>
        <w:pageBreakBefore w:val="0"/>
        <w:widowControl w:val="0"/>
        <w:kinsoku/>
        <w:wordWrap/>
        <w:overflowPunct/>
        <w:topLinePunct w:val="0"/>
        <w:autoSpaceDE/>
        <w:autoSpaceDN/>
        <w:bidi w:val="0"/>
        <w:adjustRightInd/>
        <w:snapToGrid/>
        <w:spacing w:before="0" w:after="0" w:line="640" w:lineRule="exact"/>
        <w:jc w:val="center"/>
        <w:textAlignment w:val="auto"/>
        <w:rPr>
          <w:rFonts w:hint="eastAsia" w:asciiTheme="minorEastAsia" w:hAnsiTheme="minorEastAsia" w:eastAsiaTheme="minorEastAsia" w:cstheme="minorEastAsia"/>
          <w:b w:val="0"/>
          <w:color w:val="000000" w:themeColor="text1"/>
          <w:sz w:val="34"/>
          <w:szCs w:val="34"/>
          <w:highlight w:val="none"/>
          <w14:textFill>
            <w14:solidFill>
              <w14:schemeClr w14:val="tx1"/>
            </w14:solidFill>
          </w14:textFill>
        </w:rPr>
      </w:pPr>
      <w:bookmarkStart w:id="21" w:name="_Toc87345228"/>
      <w:bookmarkEnd w:id="21"/>
      <w:r>
        <w:rPr>
          <w:rFonts w:hint="eastAsia" w:asciiTheme="minorEastAsia" w:hAnsiTheme="minorEastAsia" w:eastAsiaTheme="minorEastAsia" w:cstheme="minorEastAsia"/>
          <w:b w:val="0"/>
          <w:color w:val="000000" w:themeColor="text1"/>
          <w:highlight w:val="none"/>
          <w14:textFill>
            <w14:solidFill>
              <w14:schemeClr w14:val="tx1"/>
            </w14:solidFill>
          </w14:textFill>
        </w:rPr>
        <w:br w:type="page"/>
      </w:r>
      <w:r>
        <w:rPr>
          <w:rFonts w:hint="eastAsia" w:asciiTheme="minorEastAsia" w:hAnsiTheme="minorEastAsia" w:eastAsiaTheme="minorEastAsia" w:cstheme="minorEastAsia"/>
          <w:bCs w:val="0"/>
          <w:color w:val="000000" w:themeColor="text1"/>
          <w:sz w:val="34"/>
          <w:szCs w:val="34"/>
          <w:highlight w:val="none"/>
          <w14:textFill>
            <w14:solidFill>
              <w14:schemeClr w14:val="tx1"/>
            </w14:solidFill>
          </w14:textFill>
        </w:rPr>
        <w:t>第二节 供应商须知正文</w:t>
      </w:r>
    </w:p>
    <w:p w14:paraId="6CF6961C">
      <w:pPr>
        <w:pStyle w:val="4"/>
        <w:keepNext/>
        <w:keepLines/>
        <w:pageBreakBefore w:val="0"/>
        <w:widowControl w:val="0"/>
        <w:kinsoku/>
        <w:wordWrap/>
        <w:overflowPunct/>
        <w:topLinePunct w:val="0"/>
        <w:autoSpaceDE/>
        <w:autoSpaceDN/>
        <w:bidi w:val="0"/>
        <w:adjustRightInd/>
        <w:snapToGrid/>
        <w:spacing w:before="0" w:after="0" w:afterLines="50" w:line="640" w:lineRule="exact"/>
        <w:jc w:val="center"/>
        <w:textAlignment w:val="auto"/>
        <w:rPr>
          <w:rFonts w:hint="eastAsia" w:asciiTheme="minorEastAsia" w:hAnsiTheme="minorEastAsia" w:eastAsiaTheme="minorEastAsia" w:cstheme="minorEastAsia"/>
          <w:b/>
          <w:bCs w:val="0"/>
          <w:color w:val="000000" w:themeColor="text1"/>
          <w:sz w:val="30"/>
          <w:szCs w:val="30"/>
          <w:highlight w:val="none"/>
          <w14:textFill>
            <w14:solidFill>
              <w14:schemeClr w14:val="tx1"/>
            </w14:solidFill>
          </w14:textFill>
        </w:rPr>
      </w:pPr>
      <w:bookmarkStart w:id="22" w:name="_Toc87345229"/>
      <w:bookmarkEnd w:id="22"/>
      <w:r>
        <w:rPr>
          <w:rFonts w:hint="eastAsia" w:asciiTheme="minorEastAsia" w:hAnsiTheme="minorEastAsia" w:eastAsiaTheme="minorEastAsia" w:cstheme="minorEastAsia"/>
          <w:b/>
          <w:bCs w:val="0"/>
          <w:color w:val="000000" w:themeColor="text1"/>
          <w:sz w:val="30"/>
          <w:szCs w:val="30"/>
          <w:highlight w:val="none"/>
          <w14:textFill>
            <w14:solidFill>
              <w14:schemeClr w14:val="tx1"/>
            </w14:solidFill>
          </w14:textFill>
        </w:rPr>
        <w:t>一、总则</w:t>
      </w:r>
    </w:p>
    <w:p w14:paraId="7EE55176">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1.适用范围</w:t>
      </w:r>
    </w:p>
    <w:p w14:paraId="5724995F">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048E8875">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1.2</w:t>
      </w:r>
      <w:r>
        <w:rPr>
          <w:rFonts w:hint="eastAsia" w:asciiTheme="minorEastAsia" w:hAnsiTheme="minorEastAsia" w:eastAsiaTheme="minorEastAsia" w:cstheme="minorEastAsia"/>
          <w:color w:val="000000" w:themeColor="text1"/>
          <w:spacing w:val="-6"/>
          <w:szCs w:val="21"/>
          <w:highlight w:val="none"/>
          <w14:textFill>
            <w14:solidFill>
              <w14:schemeClr w14:val="tx1"/>
            </w14:solidFill>
          </w14:textFill>
        </w:rPr>
        <w:t>本竞争性磋商文件（以下简称磋商文件）适用于本项目的所有采购程序和环节（</w:t>
      </w:r>
      <w:r>
        <w:rPr>
          <w:rFonts w:hint="eastAsia" w:asciiTheme="minorEastAsia" w:hAnsiTheme="minorEastAsia" w:eastAsiaTheme="minorEastAsia" w:cstheme="minorEastAsia"/>
          <w:color w:val="000000" w:themeColor="text1"/>
          <w:spacing w:val="-6"/>
          <w:szCs w:val="21"/>
          <w:highlight w:val="none"/>
          <w:lang w:eastAsia="zh-CN"/>
          <w14:textFill>
            <w14:solidFill>
              <w14:schemeClr w14:val="tx1"/>
            </w14:solidFill>
          </w14:textFill>
        </w:rPr>
        <w:t>法律法规</w:t>
      </w:r>
      <w:r>
        <w:rPr>
          <w:rFonts w:hint="eastAsia" w:asciiTheme="minorEastAsia" w:hAnsiTheme="minorEastAsia" w:eastAsiaTheme="minorEastAsia" w:cstheme="minorEastAsia"/>
          <w:color w:val="000000" w:themeColor="text1"/>
          <w:spacing w:val="-6"/>
          <w:szCs w:val="21"/>
          <w:highlight w:val="none"/>
          <w14:textFill>
            <w14:solidFill>
              <w14:schemeClr w14:val="tx1"/>
            </w14:solidFill>
          </w14:textFill>
        </w:rPr>
        <w:t>另有规定的，从其规定）。</w:t>
      </w:r>
    </w:p>
    <w:p w14:paraId="6E8BFC31">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2.定义</w:t>
      </w:r>
    </w:p>
    <w:p w14:paraId="548961C4">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2.1“采购人”是指依法进行政府采购的国家机关、事业单位、团体组织。</w:t>
      </w:r>
    </w:p>
    <w:p w14:paraId="5F5F1B3A">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2.2“采购代理机构”是指政府采购集中采购机构和集中采购机构以外的采购代理机构。</w:t>
      </w:r>
    </w:p>
    <w:p w14:paraId="1E851DCD">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2.3“供应商”是指向采购人提供货物、工程或者服务的法人、其他组织或者自然人。</w:t>
      </w:r>
    </w:p>
    <w:p w14:paraId="0E55666E">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2.4“服务”是指除货物和工程以外的其他政府采购对象。</w:t>
      </w:r>
    </w:p>
    <w:p w14:paraId="6B5EFBCE">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2.5“竞标”是指供应商按照本项目竞争性磋商公告或者邀请函规定的方式获取磋商文件、提交响应文件并希望获得标的的行为。</w:t>
      </w:r>
    </w:p>
    <w:p w14:paraId="782EDA81">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2.6“响应文件”</w:t>
      </w:r>
      <w:r>
        <w:rPr>
          <w:rFonts w:hint="eastAsia" w:asciiTheme="minorEastAsia" w:hAnsiTheme="minorEastAsia" w:eastAsiaTheme="minorEastAsia" w:cstheme="minorEastAsia"/>
          <w:color w:val="000000" w:themeColor="text1"/>
          <w:spacing w:val="-6"/>
          <w:szCs w:val="21"/>
          <w:highlight w:val="none"/>
          <w14:textFill>
            <w14:solidFill>
              <w14:schemeClr w14:val="tx1"/>
            </w14:solidFill>
          </w14:textFill>
        </w:rPr>
        <w:t>是指：供应商根据本磋商文件要求，编制包含资格证明、报价商务技术等所有内容的文件。</w:t>
      </w:r>
    </w:p>
    <w:p w14:paraId="4228A4A7">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2.7“实质性要求”是指磋商文件中已经指明不满足则响应文件按无效响应处理的条款，或者不能负偏离的条款，或者采购需求中带“▲”的条款。</w:t>
      </w:r>
    </w:p>
    <w:p w14:paraId="5F4007E6">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2.8“正偏离”，是指响应文件对磋商文件“采购需求”中有关条款作出的响应优于条款要求并有利于采购人的情形。</w:t>
      </w:r>
    </w:p>
    <w:p w14:paraId="7A253F76">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2.9“负偏离”，是指响应文件对磋商文件“采购需求”中有关条款作出的响应不满足条款要求，导致采购人要求不能得到满足的情形。</w:t>
      </w:r>
    </w:p>
    <w:p w14:paraId="2469764A">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2.10“允许负偏离的条款”是指采购需求中的不属于“实质性要求”的条款。</w:t>
      </w:r>
    </w:p>
    <w:p w14:paraId="2ACCF23A">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2.11“书面形式”是指合同书、信件和数据电文（包括电报、电传、传真、电子数据交换和电子邮件）等可以有形地表现所载内容的形式。</w:t>
      </w:r>
    </w:p>
    <w:p w14:paraId="02D7439C">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2.12“首次报价”是指供应商提交的首次响应文件中的报价。</w:t>
      </w:r>
    </w:p>
    <w:p w14:paraId="774A425B">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2.13“评审报价”是指供应商提交的最后报价并经修正（如有）和政策功能价格扣除（如有）后的价格。</w:t>
      </w:r>
    </w:p>
    <w:p w14:paraId="6AB2E532">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3.供应商的资格条件</w:t>
      </w:r>
    </w:p>
    <w:p w14:paraId="02E74417">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供应商的资格条件详见“供应商须知前附表”。</w:t>
      </w:r>
    </w:p>
    <w:p w14:paraId="38191F21">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4.磋商费用</w:t>
      </w:r>
    </w:p>
    <w:p w14:paraId="315DAAEC">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供应商应承担参与本次采购活动有关的所有费用，包括但不限于、勘查现场、编制和提交响应文件、参加磋商与应答、签订合同等，不论竞标结果如何，均应自行承担。</w:t>
      </w:r>
    </w:p>
    <w:p w14:paraId="403C2A72">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5.联合体竞标</w:t>
      </w:r>
    </w:p>
    <w:p w14:paraId="579393F7">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5.1本项目是否接受联合体竞标，详见“供应商须知前附表”。</w:t>
      </w:r>
    </w:p>
    <w:p w14:paraId="31B454F2">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5.2</w:t>
      </w:r>
      <w:r>
        <w:rPr>
          <w:rFonts w:hint="eastAsia" w:asciiTheme="minorEastAsia" w:hAnsiTheme="minorEastAsia" w:eastAsiaTheme="minorEastAsia" w:cstheme="minorEastAsia"/>
          <w:color w:val="000000" w:themeColor="text1"/>
          <w:highlight w:val="none"/>
          <w14:textFill>
            <w14:solidFill>
              <w14:schemeClr w14:val="tx1"/>
            </w14:solidFill>
          </w14:textFill>
        </w:rPr>
        <w:t>如接受联合体竞标，</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联合体竞标要求详见“供应商须知前附表”。</w:t>
      </w:r>
    </w:p>
    <w:p w14:paraId="483DBC0A">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5.3</w:t>
      </w:r>
      <w:r>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t>根据《政府采购促进中小企业发展管理办法》（财库</w:t>
      </w:r>
      <w:r>
        <w:rPr>
          <w:rFonts w:hint="eastAsia" w:asciiTheme="minorEastAsia" w:hAnsiTheme="minorEastAsia" w:eastAsiaTheme="minorEastAsia" w:cstheme="minorEastAsia"/>
          <w:bCs/>
          <w:color w:val="000000" w:themeColor="text1"/>
          <w:szCs w:val="21"/>
          <w:highlight w:val="none"/>
          <w:lang w:eastAsia="zh-CN"/>
          <w14:textFill>
            <w14:solidFill>
              <w14:schemeClr w14:val="tx1"/>
            </w14:solidFill>
          </w14:textFill>
        </w:rPr>
        <w:t>〔2020〕46号</w:t>
      </w:r>
      <w:r>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t>）第九条及《广西壮族自治区财政厅关于持续优化政府采购营商环境推动高质量发展的通知》桂财采〔2024〕55号规定，接受大中型企业与小微企业组成联合体的采购项目，对于联合协议约定小微企业的合同份额占到合同总金额30%以上的，采购人、采购代理机构应当对联合体的报价给予4%-6%（工程项目为1%—2%）的扣除，用扣除后的价格参加评审。组成联合体的小微企业与联合体内其他企业、分包企业之间存在直接控股、管理关系的，不享受价格扣除优惠政策。</w:t>
      </w:r>
    </w:p>
    <w:p w14:paraId="1B33D695">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6.转包与分包</w:t>
      </w:r>
    </w:p>
    <w:p w14:paraId="21BEBFFF">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6.1本项目是否允许分包详见“供应商须知前附表”，本项目不允许违法分包。</w:t>
      </w:r>
      <w:r>
        <w:rPr>
          <w:rFonts w:hint="eastAsia" w:ascii="宋体" w:hAnsi="宋体" w:eastAsiaTheme="minorEastAsia"/>
          <w:b/>
          <w:color w:val="auto"/>
          <w:szCs w:val="21"/>
          <w:highlight w:val="none"/>
          <w:lang w:val="en-US" w:eastAsia="zh-CN"/>
        </w:rPr>
        <w:t>竞</w:t>
      </w:r>
      <w:r>
        <w:rPr>
          <w:rFonts w:hint="eastAsia" w:ascii="宋体" w:hAnsi="宋体"/>
          <w:b/>
          <w:color w:val="auto"/>
          <w:szCs w:val="21"/>
          <w:highlight w:val="none"/>
        </w:rPr>
        <w:t>标人根据</w:t>
      </w:r>
      <w:r>
        <w:rPr>
          <w:rFonts w:hint="eastAsia" w:ascii="宋体" w:hAnsi="宋体"/>
          <w:b/>
          <w:color w:val="auto"/>
          <w:szCs w:val="21"/>
          <w:highlight w:val="none"/>
          <w:lang w:val="en-US" w:eastAsia="zh-CN"/>
        </w:rPr>
        <w:t>采购</w:t>
      </w:r>
      <w:r>
        <w:rPr>
          <w:rFonts w:hint="eastAsia" w:ascii="宋体" w:hAnsi="宋体"/>
          <w:b/>
          <w:color w:val="auto"/>
          <w:szCs w:val="21"/>
          <w:highlight w:val="none"/>
        </w:rPr>
        <w:t>文件的规定和采购项目的实际情况，拟在</w:t>
      </w:r>
      <w:r>
        <w:rPr>
          <w:rFonts w:hint="eastAsia" w:ascii="宋体" w:hAnsi="宋体"/>
          <w:b/>
          <w:color w:val="auto"/>
          <w:szCs w:val="21"/>
          <w:highlight w:val="none"/>
          <w:lang w:val="en-US" w:eastAsia="zh-CN"/>
        </w:rPr>
        <w:t>成交</w:t>
      </w:r>
      <w:r>
        <w:rPr>
          <w:rFonts w:hint="eastAsia" w:ascii="宋体" w:hAnsi="宋体"/>
          <w:b/>
          <w:color w:val="auto"/>
          <w:szCs w:val="21"/>
          <w:highlight w:val="none"/>
        </w:rPr>
        <w:t>后将</w:t>
      </w:r>
      <w:r>
        <w:rPr>
          <w:rFonts w:hint="eastAsia" w:ascii="宋体" w:hAnsi="宋体"/>
          <w:b/>
          <w:color w:val="auto"/>
          <w:szCs w:val="21"/>
          <w:highlight w:val="none"/>
          <w:lang w:val="en-US" w:eastAsia="zh-CN"/>
        </w:rPr>
        <w:t>成交</w:t>
      </w:r>
      <w:r>
        <w:rPr>
          <w:rFonts w:hint="eastAsia" w:ascii="宋体" w:hAnsi="宋体"/>
          <w:b/>
          <w:color w:val="auto"/>
          <w:szCs w:val="21"/>
          <w:highlight w:val="none"/>
        </w:rPr>
        <w:t>项目的非主体、非关键性工作分包的，应当在</w:t>
      </w:r>
      <w:r>
        <w:rPr>
          <w:rFonts w:hint="eastAsia" w:ascii="宋体" w:hAnsi="宋体"/>
          <w:b/>
          <w:color w:val="auto"/>
          <w:szCs w:val="21"/>
          <w:highlight w:val="none"/>
          <w:lang w:val="en-US" w:eastAsia="zh-CN"/>
        </w:rPr>
        <w:t>响应</w:t>
      </w:r>
      <w:r>
        <w:rPr>
          <w:rFonts w:hint="eastAsia" w:ascii="宋体" w:hAnsi="宋体"/>
          <w:b/>
          <w:color w:val="auto"/>
          <w:szCs w:val="21"/>
          <w:highlight w:val="none"/>
        </w:rPr>
        <w:t>文件中载明分包承担主体，分包承担主体应当具备相应资质条件且不得再次分包。</w:t>
      </w:r>
    </w:p>
    <w:p w14:paraId="41AB6C74">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6.2</w:t>
      </w:r>
      <w:r>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t>根据《政府采购促进中小企业发展管理办法》（财库</w:t>
      </w:r>
      <w:r>
        <w:rPr>
          <w:rFonts w:hint="eastAsia" w:asciiTheme="minorEastAsia" w:hAnsiTheme="minorEastAsia" w:eastAsiaTheme="minorEastAsia" w:cstheme="minorEastAsia"/>
          <w:bCs/>
          <w:color w:val="000000" w:themeColor="text1"/>
          <w:szCs w:val="21"/>
          <w:highlight w:val="none"/>
          <w:lang w:eastAsia="zh-CN"/>
          <w14:textFill>
            <w14:solidFill>
              <w14:schemeClr w14:val="tx1"/>
            </w14:solidFill>
          </w14:textFill>
        </w:rPr>
        <w:t>〔2020〕46号</w:t>
      </w:r>
      <w:r>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t>）第九条及《广西壮族自治区财政厅关于持续优化政府采购营商环境推动高质量发展的通知》桂财采〔2024〕55号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2055A12B">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bookmarkStart w:id="23" w:name="_Toc254970673"/>
      <w:bookmarkEnd w:id="23"/>
      <w:bookmarkStart w:id="24" w:name="_Toc254970532"/>
      <w:bookmarkEnd w:id="24"/>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7.特别说明</w:t>
      </w:r>
    </w:p>
    <w:p w14:paraId="2F041065">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bookmarkStart w:id="25" w:name="_8.1提供相同品牌产品且通过资格审查、符合性审查的不同投标人参加同一合"/>
      <w:bookmarkEnd w:id="25"/>
      <w:r>
        <w:rPr>
          <w:rFonts w:hint="eastAsia" w:asciiTheme="minorEastAsia" w:hAnsiTheme="minorEastAsia" w:eastAsiaTheme="minorEastAsia" w:cstheme="minorEastAsia"/>
          <w:color w:val="000000" w:themeColor="text1"/>
          <w:szCs w:val="21"/>
          <w:highlight w:val="none"/>
          <w14:textFill>
            <w14:solidFill>
              <w14:schemeClr w14:val="tx1"/>
            </w14:solidFill>
          </w14:textFill>
        </w:rPr>
        <w:t>7.1如果本磋商文件要求提供供应商或制造商的资格、信誉、荣誉、业绩与企业认证等材料的，资格、信誉、荣誉、业绩与企业认证等必须为供应商或者制造商所拥有或自身获得 。</w:t>
      </w:r>
    </w:p>
    <w:p w14:paraId="70A1E71A">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7.2供应商应仔细阅读磋商文件的所有内容，按照磋商文件的要求提交响应文件，并对所提供的全部资料的真实性承担法律责任。</w:t>
      </w:r>
    </w:p>
    <w:p w14:paraId="1BC98AF5">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479F125A">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7.4在政府采购活动中，采购人员及相关人员与供应商有下列利害关系之一的，应当回避：</w:t>
      </w:r>
    </w:p>
    <w:p w14:paraId="25444C45">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（1）参加采购活动前3年内与供应商存在劳动关系；</w:t>
      </w:r>
    </w:p>
    <w:p w14:paraId="3C0B24DA">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（2）参加采购活动前3年内担任供应商的董事、监事；</w:t>
      </w:r>
    </w:p>
    <w:p w14:paraId="27AA72A9">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（3）参加采购活动前3年内是供应商的控股股东或者实际控制人；</w:t>
      </w:r>
    </w:p>
    <w:p w14:paraId="3A1B40B5">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（4）与供应商的法定代表人或者负责人有夫妻、直系血亲、三代以内旁系血亲或者近姻亲关系；</w:t>
      </w:r>
    </w:p>
    <w:p w14:paraId="5268D8A3">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（5）与供应商有其他可能影响政府采购活动公平、公正进行的关系。</w:t>
      </w:r>
    </w:p>
    <w:p w14:paraId="5A9C9BB1">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56815E9D">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7.5有下列情形之一的视为供应商相互串通竞标，响应文件将被视为无效：</w:t>
      </w:r>
    </w:p>
    <w:p w14:paraId="6AABE9F1">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（1）不同供应商的</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响应</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文件由同一单位或者个人编制；或者不同供应商报名的IP地址一致的；或者编制</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响应文件</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硬件设备CPU编号、硬盘编号、网卡地址一致的情况； </w:t>
      </w:r>
    </w:p>
    <w:p w14:paraId="7350621E">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（2）不同供应商委托同一单位或者个人办理竞标事宜；</w:t>
      </w:r>
    </w:p>
    <w:p w14:paraId="6186BEE8">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（3）不同供应商的响应文件载明的项目管理员为同一个人；</w:t>
      </w:r>
    </w:p>
    <w:p w14:paraId="265C1254">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（4）不同供应商的响应文件异常一致或者报价呈规律性差异；</w:t>
      </w:r>
    </w:p>
    <w:p w14:paraId="34B40605">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（5）不同供应商的响应文件相互混装；</w:t>
      </w:r>
    </w:p>
    <w:p w14:paraId="0241230F">
      <w:pPr>
        <w:keepNext w:val="0"/>
        <w:keepLines w:val="0"/>
        <w:pageBreakBefore w:val="0"/>
        <w:widowControl w:val="0"/>
        <w:tabs>
          <w:tab w:val="left" w:pos="6931"/>
        </w:tabs>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（6）不同供应商的磋商保证金从同一单位或者个人账户转出。</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ab/>
      </w:r>
    </w:p>
    <w:p w14:paraId="16960470">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7.6供应商有下列情形之一的，属于恶意串通行为，将报同级监督管理部门：</w:t>
      </w:r>
    </w:p>
    <w:p w14:paraId="4807C278">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（1）供应商直接或者间接从采购人或者采购代理机构处获得其他供应商的相关信息并修改其响应文件；</w:t>
      </w:r>
    </w:p>
    <w:p w14:paraId="345A8B5B">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（2）供应商按照采购人或者采购代理机构的授意撤换、修改响应文件；</w:t>
      </w:r>
    </w:p>
    <w:p w14:paraId="186B7173">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（3）供应商之间协商报价、技术方案等响应文件或者响应文件的实质性内容；</w:t>
      </w:r>
    </w:p>
    <w:p w14:paraId="0894822A">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（4）属于同一集团、协会、商会等组织成员的供应商按照该组织要求协同参加政府采购活动；</w:t>
      </w:r>
    </w:p>
    <w:p w14:paraId="2DB61D79">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（5）供应商之间事先约定一致抬高或者压低报价，或者在政府采购活动中事先约定轮流以高价位或者低价位成交，或者事先约定由某一特定供应商成交，然后再参加竞标；</w:t>
      </w:r>
    </w:p>
    <w:p w14:paraId="72B0F99E">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（6）供应商之间商定部分供应商放弃参加政府采购活动或者放弃成交；</w:t>
      </w:r>
    </w:p>
    <w:p w14:paraId="652624A4">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（7）供应商与采购人或者采购代理机构之间、供应商相互之间，为谋求特定供应商成交或者排斥其他供应商的其他串通行为。</w:t>
      </w:r>
    </w:p>
    <w:p w14:paraId="2BB7E6A0">
      <w:pPr>
        <w:pStyle w:val="4"/>
        <w:keepNext/>
        <w:keepLines/>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b/>
          <w:bCs w:val="0"/>
          <w:color w:val="000000" w:themeColor="text1"/>
          <w:sz w:val="30"/>
          <w:szCs w:val="30"/>
          <w:highlight w:val="none"/>
          <w14:textFill>
            <w14:solidFill>
              <w14:schemeClr w14:val="tx1"/>
            </w14:solidFill>
          </w14:textFill>
        </w:rPr>
      </w:pPr>
      <w:bookmarkStart w:id="26" w:name="_Toc254970534"/>
      <w:bookmarkEnd w:id="26"/>
      <w:bookmarkStart w:id="27" w:name="_Toc254970675"/>
      <w:bookmarkEnd w:id="27"/>
      <w:bookmarkStart w:id="28" w:name="_Toc87345230"/>
      <w:bookmarkEnd w:id="28"/>
      <w:r>
        <w:rPr>
          <w:rFonts w:hint="eastAsia" w:asciiTheme="minorEastAsia" w:hAnsiTheme="minorEastAsia" w:eastAsiaTheme="minorEastAsia" w:cstheme="minorEastAsia"/>
          <w:b/>
          <w:bCs w:val="0"/>
          <w:color w:val="000000" w:themeColor="text1"/>
          <w:sz w:val="30"/>
          <w:szCs w:val="30"/>
          <w:highlight w:val="none"/>
          <w14:textFill>
            <w14:solidFill>
              <w14:schemeClr w14:val="tx1"/>
            </w14:solidFill>
          </w14:textFill>
        </w:rPr>
        <w:t>二、磋商文件</w:t>
      </w:r>
    </w:p>
    <w:p w14:paraId="092BA60F">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8.磋商文件的构成</w:t>
      </w:r>
    </w:p>
    <w:p w14:paraId="48C7951A">
      <w:pPr>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第一章 竞争性磋商公告；</w:t>
      </w:r>
    </w:p>
    <w:p w14:paraId="073023F4">
      <w:pPr>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第二章 采购需求；</w:t>
      </w:r>
    </w:p>
    <w:p w14:paraId="57D21A78">
      <w:pPr>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第三章 供应商须知； </w:t>
      </w:r>
    </w:p>
    <w:p w14:paraId="614772DB">
      <w:pPr>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第四章 评审程序、评审方法和评审标准；</w:t>
      </w:r>
    </w:p>
    <w:p w14:paraId="22A4BB17">
      <w:pPr>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第五章 响应文件格式；</w:t>
      </w:r>
    </w:p>
    <w:p w14:paraId="4CDEE314">
      <w:pPr>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第六章 合同文本；</w:t>
      </w:r>
    </w:p>
    <w:p w14:paraId="2153167B">
      <w:pPr>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第七章 质疑、投诉材料格式。</w:t>
      </w:r>
    </w:p>
    <w:p w14:paraId="0512A236">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9.供应商的询问</w:t>
      </w:r>
    </w:p>
    <w:p w14:paraId="737F78A6">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供应商应认真阅读磋商文件的采购需求，如供应商对磋商文件有疑问的，如要求采购人作出澄清或者修改的，</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供应商</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应在提交首次响应文件截止之日前，以书面形式向采购人、采购代理机构提出。</w:t>
      </w:r>
    </w:p>
    <w:p w14:paraId="6FF3346B">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10.磋商文件的澄清和修改</w:t>
      </w:r>
    </w:p>
    <w:p w14:paraId="07DF8692">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10.1已获取磋商文件的潜在供应商，若有问题需要澄清，应于应标截止时间前，以书面形式向采购代理机构提出，采购代理机构与采购人研究后，对认为有必要回答的问题，按照本章10.3的内容处理。</w:t>
      </w:r>
    </w:p>
    <w:p w14:paraId="03B809ED">
      <w:pPr>
        <w:keepNext w:val="0"/>
        <w:keepLines w:val="0"/>
        <w:pageBreakBefore w:val="0"/>
        <w:widowControl w:val="0"/>
        <w:kinsoku/>
        <w:wordWrap/>
        <w:overflowPunct/>
        <w:topLinePunct w:val="0"/>
        <w:autoSpaceDE/>
        <w:autoSpaceDN/>
        <w:bidi w:val="0"/>
        <w:adjustRightInd/>
        <w:snapToGrid/>
        <w:spacing w:line="420" w:lineRule="exact"/>
        <w:ind w:firstLine="422" w:firstLineChars="200"/>
        <w:textAlignment w:val="auto"/>
        <w:rPr>
          <w:rFonts w:hint="eastAsia" w:asciiTheme="minorEastAsia" w:hAnsiTheme="minorEastAsia" w:eastAsiaTheme="minorEastAsia" w:cs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62CCDED2">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3个工作日前，以书面形式（目前为网上公告和系统短信等形式）通知所有获取磋商文件的供应商，不足3个工作日的，应当顺延提交首次响应文件截止之日。</w:t>
      </w:r>
    </w:p>
    <w:p w14:paraId="1EF165B2">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10.4</w:t>
      </w:r>
      <w:r>
        <w:rPr>
          <w:rFonts w:hint="eastAsia" w:asciiTheme="minorEastAsia" w:hAnsiTheme="minorEastAsia" w:eastAsiaTheme="minorEastAsia" w:cstheme="minorEastAsia"/>
          <w:color w:val="000000" w:themeColor="text1"/>
          <w:highlight w:val="none"/>
          <w:shd w:val="clear" w:color="auto" w:fill="FFFFFF"/>
          <w14:textFill>
            <w14:solidFill>
              <w14:schemeClr w14:val="tx1"/>
            </w14:solidFill>
          </w14:textFill>
        </w:rPr>
        <w:t>采购信息更正公告的内容应当包括采购人和采购代理机构名称、地址、联系方式，原公告的采购项目名称及首次公告日期，更正事项、内容及日期，采购项目联系人和电话。</w:t>
      </w:r>
    </w:p>
    <w:p w14:paraId="12E2C889">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10.5采购人和采购代理机构可以视采购具体情况，变更提交首次响应文件截止时间和</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磋商</w:t>
      </w:r>
      <w:r>
        <w:rPr>
          <w:rFonts w:hint="eastAsia" w:asciiTheme="minorEastAsia" w:hAnsiTheme="minorEastAsia" w:eastAsiaTheme="minorEastAsia" w:cstheme="minorEastAsia"/>
          <w:color w:val="000000" w:themeColor="text1"/>
          <w:highlight w:val="none"/>
          <w14:textFill>
            <w14:solidFill>
              <w14:schemeClr w14:val="tx1"/>
            </w14:solidFill>
          </w14:textFill>
        </w:rPr>
        <w:t>时间，变更时间将在“采购文件公告”中“七、其他补充事宜3.网上查询地址”规定的政府采购信息发布媒体上发布更正公告。</w:t>
      </w:r>
    </w:p>
    <w:p w14:paraId="07C4CFA0">
      <w:pPr>
        <w:keepNext w:val="0"/>
        <w:keepLines w:val="0"/>
        <w:pageBreakBefore w:val="0"/>
        <w:widowControl w:val="0"/>
        <w:kinsoku/>
        <w:wordWrap/>
        <w:overflowPunct/>
        <w:topLinePunct w:val="0"/>
        <w:autoSpaceDE/>
        <w:autoSpaceDN/>
        <w:bidi w:val="0"/>
        <w:adjustRightInd/>
        <w:snapToGrid/>
        <w:spacing w:line="420" w:lineRule="exact"/>
        <w:ind w:firstLine="442" w:firstLineChars="200"/>
        <w:textAlignment w:val="auto"/>
        <w:rPr>
          <w:rFonts w:hint="eastAsia" w:asciiTheme="minorEastAsia" w:hAnsiTheme="minorEastAsia" w:eastAsiaTheme="minorEastAsia" w:cstheme="minorEastAsia"/>
          <w:color w:val="000000" w:themeColor="text1"/>
          <w:kern w:val="0"/>
          <w:sz w:val="22"/>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2"/>
          <w:szCs w:val="21"/>
          <w:highlight w:val="none"/>
          <w14:textFill>
            <w14:solidFill>
              <w14:schemeClr w14:val="tx1"/>
            </w14:solidFill>
          </w14:textFill>
        </w:rPr>
        <w:t>10.6响应文件未按磋商文件的澄清、修改的内容编制，又不符合实质性要求的，其响应文件作无效处理</w:t>
      </w:r>
      <w:r>
        <w:rPr>
          <w:rFonts w:hint="eastAsia" w:asciiTheme="minorEastAsia" w:hAnsiTheme="minorEastAsia" w:eastAsiaTheme="minorEastAsia" w:cstheme="minorEastAsia"/>
          <w:b/>
          <w:color w:val="000000" w:themeColor="text1"/>
          <w:kern w:val="0"/>
          <w:sz w:val="22"/>
          <w:szCs w:val="21"/>
          <w:highlight w:val="none"/>
          <w14:textFill>
            <w14:solidFill>
              <w14:schemeClr w14:val="tx1"/>
            </w14:solidFill>
          </w14:textFill>
        </w:rPr>
        <w:t>。</w:t>
      </w:r>
    </w:p>
    <w:p w14:paraId="1E7567D8">
      <w:pPr>
        <w:pStyle w:val="4"/>
        <w:keepNext/>
        <w:keepLines/>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b/>
          <w:bCs w:val="0"/>
          <w:color w:val="000000" w:themeColor="text1"/>
          <w:sz w:val="30"/>
          <w:szCs w:val="30"/>
          <w:highlight w:val="none"/>
          <w14:textFill>
            <w14:solidFill>
              <w14:schemeClr w14:val="tx1"/>
            </w14:solidFill>
          </w14:textFill>
        </w:rPr>
      </w:pPr>
      <w:bookmarkStart w:id="29" w:name="_Toc87345231"/>
      <w:bookmarkEnd w:id="29"/>
      <w:r>
        <w:rPr>
          <w:rFonts w:hint="eastAsia" w:asciiTheme="minorEastAsia" w:hAnsiTheme="minorEastAsia" w:eastAsiaTheme="minorEastAsia" w:cstheme="minorEastAsia"/>
          <w:b/>
          <w:bCs w:val="0"/>
          <w:color w:val="000000" w:themeColor="text1"/>
          <w:sz w:val="30"/>
          <w:szCs w:val="30"/>
          <w:highlight w:val="none"/>
          <w14:textFill>
            <w14:solidFill>
              <w14:schemeClr w14:val="tx1"/>
            </w14:solidFill>
          </w14:textFill>
        </w:rPr>
        <w:t>三、响应文件的编制</w:t>
      </w:r>
    </w:p>
    <w:p w14:paraId="66A308E7">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11.响应文件的编制原则</w:t>
      </w:r>
    </w:p>
    <w:p w14:paraId="41182C1F">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供应商必须按照磋商文件的要求编制响应文件，并对其提交的响应文件的真实性、合法性承担法律责任。响应文件必须对磋商文件作出实质性响应。</w:t>
      </w:r>
    </w:p>
    <w:p w14:paraId="2262E995">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12.响应文件的组成</w:t>
      </w:r>
    </w:p>
    <w:p w14:paraId="01CDE0DF">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12.1响应文件由资格证明文件、报价文件、商务和技术文件三部分组成。</w:t>
      </w:r>
    </w:p>
    <w:p w14:paraId="6396B970">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12.1.1资格证明文件：详见须知前附表</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p>
    <w:p w14:paraId="41A8E3F0">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12.1.2商务技术文件：详见须知前附表</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p>
    <w:p w14:paraId="5BB65D5B">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12.1.3报价文件：详见须知前附表</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p>
    <w:p w14:paraId="1F8757C8">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12.2响应文件电子版：详见须知前附表</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p>
    <w:p w14:paraId="0BFA1E25">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13.计量单位</w:t>
      </w:r>
    </w:p>
    <w:p w14:paraId="0F7BD207">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磋商文件已有明确规定的，使用磋商文件规定的计量单位；磋商文件没有规定的，应采用中华人民共和国法定计量单位，货币种类为人民币，否则视同未响应。</w:t>
      </w:r>
    </w:p>
    <w:p w14:paraId="1491625D">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14.竞标的风险</w:t>
      </w:r>
    </w:p>
    <w:p w14:paraId="7E7F0D1C">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供应商没有按照磋商文件要求提供全部资料，或者供应商没有对磋商文件在各方面作出实质性响应可能导致其响应无效，是供应商应当考虑的风险。</w:t>
      </w:r>
    </w:p>
    <w:p w14:paraId="4B95E370">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15.响应报价要求和构成</w:t>
      </w:r>
    </w:p>
    <w:p w14:paraId="2A18F87E">
      <w:pPr>
        <w:keepNext w:val="0"/>
        <w:keepLines w:val="0"/>
        <w:pageBreakBefore w:val="0"/>
        <w:widowControl w:val="0"/>
        <w:tabs>
          <w:tab w:val="left" w:pos="2492"/>
        </w:tabs>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15.1响应报价应按“第五章 响应文件格式”中“响应报价表”格式填写。</w:t>
      </w:r>
    </w:p>
    <w:p w14:paraId="1CFCCCFB">
      <w:pPr>
        <w:keepNext w:val="0"/>
        <w:keepLines w:val="0"/>
        <w:pageBreakBefore w:val="0"/>
        <w:widowControl w:val="0"/>
        <w:tabs>
          <w:tab w:val="left" w:pos="2492"/>
        </w:tabs>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15.2响应报价的价格构成见“供应商须知前附表”。</w:t>
      </w:r>
    </w:p>
    <w:p w14:paraId="7E5C078A">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15.3响应报价要求</w:t>
      </w:r>
    </w:p>
    <w:p w14:paraId="5694C7CD">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15.3.1供应商的响应报价应符合以下要求，否则响应文件按无效响应处理：</w:t>
      </w:r>
    </w:p>
    <w:p w14:paraId="2297AB42">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（1）供应商必须就“采购需求”中所竞标的每个分标的全部内容分别作完整唯一总价报价，不得存在漏项报价；</w:t>
      </w:r>
    </w:p>
    <w:p w14:paraId="028F987A">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（2）供应商必须就所竞标的分标的单项内容作唯一报价。</w:t>
      </w:r>
    </w:p>
    <w:p w14:paraId="3D22C5F3">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15.3.2响应报价（包含首次报价、最后报价）超过所竞标分标规定的采购预算金额或者最高限价的，其响应文件将作无效处理。</w:t>
      </w:r>
    </w:p>
    <w:p w14:paraId="057EF292">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15.3.3响应报价（包含首次报价、最后报价）超过分项采购预算金额或者最高限价的，其响应文件将作无效处理。</w:t>
      </w:r>
    </w:p>
    <w:p w14:paraId="0A2DB183">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16.竞标有效期</w:t>
      </w:r>
    </w:p>
    <w:p w14:paraId="2A4BFC52">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16.1竞标有效期是指为保证采购人有足够的时间在提交响应文件后完成评审、确定成交供应商、合同签订等工作而要求供应商提交的响应文件在一定时间内保持有效的期限。</w:t>
      </w:r>
    </w:p>
    <w:p w14:paraId="6D2F5835">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16.2竞标有效期应由供应商按“供应商须知前附表”规定的期限作出响应。</w:t>
      </w:r>
    </w:p>
    <w:p w14:paraId="62822B42">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16.3供应商的响应文件在竞标有效期内均保持有效。</w:t>
      </w:r>
    </w:p>
    <w:p w14:paraId="2851D889">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17.磋商保证金</w:t>
      </w:r>
    </w:p>
    <w:p w14:paraId="384091B8">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详见“供应商须知前附表”。</w:t>
      </w:r>
    </w:p>
    <w:p w14:paraId="288745A0">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18.响应文件编制的要求</w:t>
      </w:r>
    </w:p>
    <w:p w14:paraId="111CB645">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18.</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w:t>
      </w:r>
      <w:r>
        <w:rPr>
          <w:rFonts w:hint="eastAsia" w:asciiTheme="minorEastAsia" w:hAnsiTheme="minorEastAsia" w:eastAsiaTheme="minorEastAsia" w:cstheme="minorEastAsia"/>
          <w:color w:val="000000" w:themeColor="text1"/>
          <w:highlight w:val="none"/>
          <w14:textFill>
            <w14:solidFill>
              <w14:schemeClr w14:val="tx1"/>
            </w14:solidFill>
          </w14:textFill>
        </w:rPr>
        <w:t>由此引发的</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后果由供应商承担。</w:t>
      </w:r>
    </w:p>
    <w:p w14:paraId="33FDCBD0">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18.2响应文件应按资格证明、报价分别编制，商务技术文件合并编制，本磋商只接受电子版响应文件，要求见本章“12.2响应文件电子版要求”。</w:t>
      </w:r>
    </w:p>
    <w:p w14:paraId="3C1F670A">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b w:val="0"/>
          <w:bCs/>
          <w:color w:val="000000" w:themeColor="text1"/>
          <w:szCs w:val="21"/>
          <w:highlight w:val="none"/>
          <w14:textFill>
            <w14:solidFill>
              <w14:schemeClr w14:val="tx1"/>
            </w14:solidFill>
          </w14:textFill>
        </w:rPr>
      </w:pPr>
      <w:bookmarkStart w:id="30" w:name="_Hlk65832699"/>
      <w:bookmarkEnd w:id="30"/>
      <w:r>
        <w:rPr>
          <w:rFonts w:hint="eastAsia" w:asciiTheme="minorEastAsia" w:hAnsiTheme="minorEastAsia" w:eastAsiaTheme="minorEastAsia" w:cstheme="minorEastAsia"/>
          <w:b w:val="0"/>
          <w:bCs/>
          <w:color w:val="000000" w:themeColor="text1"/>
          <w:szCs w:val="21"/>
          <w:highlight w:val="none"/>
          <w14:textFill>
            <w14:solidFill>
              <w14:schemeClr w14:val="tx1"/>
            </w14:solidFill>
          </w14:textFill>
        </w:rPr>
        <w:t>18.3响应文件须由供应商在</w:t>
      </w:r>
      <w:r>
        <w:rPr>
          <w:rFonts w:hint="eastAsia" w:asciiTheme="minorEastAsia" w:hAnsiTheme="minorEastAsia" w:eastAsiaTheme="minorEastAsia" w:cstheme="minorEastAsia"/>
          <w:b w:val="0"/>
          <w:bCs/>
          <w:color w:val="000000" w:themeColor="text1"/>
          <w:kern w:val="0"/>
          <w:szCs w:val="21"/>
          <w:highlight w:val="none"/>
          <w:lang w:val="zh-CN"/>
          <w14:textFill>
            <w14:solidFill>
              <w14:schemeClr w14:val="tx1"/>
            </w14:solidFill>
          </w14:textFill>
        </w:rPr>
        <w:t>“</w:t>
      </w:r>
      <w:r>
        <w:rPr>
          <w:rFonts w:hint="eastAsia" w:asciiTheme="minorEastAsia" w:hAnsiTheme="minorEastAsia" w:eastAsiaTheme="minorEastAsia" w:cstheme="minorEastAsia"/>
          <w:b w:val="0"/>
          <w:bCs/>
          <w:color w:val="000000" w:themeColor="text1"/>
          <w:szCs w:val="21"/>
          <w:highlight w:val="none"/>
          <w14:textFill>
            <w14:solidFill>
              <w14:schemeClr w14:val="tx1"/>
            </w14:solidFill>
          </w14:textFill>
        </w:rPr>
        <w:t>第五章 响应文件格式</w:t>
      </w:r>
      <w:r>
        <w:rPr>
          <w:rFonts w:hint="eastAsia" w:asciiTheme="minorEastAsia" w:hAnsiTheme="minorEastAsia" w:eastAsiaTheme="minorEastAsia" w:cstheme="minorEastAsia"/>
          <w:b w:val="0"/>
          <w:bCs/>
          <w:color w:val="000000" w:themeColor="text1"/>
          <w:kern w:val="0"/>
          <w:szCs w:val="21"/>
          <w:highlight w:val="none"/>
          <w:lang w:val="zh-CN"/>
          <w14:textFill>
            <w14:solidFill>
              <w14:schemeClr w14:val="tx1"/>
            </w14:solidFill>
          </w14:textFill>
        </w:rPr>
        <w:t>”</w:t>
      </w:r>
      <w:r>
        <w:rPr>
          <w:rFonts w:hint="eastAsia" w:asciiTheme="minorEastAsia" w:hAnsiTheme="minorEastAsia" w:eastAsiaTheme="minorEastAsia" w:cstheme="minorEastAsia"/>
          <w:b w:val="0"/>
          <w:bCs/>
          <w:color w:val="000000" w:themeColor="text1"/>
          <w:szCs w:val="21"/>
          <w:highlight w:val="none"/>
          <w14:textFill>
            <w14:solidFill>
              <w14:schemeClr w14:val="tx1"/>
            </w14:solidFill>
          </w14:textFill>
        </w:rPr>
        <w:t>规定位置进行签署、盖章，否则其响应文件按无效响应处理。骑缝盖公章不视为在规定位置盖章。</w:t>
      </w:r>
    </w:p>
    <w:p w14:paraId="3985E28A">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18.4响应文件</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中标</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注的供应商名称应与营业执照（事业单位法人证书、执业许可证、自然人身份证）及电子公章一致，否则其响应文件按无效响应处理。</w:t>
      </w:r>
    </w:p>
    <w:p w14:paraId="33B86B32">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18.5响应文件应避免涂改、行间插字或者删除，否则其响应文件按无效响应处理。</w:t>
      </w:r>
    </w:p>
    <w:p w14:paraId="18FC4F1D">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19.响应文件的密封和标记</w:t>
      </w:r>
    </w:p>
    <w:p w14:paraId="46E5506C">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kern w:val="0"/>
          <w:szCs w:val="21"/>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lang w:val="zh-CN"/>
          <w14:textFill>
            <w14:solidFill>
              <w14:schemeClr w14:val="tx1"/>
            </w14:solidFill>
          </w14:textFill>
        </w:rPr>
        <w:t>19.1供应商进行电子交易应安装客户端软件—“广西政府采购云平台电子交易客户端”，并按照磋商文件和电子交易平台的要求编制并加密响应文件。供应商未按规定加密的响应文件，电子交易平台将拒收并提示。</w:t>
      </w:r>
    </w:p>
    <w:p w14:paraId="432C1BAD">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kern w:val="0"/>
          <w:szCs w:val="21"/>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lang w:val="zh-CN"/>
          <w14:textFill>
            <w14:solidFill>
              <w14:schemeClr w14:val="tx1"/>
            </w14:solidFill>
          </w14:textFill>
        </w:rPr>
        <w:t>19.2使用“广西政府采购云平台电子交易客户端”需要提前申领CA数字证书，申领流程见该项目采购公告附件。</w:t>
      </w:r>
    </w:p>
    <w:p w14:paraId="557A4218">
      <w:pPr>
        <w:pStyle w:val="16"/>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highlight w:val="none"/>
          <w14:textFill>
            <w14:solidFill>
              <w14:schemeClr w14:val="tx1"/>
            </w14:solidFill>
          </w14:textFill>
        </w:rPr>
        <w:t>19.3为确保网上操作合法、有效和安全，供应商应当在响应文件提交截止时间前完成在“政府采购云平台”的身份认证，确保在电子交易过程中能够对相关数据电文进行加密和使用电子签名。</w:t>
      </w:r>
    </w:p>
    <w:p w14:paraId="2CB3D1EC">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20.响应文件的提交</w:t>
      </w:r>
    </w:p>
    <w:p w14:paraId="60065B8C">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20.1供应商必须在“供应商须知前附表”规定的时间和地点提交响应文件。</w:t>
      </w:r>
    </w:p>
    <w:p w14:paraId="1A017B7B">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20.2在响应文件提交截止时间以后，不能补充、修改响应文件。</w:t>
      </w:r>
    </w:p>
    <w:p w14:paraId="5AA0D1BD">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20.3在提交“最后报价”后，供应商不能退出</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磋商</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p w14:paraId="2CB98DA1">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20.4电子交易平台收到响应文件，将妥善保存并即时向供应商发出确认回执通知。在响应文件提交截止时</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间之</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前，除供应商补充、修改或者撤回响应文件外，任何单位和个人不得解密或提取响应文件。</w:t>
      </w:r>
    </w:p>
    <w:p w14:paraId="174BFCAC">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20.5采购机构不可视情况延长提交响应文件的截止时间。</w:t>
      </w:r>
    </w:p>
    <w:p w14:paraId="18B8C50F">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20.6备份响应文件</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，详见</w:t>
      </w:r>
      <w:r>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t>“供应商须知前附表”。</w:t>
      </w:r>
    </w:p>
    <w:p w14:paraId="18FE8927">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21.首次响应文件的补充、修改与撤回</w:t>
      </w:r>
    </w:p>
    <w:p w14:paraId="010729F3">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详见“供应商须知前附表”。</w:t>
      </w:r>
    </w:p>
    <w:p w14:paraId="6B64AF5E">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bookmarkStart w:id="31" w:name="_Hlk45702405"/>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22.首次响应文件的退回</w:t>
      </w:r>
    </w:p>
    <w:p w14:paraId="16C2DE8A">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在首次响应文件提交截止时间止提交响应文件的供应商不足3家时电子响应文件由代理机构在广西政府采购云平台操作退回</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。除此之外，</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采购人和采购代理机构对已提交的电子响应文件概不退回。</w:t>
      </w:r>
    </w:p>
    <w:p w14:paraId="1ABA01E5">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23.截止时间后的撤回</w:t>
      </w:r>
    </w:p>
    <w:bookmarkEnd w:id="31"/>
    <w:p w14:paraId="5244DEFE">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本项目不收取磋商保证金，供应商在首次响应文件提交截止时间后可向采购人、采购代理机构书面申请撤回电子响应文件。</w:t>
      </w:r>
    </w:p>
    <w:p w14:paraId="08907660">
      <w:pPr>
        <w:pStyle w:val="4"/>
        <w:keepNext/>
        <w:keepLines/>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b/>
          <w:bCs w:val="0"/>
          <w:color w:val="000000" w:themeColor="text1"/>
          <w:sz w:val="30"/>
          <w:szCs w:val="30"/>
          <w:highlight w:val="none"/>
          <w14:textFill>
            <w14:solidFill>
              <w14:schemeClr w14:val="tx1"/>
            </w14:solidFill>
          </w14:textFill>
        </w:rPr>
      </w:pPr>
      <w:bookmarkStart w:id="32" w:name="_Toc87345232"/>
      <w:bookmarkEnd w:id="32"/>
      <w:r>
        <w:rPr>
          <w:rFonts w:hint="eastAsia" w:asciiTheme="minorEastAsia" w:hAnsiTheme="minorEastAsia" w:eastAsiaTheme="minorEastAsia" w:cstheme="minorEastAsia"/>
          <w:b/>
          <w:bCs w:val="0"/>
          <w:color w:val="000000" w:themeColor="text1"/>
          <w:sz w:val="30"/>
          <w:szCs w:val="30"/>
          <w:highlight w:val="none"/>
          <w14:textFill>
            <w14:solidFill>
              <w14:schemeClr w14:val="tx1"/>
            </w14:solidFill>
          </w14:textFill>
        </w:rPr>
        <w:t>四、评审及磋商</w:t>
      </w:r>
    </w:p>
    <w:p w14:paraId="192C9923">
      <w:pPr>
        <w:keepNext w:val="0"/>
        <w:keepLines w:val="0"/>
        <w:pageBreakBefore w:val="0"/>
        <w:widowControl w:val="0"/>
        <w:kinsoku/>
        <w:wordWrap/>
        <w:overflowPunct/>
        <w:topLinePunct w:val="0"/>
        <w:autoSpaceDE/>
        <w:autoSpaceDN/>
        <w:bidi w:val="0"/>
        <w:adjustRightInd/>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24.磋商小组成立</w:t>
      </w:r>
    </w:p>
    <w:p w14:paraId="7D2119F2">
      <w:pPr>
        <w:keepNext w:val="0"/>
        <w:keepLines w:val="0"/>
        <w:pageBreakBefore w:val="0"/>
        <w:widowControl w:val="0"/>
        <w:kinsoku/>
        <w:wordWrap/>
        <w:overflowPunct/>
        <w:topLinePunct w:val="0"/>
        <w:autoSpaceDE/>
        <w:autoSpaceDN/>
        <w:bidi w:val="0"/>
        <w:adjustRightIn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6D01F23E">
      <w:pPr>
        <w:keepNext w:val="0"/>
        <w:keepLines w:val="0"/>
        <w:pageBreakBefore w:val="0"/>
        <w:widowControl w:val="0"/>
        <w:kinsoku/>
        <w:wordWrap/>
        <w:overflowPunct/>
        <w:topLinePunct w:val="0"/>
        <w:autoSpaceDE/>
        <w:autoSpaceDN/>
        <w:bidi w:val="0"/>
        <w:adjustRightIn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0E58B3C1">
      <w:pPr>
        <w:keepNext w:val="0"/>
        <w:keepLines w:val="0"/>
        <w:pageBreakBefore w:val="0"/>
        <w:widowControl w:val="0"/>
        <w:kinsoku/>
        <w:wordWrap/>
        <w:overflowPunct/>
        <w:topLinePunct w:val="0"/>
        <w:autoSpaceDE/>
        <w:autoSpaceDN/>
        <w:bidi w:val="0"/>
        <w:adjustRightInd/>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25.首次响应文件的开启</w:t>
      </w:r>
    </w:p>
    <w:p w14:paraId="16FA2426">
      <w:pPr>
        <w:keepNext w:val="0"/>
        <w:keepLines w:val="0"/>
        <w:pageBreakBefore w:val="0"/>
        <w:widowControl w:val="0"/>
        <w:kinsoku/>
        <w:wordWrap/>
        <w:overflowPunct/>
        <w:topLinePunct w:val="0"/>
        <w:autoSpaceDE/>
        <w:autoSpaceDN/>
        <w:bidi w:val="0"/>
        <w:adjustRightIn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25.1首次响应文件由磋商小组或者采购代理机构在“供应商须知前附表”规定的时间开启。</w:t>
      </w:r>
    </w:p>
    <w:p w14:paraId="62BC7EB7">
      <w:pPr>
        <w:pStyle w:val="16"/>
        <w:keepNext w:val="0"/>
        <w:keepLines w:val="0"/>
        <w:pageBreakBefore w:val="0"/>
        <w:widowControl w:val="0"/>
        <w:kinsoku/>
        <w:wordWrap/>
        <w:overflowPunct/>
        <w:topLinePunct w:val="0"/>
        <w:autoSpaceDE/>
        <w:autoSpaceDN/>
        <w:bidi w:val="0"/>
        <w:adjustRightInd/>
        <w:spacing w:line="420" w:lineRule="exact"/>
        <w:ind w:firstLine="420" w:firstLineChars="200"/>
        <w:textAlignment w:val="auto"/>
        <w:rPr>
          <w:rFonts w:hint="eastAsia" w:asciiTheme="minorEastAsia" w:hAnsiTheme="minorEastAsia" w:eastAsiaTheme="minorEastAsia" w:cstheme="minorEastAsia"/>
          <w:bCs/>
          <w:color w:val="000000" w:themeColor="text1"/>
          <w:sz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highlight w:val="none"/>
          <w14:textFill>
            <w14:solidFill>
              <w14:schemeClr w14:val="tx1"/>
            </w14:solidFill>
          </w14:textFill>
        </w:rPr>
        <w:t xml:space="preserve">25.2 </w:t>
      </w:r>
      <w:r>
        <w:rPr>
          <w:rFonts w:hint="eastAsia" w:asciiTheme="minorEastAsia" w:hAnsiTheme="minorEastAsia" w:eastAsiaTheme="minorEastAsia" w:cstheme="minorEastAsia"/>
          <w:bCs/>
          <w:color w:val="000000" w:themeColor="text1"/>
          <w:sz w:val="21"/>
          <w:highlight w:val="none"/>
          <w14:textFill>
            <w14:solidFill>
              <w14:schemeClr w14:val="tx1"/>
            </w14:solidFill>
          </w14:textFill>
        </w:rPr>
        <w:t>响应文件解密</w:t>
      </w:r>
    </w:p>
    <w:p w14:paraId="6EA51AC0">
      <w:pPr>
        <w:pStyle w:val="16"/>
        <w:keepNext w:val="0"/>
        <w:keepLines w:val="0"/>
        <w:pageBreakBefore w:val="0"/>
        <w:widowControl w:val="0"/>
        <w:kinsoku/>
        <w:wordWrap/>
        <w:overflowPunct/>
        <w:topLinePunct w:val="0"/>
        <w:autoSpaceDE/>
        <w:autoSpaceDN/>
        <w:bidi w:val="0"/>
        <w:adjustRightInd/>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1"/>
          <w:highlight w:val="none"/>
          <w14:textFill>
            <w14:solidFill>
              <w14:schemeClr w14:val="tx1"/>
            </w14:solidFill>
          </w14:textFill>
        </w:rPr>
        <w:t>采购代理机构将在“供应商须知前附表”规定的时</w:t>
      </w:r>
      <w:r>
        <w:rPr>
          <w:rFonts w:hint="eastAsia" w:asciiTheme="minorEastAsia" w:hAnsiTheme="minorEastAsia" w:eastAsiaTheme="minorEastAsia" w:cstheme="minorEastAsia"/>
          <w:color w:val="000000" w:themeColor="text1"/>
          <w:sz w:val="21"/>
          <w:highlight w:val="none"/>
          <w14:textFill>
            <w14:solidFill>
              <w14:schemeClr w14:val="tx1"/>
            </w14:solidFill>
          </w14:textFill>
        </w:rPr>
        <w:t>间通过电子交易平台组织响应文件开启，采购机构依托电子交易平台发起开始解密指令，供应商的法定代表人或其委托代理人</w:t>
      </w:r>
      <w:r>
        <w:rPr>
          <w:rFonts w:hint="eastAsia" w:asciiTheme="minorEastAsia" w:hAnsiTheme="minorEastAsia" w:eastAsiaTheme="minorEastAsia" w:cstheme="minorEastAsia"/>
          <w:b/>
          <w:color w:val="000000" w:themeColor="text1"/>
          <w:sz w:val="21"/>
          <w:highlight w:val="none"/>
          <w14:textFill>
            <w14:solidFill>
              <w14:schemeClr w14:val="tx1"/>
            </w14:solidFill>
          </w14:textFill>
        </w:rPr>
        <w:t>须携带加密时所用的CA锁</w:t>
      </w:r>
      <w:r>
        <w:rPr>
          <w:rFonts w:hint="eastAsia" w:asciiTheme="minorEastAsia" w:hAnsiTheme="minorEastAsia" w:eastAsiaTheme="minorEastAsia" w:cstheme="minorEastAsia"/>
          <w:b/>
          <w:color w:val="000000" w:themeColor="text1"/>
          <w:sz w:val="21"/>
          <w:highlight w:val="none"/>
          <w:lang w:eastAsia="zh-CN"/>
          <w14:textFill>
            <w14:solidFill>
              <w14:schemeClr w14:val="tx1"/>
            </w14:solidFill>
          </w14:textFill>
        </w:rPr>
        <w:t>，按</w:t>
      </w:r>
      <w:r>
        <w:rPr>
          <w:rFonts w:hint="eastAsia" w:asciiTheme="minorEastAsia" w:hAnsiTheme="minorEastAsia" w:eastAsiaTheme="minorEastAsia" w:cstheme="minorEastAsia"/>
          <w:b/>
          <w:color w:val="000000" w:themeColor="text1"/>
          <w:sz w:val="21"/>
          <w:highlight w:val="none"/>
          <w14:textFill>
            <w14:solidFill>
              <w14:schemeClr w14:val="tx1"/>
            </w14:solidFill>
          </w14:textFill>
        </w:rPr>
        <w:t>平台提示和采购文件的规定登录广西政府采购云平台电子开标大厅签到</w:t>
      </w:r>
      <w:r>
        <w:rPr>
          <w:rFonts w:hint="eastAsia" w:asciiTheme="minorEastAsia" w:hAnsiTheme="minorEastAsia" w:eastAsiaTheme="minorEastAsia" w:cstheme="minorEastAsia"/>
          <w:b/>
          <w:color w:val="000000" w:themeColor="text1"/>
          <w:sz w:val="21"/>
          <w:highlight w:val="none"/>
          <w:lang w:eastAsia="zh-CN"/>
          <w14:textFill>
            <w14:solidFill>
              <w14:schemeClr w14:val="tx1"/>
            </w14:solidFill>
          </w14:textFill>
        </w:rPr>
        <w:t>，并</w:t>
      </w:r>
      <w:r>
        <w:rPr>
          <w:rFonts w:hint="eastAsia" w:asciiTheme="minorEastAsia" w:hAnsiTheme="minorEastAsia" w:eastAsiaTheme="minorEastAsia" w:cstheme="minorEastAsia"/>
          <w:b/>
          <w:color w:val="000000" w:themeColor="text1"/>
          <w:sz w:val="21"/>
          <w:highlight w:val="none"/>
          <w14:textFill>
            <w14:solidFill>
              <w14:schemeClr w14:val="tx1"/>
            </w14:solidFill>
          </w14:textFill>
        </w:rPr>
        <w:t>在发起解密指令之时起30分钟内</w:t>
      </w:r>
      <w:r>
        <w:rPr>
          <w:rFonts w:hint="eastAsia" w:asciiTheme="minorEastAsia" w:hAnsiTheme="minorEastAsia" w:eastAsiaTheme="minorEastAsia" w:cstheme="minorEastAsia"/>
          <w:b/>
          <w:color w:val="000000" w:themeColor="text1"/>
          <w:sz w:val="21"/>
          <w:highlight w:val="none"/>
          <w:lang w:eastAsia="zh-CN"/>
          <w14:textFill>
            <w14:solidFill>
              <w14:schemeClr w14:val="tx1"/>
            </w14:solidFill>
          </w14:textFill>
        </w:rPr>
        <w:t>完成</w:t>
      </w:r>
      <w:r>
        <w:rPr>
          <w:rFonts w:hint="eastAsia" w:asciiTheme="minorEastAsia" w:hAnsiTheme="minorEastAsia" w:eastAsiaTheme="minorEastAsia" w:cstheme="minorEastAsia"/>
          <w:b/>
          <w:color w:val="000000" w:themeColor="text1"/>
          <w:sz w:val="21"/>
          <w:highlight w:val="none"/>
          <w14:textFill>
            <w14:solidFill>
              <w14:schemeClr w14:val="tx1"/>
            </w14:solidFill>
          </w14:textFill>
        </w:rPr>
        <w:t>电子响应文件</w:t>
      </w:r>
      <w:r>
        <w:rPr>
          <w:rFonts w:hint="eastAsia" w:asciiTheme="minorEastAsia" w:hAnsiTheme="minorEastAsia" w:eastAsiaTheme="minorEastAsia" w:cstheme="minorEastAsia"/>
          <w:b/>
          <w:color w:val="000000" w:themeColor="text1"/>
          <w:sz w:val="21"/>
          <w:highlight w:val="none"/>
          <w:lang w:eastAsia="zh-CN"/>
          <w14:textFill>
            <w14:solidFill>
              <w14:schemeClr w14:val="tx1"/>
            </w14:solidFill>
          </w14:textFill>
        </w:rPr>
        <w:t>的在线</w:t>
      </w:r>
      <w:r>
        <w:rPr>
          <w:rFonts w:hint="eastAsia" w:asciiTheme="minorEastAsia" w:hAnsiTheme="minorEastAsia" w:eastAsiaTheme="minorEastAsia" w:cstheme="minorEastAsia"/>
          <w:b/>
          <w:color w:val="000000" w:themeColor="text1"/>
          <w:sz w:val="21"/>
          <w:highlight w:val="none"/>
          <w14:textFill>
            <w14:solidFill>
              <w14:schemeClr w14:val="tx1"/>
            </w14:solidFill>
          </w14:textFill>
        </w:rPr>
        <w:t>解密</w:t>
      </w:r>
      <w:r>
        <w:rPr>
          <w:rFonts w:hint="eastAsia" w:asciiTheme="minorEastAsia" w:hAnsiTheme="minorEastAsia" w:eastAsiaTheme="minorEastAsia" w:cstheme="minorEastAsia"/>
          <w:color w:val="000000" w:themeColor="text1"/>
          <w:sz w:val="21"/>
          <w:highlight w:val="none"/>
          <w14:textFill>
            <w14:solidFill>
              <w14:schemeClr w14:val="tx1"/>
            </w14:solidFill>
          </w14:textFill>
        </w:rPr>
        <w:t>。发起解密指令之时起5分钟内供应商还未进行解密的，代理机构要通知供应商</w:t>
      </w:r>
      <w:r>
        <w:rPr>
          <w:rFonts w:hint="eastAsia" w:asciiTheme="minorEastAsia" w:hAnsiTheme="minorEastAsia" w:eastAsiaTheme="minorEastAsia" w:cstheme="minorEastAsia"/>
          <w:color w:val="000000" w:themeColor="text1"/>
          <w:sz w:val="21"/>
          <w:highlight w:val="none"/>
          <w:lang w:eastAsia="zh-CN"/>
          <w14:textFill>
            <w14:solidFill>
              <w14:schemeClr w14:val="tx1"/>
            </w14:solidFill>
          </w14:textFill>
        </w:rPr>
        <w:t>。若</w:t>
      </w:r>
      <w:r>
        <w:rPr>
          <w:rFonts w:hint="eastAsia" w:asciiTheme="minorEastAsia" w:hAnsiTheme="minorEastAsia" w:eastAsiaTheme="minorEastAsia" w:cstheme="minorEastAsia"/>
          <w:color w:val="000000" w:themeColor="text1"/>
          <w:sz w:val="21"/>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sz w:val="21"/>
          <w:highlight w:val="none"/>
          <w:lang w:eastAsia="zh-CN"/>
          <w14:textFill>
            <w14:solidFill>
              <w14:schemeClr w14:val="tx1"/>
            </w14:solidFill>
          </w14:textFill>
        </w:rPr>
        <w:t>未</w:t>
      </w:r>
      <w:r>
        <w:rPr>
          <w:rFonts w:hint="eastAsia" w:asciiTheme="minorEastAsia" w:hAnsiTheme="minorEastAsia" w:eastAsiaTheme="minorEastAsia" w:cstheme="minorEastAsia"/>
          <w:color w:val="000000" w:themeColor="text1"/>
          <w:sz w:val="21"/>
          <w:highlight w:val="none"/>
          <w14:textFill>
            <w14:solidFill>
              <w14:schemeClr w14:val="tx1"/>
            </w14:solidFill>
          </w14:textFill>
        </w:rPr>
        <w:t>预留联系方式或预留</w:t>
      </w:r>
      <w:r>
        <w:rPr>
          <w:rFonts w:hint="eastAsia" w:asciiTheme="minorEastAsia" w:hAnsiTheme="minorEastAsia" w:eastAsiaTheme="minorEastAsia" w:cstheme="minorEastAsia"/>
          <w:color w:val="000000" w:themeColor="text1"/>
          <w:sz w:val="21"/>
          <w:highlight w:val="none"/>
          <w:lang w:eastAsia="zh-CN"/>
          <w14:textFill>
            <w14:solidFill>
              <w14:schemeClr w14:val="tx1"/>
            </w14:solidFill>
          </w14:textFill>
        </w:rPr>
        <w:t>的联系方式</w:t>
      </w:r>
      <w:r>
        <w:rPr>
          <w:rFonts w:hint="eastAsia" w:asciiTheme="minorEastAsia" w:hAnsiTheme="minorEastAsia" w:eastAsiaTheme="minorEastAsia" w:cstheme="minorEastAsia"/>
          <w:color w:val="000000" w:themeColor="text1"/>
          <w:sz w:val="21"/>
          <w:highlight w:val="none"/>
          <w14:textFill>
            <w14:solidFill>
              <w14:schemeClr w14:val="tx1"/>
            </w14:solidFill>
          </w14:textFill>
        </w:rPr>
        <w:t>无效，导致代理机构无法联系到供应商进行解密的，</w:t>
      </w:r>
      <w:r>
        <w:rPr>
          <w:rFonts w:hint="eastAsia" w:asciiTheme="minorEastAsia" w:hAnsiTheme="minorEastAsia" w:eastAsiaTheme="minorEastAsia" w:cstheme="minorEastAsia"/>
          <w:b/>
          <w:color w:val="000000" w:themeColor="text1"/>
          <w:sz w:val="21"/>
          <w:highlight w:val="none"/>
          <w14:textFill>
            <w14:solidFill>
              <w14:schemeClr w14:val="tx1"/>
            </w14:solidFill>
          </w14:textFill>
        </w:rPr>
        <w:t>视为响应文件无效。</w:t>
      </w:r>
      <w:r>
        <w:rPr>
          <w:rFonts w:hint="eastAsia" w:asciiTheme="minorEastAsia" w:hAnsiTheme="minorEastAsia" w:eastAsiaTheme="minorEastAsia" w:cstheme="minorEastAsia"/>
          <w:color w:val="000000" w:themeColor="text1"/>
          <w:sz w:val="21"/>
          <w:highlight w:val="none"/>
          <w14:textFill>
            <w14:solidFill>
              <w14:schemeClr w14:val="tx1"/>
            </w14:solidFill>
          </w14:textFill>
        </w:rPr>
        <w:t>（解密</w:t>
      </w:r>
      <w:r>
        <w:rPr>
          <w:rFonts w:hint="eastAsia" w:asciiTheme="minorEastAsia" w:hAnsiTheme="minorEastAsia" w:eastAsiaTheme="minorEastAsia" w:cstheme="minorEastAsia"/>
          <w:bCs/>
          <w:color w:val="000000" w:themeColor="text1"/>
          <w:sz w:val="21"/>
          <w:highlight w:val="none"/>
          <w14:textFill>
            <w14:solidFill>
              <w14:schemeClr w14:val="tx1"/>
            </w14:solidFill>
          </w14:textFill>
        </w:rPr>
        <w:t>异常情况处理：详见本章</w:t>
      </w:r>
      <w:r>
        <w:rPr>
          <w:rFonts w:hint="eastAsia" w:asciiTheme="minorEastAsia" w:hAnsiTheme="minorEastAsia" w:eastAsiaTheme="minorEastAsia" w:cstheme="minorEastAsia"/>
          <w:color w:val="000000" w:themeColor="text1"/>
          <w:sz w:val="21"/>
          <w:highlight w:val="none"/>
          <w14:textFill>
            <w14:solidFill>
              <w14:schemeClr w14:val="tx1"/>
            </w14:solidFill>
          </w14:textFill>
        </w:rPr>
        <w:t>26.</w:t>
      </w:r>
      <w:r>
        <w:rPr>
          <w:rFonts w:hint="eastAsia" w:asciiTheme="minorEastAsia" w:hAnsiTheme="minorEastAsia" w:eastAsiaTheme="minorEastAsia" w:cstheme="minorEastAsia"/>
          <w:color w:val="000000" w:themeColor="text1"/>
          <w:sz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1"/>
          <w:highlight w:val="none"/>
          <w14:textFill>
            <w14:solidFill>
              <w14:schemeClr w14:val="tx1"/>
            </w14:solidFill>
          </w14:textFill>
        </w:rPr>
        <w:t xml:space="preserve"> 电子交易活动的中止）</w:t>
      </w:r>
    </w:p>
    <w:p w14:paraId="758EC218">
      <w:pPr>
        <w:pStyle w:val="16"/>
        <w:keepNext w:val="0"/>
        <w:keepLines w:val="0"/>
        <w:pageBreakBefore w:val="0"/>
        <w:widowControl w:val="0"/>
        <w:kinsoku/>
        <w:wordWrap/>
        <w:overflowPunct/>
        <w:topLinePunct w:val="0"/>
        <w:autoSpaceDE/>
        <w:autoSpaceDN/>
        <w:bidi w:val="0"/>
        <w:adjustRightInd/>
        <w:spacing w:line="420" w:lineRule="exact"/>
        <w:ind w:firstLine="420" w:firstLineChars="200"/>
        <w:textAlignment w:val="auto"/>
        <w:rPr>
          <w:rFonts w:hint="eastAsia" w:asciiTheme="minorEastAsia" w:hAnsiTheme="minorEastAsia" w:eastAsiaTheme="minorEastAsia" w:cstheme="minorEastAsia"/>
          <w:color w:val="000000" w:themeColor="text1"/>
          <w:sz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highlight w:val="none"/>
          <w14:textFill>
            <w14:solidFill>
              <w14:schemeClr w14:val="tx1"/>
            </w14:solidFill>
          </w14:textFill>
        </w:rPr>
        <w:t>如</w:t>
      </w:r>
      <w:r>
        <w:rPr>
          <w:rFonts w:hint="eastAsia" w:asciiTheme="minorEastAsia" w:hAnsiTheme="minorEastAsia" w:eastAsiaTheme="minorEastAsia" w:cstheme="minorEastAsia"/>
          <w:bCs/>
          <w:color w:val="000000" w:themeColor="text1"/>
          <w:sz w:val="21"/>
          <w:highlight w:val="none"/>
          <w14:textFill>
            <w14:solidFill>
              <w14:schemeClr w14:val="tx1"/>
            </w14:solidFill>
          </w14:textFill>
        </w:rPr>
        <w:t>供应商成功解密响应文件，但未在“广西政府采购云平台”电子开标大厅参加磋商的，视同认可</w:t>
      </w:r>
      <w:r>
        <w:rPr>
          <w:rFonts w:hint="eastAsia" w:asciiTheme="minorEastAsia" w:hAnsiTheme="minorEastAsia" w:eastAsiaTheme="minorEastAsia" w:cstheme="minorEastAsia"/>
          <w:bCs/>
          <w:color w:val="000000" w:themeColor="text1"/>
          <w:sz w:val="21"/>
          <w:highlight w:val="none"/>
          <w:lang w:val="en-US" w:eastAsia="zh-CN"/>
          <w14:textFill>
            <w14:solidFill>
              <w14:schemeClr w14:val="tx1"/>
            </w14:solidFill>
          </w14:textFill>
        </w:rPr>
        <w:t>磋商</w:t>
      </w:r>
      <w:r>
        <w:rPr>
          <w:rFonts w:hint="eastAsia" w:asciiTheme="minorEastAsia" w:hAnsiTheme="minorEastAsia" w:eastAsiaTheme="minorEastAsia" w:cstheme="minorEastAsia"/>
          <w:bCs/>
          <w:color w:val="000000" w:themeColor="text1"/>
          <w:sz w:val="21"/>
          <w:highlight w:val="none"/>
          <w14:textFill>
            <w14:solidFill>
              <w14:schemeClr w14:val="tx1"/>
            </w14:solidFill>
          </w14:textFill>
        </w:rPr>
        <w:t>过程和结果，</w:t>
      </w:r>
      <w:r>
        <w:rPr>
          <w:rFonts w:hint="eastAsia" w:asciiTheme="minorEastAsia" w:hAnsiTheme="minorEastAsia" w:eastAsiaTheme="minorEastAsia" w:cstheme="minorEastAsia"/>
          <w:color w:val="000000" w:themeColor="text1"/>
          <w:sz w:val="21"/>
          <w:highlight w:val="none"/>
          <w14:textFill>
            <w14:solidFill>
              <w14:schemeClr w14:val="tx1"/>
            </w14:solidFill>
          </w14:textFill>
        </w:rPr>
        <w:t>由此产生的后果由供应商自行负责。 参与</w:t>
      </w:r>
      <w:r>
        <w:rPr>
          <w:rFonts w:hint="eastAsia" w:asciiTheme="minorEastAsia" w:hAnsiTheme="minorEastAsia" w:eastAsiaTheme="minorEastAsia" w:cstheme="minorEastAsia"/>
          <w:bCs/>
          <w:color w:val="000000" w:themeColor="text1"/>
          <w:sz w:val="21"/>
          <w:highlight w:val="none"/>
          <w:lang w:val="en-US" w:eastAsia="zh-CN"/>
          <w14:textFill>
            <w14:solidFill>
              <w14:schemeClr w14:val="tx1"/>
            </w14:solidFill>
          </w14:textFill>
        </w:rPr>
        <w:t>磋商</w:t>
      </w:r>
      <w:r>
        <w:rPr>
          <w:rFonts w:hint="eastAsia" w:asciiTheme="minorEastAsia" w:hAnsiTheme="minorEastAsia" w:eastAsiaTheme="minorEastAsia" w:cstheme="minorEastAsia"/>
          <w:color w:val="000000" w:themeColor="text1"/>
          <w:sz w:val="21"/>
          <w:highlight w:val="none"/>
          <w14:textFill>
            <w14:solidFill>
              <w14:schemeClr w14:val="tx1"/>
            </w14:solidFill>
          </w14:textFill>
        </w:rPr>
        <w:t>的供应商不足3家的，不得</w:t>
      </w:r>
      <w:r>
        <w:rPr>
          <w:rFonts w:hint="eastAsia" w:asciiTheme="minorEastAsia" w:hAnsiTheme="minorEastAsia" w:eastAsiaTheme="minorEastAsia" w:cstheme="minorEastAsia"/>
          <w:bCs/>
          <w:color w:val="000000" w:themeColor="text1"/>
          <w:sz w:val="21"/>
          <w:highlight w:val="none"/>
          <w:lang w:val="en-US" w:eastAsia="zh-CN"/>
          <w14:textFill>
            <w14:solidFill>
              <w14:schemeClr w14:val="tx1"/>
            </w14:solidFill>
          </w14:textFill>
        </w:rPr>
        <w:t>磋商</w:t>
      </w:r>
      <w:r>
        <w:rPr>
          <w:rFonts w:hint="eastAsia" w:asciiTheme="minorEastAsia" w:hAnsiTheme="minorEastAsia" w:eastAsiaTheme="minorEastAsia" w:cstheme="minorEastAsia"/>
          <w:color w:val="000000" w:themeColor="text1"/>
          <w:sz w:val="21"/>
          <w:highlight w:val="none"/>
          <w14:textFill>
            <w14:solidFill>
              <w14:schemeClr w14:val="tx1"/>
            </w14:solidFill>
          </w14:textFill>
        </w:rPr>
        <w:t>。</w:t>
      </w:r>
    </w:p>
    <w:p w14:paraId="16D567BA">
      <w:pPr>
        <w:keepNext w:val="0"/>
        <w:keepLines w:val="0"/>
        <w:pageBreakBefore w:val="0"/>
        <w:widowControl w:val="0"/>
        <w:kinsoku/>
        <w:wordWrap/>
        <w:overflowPunct/>
        <w:topLinePunct w:val="0"/>
        <w:autoSpaceDE/>
        <w:autoSpaceDN/>
        <w:bidi w:val="0"/>
        <w:adjustRightInd/>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26.评审程序、评审方法和评审标准</w:t>
      </w:r>
    </w:p>
    <w:p w14:paraId="3B4B38B5">
      <w:pPr>
        <w:keepNext w:val="0"/>
        <w:keepLines w:val="0"/>
        <w:pageBreakBefore w:val="0"/>
        <w:widowControl w:val="0"/>
        <w:kinsoku/>
        <w:wordWrap/>
        <w:overflowPunct/>
        <w:topLinePunct w:val="0"/>
        <w:autoSpaceDE/>
        <w:autoSpaceDN/>
        <w:bidi w:val="0"/>
        <w:adjustRightIn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26.1磋商小组按照“第四章 评审程序、评审方法和评审标准”规定的方法、评审因素、标准和程序对响应文件进行评审。</w:t>
      </w:r>
    </w:p>
    <w:p w14:paraId="0226BC46">
      <w:pPr>
        <w:keepNext w:val="0"/>
        <w:keepLines w:val="0"/>
        <w:pageBreakBefore w:val="0"/>
        <w:widowControl w:val="0"/>
        <w:kinsoku/>
        <w:wordWrap/>
        <w:overflowPunct/>
        <w:topLinePunct w:val="0"/>
        <w:autoSpaceDE/>
        <w:autoSpaceDN/>
        <w:bidi w:val="0"/>
        <w:adjustRightIn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26.2磋商文件内容违反国家有关强制性规定的，磋商小组应当停止评审并向采购人或者采购代理机构说明情况，并在评审报告中书面体现。</w:t>
      </w:r>
    </w:p>
    <w:p w14:paraId="5F2791D6">
      <w:pPr>
        <w:keepNext w:val="0"/>
        <w:keepLines w:val="0"/>
        <w:pageBreakBefore w:val="0"/>
        <w:widowControl w:val="0"/>
        <w:kinsoku/>
        <w:wordWrap/>
        <w:overflowPunct/>
        <w:topLinePunct w:val="0"/>
        <w:autoSpaceDE/>
        <w:autoSpaceDN/>
        <w:bidi w:val="0"/>
        <w:adjustRightIn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26.</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采购需求负偏离要求及磋商顺序详见“供应商须知前附表”。</w:t>
      </w:r>
    </w:p>
    <w:p w14:paraId="1056AB5F">
      <w:pPr>
        <w:keepNext w:val="0"/>
        <w:keepLines w:val="0"/>
        <w:pageBreakBefore w:val="0"/>
        <w:widowControl w:val="0"/>
        <w:kinsoku/>
        <w:wordWrap/>
        <w:overflowPunct/>
        <w:topLinePunct w:val="0"/>
        <w:autoSpaceDE/>
        <w:autoSpaceDN/>
        <w:bidi w:val="0"/>
        <w:adjustRightInd/>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26.</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highlight w:val="none"/>
          <w14:textFill>
            <w14:solidFill>
              <w14:schemeClr w14:val="tx1"/>
            </w14:solidFill>
          </w14:textFill>
        </w:rPr>
        <w:t>电子交易活动的中止。采购过程中出现以下情形，导致电子交易平台无法正常运行，或者无法保证电子交易的公平、公正和安全时，采购机构可中止电子交易活动：</w:t>
      </w:r>
    </w:p>
    <w:p w14:paraId="24C8707B">
      <w:pPr>
        <w:keepNext w:val="0"/>
        <w:keepLines w:val="0"/>
        <w:pageBreakBefore w:val="0"/>
        <w:widowControl w:val="0"/>
        <w:kinsoku/>
        <w:wordWrap/>
        <w:overflowPunct/>
        <w:topLinePunct w:val="0"/>
        <w:autoSpaceDE/>
        <w:autoSpaceDN/>
        <w:bidi w:val="0"/>
        <w:adjustRightInd/>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（1）电子交易平台发生故障而无法登录访问的； </w:t>
      </w:r>
    </w:p>
    <w:p w14:paraId="6B913D29">
      <w:pPr>
        <w:keepNext w:val="0"/>
        <w:keepLines w:val="0"/>
        <w:pageBreakBefore w:val="0"/>
        <w:widowControl w:val="0"/>
        <w:kinsoku/>
        <w:wordWrap/>
        <w:overflowPunct/>
        <w:topLinePunct w:val="0"/>
        <w:autoSpaceDE/>
        <w:autoSpaceDN/>
        <w:bidi w:val="0"/>
        <w:adjustRightInd/>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（2）电子交易平台应用或数据库出现错误，不能进行正常操作的；</w:t>
      </w:r>
    </w:p>
    <w:p w14:paraId="14B3AA16">
      <w:pPr>
        <w:keepNext w:val="0"/>
        <w:keepLines w:val="0"/>
        <w:pageBreakBefore w:val="0"/>
        <w:widowControl w:val="0"/>
        <w:kinsoku/>
        <w:wordWrap/>
        <w:overflowPunct/>
        <w:topLinePunct w:val="0"/>
        <w:autoSpaceDE/>
        <w:autoSpaceDN/>
        <w:bidi w:val="0"/>
        <w:adjustRightInd/>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（3）电子交易平台发现严重安全漏洞，有潜在泄密危险的；</w:t>
      </w:r>
    </w:p>
    <w:p w14:paraId="5B0CE67F">
      <w:pPr>
        <w:keepNext w:val="0"/>
        <w:keepLines w:val="0"/>
        <w:pageBreakBefore w:val="0"/>
        <w:widowControl w:val="0"/>
        <w:kinsoku/>
        <w:wordWrap/>
        <w:overflowPunct/>
        <w:topLinePunct w:val="0"/>
        <w:autoSpaceDE/>
        <w:autoSpaceDN/>
        <w:bidi w:val="0"/>
        <w:adjustRightInd/>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（4）病毒发作导致不能进行正常操作的； </w:t>
      </w:r>
    </w:p>
    <w:p w14:paraId="2E9C166B">
      <w:pPr>
        <w:keepNext w:val="0"/>
        <w:keepLines w:val="0"/>
        <w:pageBreakBefore w:val="0"/>
        <w:widowControl w:val="0"/>
        <w:kinsoku/>
        <w:wordWrap/>
        <w:overflowPunct/>
        <w:topLinePunct w:val="0"/>
        <w:autoSpaceDE/>
        <w:autoSpaceDN/>
        <w:bidi w:val="0"/>
        <w:adjustRightInd/>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（5）其他无法保证电子交易的公平、公正和安全的情况。</w:t>
      </w:r>
    </w:p>
    <w:p w14:paraId="7E97853A">
      <w:pPr>
        <w:keepNext w:val="0"/>
        <w:keepLines w:val="0"/>
        <w:pageBreakBefore w:val="0"/>
        <w:widowControl w:val="0"/>
        <w:kinsoku/>
        <w:wordWrap/>
        <w:overflowPunct/>
        <w:topLinePunct w:val="0"/>
        <w:autoSpaceDE/>
        <w:autoSpaceDN/>
        <w:bidi w:val="0"/>
        <w:adjustRightInd/>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26.</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highlight w:val="none"/>
          <w14:textFill>
            <w14:solidFill>
              <w14:schemeClr w14:val="tx1"/>
            </w14:solidFill>
          </w14:textFill>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791D7067">
      <w:pPr>
        <w:pStyle w:val="4"/>
        <w:keepNext/>
        <w:keepLines/>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b/>
          <w:bCs w:val="0"/>
          <w:color w:val="000000" w:themeColor="text1"/>
          <w:sz w:val="30"/>
          <w:szCs w:val="30"/>
          <w:highlight w:val="none"/>
          <w14:textFill>
            <w14:solidFill>
              <w14:schemeClr w14:val="tx1"/>
            </w14:solidFill>
          </w14:textFill>
        </w:rPr>
      </w:pPr>
      <w:bookmarkStart w:id="33" w:name="_Toc87345233"/>
      <w:bookmarkEnd w:id="33"/>
      <w:r>
        <w:rPr>
          <w:rFonts w:hint="eastAsia" w:asciiTheme="minorEastAsia" w:hAnsiTheme="minorEastAsia" w:eastAsiaTheme="minorEastAsia" w:cstheme="minorEastAsia"/>
          <w:b/>
          <w:bCs w:val="0"/>
          <w:color w:val="000000" w:themeColor="text1"/>
          <w:sz w:val="30"/>
          <w:szCs w:val="30"/>
          <w:highlight w:val="none"/>
          <w14:textFill>
            <w14:solidFill>
              <w14:schemeClr w14:val="tx1"/>
            </w14:solidFill>
          </w14:textFill>
        </w:rPr>
        <w:t>五、成交及合同</w:t>
      </w:r>
    </w:p>
    <w:p w14:paraId="76A05C4F">
      <w:pPr>
        <w:keepNext w:val="0"/>
        <w:keepLines w:val="0"/>
        <w:pageBreakBefore w:val="0"/>
        <w:widowControl w:val="0"/>
        <w:kinsoku/>
        <w:wordWrap/>
        <w:overflowPunct/>
        <w:topLinePunct w:val="0"/>
        <w:autoSpaceDE/>
        <w:autoSpaceDN/>
        <w:bidi w:val="0"/>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27.确定成交供应商及结果公告</w:t>
      </w:r>
    </w:p>
    <w:p w14:paraId="1B7DA286">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27.1确定成交供应商。</w:t>
      </w: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由采购人直接委托评审专家确定</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，评审报告提出的排序第一的供应商为成交供应商。</w:t>
      </w:r>
    </w:p>
    <w:p w14:paraId="221535F6">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27.2成交通知及成交结果公告。成交供应商确定</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后2个工作日内，在省级以上财政部门指定的媒体上公</w:t>
      </w: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告成交结果</w:t>
      </w:r>
      <w:r>
        <w:rPr>
          <w:rFonts w:hint="eastAsia" w:asciiTheme="minorEastAsia" w:hAnsiTheme="minorEastAsia" w:eastAsiaTheme="minorEastAsia" w:cstheme="minorEastAsia"/>
          <w:color w:val="000000" w:themeColor="text1"/>
          <w:kern w:val="0"/>
          <w:szCs w:val="21"/>
          <w:highlight w:val="none"/>
          <w:lang w:eastAsia="zh-CN"/>
          <w14:textFill>
            <w14:solidFill>
              <w14:schemeClr w14:val="tx1"/>
            </w14:solidFill>
          </w14:textFill>
        </w:rPr>
        <w:t>，同时</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向成交供应商发出成交通知书，成交通知书规定签订合同的时间不得超过25日。</w:t>
      </w:r>
    </w:p>
    <w:p w14:paraId="7445EBF2">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27.3采购人或者采购代理机构发出成交通知书前，应当对成交供应商信用进行查询核实，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59BA76A7">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5C8447CC">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t>27.5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02CD990E">
      <w:pPr>
        <w:keepNext w:val="0"/>
        <w:keepLines w:val="0"/>
        <w:pageBreakBefore w:val="0"/>
        <w:widowControl w:val="0"/>
        <w:kinsoku/>
        <w:wordWrap/>
        <w:overflowPunct/>
        <w:topLinePunct w:val="0"/>
        <w:autoSpaceDE/>
        <w:autoSpaceDN/>
        <w:bidi w:val="0"/>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28.履约保证金</w:t>
      </w:r>
    </w:p>
    <w:p w14:paraId="25E999E3">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b/>
          <w:bCs/>
          <w:color w:val="000000" w:themeColor="text1"/>
          <w:sz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详见“供应商须知前附表”</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p>
    <w:p w14:paraId="30D27989">
      <w:pPr>
        <w:keepNext w:val="0"/>
        <w:keepLines w:val="0"/>
        <w:pageBreakBefore w:val="0"/>
        <w:widowControl w:val="0"/>
        <w:kinsoku/>
        <w:wordWrap/>
        <w:overflowPunct/>
        <w:topLinePunct w:val="0"/>
        <w:autoSpaceDE/>
        <w:autoSpaceDN/>
        <w:bidi w:val="0"/>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29.签订合同</w:t>
      </w:r>
    </w:p>
    <w:p w14:paraId="5659AD96">
      <w:pPr>
        <w:pStyle w:val="80"/>
        <w:keepNext w:val="0"/>
        <w:keepLines w:val="0"/>
        <w:pageBreakBefore w:val="0"/>
        <w:widowControl w:val="0"/>
        <w:kinsoku/>
        <w:wordWrap/>
        <w:overflowPunct/>
        <w:topLinePunct w:val="0"/>
        <w:autoSpaceDE/>
        <w:autoSpaceDN/>
        <w:bidi w:val="0"/>
        <w:snapToGrid w:val="0"/>
        <w:spacing w:before="0" w:line="420" w:lineRule="exact"/>
        <w:ind w:firstLine="420"/>
        <w:textAlignment w:val="auto"/>
        <w:rPr>
          <w:rFonts w:hint="eastAsia" w:asciiTheme="minorEastAsia" w:hAnsiTheme="minorEastAsia" w:eastAsiaTheme="minorEastAsia" w:cstheme="minorEastAsia"/>
          <w:color w:val="000000" w:themeColor="text1"/>
          <w:sz w:val="21"/>
          <w:szCs w:val="21"/>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29.1采购人与成交供应商应在成交通知书规定的时间内，按照磋商文件确定的合同文本以及采购标的、服务技术、采购金额、采购数量、技术和服务要求等事项签订政府采购合同。</w:t>
      </w:r>
      <w:r>
        <w:rPr>
          <w:rFonts w:hint="eastAsia" w:asciiTheme="minorEastAsia" w:hAnsiTheme="minorEastAsia" w:eastAsiaTheme="minorEastAsia" w:cstheme="minorEastAsia"/>
          <w:color w:val="000000" w:themeColor="text1"/>
          <w:sz w:val="21"/>
          <w:szCs w:val="21"/>
          <w:highlight w:val="none"/>
          <w:lang w:val="zh-CN"/>
          <w14:textFill>
            <w14:solidFill>
              <w14:schemeClr w14:val="tx1"/>
            </w14:solidFill>
          </w14:textFill>
        </w:rPr>
        <w:t>如成交供应商为联合体的，由联合体成员各方法定代表人或其授权代表与采购人代表签订合同。</w:t>
      </w:r>
    </w:p>
    <w:p w14:paraId="5B2D5CF9">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17C3B321">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258CA32F">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29.4如签订合同并生效后，供应商无故拒绝或延期，除按照合同条款处理外，列入不良行为记录，并给予通报。</w:t>
      </w:r>
    </w:p>
    <w:p w14:paraId="5CC6C741">
      <w:pPr>
        <w:pStyle w:val="80"/>
        <w:keepNext w:val="0"/>
        <w:keepLines w:val="0"/>
        <w:pageBreakBefore w:val="0"/>
        <w:widowControl w:val="0"/>
        <w:kinsoku/>
        <w:wordWrap/>
        <w:overflowPunct/>
        <w:topLinePunct w:val="0"/>
        <w:autoSpaceDE/>
        <w:autoSpaceDN/>
        <w:bidi w:val="0"/>
        <w:spacing w:before="0" w:line="420" w:lineRule="exact"/>
        <w:ind w:firstLine="420"/>
        <w:textAlignment w:val="auto"/>
        <w:rPr>
          <w:rFonts w:hint="eastAsia"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t>29.5采购合同由采购人与成交供应商根据磋商文件、响应文件等内容签订，签订需携带的材料见“供应商须知前附表”。</w:t>
      </w:r>
    </w:p>
    <w:p w14:paraId="2BE1A5ED">
      <w:pPr>
        <w:keepNext w:val="0"/>
        <w:keepLines w:val="0"/>
        <w:pageBreakBefore w:val="0"/>
        <w:widowControl w:val="0"/>
        <w:kinsoku/>
        <w:wordWrap/>
        <w:overflowPunct/>
        <w:topLinePunct w:val="0"/>
        <w:autoSpaceDE/>
        <w:autoSpaceDN/>
        <w:bidi w:val="0"/>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30.政府采购合同公告</w:t>
      </w:r>
    </w:p>
    <w:p w14:paraId="5B7790BE">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采购人或者受托采购代理机构应当自政府采购合同签订之日起2个工作日内，将政府采购合同</w:t>
      </w:r>
      <w:r>
        <w:rPr>
          <w:rFonts w:hint="eastAsia" w:asciiTheme="minorEastAsia" w:hAnsiTheme="minorEastAsia" w:eastAsiaTheme="minorEastAsia" w:cstheme="minorEastAsia"/>
          <w:bCs/>
          <w:color w:val="000000" w:themeColor="text1"/>
          <w:highlight w:val="none"/>
          <w14:textFill>
            <w14:solidFill>
              <w14:schemeClr w14:val="tx1"/>
            </w14:solidFill>
          </w14:textFill>
        </w:rPr>
        <w:t>在以下媒体上发布</w:t>
      </w: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“广西政府采购网”（http://zfcg.gxzf.gov.cn）</w:t>
      </w:r>
      <w:r>
        <w:rPr>
          <w:rFonts w:hint="eastAsia" w:asciiTheme="minorEastAsia" w:hAnsiTheme="minorEastAsia" w:eastAsiaTheme="minorEastAsia" w:cstheme="minorEastAsia"/>
          <w:color w:val="000000" w:themeColor="text1"/>
          <w:highlight w:val="none"/>
          <w14:textFill>
            <w14:solidFill>
              <w14:schemeClr w14:val="tx1"/>
            </w14:solidFill>
          </w14:textFill>
        </w:rPr>
        <w:t>上公告，但政府采购合同中涉及国家秘密、商业秘密的内容除外。</w:t>
      </w:r>
    </w:p>
    <w:p w14:paraId="526D9857">
      <w:pPr>
        <w:keepNext w:val="0"/>
        <w:keepLines w:val="0"/>
        <w:pageBreakBefore w:val="0"/>
        <w:widowControl w:val="0"/>
        <w:kinsoku/>
        <w:wordWrap/>
        <w:overflowPunct/>
        <w:topLinePunct w:val="0"/>
        <w:autoSpaceDE/>
        <w:autoSpaceDN/>
        <w:bidi w:val="0"/>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31.询问、质疑和投诉</w:t>
      </w:r>
    </w:p>
    <w:p w14:paraId="56282AB4">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31.1供应商对政府采购活动事项有疑问的，可以向采购人、采购代理机构提出询问，采购人或者采购代理机构应当在3个工作日内对供应商依法提出的询问作出答复。</w:t>
      </w:r>
    </w:p>
    <w:p w14:paraId="71D6E681">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31.2供应商认为磋商文件、采购过程或者成交结果使自己的合法权益受到损害的，应当在知道或者应知其权益受到损害之日起7个工作日内，以书面形式向采购人、采购代理机构提出质疑，</w:t>
      </w:r>
      <w:r>
        <w:rPr>
          <w:rFonts w:hint="eastAsia" w:asciiTheme="minorEastAsia" w:hAnsiTheme="minorEastAsia" w:eastAsiaTheme="minorEastAsia" w:cstheme="minorEastAsia"/>
          <w:color w:val="000000" w:themeColor="text1"/>
          <w:highlight w:val="none"/>
          <w:shd w:val="clear" w:color="auto" w:fill="FFFFFF"/>
          <w14:textFill>
            <w14:solidFill>
              <w14:schemeClr w14:val="tx1"/>
            </w14:solidFill>
          </w14:textFill>
        </w:rPr>
        <w:t>接收质疑函的方式、联系部门、联系电话和通讯地址等信息详见</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“供应商须知前附表”</w:t>
      </w:r>
      <w:r>
        <w:rPr>
          <w:rFonts w:hint="eastAsia" w:asciiTheme="minorEastAsia" w:hAnsiTheme="minorEastAsia" w:eastAsiaTheme="minorEastAsia" w:cstheme="minorEastAsia"/>
          <w:color w:val="000000" w:themeColor="text1"/>
          <w:highlight w:val="none"/>
          <w14:textFill>
            <w14:solidFill>
              <w14:schemeClr w14:val="tx1"/>
            </w14:solidFill>
          </w14:textFill>
        </w:rPr>
        <w:t>。具体质疑起算时间如下：</w:t>
      </w:r>
    </w:p>
    <w:p w14:paraId="7BAFF841">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（1）对可以质疑的磋商文件提出质疑的，为收到磋商文件之日或者竞争性磋商公告期限届满之日；</w:t>
      </w:r>
    </w:p>
    <w:p w14:paraId="01D093D6">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（2）对采购过程提出质疑的，为各采购程序环节结束之日；</w:t>
      </w:r>
    </w:p>
    <w:p w14:paraId="64CFF3F8">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（3）对成交结果提出质疑的，为成交结果公告期限届满之日。</w:t>
      </w:r>
    </w:p>
    <w:p w14:paraId="46C8C2CB">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28F58AA1">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31.4供应商提出质疑应当提交质疑函和必要的证明材料，针对同一采购程序环节的质疑必须在法定质疑期内一次性提出。质疑函应当包括下列内容</w:t>
      </w:r>
      <w:r>
        <w:rPr>
          <w:rFonts w:hint="eastAsia" w:asciiTheme="minorEastAsia" w:hAnsiTheme="minorEastAsia" w:eastAsiaTheme="minorEastAsia" w:cstheme="minorEastAsia"/>
          <w:bCs/>
          <w:color w:val="000000" w:themeColor="text1"/>
          <w:highlight w:val="none"/>
          <w14:textFill>
            <w14:solidFill>
              <w14:schemeClr w14:val="tx1"/>
            </w14:solidFill>
          </w14:textFill>
        </w:rPr>
        <w:t>（质疑函格式后附）</w:t>
      </w:r>
      <w:r>
        <w:rPr>
          <w:rFonts w:hint="eastAsia" w:asciiTheme="minorEastAsia" w:hAnsiTheme="minorEastAsia" w:eastAsiaTheme="minorEastAsia" w:cstheme="minorEastAsia"/>
          <w:color w:val="000000" w:themeColor="text1"/>
          <w:highlight w:val="none"/>
          <w14:textFill>
            <w14:solidFill>
              <w14:schemeClr w14:val="tx1"/>
            </w14:solidFill>
          </w14:textFill>
        </w:rPr>
        <w:t>：</w:t>
      </w:r>
    </w:p>
    <w:p w14:paraId="7DAF08D4">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（1）供应商的姓名或者名称、地址、邮编、联系人及联系电话；</w:t>
      </w:r>
    </w:p>
    <w:p w14:paraId="5FADB52E">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（2）质疑项目的名称、编号；</w:t>
      </w:r>
    </w:p>
    <w:p w14:paraId="05C1A6BD">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（3）具体、明确的质疑事项和与质疑事项相关的请求；</w:t>
      </w:r>
    </w:p>
    <w:p w14:paraId="27691112">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（4）事实依据；</w:t>
      </w:r>
    </w:p>
    <w:p w14:paraId="66376767">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（5）必要的法律依据；</w:t>
      </w:r>
    </w:p>
    <w:p w14:paraId="0C6E72EE">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（6）提出质疑的日期。</w:t>
      </w:r>
    </w:p>
    <w:p w14:paraId="263B0200">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供应商为自然人的，应当由本人签字；供应商为法人或者其他组织的，应当由法定代表人、主要负责人，或者其委托代理人签字或者盖章，并加盖公章。</w:t>
      </w:r>
    </w:p>
    <w:p w14:paraId="38882EDF">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31.5</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采购</w:t>
      </w:r>
      <w:r>
        <w:rPr>
          <w:rFonts w:hint="eastAsia" w:asciiTheme="minorEastAsia" w:hAnsiTheme="minorEastAsia" w:eastAsiaTheme="minorEastAsia" w:cstheme="minorEastAsia"/>
          <w:color w:val="000000" w:themeColor="text1"/>
          <w:highlight w:val="none"/>
          <w14:textFill>
            <w14:solidFill>
              <w14:schemeClr w14:val="tx1"/>
            </w14:solidFill>
          </w14:textFill>
        </w:rPr>
        <w:t>人、采购代理机构认为供应商质疑不成立，或者成立但未对成交结果构成影响的，继续开展采购活动；认为供应商质疑成立且影响或者可能影响成交结果的，按照下列情况处理：</w:t>
      </w:r>
    </w:p>
    <w:p w14:paraId="2CAC9F5C">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对</w:t>
      </w:r>
      <w:r>
        <w:rPr>
          <w:rFonts w:hint="eastAsia" w:asciiTheme="minorEastAsia" w:hAnsiTheme="minorEastAsia" w:eastAsiaTheme="minorEastAsia" w:cstheme="minorEastAsia"/>
          <w:color w:val="000000" w:themeColor="text1"/>
          <w:highlight w:val="none"/>
          <w14:textFill>
            <w14:solidFill>
              <w14:schemeClr w14:val="tx1"/>
            </w14:solidFill>
          </w14:textFill>
        </w:rPr>
        <w:t>采购文件提出的质疑，依法通过澄清或者修改可以继续开展采购活动的，澄清或者修改采购文件后继续开展采购活动；否则应当修改采购文件后重新开展采购活动。</w:t>
      </w:r>
    </w:p>
    <w:p w14:paraId="5ABB8E9E">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对</w:t>
      </w:r>
      <w:r>
        <w:rPr>
          <w:rFonts w:hint="eastAsia" w:asciiTheme="minorEastAsia" w:hAnsiTheme="minorEastAsia" w:eastAsiaTheme="minorEastAsia" w:cstheme="minorEastAsia"/>
          <w:color w:val="000000" w:themeColor="text1"/>
          <w:highlight w:val="none"/>
          <w14:textFill>
            <w14:solidFill>
              <w14:schemeClr w14:val="tx1"/>
            </w14:solidFill>
          </w14:textFill>
        </w:rPr>
        <w:t>采购过程或者成交结果提出的质疑，合格供应商符合法定数量时，可以从合格的成交候选人中另行确定成交供应商的，应当依法另行确定成交供应商；否则应当重新开展采购活动。</w:t>
      </w:r>
    </w:p>
    <w:p w14:paraId="359808F9">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质疑答复导致成交结果改变的，采购人或者采购代理机构应当将有关情况书面报告本级财政部门。</w:t>
      </w:r>
    </w:p>
    <w:p w14:paraId="04DBC936">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bookmarkStart w:id="34" w:name="_Toc80205930"/>
      <w:r>
        <w:rPr>
          <w:rFonts w:hint="eastAsia" w:asciiTheme="minorEastAsia" w:hAnsiTheme="minorEastAsia" w:eastAsiaTheme="minorEastAsia" w:cstheme="minorEastAsia"/>
          <w:color w:val="000000" w:themeColor="text1"/>
          <w:highlight w:val="none"/>
          <w14:textFill>
            <w14:solidFill>
              <w14:schemeClr w14:val="tx1"/>
            </w14:solidFill>
          </w14:textFill>
        </w:rPr>
        <w:t>31.6</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投诉</w:t>
      </w:r>
      <w:r>
        <w:rPr>
          <w:rFonts w:hint="eastAsia" w:asciiTheme="minorEastAsia" w:hAnsiTheme="minorEastAsia" w:eastAsiaTheme="minorEastAsia" w:cstheme="minorEastAsia"/>
          <w:color w:val="000000" w:themeColor="text1"/>
          <w:highlight w:val="none"/>
          <w14:textFill>
            <w14:solidFill>
              <w14:schemeClr w14:val="tx1"/>
            </w14:solidFill>
          </w14:textFill>
        </w:rPr>
        <w:t>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p>
    <w:bookmarkEnd w:id="34"/>
    <w:p w14:paraId="21104E9C">
      <w:pPr>
        <w:pStyle w:val="4"/>
        <w:keepNext/>
        <w:keepLines/>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b/>
          <w:bCs w:val="0"/>
          <w:color w:val="000000" w:themeColor="text1"/>
          <w:sz w:val="30"/>
          <w:szCs w:val="30"/>
          <w:highlight w:val="none"/>
          <w14:textFill>
            <w14:solidFill>
              <w14:schemeClr w14:val="tx1"/>
            </w14:solidFill>
          </w14:textFill>
        </w:rPr>
      </w:pPr>
      <w:bookmarkStart w:id="35" w:name="_Toc87345234"/>
      <w:bookmarkEnd w:id="35"/>
      <w:r>
        <w:rPr>
          <w:rFonts w:hint="eastAsia" w:asciiTheme="minorEastAsia" w:hAnsiTheme="minorEastAsia" w:eastAsiaTheme="minorEastAsia" w:cstheme="minorEastAsia"/>
          <w:b/>
          <w:bCs w:val="0"/>
          <w:color w:val="000000" w:themeColor="text1"/>
          <w:sz w:val="30"/>
          <w:szCs w:val="30"/>
          <w:highlight w:val="none"/>
          <w14:textFill>
            <w14:solidFill>
              <w14:schemeClr w14:val="tx1"/>
            </w14:solidFill>
          </w14:textFill>
        </w:rPr>
        <w:t>六、验收</w:t>
      </w:r>
    </w:p>
    <w:p w14:paraId="7D30D99F">
      <w:pPr>
        <w:keepNext w:val="0"/>
        <w:keepLines w:val="0"/>
        <w:pageBreakBefore w:val="0"/>
        <w:widowControl w:val="0"/>
        <w:tabs>
          <w:tab w:val="left" w:pos="0"/>
        </w:tabs>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32.</w:t>
      </w:r>
      <w:r>
        <w:rPr>
          <w:rFonts w:hint="eastAsia" w:asciiTheme="minorEastAsia" w:hAnsiTheme="minorEastAsia" w:eastAsiaTheme="minorEastAsia" w:cstheme="minorEastAsia"/>
          <w:b/>
          <w:bCs/>
          <w:color w:val="000000" w:themeColor="text1"/>
          <w:sz w:val="24"/>
          <w:highlight w:val="none"/>
          <w:lang w:eastAsia="zh-CN"/>
          <w14:textFill>
            <w14:solidFill>
              <w14:schemeClr w14:val="tx1"/>
            </w14:solidFill>
          </w14:textFill>
        </w:rPr>
        <w:t>验收</w:t>
      </w:r>
    </w:p>
    <w:p w14:paraId="7944C836">
      <w:pPr>
        <w:keepNext w:val="0"/>
        <w:keepLines w:val="0"/>
        <w:pageBreakBefore w:val="0"/>
        <w:widowControl w:val="0"/>
        <w:tabs>
          <w:tab w:val="left" w:pos="0"/>
        </w:tabs>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32.1</w:t>
      </w:r>
      <w:r>
        <w:rPr>
          <w:rFonts w:hint="eastAsia" w:asciiTheme="minorEastAsia" w:hAnsiTheme="minorEastAsia" w:eastAsiaTheme="minorEastAsia" w:cstheme="minorEastAsia"/>
          <w:color w:val="000000" w:themeColor="text1"/>
          <w:kern w:val="0"/>
          <w:szCs w:val="21"/>
          <w:highlight w:val="none"/>
          <w:lang w:eastAsia="zh-CN"/>
          <w14:textFill>
            <w14:solidFill>
              <w14:schemeClr w14:val="tx1"/>
            </w14:solidFill>
          </w14:textFill>
        </w:rPr>
        <w:t>采购</w:t>
      </w: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78E7545A">
      <w:pPr>
        <w:keepNext w:val="0"/>
        <w:keepLines w:val="0"/>
        <w:pageBreakBefore w:val="0"/>
        <w:widowControl w:val="0"/>
        <w:tabs>
          <w:tab w:val="left" w:pos="0"/>
        </w:tabs>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32.2</w:t>
      </w:r>
      <w:r>
        <w:rPr>
          <w:rFonts w:hint="eastAsia" w:asciiTheme="minorEastAsia" w:hAnsiTheme="minorEastAsia" w:eastAsiaTheme="minorEastAsia" w:cstheme="minorEastAsia"/>
          <w:color w:val="000000" w:themeColor="text1"/>
          <w:kern w:val="0"/>
          <w:szCs w:val="21"/>
          <w:highlight w:val="none"/>
          <w:lang w:eastAsia="zh-CN"/>
          <w14:textFill>
            <w14:solidFill>
              <w14:schemeClr w14:val="tx1"/>
            </w14:solidFill>
          </w14:textFill>
        </w:rPr>
        <w:t>采购</w:t>
      </w: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人可以邀请参加本项目的其他供应商或者第三方机构参与验收。参与验收的供应商或者第三方机构的意见作为验收书的参考资料一并存档。</w:t>
      </w:r>
    </w:p>
    <w:p w14:paraId="07EEAE4B">
      <w:pPr>
        <w:keepNext w:val="0"/>
        <w:keepLines w:val="0"/>
        <w:pageBreakBefore w:val="0"/>
        <w:widowControl w:val="0"/>
        <w:tabs>
          <w:tab w:val="left" w:pos="0"/>
        </w:tabs>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32.3</w:t>
      </w:r>
      <w:r>
        <w:rPr>
          <w:rFonts w:hint="eastAsia" w:asciiTheme="minorEastAsia" w:hAnsiTheme="minorEastAsia" w:eastAsiaTheme="minorEastAsia" w:cstheme="minorEastAsia"/>
          <w:color w:val="000000" w:themeColor="text1"/>
          <w:kern w:val="0"/>
          <w:szCs w:val="21"/>
          <w:highlight w:val="none"/>
          <w:lang w:eastAsia="zh-CN"/>
          <w14:textFill>
            <w14:solidFill>
              <w14:schemeClr w14:val="tx1"/>
            </w14:solidFill>
          </w14:textFill>
        </w:rPr>
        <w:t>严格</w:t>
      </w: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6E695F97">
      <w:pPr>
        <w:keepNext w:val="0"/>
        <w:keepLines w:val="0"/>
        <w:pageBreakBefore w:val="0"/>
        <w:widowControl w:val="0"/>
        <w:tabs>
          <w:tab w:val="left" w:pos="0"/>
        </w:tabs>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32.4</w:t>
      </w:r>
      <w:r>
        <w:rPr>
          <w:rFonts w:hint="eastAsia" w:asciiTheme="minorEastAsia" w:hAnsiTheme="minorEastAsia" w:eastAsiaTheme="minorEastAsia" w:cstheme="minorEastAsia"/>
          <w:color w:val="000000" w:themeColor="text1"/>
          <w:kern w:val="0"/>
          <w:szCs w:val="21"/>
          <w:highlight w:val="none"/>
          <w:lang w:eastAsia="zh-CN"/>
          <w14:textFill>
            <w14:solidFill>
              <w14:schemeClr w14:val="tx1"/>
            </w14:solidFill>
          </w14:textFill>
        </w:rPr>
        <w:t>验收</w:t>
      </w: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365B6EF4">
      <w:pPr>
        <w:pStyle w:val="4"/>
        <w:keepNext/>
        <w:keepLines/>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asciiTheme="minorEastAsia" w:hAnsiTheme="minorEastAsia" w:eastAsiaTheme="minorEastAsia" w:cstheme="minorEastAsia"/>
          <w:b/>
          <w:bCs w:val="0"/>
          <w:color w:val="000000" w:themeColor="text1"/>
          <w:sz w:val="30"/>
          <w:szCs w:val="30"/>
          <w:highlight w:val="none"/>
          <w14:textFill>
            <w14:solidFill>
              <w14:schemeClr w14:val="tx1"/>
            </w14:solidFill>
          </w14:textFill>
        </w:rPr>
      </w:pPr>
      <w:bookmarkStart w:id="36" w:name="_Toc87345235"/>
      <w:bookmarkEnd w:id="36"/>
      <w:r>
        <w:rPr>
          <w:rFonts w:hint="eastAsia" w:asciiTheme="minorEastAsia" w:hAnsiTheme="minorEastAsia" w:eastAsiaTheme="minorEastAsia" w:cstheme="minorEastAsia"/>
          <w:b/>
          <w:bCs w:val="0"/>
          <w:color w:val="000000" w:themeColor="text1"/>
          <w:sz w:val="30"/>
          <w:szCs w:val="30"/>
          <w:highlight w:val="none"/>
          <w14:textFill>
            <w14:solidFill>
              <w14:schemeClr w14:val="tx1"/>
            </w14:solidFill>
          </w14:textFill>
        </w:rPr>
        <w:t>七、其他事项</w:t>
      </w:r>
    </w:p>
    <w:p w14:paraId="4D21BCE7">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33.代理服务费</w:t>
      </w:r>
    </w:p>
    <w:p w14:paraId="3DA04FB2">
      <w:pPr>
        <w:keepNext w:val="0"/>
        <w:keepLines w:val="0"/>
        <w:pageBreakBefore w:val="0"/>
        <w:widowControl w:val="0"/>
        <w:tabs>
          <w:tab w:val="left" w:pos="2835"/>
        </w:tabs>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b w:val="0"/>
          <w:color w:val="000000" w:themeColor="text1"/>
          <w:sz w:val="21"/>
          <w:szCs w:val="21"/>
          <w:highlight w:val="none"/>
          <w:lang w:eastAsia="zh-CN"/>
          <w14:textFill>
            <w14:solidFill>
              <w14:schemeClr w14:val="tx1"/>
            </w14:solidFill>
          </w14:textFill>
        </w:rPr>
      </w:pPr>
      <w:r>
        <w:rPr>
          <w:rFonts w:hint="eastAsia" w:ascii="宋体" w:hAnsi="宋体" w:eastAsia="宋体" w:cs="Times New Roman"/>
          <w:b w:val="0"/>
          <w:bCs/>
          <w:color w:val="000000" w:themeColor="text1"/>
          <w:szCs w:val="21"/>
          <w:highlight w:val="none"/>
          <w:lang w:val="en-US" w:eastAsia="zh-CN"/>
          <w14:textFill>
            <w14:solidFill>
              <w14:schemeClr w14:val="tx1"/>
            </w14:solidFill>
          </w14:textFill>
        </w:rPr>
        <w:t>招标</w:t>
      </w:r>
      <w:r>
        <w:rPr>
          <w:rFonts w:hint="eastAsia" w:ascii="宋体" w:hAnsi="宋体" w:eastAsia="宋体" w:cs="Times New Roman"/>
          <w:b w:val="0"/>
          <w:bCs/>
          <w:color w:val="000000" w:themeColor="text1"/>
          <w:szCs w:val="21"/>
          <w:highlight w:val="none"/>
          <w:lang w:eastAsia="zh-CN"/>
          <w14:textFill>
            <w14:solidFill>
              <w14:schemeClr w14:val="tx1"/>
            </w14:solidFill>
          </w14:textFill>
        </w:rPr>
        <w:t>代理服务</w:t>
      </w:r>
      <w:r>
        <w:rPr>
          <w:rFonts w:hint="eastAsia" w:ascii="宋体" w:hAnsi="宋体" w:eastAsia="宋体" w:cs="Times New Roman"/>
          <w:b w:val="0"/>
          <w:bCs/>
          <w:color w:val="000000" w:themeColor="text1"/>
          <w:szCs w:val="21"/>
          <w:highlight w:val="none"/>
          <w:lang w:val="en-US" w:eastAsia="zh-CN"/>
          <w14:textFill>
            <w14:solidFill>
              <w14:schemeClr w14:val="tx1"/>
            </w14:solidFill>
          </w14:textFill>
        </w:rPr>
        <w:t>费收费方式</w:t>
      </w:r>
      <w:r>
        <w:rPr>
          <w:rFonts w:hint="eastAsia" w:ascii="宋体" w:hAnsi="宋体" w:eastAsia="宋体" w:cs="Times New Roman"/>
          <w:b w:val="0"/>
          <w:bCs/>
          <w:color w:val="000000" w:themeColor="text1"/>
          <w:szCs w:val="21"/>
          <w:highlight w:val="none"/>
          <w:lang w:eastAsia="zh-CN"/>
          <w14:textFill>
            <w14:solidFill>
              <w14:schemeClr w14:val="tx1"/>
            </w14:solidFill>
          </w14:textFill>
        </w:rPr>
        <w:t>详见本章“</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供应商须知前附表</w:t>
      </w:r>
      <w:r>
        <w:rPr>
          <w:rFonts w:hint="eastAsia" w:ascii="宋体" w:hAnsi="宋体" w:eastAsia="宋体" w:cs="Times New Roman"/>
          <w:b w:val="0"/>
          <w:bCs/>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，供应商为联合体的，可以由联合体中的一方或者多方共同</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缴纳</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代理服务费。</w:t>
      </w:r>
    </w:p>
    <w:p w14:paraId="1EB18C0C">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34.需要补充的其他内容</w:t>
      </w:r>
    </w:p>
    <w:p w14:paraId="515C4044">
      <w:pPr>
        <w:pStyle w:val="16"/>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kern w:val="2"/>
          <w:sz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2"/>
          <w:sz w:val="21"/>
          <w:highlight w:val="none"/>
          <w14:textFill>
            <w14:solidFill>
              <w14:schemeClr w14:val="tx1"/>
            </w14:solidFill>
          </w14:textFill>
        </w:rPr>
        <w:t>34.1本磋商文件解释规则详见“供应商须知前附表”。</w:t>
      </w:r>
    </w:p>
    <w:p w14:paraId="623714B6">
      <w:pPr>
        <w:pStyle w:val="16"/>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kern w:val="2"/>
          <w:sz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2"/>
          <w:sz w:val="21"/>
          <w:highlight w:val="none"/>
          <w14:textFill>
            <w14:solidFill>
              <w14:schemeClr w14:val="tx1"/>
            </w14:solidFill>
          </w14:textFill>
        </w:rPr>
        <w:t>34.2其他事项详见“供应商须知前附表”。</w:t>
      </w:r>
    </w:p>
    <w:p w14:paraId="4E74809A">
      <w:pPr>
        <w:pStyle w:val="16"/>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kern w:val="2"/>
          <w:sz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2"/>
          <w:sz w:val="21"/>
          <w:highlight w:val="none"/>
          <w14:textFill>
            <w14:solidFill>
              <w14:schemeClr w14:val="tx1"/>
            </w14:solidFill>
          </w14:textFill>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asciiTheme="minorEastAsia" w:hAnsiTheme="minorEastAsia" w:eastAsiaTheme="minorEastAsia" w:cstheme="minorEastAsia"/>
          <w:color w:val="000000" w:themeColor="text1"/>
          <w:sz w:val="21"/>
          <w:highlight w:val="none"/>
          <w14:textFill>
            <w14:solidFill>
              <w14:schemeClr w14:val="tx1"/>
            </w14:solidFill>
          </w14:textFill>
        </w:rPr>
        <w:t>服务由中小企业承接，即提供服务的人员为中小企业依照《中华人民共和国劳动合同法》订立劳动合同的从业人员，不对其中涉及的货物的制造商和工程承建商作出要求的</w:t>
      </w:r>
      <w:r>
        <w:rPr>
          <w:rFonts w:hint="eastAsia" w:asciiTheme="minorEastAsia" w:hAnsiTheme="minorEastAsia" w:eastAsiaTheme="minorEastAsia" w:cstheme="minorEastAsia"/>
          <w:color w:val="000000" w:themeColor="text1"/>
          <w:kern w:val="2"/>
          <w:sz w:val="21"/>
          <w:highlight w:val="none"/>
          <w14:textFill>
            <w14:solidFill>
              <w14:schemeClr w14:val="tx1"/>
            </w14:solidFill>
          </w14:textFill>
        </w:rPr>
        <w:t>，享受本文件规定的中小企业扶持政策。</w:t>
      </w:r>
    </w:p>
    <w:p w14:paraId="33A8EF02">
      <w:pPr>
        <w:pStyle w:val="16"/>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kern w:val="2"/>
          <w:sz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2"/>
          <w:sz w:val="21"/>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6A899908">
      <w:pPr>
        <w:pStyle w:val="16"/>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kern w:val="2"/>
          <w:sz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2"/>
          <w:sz w:val="21"/>
          <w:highlight w:val="none"/>
          <w14:textFill>
            <w14:solidFill>
              <w14:schemeClr w14:val="tx1"/>
            </w14:solidFill>
          </w14:textFill>
        </w:rPr>
        <w:t>依据本文件规定享受扶持政策获得政府采购合同的，小微企业不得将合同分包给大中型企业，中型企业不得将合同分包给大型企业。</w:t>
      </w:r>
    </w:p>
    <w:p w14:paraId="2BB4E3C6">
      <w:pPr>
        <w:pStyle w:val="16"/>
        <w:spacing w:line="360" w:lineRule="auto"/>
        <w:ind w:firstLine="40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br w:type="page"/>
      </w:r>
    </w:p>
    <w:p w14:paraId="52A2A4EA">
      <w:pPr>
        <w:pStyle w:val="2"/>
        <w:keepNext/>
        <w:keepLines/>
        <w:pageBreakBefore w:val="0"/>
        <w:widowControl w:val="0"/>
        <w:kinsoku/>
        <w:wordWrap/>
        <w:overflowPunct/>
        <w:topLinePunct w:val="0"/>
        <w:autoSpaceDE/>
        <w:autoSpaceDN/>
        <w:bidi w:val="0"/>
        <w:adjustRightInd/>
        <w:snapToGrid/>
        <w:spacing w:before="0" w:after="0" w:line="640" w:lineRule="exact"/>
        <w:jc w:val="center"/>
        <w:textAlignment w:val="auto"/>
        <w:rPr>
          <w:rFonts w:hint="eastAsia" w:asciiTheme="minorEastAsia" w:hAnsiTheme="minorEastAsia" w:eastAsiaTheme="minorEastAsia" w:cstheme="minorEastAsia"/>
          <w:color w:val="000000" w:themeColor="text1"/>
          <w:sz w:val="36"/>
          <w:szCs w:val="36"/>
          <w:highlight w:val="none"/>
          <w14:textFill>
            <w14:solidFill>
              <w14:schemeClr w14:val="tx1"/>
            </w14:solidFill>
          </w14:textFill>
        </w:rPr>
      </w:pPr>
      <w:bookmarkStart w:id="37" w:name="_Toc87345236"/>
      <w:bookmarkEnd w:id="37"/>
      <w:r>
        <w:rPr>
          <w:rFonts w:hint="eastAsia" w:asciiTheme="minorEastAsia" w:hAnsiTheme="minorEastAsia" w:eastAsiaTheme="minorEastAsia" w:cstheme="minorEastAsia"/>
          <w:color w:val="000000" w:themeColor="text1"/>
          <w:sz w:val="36"/>
          <w:szCs w:val="36"/>
          <w:highlight w:val="none"/>
          <w14:textFill>
            <w14:solidFill>
              <w14:schemeClr w14:val="tx1"/>
            </w14:solidFill>
          </w14:textFill>
        </w:rPr>
        <w:t>第四章</w:t>
      </w:r>
      <w:r>
        <w:rPr>
          <w:rFonts w:hint="eastAsia" w:asciiTheme="minorEastAsia" w:hAnsiTheme="minorEastAsia" w:eastAsiaTheme="minorEastAsia" w:cstheme="minorEastAsia"/>
          <w:color w:val="000000" w:themeColor="text1"/>
          <w:sz w:val="36"/>
          <w:szCs w:val="36"/>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36"/>
          <w:szCs w:val="36"/>
          <w:highlight w:val="none"/>
          <w14:textFill>
            <w14:solidFill>
              <w14:schemeClr w14:val="tx1"/>
            </w14:solidFill>
          </w14:textFill>
        </w:rPr>
        <w:t>评审程序、评审方法和评审标准</w:t>
      </w:r>
    </w:p>
    <w:p w14:paraId="545300D1">
      <w:pPr>
        <w:pStyle w:val="3"/>
        <w:keepNext/>
        <w:keepLines/>
        <w:pageBreakBefore w:val="0"/>
        <w:widowControl w:val="0"/>
        <w:kinsoku/>
        <w:wordWrap/>
        <w:overflowPunct/>
        <w:topLinePunct w:val="0"/>
        <w:autoSpaceDE/>
        <w:autoSpaceDN/>
        <w:bidi w:val="0"/>
        <w:adjustRightInd/>
        <w:snapToGrid/>
        <w:spacing w:before="0" w:after="0" w:afterLines="100" w:line="640" w:lineRule="exact"/>
        <w:jc w:val="center"/>
        <w:textAlignment w:val="auto"/>
        <w:rPr>
          <w:rFonts w:hint="eastAsia" w:asciiTheme="minorEastAsia" w:hAnsiTheme="minorEastAsia" w:eastAsiaTheme="minorEastAsia" w:cstheme="minorEastAsia"/>
          <w:b/>
          <w:bCs w:val="0"/>
          <w:color w:val="000000" w:themeColor="text1"/>
          <w:highlight w:val="none"/>
          <w14:textFill>
            <w14:solidFill>
              <w14:schemeClr w14:val="tx1"/>
            </w14:solidFill>
          </w14:textFill>
        </w:rPr>
      </w:pPr>
      <w:bookmarkStart w:id="38" w:name="_Toc87345237"/>
      <w:bookmarkEnd w:id="38"/>
      <w:r>
        <w:rPr>
          <w:rFonts w:hint="eastAsia" w:asciiTheme="minorEastAsia" w:hAnsiTheme="minorEastAsia" w:eastAsiaTheme="minorEastAsia" w:cstheme="minorEastAsia"/>
          <w:b/>
          <w:bCs w:val="0"/>
          <w:color w:val="000000" w:themeColor="text1"/>
          <w:highlight w:val="none"/>
          <w14:textFill>
            <w14:solidFill>
              <w14:schemeClr w14:val="tx1"/>
            </w14:solidFill>
          </w14:textFill>
        </w:rPr>
        <w:t>第一节 评审程序和评审方法</w:t>
      </w:r>
    </w:p>
    <w:p w14:paraId="50499747">
      <w:pPr>
        <w:keepNext w:val="0"/>
        <w:keepLines w:val="0"/>
        <w:pageBreakBefore w:val="0"/>
        <w:kinsoku/>
        <w:wordWrap/>
        <w:overflowPunct/>
        <w:topLinePunct w:val="0"/>
        <w:autoSpaceDE/>
        <w:autoSpaceDN/>
        <w:bidi w:val="0"/>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1.确认磋商文件</w:t>
      </w:r>
    </w:p>
    <w:p w14:paraId="3C9C6254">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由磋商小组确认磋商文件。</w:t>
      </w:r>
    </w:p>
    <w:p w14:paraId="60EAB4A0">
      <w:pPr>
        <w:keepNext w:val="0"/>
        <w:keepLines w:val="0"/>
        <w:pageBreakBefore w:val="0"/>
        <w:kinsoku/>
        <w:wordWrap/>
        <w:overflowPunct/>
        <w:topLinePunct w:val="0"/>
        <w:autoSpaceDE/>
        <w:autoSpaceDN/>
        <w:bidi w:val="0"/>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2.资格审查</w:t>
      </w:r>
    </w:p>
    <w:p w14:paraId="10E1C799">
      <w:pPr>
        <w:keepNext w:val="0"/>
        <w:keepLines w:val="0"/>
        <w:pageBreakBefore w:val="0"/>
        <w:kinsoku/>
        <w:wordWrap/>
        <w:overflowPunct/>
        <w:topLinePunct w:val="0"/>
        <w:autoSpaceDE/>
        <w:autoSpaceDN/>
        <w:bidi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2.1响应文件开启后，磋商小组依法对供应商的资格证明文件进行审查。</w:t>
      </w:r>
    </w:p>
    <w:p w14:paraId="7CFB6F0D">
      <w:pPr>
        <w:keepNext w:val="0"/>
        <w:keepLines w:val="0"/>
        <w:pageBreakBefore w:val="0"/>
        <w:kinsoku/>
        <w:wordWrap/>
        <w:overflowPunct/>
        <w:topLinePunct w:val="0"/>
        <w:autoSpaceDE/>
        <w:autoSpaceDN/>
        <w:bidi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注：采购人代表或者采购代理机构在资格审查结束前，对供应商进行信用查询。</w:t>
      </w:r>
    </w:p>
    <w:p w14:paraId="190846D0">
      <w:pPr>
        <w:keepNext w:val="0"/>
        <w:keepLines w:val="0"/>
        <w:pageBreakBefore w:val="0"/>
        <w:kinsoku/>
        <w:wordWrap/>
        <w:overflowPunct/>
        <w:topLinePunct w:val="0"/>
        <w:autoSpaceDE/>
        <w:autoSpaceDN/>
        <w:bidi w:val="0"/>
        <w:snapToGrid w:val="0"/>
        <w:spacing w:line="420" w:lineRule="exact"/>
        <w:ind w:firstLine="420" w:firstLineChars="200"/>
        <w:jc w:val="lef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（1）查询渠道：广西政府采购云平台“信用中国”网站</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www.creditchina.gov.cn</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、中国政府采购网</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www.ccgp.gov.cn</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链接入口。</w:t>
      </w:r>
    </w:p>
    <w:p w14:paraId="79AC52F1">
      <w:pPr>
        <w:keepNext w:val="0"/>
        <w:keepLines w:val="0"/>
        <w:pageBreakBefore w:val="0"/>
        <w:kinsoku/>
        <w:wordWrap/>
        <w:overflowPunct/>
        <w:topLinePunct w:val="0"/>
        <w:autoSpaceDE/>
        <w:autoSpaceDN/>
        <w:bidi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（2）信用查询截止时点：资格审查结束前。</w:t>
      </w:r>
    </w:p>
    <w:p w14:paraId="658E2895">
      <w:pPr>
        <w:keepNext w:val="0"/>
        <w:keepLines w:val="0"/>
        <w:pageBreakBefore w:val="0"/>
        <w:kinsoku/>
        <w:wordWrap/>
        <w:overflowPunct/>
        <w:topLinePunct w:val="0"/>
        <w:autoSpaceDE/>
        <w:autoSpaceDN/>
        <w:bidi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查询记录和证据留存方式：在查询网站中直接打印查询记录，截图另存为电子文档作为评审资料保存。</w:t>
      </w:r>
    </w:p>
    <w:p w14:paraId="6C00284E">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101B4191">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2.2资格审查标准为本磋商文件中载明对供应商资格要求的条件。资格审查采用合格制，凡符合磋商文件规定的供应商资格要求的响应文件均通过资格审查。</w:t>
      </w:r>
    </w:p>
    <w:p w14:paraId="424C5547">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2.3供应商有下列情形之一的，资格审查不通过，其响应文件按无效响应处理：</w:t>
      </w:r>
    </w:p>
    <w:p w14:paraId="6BDAC981">
      <w:pPr>
        <w:keepNext w:val="0"/>
        <w:keepLines w:val="0"/>
        <w:pageBreakBefore w:val="0"/>
        <w:kinsoku/>
        <w:wordWrap/>
        <w:overflowPunct/>
        <w:topLinePunct w:val="0"/>
        <w:autoSpaceDE/>
        <w:autoSpaceDN/>
        <w:bidi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（1）不具备磋商文件中规定的资格要求的；</w:t>
      </w:r>
    </w:p>
    <w:p w14:paraId="4471FCB3">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（2）响应文件未提供任一项“供应商须知前附表”资格证明文件规定的“必须提供”的文件资料的；</w:t>
      </w:r>
    </w:p>
    <w:p w14:paraId="6D88D1EA">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（3）响应文件提供的资格证明文件出现任一项不符合“供应商须知前附表”资格证明文件规定的“必须提供”的文件资料要求或者无效的。</w:t>
      </w:r>
    </w:p>
    <w:p w14:paraId="32256A0B">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bookmarkStart w:id="39" w:name="_Hlk68601553"/>
      <w:bookmarkEnd w:id="39"/>
      <w:r>
        <w:rPr>
          <w:rFonts w:hint="eastAsia" w:asciiTheme="minorEastAsia" w:hAnsiTheme="minorEastAsia" w:eastAsiaTheme="minorEastAsia" w:cstheme="minorEastAsia"/>
          <w:color w:val="000000" w:themeColor="text1"/>
          <w:szCs w:val="21"/>
          <w:highlight w:val="none"/>
          <w14:textFill>
            <w14:solidFill>
              <w14:schemeClr w14:val="tx1"/>
            </w14:solidFill>
          </w14:textFill>
        </w:rPr>
        <w:t>（4）同一合同项下的不同供应商，单位负责人为同一人或者存在直接控股、管理关系的；为本项目提供过整体设计、规范编制或者项目管理、监理、检测等服务的。</w:t>
      </w:r>
    </w:p>
    <w:p w14:paraId="3443DEAB">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2.4通过资格审查的合格供应商不足3家的，不得进入符合性审查环节，采购人或者采购代理机构应当重新开展采购活动。</w:t>
      </w:r>
    </w:p>
    <w:p w14:paraId="02426D15">
      <w:pPr>
        <w:keepNext w:val="0"/>
        <w:keepLines w:val="0"/>
        <w:pageBreakBefore w:val="0"/>
        <w:kinsoku/>
        <w:wordWrap/>
        <w:overflowPunct/>
        <w:topLinePunct w:val="0"/>
        <w:autoSpaceDE/>
        <w:autoSpaceDN/>
        <w:bidi w:val="0"/>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3.符合性审查</w:t>
      </w:r>
    </w:p>
    <w:p w14:paraId="2B7651F5">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3.1由磋商小组对通过资格审查的合格供应商的响应文件的响应报价、商务、技术等实质性要求进行符合性审查，以确定其是否满足磋商文件的实质性要求。</w:t>
      </w:r>
    </w:p>
    <w:p w14:paraId="3B03489D">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428F5197">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pacing w:val="-6"/>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3.3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Theme="minorEastAsia" w:hAnsiTheme="minorEastAsia" w:eastAsiaTheme="minorEastAsia" w:cstheme="minorEastAsia"/>
          <w:color w:val="000000" w:themeColor="text1"/>
          <w:spacing w:val="-6"/>
          <w:szCs w:val="21"/>
          <w:highlight w:val="none"/>
          <w14:textFill>
            <w14:solidFill>
              <w14:schemeClr w14:val="tx1"/>
            </w14:solidFill>
          </w14:textFill>
        </w:rPr>
        <w:t>。供应商为自然人的，必须由本人签字并附身份证明。</w:t>
      </w:r>
    </w:p>
    <w:p w14:paraId="2F784D4E">
      <w:pPr>
        <w:keepNext w:val="0"/>
        <w:keepLines w:val="0"/>
        <w:pageBreakBefore w:val="0"/>
        <w:kinsoku/>
        <w:wordWrap/>
        <w:overflowPunct/>
        <w:topLinePunct w:val="0"/>
        <w:autoSpaceDE/>
        <w:autoSpaceDN/>
        <w:bidi w:val="0"/>
        <w:spacing w:line="420" w:lineRule="exact"/>
        <w:ind w:firstLine="396"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6"/>
          <w:szCs w:val="21"/>
          <w:highlight w:val="none"/>
          <w14:textFill>
            <w14:solidFill>
              <w14:schemeClr w14:val="tx1"/>
            </w14:solidFill>
          </w14:textFill>
        </w:rPr>
        <w:t>3.4</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首次响应文件报价出现前后不一致的，按照下列规定修正： </w:t>
      </w:r>
    </w:p>
    <w:p w14:paraId="7B0E8BA4">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（1）响应文件中报价表内容与响应文件中相应内容不一致的，以报价表为准；</w:t>
      </w:r>
    </w:p>
    <w:p w14:paraId="5ED66A75">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（2）大写金额和小写金额不一致的，以大写金额为准；</w:t>
      </w:r>
    </w:p>
    <w:p w14:paraId="1F041FF3">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（3）单价金额小数点或者百分比有明显错位的，以报价表的总价为准，并修改单价；</w:t>
      </w:r>
    </w:p>
    <w:p w14:paraId="5D7F2D53">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（4）总价金额与按单价汇总金额不一致的，以单价金额计算结果为准。</w:t>
      </w:r>
    </w:p>
    <w:p w14:paraId="533B4B70">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同时出现两种以上不一致的，按照以上（1）-（4）规定的顺序逐条进行修正。修正后的报价经供应商确认后产生约束力，供应商不确认的，其响应文件按无效响应处理。</w:t>
      </w:r>
    </w:p>
    <w:p w14:paraId="608F6ADE">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3.5商务技术、报价评审</w:t>
      </w:r>
    </w:p>
    <w:p w14:paraId="5B9F6029">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在评审时，如发现下列情形之一的，将被视为响应文件无效处理：</w:t>
      </w:r>
    </w:p>
    <w:p w14:paraId="182655C3">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（1）商务技术评审</w:t>
      </w:r>
    </w:p>
    <w:p w14:paraId="7147B54F">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1）响应文件未按磋商文件要求签署、盖章；</w:t>
      </w:r>
    </w:p>
    <w:p w14:paraId="6E632D5A">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2）委托代理人未能出具有效身份证明或者出具的身份证明与授权委托书中的信息不符； </w:t>
      </w:r>
    </w:p>
    <w:p w14:paraId="113AE5AE">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3D849C1C">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4）商务条款</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成交</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“▲”的条款发生负偏离的或者允许负偏离的条款数超过“供应商须知前附表”规定项数的或者标明实质性的要求发生负偏离；</w:t>
      </w:r>
    </w:p>
    <w:p w14:paraId="095AA98F">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5）未对竞标有效期作出响应或者响应文件承诺的竞标有效期不满足磋商文件要求；</w:t>
      </w:r>
    </w:p>
    <w:p w14:paraId="2568BDB6">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6）响应文件的实质性内容未使用中文表述、使用计量单位不符合磋商文件要求；</w:t>
      </w:r>
    </w:p>
    <w:p w14:paraId="11BA7BE8">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7）响应文件中的文件资料因填写不齐全或者内容虚假或者出现其他情形而导致被磋商小组认定无效；</w:t>
      </w:r>
    </w:p>
    <w:p w14:paraId="0C55FF02">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8）响应文件含有采购人不能接受的附加条件；</w:t>
      </w:r>
    </w:p>
    <w:p w14:paraId="4ED3D4D5">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9）属于“供应商须知正文”第7.5条情形；</w:t>
      </w:r>
    </w:p>
    <w:p w14:paraId="1D993009">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10）技术需求允许负偏离的条款数超过“供应商须知前附表”规定项数；</w:t>
      </w:r>
    </w:p>
    <w:p w14:paraId="2B725242">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11）虚假竞标，或者出现其他情形而导致被磋商小组认定无效；</w:t>
      </w:r>
    </w:p>
    <w:p w14:paraId="6930CB6B">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12）竞标技术方案不明确，磋商文件未允许但响应文件中存在一个或者一个以上备选（替代）竞标方案；</w:t>
      </w:r>
    </w:p>
    <w:p w14:paraId="74134C5E">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13）响应文件标注的项目名称或者项目编号与竞争性磋商文件标注的项目名称或者项目编号不一致的；</w:t>
      </w:r>
    </w:p>
    <w:p w14:paraId="0785A4A2">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14）未响应磋商文件实质性要求；</w:t>
      </w:r>
    </w:p>
    <w:p w14:paraId="0A77295C">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15）</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法律法规</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和磋商文件规定的其他无效情形。</w:t>
      </w:r>
    </w:p>
    <w:p w14:paraId="26799A14">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（2）报价评审</w:t>
      </w:r>
    </w:p>
    <w:p w14:paraId="31EB99FE">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1）响应文件未提供“供应商须知前附表” 报价文件中规定的“响应报价表”；</w:t>
      </w:r>
    </w:p>
    <w:p w14:paraId="5164BA9F">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2）未采用人民币报价或者未按照磋商文件标明的币种报价；</w:t>
      </w:r>
    </w:p>
    <w:p w14:paraId="0E9D891B">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3CE213B2">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4）响应报价（包含首次报价、最后报价）超过所竞标分标规定的采购预算金额或者最高限价的（如本项目公布了最高限价）；响应报价（包含首次报价、最后报价）超过磋商文件分项采购预算金额或者最高限价的（如本项目公布了最高限价）；</w:t>
      </w:r>
    </w:p>
    <w:p w14:paraId="73119C60">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限价的（如本项目公布了最高限价）。</w:t>
      </w:r>
    </w:p>
    <w:p w14:paraId="5C5217FF">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6）响应文件响应的标的数量及单位与竞争性磋商采购文件要求实质性不一致的。</w:t>
      </w:r>
    </w:p>
    <w:p w14:paraId="178435AC">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1E9B2B2F">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624701B3">
      <w:pPr>
        <w:keepNext w:val="0"/>
        <w:keepLines w:val="0"/>
        <w:pageBreakBefore w:val="0"/>
        <w:kinsoku/>
        <w:wordWrap/>
        <w:overflowPunct/>
        <w:topLinePunct w:val="0"/>
        <w:autoSpaceDE/>
        <w:autoSpaceDN/>
        <w:bidi w:val="0"/>
        <w:spacing w:line="42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4.磋商程序</w:t>
      </w:r>
    </w:p>
    <w:p w14:paraId="596EEDF4">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4.1磋商小组按照“供应商须知前附表”确定的</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4F814A81">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5E6B5058">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4.3对磋商文件作出的实质性变动是磋商文件的有效组成部分，由磋商小组及时以电子澄清函形式同时通知所有参加磋商的供应商。</w:t>
      </w:r>
    </w:p>
    <w:p w14:paraId="5E6B8086">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2280EECA">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4.5磋商中，</w:t>
      </w:r>
      <w:r>
        <w:rPr>
          <w:rFonts w:hint="eastAsia" w:asciiTheme="minorEastAsia" w:hAnsiTheme="minorEastAsia" w:eastAsiaTheme="minorEastAsia" w:cstheme="minorEastAsia"/>
          <w:color w:val="000000" w:themeColor="text1"/>
          <w:spacing w:val="-6"/>
          <w:szCs w:val="21"/>
          <w:highlight w:val="none"/>
          <w14:textFill>
            <w14:solidFill>
              <w14:schemeClr w14:val="tx1"/>
            </w14:solidFill>
          </w14:textFill>
        </w:rPr>
        <w:t>磋商的任何一方不得透露与磋商有关的其他供应商的技术资料、价格和其他信息。</w:t>
      </w:r>
    </w:p>
    <w:p w14:paraId="78B3111B">
      <w:pPr>
        <w:keepNext w:val="0"/>
        <w:keepLines w:val="0"/>
        <w:pageBreakBefore w:val="0"/>
        <w:widowControl/>
        <w:tabs>
          <w:tab w:val="left" w:pos="540"/>
        </w:tabs>
        <w:kinsoku/>
        <w:wordWrap/>
        <w:overflowPunct/>
        <w:topLinePunct w:val="0"/>
        <w:autoSpaceDE/>
        <w:autoSpaceDN/>
        <w:bidi w:val="0"/>
        <w:spacing w:line="420" w:lineRule="exact"/>
        <w:ind w:firstLine="420" w:firstLineChars="200"/>
        <w:jc w:val="lef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4.6磋商小组应对磋商过程和重要磋商内容进行记录，作为评标报告一部分，磋商小组在记录上签字确认。主要内容包括：</w:t>
      </w:r>
    </w:p>
    <w:p w14:paraId="21AFF345">
      <w:pPr>
        <w:pStyle w:val="80"/>
        <w:keepNext w:val="0"/>
        <w:keepLines w:val="0"/>
        <w:pageBreakBefore w:val="0"/>
        <w:kinsoku/>
        <w:wordWrap/>
        <w:overflowPunct/>
        <w:topLinePunct w:val="0"/>
        <w:autoSpaceDE/>
        <w:autoSpaceDN/>
        <w:bidi w:val="0"/>
        <w:spacing w:before="0" w:line="420" w:lineRule="exact"/>
        <w:ind w:firstLine="396"/>
        <w:textAlignment w:val="auto"/>
        <w:rPr>
          <w:rFonts w:hint="eastAsia" w:asciiTheme="minorEastAsia" w:hAnsiTheme="minorEastAsia" w:eastAsiaTheme="minorEastAsia" w:cstheme="minorEastAsia"/>
          <w:color w:val="000000" w:themeColor="text1"/>
          <w:spacing w:val="-6"/>
          <w:kern w:val="2"/>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6"/>
          <w:kern w:val="2"/>
          <w:sz w:val="21"/>
          <w:szCs w:val="21"/>
          <w:highlight w:val="none"/>
          <w14:textFill>
            <w14:solidFill>
              <w14:schemeClr w14:val="tx1"/>
            </w14:solidFill>
          </w14:textFill>
        </w:rPr>
        <w:t>（1）按照相关规定进行公示的，公示情况说明；</w:t>
      </w:r>
    </w:p>
    <w:p w14:paraId="0EA37607">
      <w:pPr>
        <w:pStyle w:val="80"/>
        <w:keepNext w:val="0"/>
        <w:keepLines w:val="0"/>
        <w:pageBreakBefore w:val="0"/>
        <w:kinsoku/>
        <w:wordWrap/>
        <w:overflowPunct/>
        <w:topLinePunct w:val="0"/>
        <w:autoSpaceDE/>
        <w:autoSpaceDN/>
        <w:bidi w:val="0"/>
        <w:spacing w:before="0" w:line="420" w:lineRule="exact"/>
        <w:ind w:firstLine="396"/>
        <w:textAlignment w:val="auto"/>
        <w:rPr>
          <w:rFonts w:hint="eastAsia" w:asciiTheme="minorEastAsia" w:hAnsiTheme="minorEastAsia" w:eastAsiaTheme="minorEastAsia" w:cstheme="minorEastAsia"/>
          <w:color w:val="000000" w:themeColor="text1"/>
          <w:spacing w:val="-6"/>
          <w:kern w:val="2"/>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6"/>
          <w:kern w:val="2"/>
          <w:sz w:val="21"/>
          <w:szCs w:val="21"/>
          <w:highlight w:val="none"/>
          <w14:textFill>
            <w14:solidFill>
              <w14:schemeClr w14:val="tx1"/>
            </w14:solidFill>
          </w14:textFill>
        </w:rPr>
        <w:t>（2）磋商日期和地点，磋商人员名单；</w:t>
      </w:r>
    </w:p>
    <w:p w14:paraId="230C44D9">
      <w:pPr>
        <w:pStyle w:val="80"/>
        <w:keepNext w:val="0"/>
        <w:keepLines w:val="0"/>
        <w:pageBreakBefore w:val="0"/>
        <w:kinsoku/>
        <w:wordWrap/>
        <w:overflowPunct/>
        <w:topLinePunct w:val="0"/>
        <w:autoSpaceDE/>
        <w:autoSpaceDN/>
        <w:bidi w:val="0"/>
        <w:spacing w:before="0" w:line="420" w:lineRule="exact"/>
        <w:ind w:firstLine="396"/>
        <w:textAlignment w:val="auto"/>
        <w:rPr>
          <w:rFonts w:hint="eastAsia" w:asciiTheme="minorEastAsia" w:hAnsiTheme="minorEastAsia" w:eastAsiaTheme="minorEastAsia" w:cstheme="minorEastAsia"/>
          <w:color w:val="000000" w:themeColor="text1"/>
          <w:spacing w:val="-6"/>
          <w:kern w:val="2"/>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6"/>
          <w:kern w:val="2"/>
          <w:sz w:val="21"/>
          <w:szCs w:val="21"/>
          <w:highlight w:val="none"/>
          <w14:textFill>
            <w14:solidFill>
              <w14:schemeClr w14:val="tx1"/>
            </w14:solidFill>
          </w14:textFill>
        </w:rPr>
        <w:t>（3）合同主要条款及价格商定情况。</w:t>
      </w:r>
    </w:p>
    <w:p w14:paraId="0215D3E1">
      <w:pPr>
        <w:keepNext w:val="0"/>
        <w:keepLines w:val="0"/>
        <w:pageBreakBefore w:val="0"/>
        <w:widowControl/>
        <w:tabs>
          <w:tab w:val="left" w:pos="540"/>
        </w:tabs>
        <w:kinsoku/>
        <w:wordWrap/>
        <w:overflowPunct/>
        <w:topLinePunct w:val="0"/>
        <w:autoSpaceDE/>
        <w:autoSpaceDN/>
        <w:bidi w:val="0"/>
        <w:spacing w:line="420" w:lineRule="exact"/>
        <w:ind w:firstLine="420" w:firstLineChars="200"/>
        <w:jc w:val="lef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4.7磋商过程中重新提交的响应文件，供应商可以在开启前补充、修改。</w:t>
      </w:r>
    </w:p>
    <w:p w14:paraId="5CAE9D5B">
      <w:pPr>
        <w:keepNext w:val="0"/>
        <w:keepLines w:val="0"/>
        <w:pageBreakBefore w:val="0"/>
        <w:tabs>
          <w:tab w:val="left" w:pos="2835"/>
        </w:tabs>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4.8对磋商过程提交的响应文件进行有效性、完整性和响应程度审查，通过审查的合格供应商不足3家的，采购人或者采购代理机构应当重新开展采购活动。</w:t>
      </w:r>
    </w:p>
    <w:p w14:paraId="2E9C7259">
      <w:pPr>
        <w:keepNext w:val="0"/>
        <w:keepLines w:val="0"/>
        <w:pageBreakBefore w:val="0"/>
        <w:kinsoku/>
        <w:wordWrap/>
        <w:overflowPunct/>
        <w:topLinePunct w:val="0"/>
        <w:autoSpaceDE/>
        <w:autoSpaceDN/>
        <w:bidi w:val="0"/>
        <w:spacing w:line="420" w:lineRule="exact"/>
        <w:ind w:firstLine="470" w:firstLineChars="195"/>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5.最后报价</w:t>
      </w:r>
    </w:p>
    <w:p w14:paraId="21F53EA0">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63AC38EE">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689123B2">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5.3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15D107BF">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5.4已经提交响应文件的供应商，在提交最后报价之前，可以根据磋商情况退出磋商，退出磋商的供应商的响应文件按无效响应处理。</w:t>
      </w:r>
    </w:p>
    <w:p w14:paraId="24877A6E">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5.5供应商未在规定时间内提交最后报价的，视同退出磋商。</w:t>
      </w:r>
    </w:p>
    <w:p w14:paraId="63E6A2A1">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5.6磋商小组收齐某一分标最后报价后统一开启，磋商小组对最后报价进行有效性、完整性和响应程度的审查。</w:t>
      </w:r>
    </w:p>
    <w:p w14:paraId="1A8E7CCF">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5.7最终响应文件的报价出现前后不一致的，按照本章第3.4条的规定修正。 </w:t>
      </w:r>
    </w:p>
    <w:p w14:paraId="28B5F8CA">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5.8修正后的最终报价出现下列情形的，按无效响应处理：</w:t>
      </w:r>
    </w:p>
    <w:p w14:paraId="721CA946">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（1）供应商不确认的（全流程电子化评标采取在线确认）；</w:t>
      </w:r>
    </w:p>
    <w:p w14:paraId="7330C55B">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（2）经供应商确认修正后的响应报价（包含首次报价、最后报价）超过所竞标分标规定的采购预算金额或者最高限价的（如本项目公布了最高限价）；</w:t>
      </w:r>
    </w:p>
    <w:p w14:paraId="032ACFBB">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（3）经供应商确认修正后的响应报价（包含首次报价、最后报价）超过分项采购预算金额或者最高限价的（如本项目公布了最高限价）。</w:t>
      </w:r>
    </w:p>
    <w:p w14:paraId="5FFD4D5C">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5.9经供应商确认修正后的最后报价作为评审及签订合同的依据。</w:t>
      </w:r>
    </w:p>
    <w:p w14:paraId="06A9D557">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5.10供应商出现最后报价按无效响应处理或者响应文件按无效处理时</w:t>
      </w: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，磋商小组应当告知有关供应商</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p w14:paraId="73B373B7">
      <w:pPr>
        <w:keepNext w:val="0"/>
        <w:keepLines w:val="0"/>
        <w:pageBreakBefore w:val="0"/>
        <w:wordWrap/>
        <w:overflowPunct/>
        <w:topLinePunct w:val="0"/>
        <w:bidi w:val="0"/>
        <w:snapToGrid w:val="0"/>
        <w:spacing w:line="420" w:lineRule="exact"/>
        <w:ind w:firstLine="420" w:firstLineChars="200"/>
        <w:textAlignment w:val="baseline"/>
        <w:rPr>
          <w:rFonts w:hint="eastAsia" w:ascii="宋体" w:hAnsi="宋体" w:eastAsia="宋体" w:cs="宋体"/>
          <w:bCs w:val="0"/>
          <w:color w:val="auto"/>
          <w:spacing w:val="0"/>
          <w:kern w:val="2"/>
          <w:sz w:val="21"/>
          <w:szCs w:val="21"/>
          <w:highlight w:val="none"/>
          <w:lang w:val="en-US" w:eastAsia="zh-CN" w:bidi="ar"/>
        </w:rPr>
      </w:pPr>
      <w:r>
        <w:rPr>
          <w:rFonts w:hint="eastAsia" w:ascii="宋体" w:hAnsi="宋体" w:eastAsia="宋体" w:cs="宋体"/>
          <w:bCs w:val="0"/>
          <w:color w:val="auto"/>
          <w:spacing w:val="0"/>
          <w:kern w:val="2"/>
          <w:sz w:val="21"/>
          <w:szCs w:val="21"/>
          <w:highlight w:val="none"/>
          <w:lang w:val="en-US" w:eastAsia="zh-CN" w:bidi="ar"/>
        </w:rPr>
        <w:t>5.11依据财政部《关于推动解决政府采购异常低价问题的通知》财库〔2026〕2号 强化政府采购异常低价审查的有关内容，主要包括：政府采购评审中出现下列情形之一的，磋商小组应当启动异常低价响应审查程序：</w:t>
      </w:r>
    </w:p>
    <w:p w14:paraId="25556A45">
      <w:pPr>
        <w:keepNext w:val="0"/>
        <w:keepLines w:val="0"/>
        <w:pageBreakBefore w:val="0"/>
        <w:numPr>
          <w:ilvl w:val="0"/>
          <w:numId w:val="2"/>
        </w:numPr>
        <w:wordWrap/>
        <w:overflowPunct/>
        <w:topLinePunct w:val="0"/>
        <w:bidi w:val="0"/>
        <w:snapToGrid w:val="0"/>
        <w:spacing w:line="420" w:lineRule="exact"/>
        <w:ind w:firstLine="420" w:firstLineChars="200"/>
        <w:textAlignment w:val="baseline"/>
        <w:rPr>
          <w:rFonts w:hint="eastAsia" w:ascii="宋体" w:hAnsi="宋体" w:eastAsia="宋体" w:cs="宋体"/>
          <w:bCs w:val="0"/>
          <w:color w:val="auto"/>
          <w:spacing w:val="0"/>
          <w:kern w:val="2"/>
          <w:sz w:val="21"/>
          <w:szCs w:val="21"/>
          <w:highlight w:val="none"/>
          <w:lang w:val="en-US" w:eastAsia="zh-CN" w:bidi="ar"/>
        </w:rPr>
      </w:pPr>
      <w:r>
        <w:rPr>
          <w:rFonts w:hint="eastAsia" w:ascii="宋体" w:hAnsi="宋体" w:eastAsia="宋体" w:cs="宋体"/>
          <w:bCs w:val="0"/>
          <w:color w:val="auto"/>
          <w:spacing w:val="0"/>
          <w:kern w:val="2"/>
          <w:sz w:val="21"/>
          <w:szCs w:val="21"/>
          <w:highlight w:val="none"/>
          <w:lang w:val="en-US" w:eastAsia="zh-CN" w:bidi="ar"/>
        </w:rPr>
        <w:t>响应报价低于全部通过符合性审查供应商响应报价平均值65%的，即响应报价&lt;全部通过符合性审查供应商响应报价平均值×65%；</w:t>
      </w:r>
    </w:p>
    <w:p w14:paraId="148DEE5D">
      <w:pPr>
        <w:keepNext w:val="0"/>
        <w:keepLines w:val="0"/>
        <w:pageBreakBefore w:val="0"/>
        <w:numPr>
          <w:ilvl w:val="0"/>
          <w:numId w:val="2"/>
        </w:numPr>
        <w:wordWrap/>
        <w:overflowPunct/>
        <w:topLinePunct w:val="0"/>
        <w:bidi w:val="0"/>
        <w:snapToGrid w:val="0"/>
        <w:spacing w:line="420" w:lineRule="exact"/>
        <w:ind w:left="0" w:leftChars="0" w:firstLine="420" w:firstLineChars="200"/>
        <w:textAlignment w:val="baseline"/>
        <w:rPr>
          <w:rFonts w:hint="eastAsia" w:ascii="宋体" w:hAnsi="宋体" w:eastAsia="宋体" w:cs="宋体"/>
          <w:bCs w:val="0"/>
          <w:color w:val="auto"/>
          <w:spacing w:val="0"/>
          <w:kern w:val="2"/>
          <w:sz w:val="21"/>
          <w:szCs w:val="21"/>
          <w:highlight w:val="none"/>
          <w:lang w:val="en-US" w:eastAsia="zh-CN" w:bidi="ar"/>
        </w:rPr>
      </w:pPr>
      <w:r>
        <w:rPr>
          <w:rFonts w:hint="eastAsia" w:ascii="宋体" w:hAnsi="宋体" w:eastAsia="宋体" w:cs="宋体"/>
          <w:bCs w:val="0"/>
          <w:color w:val="auto"/>
          <w:spacing w:val="0"/>
          <w:kern w:val="2"/>
          <w:sz w:val="21"/>
          <w:szCs w:val="21"/>
          <w:highlight w:val="none"/>
          <w:lang w:val="en-US" w:eastAsia="zh-CN" w:bidi="ar"/>
        </w:rPr>
        <w:t>响应报价低于通过符合性审查且报价次低供应商响应报价65%的，即响应报价&lt;通过符合性审查且报价次低供应商响应报价×65%；</w:t>
      </w:r>
    </w:p>
    <w:p w14:paraId="199868EC">
      <w:pPr>
        <w:keepNext w:val="0"/>
        <w:keepLines w:val="0"/>
        <w:pageBreakBefore w:val="0"/>
        <w:numPr>
          <w:ilvl w:val="0"/>
          <w:numId w:val="2"/>
        </w:numPr>
        <w:wordWrap/>
        <w:overflowPunct/>
        <w:topLinePunct w:val="0"/>
        <w:bidi w:val="0"/>
        <w:snapToGrid w:val="0"/>
        <w:spacing w:line="420" w:lineRule="exact"/>
        <w:ind w:left="0" w:leftChars="0" w:firstLine="420" w:firstLineChars="200"/>
        <w:textAlignment w:val="baseline"/>
        <w:rPr>
          <w:rFonts w:hint="eastAsia" w:ascii="宋体" w:hAnsi="宋体" w:eastAsia="宋体" w:cs="宋体"/>
          <w:bCs w:val="0"/>
          <w:color w:val="auto"/>
          <w:spacing w:val="0"/>
          <w:kern w:val="2"/>
          <w:sz w:val="21"/>
          <w:szCs w:val="21"/>
          <w:highlight w:val="none"/>
          <w:lang w:val="en-US" w:eastAsia="zh-CN" w:bidi="ar"/>
        </w:rPr>
      </w:pPr>
      <w:r>
        <w:rPr>
          <w:rFonts w:hint="eastAsia" w:ascii="宋体" w:hAnsi="宋体" w:eastAsia="宋体" w:cs="宋体"/>
          <w:bCs w:val="0"/>
          <w:color w:val="auto"/>
          <w:spacing w:val="0"/>
          <w:kern w:val="2"/>
          <w:sz w:val="21"/>
          <w:szCs w:val="21"/>
          <w:highlight w:val="none"/>
          <w:lang w:val="en-US" w:eastAsia="zh-CN" w:bidi="ar"/>
        </w:rPr>
        <w:t>响应报价低于采购项目最高限价65%的，即响应报价&lt;采购项目最高限价×65%；</w:t>
      </w:r>
    </w:p>
    <w:p w14:paraId="5A1BDE80">
      <w:pPr>
        <w:keepNext w:val="0"/>
        <w:keepLines w:val="0"/>
        <w:pageBreakBefore w:val="0"/>
        <w:numPr>
          <w:ilvl w:val="0"/>
          <w:numId w:val="2"/>
        </w:numPr>
        <w:wordWrap/>
        <w:overflowPunct/>
        <w:topLinePunct w:val="0"/>
        <w:bidi w:val="0"/>
        <w:snapToGrid w:val="0"/>
        <w:spacing w:line="420" w:lineRule="exact"/>
        <w:ind w:left="0" w:leftChars="0" w:firstLine="420" w:firstLineChars="200"/>
        <w:textAlignment w:val="baseline"/>
        <w:rPr>
          <w:rFonts w:hint="eastAsia" w:ascii="宋体" w:hAnsi="宋体" w:eastAsia="宋体" w:cs="宋体"/>
          <w:bCs w:val="0"/>
          <w:color w:val="auto"/>
          <w:spacing w:val="0"/>
          <w:kern w:val="2"/>
          <w:sz w:val="21"/>
          <w:szCs w:val="21"/>
          <w:highlight w:val="none"/>
          <w:lang w:val="en-US" w:eastAsia="zh-CN" w:bidi="ar"/>
        </w:rPr>
      </w:pPr>
      <w:r>
        <w:rPr>
          <w:rFonts w:hint="eastAsia" w:ascii="宋体" w:hAnsi="宋体" w:eastAsia="宋体" w:cs="宋体"/>
          <w:bCs w:val="0"/>
          <w:color w:val="auto"/>
          <w:spacing w:val="0"/>
          <w:kern w:val="2"/>
          <w:sz w:val="21"/>
          <w:szCs w:val="21"/>
          <w:highlight w:val="none"/>
          <w:lang w:val="en-US" w:eastAsia="zh-CN" w:bidi="ar"/>
        </w:rPr>
        <w:t>其他磋商小组认为供应商报价过低，有可能影响产品质量或者不能诚信履约的情形。</w:t>
      </w:r>
    </w:p>
    <w:p w14:paraId="0512720C">
      <w:pPr>
        <w:keepNext w:val="0"/>
        <w:keepLines w:val="0"/>
        <w:pageBreakBefore w:val="0"/>
        <w:wordWrap/>
        <w:overflowPunct/>
        <w:topLinePunct w:val="0"/>
        <w:bidi w:val="0"/>
        <w:snapToGrid w:val="0"/>
        <w:spacing w:line="420" w:lineRule="exact"/>
        <w:ind w:firstLine="420" w:firstLineChars="200"/>
        <w:textAlignment w:val="baseline"/>
        <w:rPr>
          <w:rFonts w:hint="eastAsia" w:ascii="宋体" w:hAnsi="宋体" w:eastAsia="宋体" w:cs="宋体"/>
          <w:bCs w:val="0"/>
          <w:color w:val="auto"/>
          <w:spacing w:val="0"/>
          <w:kern w:val="2"/>
          <w:sz w:val="21"/>
          <w:szCs w:val="21"/>
          <w:highlight w:val="none"/>
          <w:lang w:val="en-US" w:eastAsia="zh-CN" w:bidi="ar"/>
        </w:rPr>
      </w:pPr>
      <w:r>
        <w:rPr>
          <w:rFonts w:hint="eastAsia" w:ascii="宋体" w:hAnsi="宋体" w:eastAsia="宋体" w:cs="宋体"/>
          <w:bCs w:val="0"/>
          <w:color w:val="auto"/>
          <w:spacing w:val="0"/>
          <w:kern w:val="2"/>
          <w:sz w:val="21"/>
          <w:szCs w:val="21"/>
          <w:highlight w:val="none"/>
          <w:lang w:val="en-US" w:eastAsia="zh-CN" w:bidi="ar"/>
        </w:rPr>
        <w:t>磋商小组启动异常低价响应审查后，应当要求相关供应商在评审现场合理的时间内提供书面说明及必要的证明材料，对响应价格作出解释。书面说明、证明材料主要是项目具体成本测算等与报价合理性相关的说明、材料。</w:t>
      </w:r>
    </w:p>
    <w:p w14:paraId="4C79C4F0">
      <w:pPr>
        <w:keepNext w:val="0"/>
        <w:keepLines w:val="0"/>
        <w:pageBreakBefore w:val="0"/>
        <w:widowControl/>
        <w:kinsoku w:val="0"/>
        <w:wordWrap/>
        <w:overflowPunct/>
        <w:topLinePunct w:val="0"/>
        <w:autoSpaceDE w:val="0"/>
        <w:autoSpaceDN w:val="0"/>
        <w:bidi w:val="0"/>
        <w:adjustRightInd w:val="0"/>
        <w:snapToGrid w:val="0"/>
        <w:spacing w:line="420" w:lineRule="exact"/>
        <w:ind w:firstLine="409" w:firstLineChars="195"/>
        <w:textAlignment w:val="baseline"/>
        <w:rPr>
          <w:rFonts w:hint="eastAsia" w:ascii="宋体" w:hAnsi="宋体" w:eastAsia="宋体" w:cs="宋体"/>
          <w:bCs w:val="0"/>
          <w:color w:val="auto"/>
          <w:spacing w:val="0"/>
          <w:kern w:val="2"/>
          <w:sz w:val="21"/>
          <w:szCs w:val="21"/>
          <w:highlight w:val="none"/>
          <w:lang w:val="en-US" w:eastAsia="zh-CN" w:bidi="ar"/>
        </w:rPr>
      </w:pPr>
      <w:r>
        <w:rPr>
          <w:rFonts w:hint="eastAsia" w:ascii="宋体" w:hAnsi="宋体" w:eastAsia="宋体" w:cs="宋体"/>
          <w:bCs w:val="0"/>
          <w:color w:val="auto"/>
          <w:spacing w:val="0"/>
          <w:kern w:val="2"/>
          <w:sz w:val="21"/>
          <w:szCs w:val="21"/>
          <w:highlight w:val="none"/>
          <w:lang w:val="en-US" w:eastAsia="zh-CN" w:bidi="ar"/>
        </w:rPr>
        <w:t>磋商小组应当参考同类项目中标（成交）价格、类似产品市场价格水平，结合同类产品在主要电商平台的价格、该行业当地薪资水平等情况，依据专业经验对报价合理性进行判断。竞标供应商不提供书面说明、证明材料，或者提供的书面说明、证明材料不能证明其报价合理性的，应当将其作为无效响应处理。审查相关情况应当在评审报告中记录。</w:t>
      </w:r>
    </w:p>
    <w:p w14:paraId="4B5C00D7">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5.1</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最后报价结束后，磋商小组不得再与供应商进行任何形式的商谈。</w:t>
      </w:r>
    </w:p>
    <w:p w14:paraId="502D4CDD">
      <w:pPr>
        <w:keepNext w:val="0"/>
        <w:keepLines w:val="0"/>
        <w:pageBreakBefore w:val="0"/>
        <w:kinsoku/>
        <w:wordWrap/>
        <w:overflowPunct/>
        <w:topLinePunct w:val="0"/>
        <w:autoSpaceDE/>
        <w:autoSpaceDN/>
        <w:bidi w:val="0"/>
        <w:spacing w:line="420" w:lineRule="exact"/>
        <w:ind w:firstLine="470" w:firstLineChars="195"/>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6.比较与评价</w:t>
      </w:r>
    </w:p>
    <w:p w14:paraId="78B89A52">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6.1评审方法：综合评分法。</w:t>
      </w:r>
    </w:p>
    <w:p w14:paraId="728D6ACC">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6.2经磋商确定最终采购需求和提交最后报价的供应商后，由磋商小组采用综合评分法对提交最后报价的供应商的响应文件和最后报价进行综合评分。</w:t>
      </w:r>
    </w:p>
    <w:p w14:paraId="2E3A0FDB">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6.3评审时，磋商小组各成员应当独立对每个有效响应的文件进行评价、打分，然后汇总每个供应商每项评分因素的得分。</w:t>
      </w:r>
    </w:p>
    <w:p w14:paraId="13ABF11A">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（1）磋商小组按照磋商文件中规定的评审标准计算各供应商的报价得分。项目评审过程中，不得去掉最后报价中的最高报价和最低报价。</w:t>
      </w:r>
    </w:p>
    <w:p w14:paraId="5E1D8AE5">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（2）各供应商的得分为磋商小组所有成员的有效评分的算术平均数。</w:t>
      </w:r>
    </w:p>
    <w:p w14:paraId="0CB8DF97">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6.4评审价为供应商的最后报价进行政策性扣除后的价格，评审价只是作为评审时使用。最终成交供应商的成交金额等于最后报价（如有修正，以确认修正后的最后报价为准）。</w:t>
      </w:r>
    </w:p>
    <w:p w14:paraId="100E7FCB">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6.5由磋商小组根据综合评分情况，按照评审得分由高到低顺序推荐3名以上成交候选供应商，并编写评</w:t>
      </w: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审报告。符合本章第4.3条情形的，可以推荐2家成交候选供应商。评审得分相同的，按照最后报价由低到高的顺序推荐。评审得分且最后报价相同的，按照技术指标优劣顺序推荐。</w:t>
      </w:r>
    </w:p>
    <w:p w14:paraId="1CAC3BFD">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0D198D81">
      <w:pPr>
        <w:keepNext w:val="0"/>
        <w:keepLines w:val="0"/>
        <w:pageBreakBefore w:val="0"/>
        <w:kinsoku/>
        <w:wordWrap/>
        <w:overflowPunct/>
        <w:topLinePunct w:val="0"/>
        <w:autoSpaceDE/>
        <w:autoSpaceDN/>
        <w:bidi w:val="0"/>
        <w:spacing w:line="420" w:lineRule="exact"/>
        <w:ind w:firstLine="470" w:firstLineChars="195"/>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7.评审标准</w:t>
      </w:r>
    </w:p>
    <w:p w14:paraId="5F720E3A">
      <w:pPr>
        <w:keepNext w:val="0"/>
        <w:keepLines w:val="0"/>
        <w:pageBreakBefore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highlight w:val="none"/>
          <w14:textFill>
            <w14:solidFill>
              <w14:schemeClr w14:val="tx1"/>
            </w14:solidFill>
          </w14:textFill>
        </w:rPr>
        <w:t>7.</w:t>
      </w:r>
      <w:r>
        <w:rPr>
          <w:rFonts w:hint="eastAsia" w:asciiTheme="minorEastAsia" w:hAnsiTheme="minorEastAsia" w:eastAsiaTheme="minorEastAsia" w:cstheme="minorEastAsia"/>
          <w:b w:val="0"/>
          <w:bCs/>
          <w:color w:val="000000" w:themeColor="text1"/>
          <w:szCs w:val="21"/>
          <w:highlight w:val="none"/>
          <w14:textFill>
            <w14:solidFill>
              <w14:schemeClr w14:val="tx1"/>
            </w14:solidFill>
          </w14:textFill>
        </w:rPr>
        <w:t>1评审依</w:t>
      </w:r>
      <w:r>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t>据：磋商小组将以磋商响应文件为评审依据，对供应商的报价、技术、商务等方面内容按百分制打分。（计分方法按四舍五入取至百分位）</w:t>
      </w:r>
    </w:p>
    <w:p w14:paraId="11E49909">
      <w:pPr>
        <w:keepNext w:val="0"/>
        <w:keepLines w:val="0"/>
        <w:pageBreakBefore w:val="0"/>
        <w:widowControl/>
        <w:kinsoku w:val="0"/>
        <w:wordWrap/>
        <w:overflowPunct/>
        <w:topLinePunct w:val="0"/>
        <w:autoSpaceDE w:val="0"/>
        <w:autoSpaceDN w:val="0"/>
        <w:bidi w:val="0"/>
        <w:adjustRightInd w:val="0"/>
        <w:snapToGrid w:val="0"/>
        <w:spacing w:line="420" w:lineRule="exact"/>
        <w:ind w:firstLine="440" w:firstLineChars="200"/>
        <w:textAlignment w:val="baseline"/>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 w:val="22"/>
          <w:szCs w:val="22"/>
          <w:highlight w:val="none"/>
          <w:lang w:val="en-US" w:eastAsia="zh-CN"/>
          <w14:textFill>
            <w14:solidFill>
              <w14:schemeClr w14:val="tx1"/>
            </w14:solidFill>
          </w14:textFill>
        </w:rPr>
        <w:t>7.2</w:t>
      </w:r>
      <w:r>
        <w:rPr>
          <w:rFonts w:hint="eastAsia" w:ascii="宋体" w:hAnsi="宋体" w:cs="宋体"/>
          <w:bCs/>
          <w:color w:val="000000" w:themeColor="text1"/>
          <w:sz w:val="22"/>
          <w:szCs w:val="22"/>
          <w:highlight w:val="none"/>
          <w14:textFill>
            <w14:solidFill>
              <w14:schemeClr w14:val="tx1"/>
            </w14:solidFill>
          </w14:textFill>
        </w:rPr>
        <w:t>商务技术评审因素为客观评分项的，应在评分</w:t>
      </w:r>
      <w:r>
        <w:rPr>
          <w:rFonts w:hint="eastAsia" w:ascii="宋体" w:hAnsi="宋体" w:cs="宋体"/>
          <w:bCs/>
          <w:color w:val="000000" w:themeColor="text1"/>
          <w:sz w:val="22"/>
          <w:szCs w:val="22"/>
          <w:highlight w:val="none"/>
          <w:lang w:val="en-US" w:eastAsia="zh-CN"/>
          <w14:textFill>
            <w14:solidFill>
              <w14:schemeClr w14:val="tx1"/>
            </w14:solidFill>
          </w14:textFill>
        </w:rPr>
        <w:t>因素</w:t>
      </w:r>
      <w:r>
        <w:rPr>
          <w:rFonts w:hint="eastAsia" w:ascii="宋体" w:hAnsi="宋体" w:cs="宋体"/>
          <w:bCs/>
          <w:color w:val="000000" w:themeColor="text1"/>
          <w:sz w:val="22"/>
          <w:szCs w:val="22"/>
          <w:highlight w:val="none"/>
          <w14:textFill>
            <w14:solidFill>
              <w14:schemeClr w14:val="tx1"/>
            </w14:solidFill>
          </w14:textFill>
        </w:rPr>
        <w:t>或评分标准中予以标注为“客观分”。对供应商的客观评分项目，各评审专家评分应当一致。</w:t>
      </w:r>
    </w:p>
    <w:tbl>
      <w:tblPr>
        <w:tblStyle w:val="26"/>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1883"/>
        <w:gridCol w:w="1463"/>
        <w:gridCol w:w="5370"/>
      </w:tblGrid>
      <w:tr w14:paraId="730B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390" w:type="pct"/>
            <w:noWrap w:val="0"/>
            <w:vAlign w:val="center"/>
          </w:tcPr>
          <w:p w14:paraId="5EF5F41D">
            <w:pPr>
              <w:keepNext w:val="0"/>
              <w:keepLines w:val="0"/>
              <w:pageBreakBefore w:val="0"/>
              <w:kinsoku/>
              <w:wordWrap w:val="0"/>
              <w:overflowPunct/>
              <w:topLinePunct w:val="0"/>
              <w:autoSpaceDE/>
              <w:autoSpaceDN/>
              <w:bidi w:val="0"/>
              <w:adjustRightInd/>
              <w:spacing w:line="400" w:lineRule="exact"/>
              <w:jc w:val="center"/>
              <w:textAlignment w:val="auto"/>
              <w:rPr>
                <w:rFonts w:hint="eastAsia" w:ascii="宋体" w:hAnsi="宋体" w:eastAsia="宋体" w:cs="宋体"/>
                <w:b/>
                <w:color w:val="000000" w:themeColor="text1"/>
                <w:kern w:val="0"/>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序号</w:t>
            </w:r>
          </w:p>
        </w:tc>
        <w:tc>
          <w:tcPr>
            <w:tcW w:w="996" w:type="pct"/>
            <w:noWrap w:val="0"/>
            <w:vAlign w:val="center"/>
          </w:tcPr>
          <w:p w14:paraId="424CF4BF">
            <w:pPr>
              <w:keepNext w:val="0"/>
              <w:keepLines w:val="0"/>
              <w:pageBreakBefore w:val="0"/>
              <w:kinsoku/>
              <w:wordWrap w:val="0"/>
              <w:overflowPunct/>
              <w:topLinePunct w:val="0"/>
              <w:autoSpaceDE/>
              <w:autoSpaceDN/>
              <w:bidi w:val="0"/>
              <w:adjustRightInd/>
              <w:spacing w:line="400" w:lineRule="exact"/>
              <w:jc w:val="center"/>
              <w:textAlignment w:val="auto"/>
              <w:rPr>
                <w:rFonts w:hint="eastAsia" w:ascii="宋体" w:hAnsi="宋体" w:eastAsia="宋体" w:cs="宋体"/>
                <w:b/>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b/>
                <w:color w:val="000000" w:themeColor="text1"/>
                <w:kern w:val="0"/>
                <w:sz w:val="21"/>
                <w:szCs w:val="21"/>
                <w:highlight w:val="none"/>
                <w:lang w:val="en-US" w:eastAsia="zh-CN"/>
                <w14:textFill>
                  <w14:solidFill>
                    <w14:schemeClr w14:val="tx1"/>
                  </w14:solidFill>
                </w14:textFill>
              </w:rPr>
              <w:t>评审项</w:t>
            </w:r>
          </w:p>
        </w:tc>
        <w:tc>
          <w:tcPr>
            <w:tcW w:w="774" w:type="pct"/>
            <w:noWrap w:val="0"/>
            <w:vAlign w:val="center"/>
          </w:tcPr>
          <w:p w14:paraId="435DA689">
            <w:pPr>
              <w:keepNext w:val="0"/>
              <w:keepLines w:val="0"/>
              <w:pageBreakBefore w:val="0"/>
              <w:widowControl/>
              <w:kinsoku/>
              <w:wordWrap w:val="0"/>
              <w:overflowPunct/>
              <w:topLinePunct w:val="0"/>
              <w:autoSpaceDE/>
              <w:autoSpaceDN/>
              <w:bidi w:val="0"/>
              <w:adjustRightInd/>
              <w:spacing w:line="400" w:lineRule="exact"/>
              <w:jc w:val="center"/>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评</w:t>
            </w:r>
            <w:r>
              <w:rPr>
                <w:rFonts w:hint="eastAsia" w:ascii="宋体" w:hAnsi="宋体" w:eastAsia="宋体" w:cs="宋体"/>
                <w:b/>
                <w:color w:val="000000" w:themeColor="text1"/>
                <w:sz w:val="21"/>
                <w:szCs w:val="21"/>
                <w:highlight w:val="none"/>
                <w:lang w:val="en-US" w:eastAsia="zh-CN"/>
                <w14:textFill>
                  <w14:solidFill>
                    <w14:schemeClr w14:val="tx1"/>
                  </w14:solidFill>
                </w14:textFill>
              </w:rPr>
              <w:t>审因素</w:t>
            </w:r>
          </w:p>
        </w:tc>
        <w:tc>
          <w:tcPr>
            <w:tcW w:w="2838" w:type="pct"/>
            <w:noWrap w:val="0"/>
            <w:vAlign w:val="center"/>
          </w:tcPr>
          <w:p w14:paraId="53B4158D">
            <w:pPr>
              <w:keepNext w:val="0"/>
              <w:keepLines w:val="0"/>
              <w:pageBreakBefore w:val="0"/>
              <w:widowControl/>
              <w:kinsoku/>
              <w:wordWrap w:val="0"/>
              <w:overflowPunct/>
              <w:topLinePunct w:val="0"/>
              <w:autoSpaceDE/>
              <w:autoSpaceDN/>
              <w:bidi w:val="0"/>
              <w:adjustRightInd/>
              <w:spacing w:line="400" w:lineRule="exact"/>
              <w:jc w:val="center"/>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评</w:t>
            </w:r>
            <w:r>
              <w:rPr>
                <w:rFonts w:hint="eastAsia" w:ascii="宋体" w:hAnsi="宋体" w:eastAsia="宋体" w:cs="宋体"/>
                <w:b/>
                <w:color w:val="000000" w:themeColor="text1"/>
                <w:sz w:val="21"/>
                <w:szCs w:val="21"/>
                <w:highlight w:val="none"/>
                <w:lang w:val="en-US" w:eastAsia="zh-CN"/>
                <w14:textFill>
                  <w14:solidFill>
                    <w14:schemeClr w14:val="tx1"/>
                  </w14:solidFill>
                </w14:textFill>
              </w:rPr>
              <w:t>审</w:t>
            </w:r>
            <w:r>
              <w:rPr>
                <w:rFonts w:hint="eastAsia" w:ascii="宋体" w:hAnsi="宋体" w:eastAsia="宋体" w:cs="宋体"/>
                <w:b/>
                <w:color w:val="000000" w:themeColor="text1"/>
                <w:sz w:val="21"/>
                <w:szCs w:val="21"/>
                <w:highlight w:val="none"/>
                <w14:textFill>
                  <w14:solidFill>
                    <w14:schemeClr w14:val="tx1"/>
                  </w14:solidFill>
                </w14:textFill>
              </w:rPr>
              <w:t>标准</w:t>
            </w:r>
          </w:p>
        </w:tc>
      </w:tr>
      <w:tr w14:paraId="42F3C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90" w:type="pct"/>
            <w:noWrap w:val="0"/>
            <w:vAlign w:val="center"/>
          </w:tcPr>
          <w:p w14:paraId="4FF7EA8C">
            <w:pPr>
              <w:keepNext w:val="0"/>
              <w:keepLines w:val="0"/>
              <w:pageBreakBefore w:val="0"/>
              <w:widowControl w:val="0"/>
              <w:kinsoku/>
              <w:wordWrap w:val="0"/>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1</w:t>
            </w:r>
          </w:p>
        </w:tc>
        <w:tc>
          <w:tcPr>
            <w:tcW w:w="996" w:type="pct"/>
            <w:noWrap w:val="0"/>
            <w:vAlign w:val="center"/>
          </w:tcPr>
          <w:p w14:paraId="534BFF56">
            <w:pPr>
              <w:keepNext w:val="0"/>
              <w:keepLines w:val="0"/>
              <w:pageBreakBefore w:val="0"/>
              <w:widowControl w:val="0"/>
              <w:kinsoku/>
              <w:wordWrap w:val="0"/>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价格分</w:t>
            </w:r>
          </w:p>
          <w:p w14:paraId="41146EFF">
            <w:pPr>
              <w:keepNext w:val="0"/>
              <w:keepLines w:val="0"/>
              <w:pageBreakBefore w:val="0"/>
              <w:widowControl w:val="0"/>
              <w:kinsoku/>
              <w:wordWrap w:val="0"/>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（满分</w:t>
            </w:r>
            <w:r>
              <w:rPr>
                <w:rFonts w:hint="eastAsia" w:ascii="宋体" w:hAnsi="宋体" w:eastAsia="宋体" w:cs="宋体"/>
                <w:b/>
                <w:bCs/>
                <w:color w:val="000000" w:themeColor="text1"/>
                <w:sz w:val="21"/>
                <w:szCs w:val="21"/>
                <w:highlight w:val="none"/>
                <w:lang w:val="en"/>
                <w14:textFill>
                  <w14:solidFill>
                    <w14:schemeClr w14:val="tx1"/>
                  </w14:solidFill>
                </w14:textFill>
              </w:rPr>
              <w:t>1</w:t>
            </w:r>
            <w:r>
              <w:rPr>
                <w:rFonts w:hint="eastAsia" w:ascii="宋体" w:hAnsi="宋体" w:eastAsia="宋体" w:cs="宋体"/>
                <w:b/>
                <w:bCs/>
                <w:color w:val="000000" w:themeColor="text1"/>
                <w:sz w:val="21"/>
                <w:szCs w:val="21"/>
                <w:highlight w:val="none"/>
                <w14:textFill>
                  <w14:solidFill>
                    <w14:schemeClr w14:val="tx1"/>
                  </w14:solidFill>
                </w14:textFill>
              </w:rPr>
              <w:t>0分）</w:t>
            </w:r>
          </w:p>
        </w:tc>
        <w:tc>
          <w:tcPr>
            <w:tcW w:w="774" w:type="pct"/>
            <w:noWrap w:val="0"/>
            <w:vAlign w:val="center"/>
          </w:tcPr>
          <w:p w14:paraId="2A286500">
            <w:pPr>
              <w:keepNext w:val="0"/>
              <w:keepLines w:val="0"/>
              <w:pageBreakBefore w:val="0"/>
              <w:wordWrap/>
              <w:topLinePunct w:val="0"/>
              <w:bidi w:val="0"/>
              <w:adjustRightInd w:val="0"/>
              <w:spacing w:line="400" w:lineRule="exact"/>
              <w:jc w:val="center"/>
              <w:textAlignment w:val="baseline"/>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响应</w:t>
            </w:r>
            <w:r>
              <w:rPr>
                <w:rFonts w:hint="eastAsia" w:ascii="宋体" w:hAnsi="宋体" w:eastAsia="宋体" w:cs="宋体"/>
                <w:b w:val="0"/>
                <w:bCs w:val="0"/>
                <w:color w:val="000000" w:themeColor="text1"/>
                <w:sz w:val="21"/>
                <w:szCs w:val="21"/>
                <w:highlight w:val="none"/>
                <w14:textFill>
                  <w14:solidFill>
                    <w14:schemeClr w14:val="tx1"/>
                  </w14:solidFill>
                </w14:textFill>
              </w:rPr>
              <w:t>报价</w:t>
            </w:r>
          </w:p>
          <w:p w14:paraId="330B88FF">
            <w:pPr>
              <w:keepNext w:val="0"/>
              <w:keepLines w:val="0"/>
              <w:pageBreakBefore w:val="0"/>
              <w:kinsoku/>
              <w:wordWrap w:val="0"/>
              <w:overflowPunct/>
              <w:topLinePunct w:val="0"/>
              <w:autoSpaceDE/>
              <w:autoSpaceDN/>
              <w:bidi w:val="0"/>
              <w:adjustRightInd/>
              <w:spacing w:line="40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（0~</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b w:val="0"/>
                <w:bCs w:val="0"/>
                <w:color w:val="000000" w:themeColor="text1"/>
                <w:sz w:val="21"/>
                <w:szCs w:val="21"/>
                <w:highlight w:val="none"/>
                <w14:textFill>
                  <w14:solidFill>
                    <w14:schemeClr w14:val="tx1"/>
                  </w14:solidFill>
                </w14:textFill>
              </w:rPr>
              <w:t>分</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p>
        </w:tc>
        <w:tc>
          <w:tcPr>
            <w:tcW w:w="2838" w:type="pct"/>
            <w:noWrap w:val="0"/>
            <w:vAlign w:val="center"/>
          </w:tcPr>
          <w:p w14:paraId="2671F0FC">
            <w:pPr>
              <w:keepNext w:val="0"/>
              <w:keepLines w:val="0"/>
              <w:pageBreakBefore w:val="0"/>
              <w:kinsoku/>
              <w:overflowPunct/>
              <w:topLinePunct w:val="0"/>
              <w:autoSpaceDE/>
              <w:autoSpaceDN/>
              <w:bidi w:val="0"/>
              <w:adjustRightInd/>
              <w:snapToGrid w:val="0"/>
              <w:spacing w:line="400" w:lineRule="exact"/>
              <w:ind w:firstLine="422"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本项目为专门面对</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中小</w:t>
            </w:r>
            <w:r>
              <w:rPr>
                <w:rFonts w:hint="eastAsia" w:ascii="宋体" w:hAnsi="宋体" w:eastAsia="宋体" w:cs="宋体"/>
                <w:b/>
                <w:bCs/>
                <w:color w:val="000000" w:themeColor="text1"/>
                <w:sz w:val="21"/>
                <w:szCs w:val="21"/>
                <w:highlight w:val="none"/>
                <w14:textFill>
                  <w14:solidFill>
                    <w14:schemeClr w14:val="tx1"/>
                  </w14:solidFill>
                </w14:textFill>
              </w:rPr>
              <w:t>企业</w:t>
            </w:r>
            <w:r>
              <w:rPr>
                <w:rFonts w:hint="eastAsia" w:ascii="宋体" w:hAnsi="宋体" w:cs="宋体"/>
                <w:b/>
                <w:bCs/>
                <w:color w:val="000000" w:themeColor="text1"/>
                <w:sz w:val="21"/>
                <w:szCs w:val="21"/>
                <w:highlight w:val="none"/>
                <w:lang w:val="en-US" w:eastAsia="zh-CN"/>
                <w14:textFill>
                  <w14:solidFill>
                    <w14:schemeClr w14:val="tx1"/>
                  </w14:solidFill>
                </w14:textFill>
              </w:rPr>
              <w:t>采购</w:t>
            </w:r>
            <w:r>
              <w:rPr>
                <w:rFonts w:hint="eastAsia" w:ascii="宋体" w:hAnsi="宋体" w:eastAsia="宋体" w:cs="宋体"/>
                <w:b/>
                <w:bCs/>
                <w:color w:val="000000" w:themeColor="text1"/>
                <w:sz w:val="21"/>
                <w:szCs w:val="21"/>
                <w:highlight w:val="none"/>
                <w14:textFill>
                  <w14:solidFill>
                    <w14:schemeClr w14:val="tx1"/>
                  </w14:solidFill>
                </w14:textFill>
              </w:rPr>
              <w:t>项目，均不再执行价格评审优惠的扶持政策。</w:t>
            </w:r>
          </w:p>
          <w:p w14:paraId="475DFA0D">
            <w:pPr>
              <w:keepNext w:val="0"/>
              <w:keepLines w:val="0"/>
              <w:pageBreakBefore w:val="0"/>
              <w:kinsoku/>
              <w:overflowPunct/>
              <w:topLinePunct w:val="0"/>
              <w:autoSpaceDE/>
              <w:autoSpaceDN/>
              <w:bidi w:val="0"/>
              <w:adjustRightInd/>
              <w:spacing w:line="360" w:lineRule="exact"/>
              <w:ind w:firstLine="420" w:firstLineChars="20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（1）以进入比较与评价环节的最后报价的最低价格为基准价，基准价得分为10分。</w:t>
            </w:r>
          </w:p>
          <w:p w14:paraId="10F42662">
            <w:pPr>
              <w:keepNext w:val="0"/>
              <w:keepLines w:val="0"/>
              <w:pageBreakBefore w:val="0"/>
              <w:kinsoku/>
              <w:wordWrap w:val="0"/>
              <w:overflowPunct/>
              <w:topLinePunct w:val="0"/>
              <w:autoSpaceDE/>
              <w:autoSpaceDN/>
              <w:bidi w:val="0"/>
              <w:adjustRightInd/>
              <w:spacing w:line="400" w:lineRule="exact"/>
              <w:ind w:firstLine="420"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（2）价格分计算公式：</w:t>
            </w:r>
          </w:p>
          <w:p w14:paraId="3856ECFD">
            <w:pPr>
              <w:keepNext w:val="0"/>
              <w:keepLines w:val="0"/>
              <w:pageBreakBefore w:val="0"/>
              <w:kinsoku/>
              <w:wordWrap w:val="0"/>
              <w:overflowPunct/>
              <w:topLinePunct w:val="0"/>
              <w:autoSpaceDE/>
              <w:autoSpaceDN/>
              <w:bidi w:val="0"/>
              <w:adjustRightInd/>
              <w:spacing w:line="400" w:lineRule="exact"/>
              <w:ind w:firstLine="420" w:firstLineChars="200"/>
              <w:jc w:val="left"/>
              <w:textAlignment w:val="auto"/>
              <w:rPr>
                <w:rFonts w:hint="eastAsia" w:ascii="宋体" w:hAnsi="宋体" w:eastAsia="宋体" w:cs="宋体"/>
                <w:bCs/>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报价得分=（</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最低报价</w:t>
            </w:r>
            <w:r>
              <w:rPr>
                <w:rFonts w:hint="eastAsia" w:ascii="宋体" w:hAnsi="宋体" w:eastAsia="宋体" w:cs="宋体"/>
                <w:bCs/>
                <w:color w:val="000000" w:themeColor="text1"/>
                <w:sz w:val="21"/>
                <w:szCs w:val="21"/>
                <w:highlight w:val="none"/>
                <w14:textFill>
                  <w14:solidFill>
                    <w14:schemeClr w14:val="tx1"/>
                  </w14:solidFill>
                </w14:textFill>
              </w:rPr>
              <w:t>/</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有效竞标报价</w:t>
            </w:r>
            <w:r>
              <w:rPr>
                <w:rFonts w:hint="eastAsia" w:ascii="宋体" w:hAnsi="宋体" w:eastAsia="宋体" w:cs="宋体"/>
                <w:bCs/>
                <w:color w:val="000000" w:themeColor="text1"/>
                <w:sz w:val="21"/>
                <w:szCs w:val="21"/>
                <w:highlight w:val="none"/>
                <w14:textFill>
                  <w14:solidFill>
                    <w14:schemeClr w14:val="tx1"/>
                  </w14:solidFill>
                </w14:textFill>
              </w:rPr>
              <w:t>）×10分</w:t>
            </w:r>
          </w:p>
        </w:tc>
      </w:tr>
      <w:tr w14:paraId="0E7F9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390" w:type="pct"/>
            <w:vMerge w:val="restart"/>
            <w:noWrap w:val="0"/>
            <w:vAlign w:val="center"/>
          </w:tcPr>
          <w:p w14:paraId="1CF2BDCA">
            <w:pPr>
              <w:keepNext w:val="0"/>
              <w:keepLines w:val="0"/>
              <w:pageBreakBefore w:val="0"/>
              <w:widowControl/>
              <w:kinsoku/>
              <w:wordWrap w:val="0"/>
              <w:overflowPunct/>
              <w:topLinePunct w:val="0"/>
              <w:autoSpaceDE/>
              <w:autoSpaceDN/>
              <w:bidi w:val="0"/>
              <w:adjustRightInd/>
              <w:spacing w:line="400" w:lineRule="exact"/>
              <w:jc w:val="center"/>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2</w:t>
            </w:r>
          </w:p>
        </w:tc>
        <w:tc>
          <w:tcPr>
            <w:tcW w:w="996" w:type="pct"/>
            <w:vMerge w:val="restart"/>
            <w:noWrap w:val="0"/>
            <w:vAlign w:val="center"/>
          </w:tcPr>
          <w:p w14:paraId="5A9C69DF">
            <w:pPr>
              <w:keepNext w:val="0"/>
              <w:keepLines w:val="0"/>
              <w:pageBreakBefore w:val="0"/>
              <w:widowControl/>
              <w:kinsoku/>
              <w:wordWrap w:val="0"/>
              <w:overflowPunct/>
              <w:topLinePunct w:val="0"/>
              <w:autoSpaceDE/>
              <w:autoSpaceDN/>
              <w:bidi w:val="0"/>
              <w:adjustRightInd/>
              <w:spacing w:line="400" w:lineRule="exact"/>
              <w:jc w:val="center"/>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技术分</w:t>
            </w:r>
          </w:p>
          <w:p w14:paraId="63F95226">
            <w:pPr>
              <w:keepNext w:val="0"/>
              <w:keepLines w:val="0"/>
              <w:pageBreakBefore w:val="0"/>
              <w:widowControl/>
              <w:kinsoku/>
              <w:wordWrap w:val="0"/>
              <w:overflowPunct/>
              <w:topLinePunct w:val="0"/>
              <w:autoSpaceDE/>
              <w:autoSpaceDN/>
              <w:bidi w:val="0"/>
              <w:adjustRightInd/>
              <w:spacing w:line="400" w:lineRule="exact"/>
              <w:jc w:val="center"/>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（满分</w:t>
            </w:r>
            <w:r>
              <w:rPr>
                <w:rFonts w:hint="eastAsia" w:ascii="宋体" w:hAnsi="宋体" w:cs="宋体"/>
                <w:b/>
                <w:bCs/>
                <w:color w:val="000000" w:themeColor="text1"/>
                <w:kern w:val="0"/>
                <w:sz w:val="21"/>
                <w:szCs w:val="21"/>
                <w:highlight w:val="none"/>
                <w:lang w:val="en-US" w:eastAsia="zh-CN"/>
                <w14:textFill>
                  <w14:solidFill>
                    <w14:schemeClr w14:val="tx1"/>
                  </w14:solidFill>
                </w14:textFill>
              </w:rPr>
              <w:t>84</w:t>
            </w:r>
            <w:r>
              <w:rPr>
                <w:rFonts w:hint="eastAsia" w:ascii="宋体" w:hAnsi="宋体" w:eastAsia="宋体" w:cs="宋体"/>
                <w:b/>
                <w:bCs/>
                <w:color w:val="000000" w:themeColor="text1"/>
                <w:kern w:val="0"/>
                <w:sz w:val="21"/>
                <w:szCs w:val="21"/>
                <w:highlight w:val="none"/>
                <w14:textFill>
                  <w14:solidFill>
                    <w14:schemeClr w14:val="tx1"/>
                  </w14:solidFill>
                </w14:textFill>
              </w:rPr>
              <w:t>分）</w:t>
            </w:r>
          </w:p>
        </w:tc>
        <w:tc>
          <w:tcPr>
            <w:tcW w:w="774" w:type="pct"/>
            <w:noWrap w:val="0"/>
            <w:vAlign w:val="center"/>
          </w:tcPr>
          <w:p w14:paraId="373E244A">
            <w:pPr>
              <w:keepNext w:val="0"/>
              <w:keepLines w:val="0"/>
              <w:pageBreakBefore w:val="0"/>
              <w:widowControl/>
              <w:kinsoku/>
              <w:wordWrap w:val="0"/>
              <w:overflowPunct/>
              <w:topLinePunct w:val="0"/>
              <w:autoSpaceDE/>
              <w:autoSpaceDN/>
              <w:bidi w:val="0"/>
              <w:adjustRightInd/>
              <w:spacing w:line="400" w:lineRule="exact"/>
              <w:jc w:val="center"/>
              <w:textAlignment w:val="auto"/>
              <w:rPr>
                <w:rFonts w:hint="eastAsia" w:ascii="宋体" w:hAnsi="宋体" w:eastAsia="宋体" w:cs="宋体"/>
                <w:b/>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2.1</w:t>
            </w:r>
            <w:r>
              <w:rPr>
                <w:rFonts w:hint="eastAsia" w:ascii="宋体" w:hAnsi="宋体" w:eastAsia="宋体" w:cs="宋体"/>
                <w:color w:val="000000" w:themeColor="text1"/>
                <w:sz w:val="21"/>
                <w:szCs w:val="21"/>
                <w:highlight w:val="none"/>
                <w14:textFill>
                  <w14:solidFill>
                    <w14:schemeClr w14:val="tx1"/>
                  </w14:solidFill>
                </w14:textFill>
              </w:rPr>
              <w:t>检测技术方案（</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0~</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2838" w:type="pct"/>
            <w:noWrap w:val="0"/>
            <w:vAlign w:val="center"/>
          </w:tcPr>
          <w:p w14:paraId="18608FE0">
            <w:pPr>
              <w:keepNext w:val="0"/>
              <w:keepLines w:val="0"/>
              <w:pageBreakBefore w:val="0"/>
              <w:kinsoku/>
              <w:overflowPunct/>
              <w:topLinePunct w:val="0"/>
              <w:autoSpaceDE/>
              <w:autoSpaceDN/>
              <w:bidi w:val="0"/>
              <w:adjustRightInd/>
              <w:spacing w:line="400" w:lineRule="exact"/>
              <w:ind w:firstLine="420" w:firstLineChars="20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一档（</w:t>
            </w:r>
            <w:r>
              <w:rPr>
                <w:rFonts w:hint="eastAsia" w:ascii="宋体" w:hAnsi="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eastAsia="zh-CN"/>
                <w14:textFill>
                  <w14:solidFill>
                    <w14:schemeClr w14:val="tx1"/>
                  </w14:solidFill>
                </w14:textFill>
              </w:rPr>
              <w:t>提交的方案</w:t>
            </w:r>
            <w:r>
              <w:rPr>
                <w:rFonts w:hint="eastAsia" w:ascii="宋体" w:hAnsi="宋体" w:eastAsia="宋体" w:cs="宋体"/>
                <w:color w:val="000000" w:themeColor="text1"/>
                <w:sz w:val="21"/>
                <w:szCs w:val="21"/>
                <w:highlight w:val="none"/>
                <w14:textFill>
                  <w14:solidFill>
                    <w14:schemeClr w14:val="tx1"/>
                  </w14:solidFill>
                </w14:textFill>
              </w:rPr>
              <w:t>检测工作思路</w:t>
            </w:r>
            <w:r>
              <w:rPr>
                <w:rFonts w:hint="eastAsia" w:ascii="宋体" w:hAnsi="宋体" w:cs="宋体"/>
                <w:color w:val="000000" w:themeColor="text1"/>
                <w:sz w:val="21"/>
                <w:szCs w:val="21"/>
                <w:highlight w:val="none"/>
                <w:lang w:val="en-US" w:eastAsia="zh-CN"/>
                <w14:textFill>
                  <w14:solidFill>
                    <w14:schemeClr w14:val="tx1"/>
                  </w14:solidFill>
                </w14:textFill>
              </w:rPr>
              <w:t>不</w:t>
            </w:r>
            <w:r>
              <w:rPr>
                <w:rFonts w:hint="eastAsia" w:ascii="宋体" w:hAnsi="宋体" w:eastAsia="宋体" w:cs="宋体"/>
                <w:color w:val="000000" w:themeColor="text1"/>
                <w:sz w:val="21"/>
                <w:szCs w:val="21"/>
                <w:highlight w:val="none"/>
                <w14:textFill>
                  <w14:solidFill>
                    <w14:schemeClr w14:val="tx1"/>
                  </w14:solidFill>
                </w14:textFill>
              </w:rPr>
              <w:t>清晰，对项目特点把握</w:t>
            </w:r>
            <w:r>
              <w:rPr>
                <w:rFonts w:hint="eastAsia" w:ascii="宋体" w:hAnsi="宋体" w:cs="宋体"/>
                <w:color w:val="000000" w:themeColor="text1"/>
                <w:sz w:val="21"/>
                <w:szCs w:val="21"/>
                <w:highlight w:val="none"/>
                <w:lang w:val="en-US" w:eastAsia="zh-CN"/>
                <w14:textFill>
                  <w14:solidFill>
                    <w14:schemeClr w14:val="tx1"/>
                  </w14:solidFill>
                </w14:textFill>
              </w:rPr>
              <w:t>不</w:t>
            </w:r>
            <w:r>
              <w:rPr>
                <w:rFonts w:hint="eastAsia" w:ascii="宋体" w:hAnsi="宋体" w:eastAsia="宋体" w:cs="宋体"/>
                <w:color w:val="000000" w:themeColor="text1"/>
                <w:sz w:val="21"/>
                <w:szCs w:val="21"/>
                <w:highlight w:val="none"/>
                <w14:textFill>
                  <w14:solidFill>
                    <w14:schemeClr w14:val="tx1"/>
                  </w14:solidFill>
                </w14:textFill>
              </w:rPr>
              <w:t>准确</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检测方案</w:t>
            </w:r>
            <w:r>
              <w:rPr>
                <w:rFonts w:hint="eastAsia" w:ascii="宋体" w:hAnsi="宋体" w:eastAsia="宋体" w:cs="宋体"/>
                <w:color w:val="000000" w:themeColor="text1"/>
                <w:sz w:val="21"/>
                <w:szCs w:val="21"/>
                <w:highlight w:val="none"/>
                <w:lang w:eastAsia="zh-CN"/>
                <w14:textFill>
                  <w14:solidFill>
                    <w14:schemeClr w14:val="tx1"/>
                  </w14:solidFill>
                </w14:textFill>
              </w:rPr>
              <w:t>不够深入</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内容基本齐全，</w:t>
            </w:r>
            <w:r>
              <w:rPr>
                <w:rFonts w:hint="eastAsia" w:ascii="宋体" w:hAnsi="宋体" w:eastAsia="宋体" w:cs="宋体"/>
                <w:color w:val="000000" w:themeColor="text1"/>
                <w:sz w:val="21"/>
                <w:szCs w:val="21"/>
                <w:highlight w:val="none"/>
                <w14:textFill>
                  <w14:solidFill>
                    <w14:schemeClr w14:val="tx1"/>
                  </w14:solidFill>
                </w14:textFill>
              </w:rPr>
              <w:t>检测方法针对性</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不强</w:t>
            </w:r>
            <w:r>
              <w:rPr>
                <w:rFonts w:hint="eastAsia" w:ascii="宋体" w:hAnsi="宋体" w:eastAsia="宋体" w:cs="宋体"/>
                <w:color w:val="000000" w:themeColor="text1"/>
                <w:sz w:val="21"/>
                <w:szCs w:val="21"/>
                <w:highlight w:val="none"/>
                <w14:textFill>
                  <w14:solidFill>
                    <w14:schemeClr w14:val="tx1"/>
                  </w14:solidFill>
                </w14:textFill>
              </w:rPr>
              <w:t>，检测措施</w:t>
            </w:r>
            <w:r>
              <w:rPr>
                <w:rFonts w:hint="eastAsia" w:ascii="宋体" w:hAnsi="宋体" w:eastAsia="宋体" w:cs="宋体"/>
                <w:color w:val="000000" w:themeColor="text1"/>
                <w:sz w:val="21"/>
                <w:szCs w:val="21"/>
                <w:highlight w:val="none"/>
                <w:lang w:val="en-US" w:eastAsia="zh-CN"/>
                <w14:textFill>
                  <w14:solidFill>
                    <w14:schemeClr w14:val="tx1"/>
                  </w14:solidFill>
                </w14:textFill>
              </w:rPr>
              <w:t>基本</w:t>
            </w:r>
            <w:r>
              <w:rPr>
                <w:rFonts w:hint="eastAsia" w:ascii="宋体" w:hAnsi="宋体" w:eastAsia="宋体" w:cs="宋体"/>
                <w:color w:val="000000" w:themeColor="text1"/>
                <w:sz w:val="21"/>
                <w:szCs w:val="21"/>
                <w:highlight w:val="none"/>
                <w14:textFill>
                  <w14:solidFill>
                    <w14:schemeClr w14:val="tx1"/>
                  </w14:solidFill>
                </w14:textFill>
              </w:rPr>
              <w:t>可行。</w:t>
            </w:r>
          </w:p>
          <w:p w14:paraId="0C7948A2">
            <w:pPr>
              <w:keepNext w:val="0"/>
              <w:keepLines w:val="0"/>
              <w:pageBreakBefore w:val="0"/>
              <w:kinsoku/>
              <w:overflowPunct/>
              <w:topLinePunct w:val="0"/>
              <w:autoSpaceDE/>
              <w:autoSpaceDN/>
              <w:bidi w:val="0"/>
              <w:adjustRightInd/>
              <w:spacing w:line="400" w:lineRule="exact"/>
              <w:ind w:firstLine="420" w:firstLineChars="20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二档（1</w:t>
            </w:r>
            <w:r>
              <w:rPr>
                <w:rFonts w:hint="eastAsia" w:ascii="宋体" w:hAnsi="宋体" w:cs="宋体"/>
                <w:color w:val="000000" w:themeColor="text1"/>
                <w:sz w:val="21"/>
                <w:szCs w:val="21"/>
                <w:highlight w:val="none"/>
                <w:lang w:val="en-US" w:eastAsia="zh-CN"/>
                <w14:textFill>
                  <w14:solidFill>
                    <w14:schemeClr w14:val="tx1"/>
                  </w14:solidFill>
                </w14:textFill>
              </w:rPr>
              <w:t>0</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eastAsia="zh-CN"/>
                <w14:textFill>
                  <w14:solidFill>
                    <w14:schemeClr w14:val="tx1"/>
                  </w14:solidFill>
                </w14:textFill>
              </w:rPr>
              <w:t>提交的方案</w:t>
            </w:r>
            <w:r>
              <w:rPr>
                <w:rFonts w:hint="eastAsia" w:ascii="宋体" w:hAnsi="宋体" w:eastAsia="宋体" w:cs="宋体"/>
                <w:color w:val="000000" w:themeColor="text1"/>
                <w:sz w:val="21"/>
                <w:szCs w:val="21"/>
                <w:highlight w:val="none"/>
                <w14:textFill>
                  <w14:solidFill>
                    <w14:schemeClr w14:val="tx1"/>
                  </w14:solidFill>
                </w14:textFill>
              </w:rPr>
              <w:t>检测工作思路较清晰，对项目特点把握基本准确；检测方案内容齐全，能满足本工程提出的所有检测内容；检测方法有针对性，检测措施切实可行，</w:t>
            </w:r>
            <w:r>
              <w:rPr>
                <w:rFonts w:hint="eastAsia" w:ascii="宋体" w:hAnsi="宋体" w:eastAsia="宋体" w:cs="宋体"/>
                <w:color w:val="000000" w:themeColor="text1"/>
                <w:sz w:val="21"/>
                <w:szCs w:val="21"/>
                <w:highlight w:val="none"/>
                <w:lang w:eastAsia="zh-CN"/>
                <w14:textFill>
                  <w14:solidFill>
                    <w14:schemeClr w14:val="tx1"/>
                  </w14:solidFill>
                </w14:textFill>
              </w:rPr>
              <w:t>能较好</w:t>
            </w:r>
            <w:r>
              <w:rPr>
                <w:rFonts w:hint="eastAsia" w:ascii="宋体" w:hAnsi="宋体" w:eastAsia="宋体" w:cs="宋体"/>
                <w:color w:val="000000" w:themeColor="text1"/>
                <w:sz w:val="21"/>
                <w:szCs w:val="21"/>
                <w:highlight w:val="none"/>
                <w:lang w:val="en-US" w:eastAsia="zh-CN"/>
                <w14:textFill>
                  <w14:solidFill>
                    <w14:schemeClr w14:val="tx1"/>
                  </w14:solidFill>
                </w14:textFill>
              </w:rPr>
              <w:t>地</w:t>
            </w:r>
            <w:r>
              <w:rPr>
                <w:rFonts w:hint="eastAsia" w:ascii="宋体" w:hAnsi="宋体" w:eastAsia="宋体" w:cs="宋体"/>
                <w:color w:val="000000" w:themeColor="text1"/>
                <w:sz w:val="21"/>
                <w:szCs w:val="21"/>
                <w:highlight w:val="none"/>
                <w14:textFill>
                  <w14:solidFill>
                    <w14:schemeClr w14:val="tx1"/>
                  </w14:solidFill>
                </w14:textFill>
              </w:rPr>
              <w:t>指导具体检测工作并确保安全。</w:t>
            </w:r>
          </w:p>
          <w:p w14:paraId="74D12E1E">
            <w:pPr>
              <w:keepNext w:val="0"/>
              <w:keepLines w:val="0"/>
              <w:pageBreakBefore w:val="0"/>
              <w:kinsoku/>
              <w:overflowPunct/>
              <w:topLinePunct w:val="0"/>
              <w:autoSpaceDE/>
              <w:autoSpaceDN/>
              <w:bidi w:val="0"/>
              <w:adjustRightInd/>
              <w:spacing w:line="400" w:lineRule="exact"/>
              <w:ind w:firstLine="420" w:firstLineChars="20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三档（1</w:t>
            </w:r>
            <w:r>
              <w:rPr>
                <w:rFonts w:hint="eastAsia" w:ascii="宋体" w:hAnsi="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eastAsia="zh-CN"/>
                <w14:textFill>
                  <w14:solidFill>
                    <w14:schemeClr w14:val="tx1"/>
                  </w14:solidFill>
                </w14:textFill>
              </w:rPr>
              <w:t>提交的方案检测工作思路清晰，对项目特点把握准确；检测方案具体</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内容齐全，能满足本工程提出的所有检测内容；检测方法针对性强，工艺先进、检测措施切实可行，能</w:t>
            </w:r>
            <w:r>
              <w:rPr>
                <w:rFonts w:hint="eastAsia" w:ascii="宋体" w:hAnsi="宋体" w:eastAsia="宋体" w:cs="宋体"/>
                <w:color w:val="000000" w:themeColor="text1"/>
                <w:sz w:val="21"/>
                <w:szCs w:val="21"/>
                <w:highlight w:val="none"/>
                <w:lang w:val="en-US" w:eastAsia="zh-CN"/>
                <w14:textFill>
                  <w14:solidFill>
                    <w14:schemeClr w14:val="tx1"/>
                  </w14:solidFill>
                </w14:textFill>
              </w:rPr>
              <w:t>全面地</w:t>
            </w:r>
            <w:r>
              <w:rPr>
                <w:rFonts w:hint="eastAsia" w:ascii="宋体" w:hAnsi="宋体" w:eastAsia="宋体" w:cs="宋体"/>
                <w:color w:val="000000" w:themeColor="text1"/>
                <w:sz w:val="21"/>
                <w:szCs w:val="21"/>
                <w:highlight w:val="none"/>
                <w:lang w:eastAsia="zh-CN"/>
                <w14:textFill>
                  <w14:solidFill>
                    <w14:schemeClr w14:val="tx1"/>
                  </w14:solidFill>
                </w14:textFill>
              </w:rPr>
              <w:t>指导具体检测工作并确保安全。</w:t>
            </w:r>
          </w:p>
          <w:p w14:paraId="23F25D84">
            <w:pPr>
              <w:keepNext w:val="0"/>
              <w:keepLines w:val="0"/>
              <w:pageBreakBefore w:val="0"/>
              <w:widowControl/>
              <w:kinsoku/>
              <w:wordWrap w:val="0"/>
              <w:overflowPunct/>
              <w:topLinePunct w:val="0"/>
              <w:autoSpaceDE/>
              <w:autoSpaceDN/>
              <w:bidi w:val="0"/>
              <w:adjustRightInd/>
              <w:spacing w:line="400" w:lineRule="exact"/>
              <w:ind w:firstLine="420" w:firstLineChars="200"/>
              <w:jc w:val="center"/>
              <w:textAlignment w:val="auto"/>
              <w:rPr>
                <w:rFonts w:hint="eastAsia" w:ascii="宋体" w:hAnsi="宋体" w:eastAsia="宋体" w:cs="宋体"/>
                <w:b/>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注：未提供方案或方案不满足一档要求的不得分。</w:t>
            </w:r>
          </w:p>
        </w:tc>
      </w:tr>
      <w:tr w14:paraId="59AA8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390" w:type="pct"/>
            <w:vMerge w:val="continue"/>
            <w:noWrap w:val="0"/>
            <w:vAlign w:val="center"/>
          </w:tcPr>
          <w:p w14:paraId="5725DA6D">
            <w:pPr>
              <w:keepNext w:val="0"/>
              <w:keepLines w:val="0"/>
              <w:pageBreakBefore w:val="0"/>
              <w:widowControl/>
              <w:kinsoku/>
              <w:wordWrap w:val="0"/>
              <w:overflowPunct/>
              <w:topLinePunct w:val="0"/>
              <w:autoSpaceDE/>
              <w:autoSpaceDN/>
              <w:bidi w:val="0"/>
              <w:adjustRightInd/>
              <w:spacing w:line="400" w:lineRule="exact"/>
              <w:jc w:val="center"/>
              <w:textAlignment w:val="auto"/>
              <w:rPr>
                <w:rFonts w:hint="eastAsia" w:ascii="宋体" w:hAnsi="宋体" w:eastAsia="宋体" w:cs="宋体"/>
                <w:bCs/>
                <w:color w:val="000000" w:themeColor="text1"/>
                <w:kern w:val="0"/>
                <w:sz w:val="21"/>
                <w:szCs w:val="21"/>
                <w:highlight w:val="none"/>
                <w14:textFill>
                  <w14:solidFill>
                    <w14:schemeClr w14:val="tx1"/>
                  </w14:solidFill>
                </w14:textFill>
              </w:rPr>
            </w:pPr>
          </w:p>
        </w:tc>
        <w:tc>
          <w:tcPr>
            <w:tcW w:w="996" w:type="pct"/>
            <w:vMerge w:val="continue"/>
            <w:noWrap w:val="0"/>
            <w:vAlign w:val="center"/>
          </w:tcPr>
          <w:p w14:paraId="73DBB2F6">
            <w:pPr>
              <w:keepNext w:val="0"/>
              <w:keepLines w:val="0"/>
              <w:pageBreakBefore w:val="0"/>
              <w:widowControl/>
              <w:kinsoku/>
              <w:wordWrap w:val="0"/>
              <w:overflowPunct/>
              <w:topLinePunct w:val="0"/>
              <w:autoSpaceDE/>
              <w:autoSpaceDN/>
              <w:bidi w:val="0"/>
              <w:adjustRightInd/>
              <w:spacing w:line="400" w:lineRule="exact"/>
              <w:jc w:val="center"/>
              <w:textAlignment w:val="auto"/>
              <w:rPr>
                <w:rFonts w:hint="eastAsia" w:ascii="宋体" w:hAnsi="宋体" w:eastAsia="宋体" w:cs="宋体"/>
                <w:bCs/>
                <w:color w:val="000000" w:themeColor="text1"/>
                <w:kern w:val="0"/>
                <w:sz w:val="21"/>
                <w:szCs w:val="21"/>
                <w:highlight w:val="none"/>
                <w14:textFill>
                  <w14:solidFill>
                    <w14:schemeClr w14:val="tx1"/>
                  </w14:solidFill>
                </w14:textFill>
              </w:rPr>
            </w:pPr>
          </w:p>
        </w:tc>
        <w:tc>
          <w:tcPr>
            <w:tcW w:w="774" w:type="pct"/>
            <w:noWrap w:val="0"/>
            <w:vAlign w:val="center"/>
          </w:tcPr>
          <w:p w14:paraId="743AFA4E">
            <w:pPr>
              <w:keepNext w:val="0"/>
              <w:keepLines w:val="0"/>
              <w:pageBreakBefore w:val="0"/>
              <w:widowControl/>
              <w:kinsoku/>
              <w:wordWrap w:val="0"/>
              <w:overflowPunct/>
              <w:topLinePunct w:val="0"/>
              <w:autoSpaceDE/>
              <w:autoSpaceDN/>
              <w:bidi w:val="0"/>
              <w:adjustRightInd/>
              <w:spacing w:line="40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2.2工程难点分析及控制措施（</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0~</w:t>
            </w:r>
            <w:r>
              <w:rPr>
                <w:rFonts w:hint="eastAsia" w:ascii="宋体" w:hAnsi="宋体" w:eastAsia="宋体" w:cs="宋体"/>
                <w:color w:val="000000" w:themeColor="text1"/>
                <w:kern w:val="0"/>
                <w:sz w:val="21"/>
                <w:szCs w:val="21"/>
                <w:highlight w:val="none"/>
                <w14:textFill>
                  <w14:solidFill>
                    <w14:schemeClr w14:val="tx1"/>
                  </w14:solidFill>
                </w14:textFill>
              </w:rPr>
              <w:t>1</w:t>
            </w:r>
            <w:r>
              <w:rPr>
                <w:rFonts w:hint="eastAsia" w:ascii="宋体" w:hAnsi="宋体" w:cs="宋体"/>
                <w:color w:val="000000" w:themeColor="text1"/>
                <w:kern w:val="0"/>
                <w:sz w:val="21"/>
                <w:szCs w:val="21"/>
                <w:highlight w:val="none"/>
                <w:lang w:val="en-US" w:eastAsia="zh-CN"/>
                <w14:textFill>
                  <w14:solidFill>
                    <w14:schemeClr w14:val="tx1"/>
                  </w14:solidFill>
                </w14:textFill>
              </w:rPr>
              <w:t>2</w:t>
            </w:r>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2838" w:type="pct"/>
            <w:noWrap w:val="0"/>
            <w:vAlign w:val="center"/>
          </w:tcPr>
          <w:p w14:paraId="26A8A8B5">
            <w:pPr>
              <w:keepNext w:val="0"/>
              <w:keepLines w:val="0"/>
              <w:pageBreakBefore w:val="0"/>
              <w:kinsoku/>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一档（</w:t>
            </w:r>
            <w:r>
              <w:rPr>
                <w:rFonts w:hint="eastAsia" w:ascii="宋体" w:hAnsi="宋体" w:cs="宋体"/>
                <w:bCs/>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Cs/>
                <w:color w:val="000000" w:themeColor="text1"/>
                <w:sz w:val="21"/>
                <w:szCs w:val="21"/>
                <w:highlight w:val="none"/>
                <w14:textFill>
                  <w14:solidFill>
                    <w14:schemeClr w14:val="tx1"/>
                  </w14:solidFill>
                </w14:textFill>
              </w:rPr>
              <w:t>分）：对工程特点、难点分析</w:t>
            </w:r>
            <w:r>
              <w:rPr>
                <w:rFonts w:hint="eastAsia" w:ascii="宋体" w:hAnsi="宋体" w:cs="宋体"/>
                <w:bCs/>
                <w:color w:val="000000" w:themeColor="text1"/>
                <w:sz w:val="21"/>
                <w:szCs w:val="21"/>
                <w:highlight w:val="none"/>
                <w:lang w:val="en-US" w:eastAsia="zh-CN"/>
                <w14:textFill>
                  <w14:solidFill>
                    <w14:schemeClr w14:val="tx1"/>
                  </w14:solidFill>
                </w14:textFill>
              </w:rPr>
              <w:t>简单</w:t>
            </w:r>
            <w:r>
              <w:rPr>
                <w:rFonts w:hint="eastAsia" w:ascii="宋体" w:hAnsi="宋体" w:eastAsia="宋体" w:cs="宋体"/>
                <w:bCs/>
                <w:color w:val="000000" w:themeColor="text1"/>
                <w:sz w:val="21"/>
                <w:szCs w:val="21"/>
                <w:highlight w:val="none"/>
                <w14:textFill>
                  <w14:solidFill>
                    <w14:schemeClr w14:val="tx1"/>
                  </w14:solidFill>
                </w14:textFill>
              </w:rPr>
              <w:t>，提出该项目应注意的</w:t>
            </w:r>
            <w:r>
              <w:rPr>
                <w:rFonts w:hint="eastAsia" w:ascii="宋体" w:hAnsi="宋体" w:cs="宋体"/>
                <w:bCs/>
                <w:color w:val="000000" w:themeColor="text1"/>
                <w:sz w:val="21"/>
                <w:szCs w:val="21"/>
                <w:highlight w:val="none"/>
                <w:lang w:val="en-US" w:eastAsia="zh-CN"/>
                <w14:textFill>
                  <w14:solidFill>
                    <w14:schemeClr w14:val="tx1"/>
                  </w14:solidFill>
                </w14:textFill>
              </w:rPr>
              <w:t>问题以</w:t>
            </w:r>
            <w:r>
              <w:rPr>
                <w:rFonts w:hint="eastAsia" w:ascii="宋体" w:hAnsi="宋体" w:eastAsia="宋体" w:cs="宋体"/>
                <w:bCs/>
                <w:color w:val="000000" w:themeColor="text1"/>
                <w:sz w:val="21"/>
                <w:szCs w:val="21"/>
                <w:highlight w:val="none"/>
                <w14:textFill>
                  <w14:solidFill>
                    <w14:schemeClr w14:val="tx1"/>
                  </w14:solidFill>
                </w14:textFill>
              </w:rPr>
              <w:t>及解决方法</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解决措施基本合理。</w:t>
            </w:r>
          </w:p>
          <w:p w14:paraId="0FE46E66">
            <w:pPr>
              <w:keepNext w:val="0"/>
              <w:keepLines w:val="0"/>
              <w:pageBreakBefore w:val="0"/>
              <w:kinsoku/>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bCs/>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二档（</w:t>
            </w:r>
            <w:r>
              <w:rPr>
                <w:rFonts w:hint="eastAsia" w:ascii="宋体" w:hAnsi="宋体" w:cs="宋体"/>
                <w:bCs/>
                <w:color w:val="000000" w:themeColor="text1"/>
                <w:sz w:val="21"/>
                <w:szCs w:val="21"/>
                <w:highlight w:val="none"/>
                <w:lang w:val="en-US" w:eastAsia="zh-CN"/>
                <w14:textFill>
                  <w14:solidFill>
                    <w14:schemeClr w14:val="tx1"/>
                  </w14:solidFill>
                </w14:textFill>
              </w:rPr>
              <w:t>8</w:t>
            </w:r>
            <w:r>
              <w:rPr>
                <w:rFonts w:hint="eastAsia" w:ascii="宋体" w:hAnsi="宋体" w:eastAsia="宋体" w:cs="宋体"/>
                <w:bCs/>
                <w:color w:val="000000" w:themeColor="text1"/>
                <w:sz w:val="21"/>
                <w:szCs w:val="21"/>
                <w:highlight w:val="none"/>
                <w14:textFill>
                  <w14:solidFill>
                    <w14:schemeClr w14:val="tx1"/>
                  </w14:solidFill>
                </w14:textFill>
              </w:rPr>
              <w:t>分）：对工程特点、难点分析较详细，结合本项目的特点，提出该项目应注意的</w:t>
            </w:r>
            <w:r>
              <w:rPr>
                <w:rFonts w:hint="eastAsia" w:ascii="宋体" w:hAnsi="宋体" w:cs="宋体"/>
                <w:bCs/>
                <w:color w:val="000000" w:themeColor="text1"/>
                <w:sz w:val="21"/>
                <w:szCs w:val="21"/>
                <w:highlight w:val="none"/>
                <w:lang w:val="en-US" w:eastAsia="zh-CN"/>
                <w14:textFill>
                  <w14:solidFill>
                    <w14:schemeClr w14:val="tx1"/>
                  </w14:solidFill>
                </w14:textFill>
              </w:rPr>
              <w:t>问题以</w:t>
            </w:r>
            <w:r>
              <w:rPr>
                <w:rFonts w:hint="eastAsia" w:ascii="宋体" w:hAnsi="宋体" w:eastAsia="宋体" w:cs="宋体"/>
                <w:bCs/>
                <w:color w:val="000000" w:themeColor="text1"/>
                <w:sz w:val="21"/>
                <w:szCs w:val="21"/>
                <w:highlight w:val="none"/>
                <w14:textFill>
                  <w14:solidFill>
                    <w14:schemeClr w14:val="tx1"/>
                  </w14:solidFill>
                </w14:textFill>
              </w:rPr>
              <w:t>及解决方法，解决措施较合理</w:t>
            </w:r>
            <w:r>
              <w:rPr>
                <w:rFonts w:hint="eastAsia" w:ascii="宋体" w:hAnsi="宋体" w:eastAsia="宋体" w:cs="宋体"/>
                <w:bCs/>
                <w:color w:val="000000" w:themeColor="text1"/>
                <w:sz w:val="21"/>
                <w:szCs w:val="21"/>
                <w:highlight w:val="none"/>
                <w:lang w:eastAsia="zh-CN"/>
                <w14:textFill>
                  <w14:solidFill>
                    <w14:schemeClr w14:val="tx1"/>
                  </w14:solidFill>
                </w14:textFill>
              </w:rPr>
              <w:t>。</w:t>
            </w:r>
          </w:p>
          <w:p w14:paraId="54FD74C1">
            <w:pPr>
              <w:keepNext w:val="0"/>
              <w:keepLines w:val="0"/>
              <w:pageBreakBefore w:val="0"/>
              <w:kinsoku/>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三档（1</w:t>
            </w:r>
            <w:r>
              <w:rPr>
                <w:rFonts w:hint="eastAsia" w:ascii="宋体" w:hAnsi="宋体" w:cs="宋体"/>
                <w:bCs/>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Cs/>
                <w:color w:val="000000" w:themeColor="text1"/>
                <w:sz w:val="21"/>
                <w:szCs w:val="21"/>
                <w:highlight w:val="none"/>
                <w14:textFill>
                  <w14:solidFill>
                    <w14:schemeClr w14:val="tx1"/>
                  </w14:solidFill>
                </w14:textFill>
              </w:rPr>
              <w:t>分）：对工程特点、难点分析深入、深刻</w:t>
            </w:r>
            <w:r>
              <w:rPr>
                <w:rFonts w:hint="eastAsia" w:ascii="宋体" w:hAnsi="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结合本项目的特点，提出该项目应注意的</w:t>
            </w:r>
            <w:r>
              <w:rPr>
                <w:rFonts w:hint="eastAsia" w:ascii="宋体" w:hAnsi="宋体" w:cs="宋体"/>
                <w:bCs/>
                <w:color w:val="000000" w:themeColor="text1"/>
                <w:sz w:val="21"/>
                <w:szCs w:val="21"/>
                <w:highlight w:val="none"/>
                <w:lang w:val="en-US" w:eastAsia="zh-CN"/>
                <w14:textFill>
                  <w14:solidFill>
                    <w14:schemeClr w14:val="tx1"/>
                  </w14:solidFill>
                </w14:textFill>
              </w:rPr>
              <w:t>问题</w:t>
            </w:r>
            <w:r>
              <w:rPr>
                <w:rFonts w:hint="eastAsia" w:ascii="宋体" w:hAnsi="宋体" w:eastAsia="宋体" w:cs="宋体"/>
                <w:bCs/>
                <w:color w:val="000000" w:themeColor="text1"/>
                <w:sz w:val="21"/>
                <w:szCs w:val="21"/>
                <w:highlight w:val="none"/>
                <w14:textFill>
                  <w14:solidFill>
                    <w14:schemeClr w14:val="tx1"/>
                  </w14:solidFill>
                </w14:textFill>
              </w:rPr>
              <w:t>以及合理可行的解决方法</w:t>
            </w:r>
            <w:r>
              <w:rPr>
                <w:rFonts w:hint="eastAsia" w:ascii="宋体" w:hAnsi="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准确抓住本项目难点，提出</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科学合理的解决措施</w:t>
            </w:r>
            <w:r>
              <w:rPr>
                <w:rFonts w:hint="eastAsia" w:ascii="宋体" w:hAnsi="宋体" w:eastAsia="宋体" w:cs="宋体"/>
                <w:bCs/>
                <w:color w:val="000000" w:themeColor="text1"/>
                <w:sz w:val="21"/>
                <w:szCs w:val="21"/>
                <w:highlight w:val="none"/>
                <w14:textFill>
                  <w14:solidFill>
                    <w14:schemeClr w14:val="tx1"/>
                  </w14:solidFill>
                </w14:textFill>
              </w:rPr>
              <w:t>。</w:t>
            </w:r>
          </w:p>
          <w:p w14:paraId="51B1BB07">
            <w:pPr>
              <w:keepNext w:val="0"/>
              <w:keepLines w:val="0"/>
              <w:pageBreakBefore w:val="0"/>
              <w:widowControl/>
              <w:kinsoku/>
              <w:wordWrap w:val="0"/>
              <w:overflowPunct/>
              <w:topLinePunct w:val="0"/>
              <w:autoSpaceDE/>
              <w:autoSpaceDN/>
              <w:bidi w:val="0"/>
              <w:adjustRightInd/>
              <w:snapToGrid/>
              <w:spacing w:line="400" w:lineRule="exact"/>
              <w:ind w:firstLine="420" w:firstLineChars="20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注：未提供方案或方案不满足一档要求的不得分。</w:t>
            </w:r>
          </w:p>
        </w:tc>
      </w:tr>
      <w:tr w14:paraId="00CF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390" w:type="pct"/>
            <w:vMerge w:val="continue"/>
            <w:noWrap w:val="0"/>
            <w:vAlign w:val="center"/>
          </w:tcPr>
          <w:p w14:paraId="66D6A8C5">
            <w:pPr>
              <w:keepNext w:val="0"/>
              <w:keepLines w:val="0"/>
              <w:pageBreakBefore w:val="0"/>
              <w:widowControl/>
              <w:kinsoku/>
              <w:wordWrap w:val="0"/>
              <w:overflowPunct/>
              <w:topLinePunct w:val="0"/>
              <w:autoSpaceDE/>
              <w:autoSpaceDN/>
              <w:bidi w:val="0"/>
              <w:adjustRightInd/>
              <w:spacing w:line="400" w:lineRule="exact"/>
              <w:jc w:val="center"/>
              <w:textAlignment w:val="auto"/>
              <w:rPr>
                <w:rFonts w:hint="eastAsia" w:ascii="宋体" w:hAnsi="宋体" w:eastAsia="宋体" w:cs="宋体"/>
                <w:bCs/>
                <w:color w:val="000000" w:themeColor="text1"/>
                <w:kern w:val="0"/>
                <w:sz w:val="21"/>
                <w:szCs w:val="21"/>
                <w:highlight w:val="none"/>
                <w14:textFill>
                  <w14:solidFill>
                    <w14:schemeClr w14:val="tx1"/>
                  </w14:solidFill>
                </w14:textFill>
              </w:rPr>
            </w:pPr>
          </w:p>
        </w:tc>
        <w:tc>
          <w:tcPr>
            <w:tcW w:w="996" w:type="pct"/>
            <w:vMerge w:val="continue"/>
            <w:noWrap w:val="0"/>
            <w:vAlign w:val="center"/>
          </w:tcPr>
          <w:p w14:paraId="69C39F81">
            <w:pPr>
              <w:keepNext w:val="0"/>
              <w:keepLines w:val="0"/>
              <w:pageBreakBefore w:val="0"/>
              <w:widowControl/>
              <w:kinsoku/>
              <w:wordWrap w:val="0"/>
              <w:overflowPunct/>
              <w:topLinePunct w:val="0"/>
              <w:autoSpaceDE/>
              <w:autoSpaceDN/>
              <w:bidi w:val="0"/>
              <w:adjustRightInd/>
              <w:spacing w:line="400" w:lineRule="exact"/>
              <w:jc w:val="center"/>
              <w:textAlignment w:val="auto"/>
              <w:rPr>
                <w:rFonts w:hint="eastAsia" w:ascii="宋体" w:hAnsi="宋体" w:eastAsia="宋体" w:cs="宋体"/>
                <w:bCs/>
                <w:color w:val="000000" w:themeColor="text1"/>
                <w:kern w:val="0"/>
                <w:sz w:val="21"/>
                <w:szCs w:val="21"/>
                <w:highlight w:val="none"/>
                <w14:textFill>
                  <w14:solidFill>
                    <w14:schemeClr w14:val="tx1"/>
                  </w14:solidFill>
                </w14:textFill>
              </w:rPr>
            </w:pPr>
          </w:p>
        </w:tc>
        <w:tc>
          <w:tcPr>
            <w:tcW w:w="774" w:type="pct"/>
            <w:noWrap w:val="0"/>
            <w:vAlign w:val="center"/>
          </w:tcPr>
          <w:p w14:paraId="6564ABBB">
            <w:pPr>
              <w:keepNext w:val="0"/>
              <w:keepLines w:val="0"/>
              <w:pageBreakBefore w:val="0"/>
              <w:widowControl/>
              <w:kinsoku/>
              <w:wordWrap w:val="0"/>
              <w:overflowPunct/>
              <w:topLinePunct w:val="0"/>
              <w:autoSpaceDE/>
              <w:autoSpaceDN/>
              <w:bidi w:val="0"/>
              <w:adjustRightInd/>
              <w:spacing w:line="40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2.3</w:t>
            </w:r>
            <w:r>
              <w:rPr>
                <w:rFonts w:hint="eastAsia" w:ascii="宋体" w:hAnsi="宋体" w:eastAsia="宋体" w:cs="宋体"/>
                <w:color w:val="000000" w:themeColor="text1"/>
                <w:sz w:val="21"/>
                <w:szCs w:val="21"/>
                <w:highlight w:val="none"/>
                <w:lang w:val="zh-CN"/>
                <w14:textFill>
                  <w14:solidFill>
                    <w14:schemeClr w14:val="tx1"/>
                  </w14:solidFill>
                </w14:textFill>
              </w:rPr>
              <w:t>检测质量控制方案（</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0~</w:t>
            </w: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val="zh-CN"/>
                <w14:textFill>
                  <w14:solidFill>
                    <w14:schemeClr w14:val="tx1"/>
                  </w14:solidFill>
                </w14:textFill>
              </w:rPr>
              <w:t>分）</w:t>
            </w:r>
          </w:p>
        </w:tc>
        <w:tc>
          <w:tcPr>
            <w:tcW w:w="2838" w:type="pct"/>
            <w:noWrap w:val="0"/>
            <w:vAlign w:val="center"/>
          </w:tcPr>
          <w:p w14:paraId="11EB2DF2">
            <w:pPr>
              <w:keepNext w:val="0"/>
              <w:keepLines w:val="0"/>
              <w:pageBreakBefore w:val="0"/>
              <w:kinsoku/>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一档（</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 w:val="0"/>
                <w:bCs w:val="0"/>
                <w:color w:val="000000" w:themeColor="text1"/>
                <w:sz w:val="21"/>
                <w:szCs w:val="21"/>
                <w:highlight w:val="none"/>
                <w14:textFill>
                  <w14:solidFill>
                    <w14:schemeClr w14:val="tx1"/>
                  </w14:solidFill>
                </w14:textFill>
              </w:rPr>
              <w:t>分）：质量控制重点分析</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一般</w:t>
            </w:r>
            <w:r>
              <w:rPr>
                <w:rFonts w:hint="eastAsia" w:ascii="宋体" w:hAnsi="宋体" w:eastAsia="宋体" w:cs="宋体"/>
                <w:b w:val="0"/>
                <w:bCs w:val="0"/>
                <w:color w:val="000000" w:themeColor="text1"/>
                <w:sz w:val="21"/>
                <w:szCs w:val="21"/>
                <w:highlight w:val="none"/>
                <w14:textFill>
                  <w14:solidFill>
                    <w14:schemeClr w14:val="tx1"/>
                  </w14:solidFill>
                </w14:textFill>
              </w:rPr>
              <w:t>；质量目标分解、规划基本合理，质量控制体系基本健全，质量控制措施基本合理。</w:t>
            </w:r>
          </w:p>
          <w:p w14:paraId="27D4E7A0">
            <w:pPr>
              <w:keepNext w:val="0"/>
              <w:keepLines w:val="0"/>
              <w:pageBreakBefore w:val="0"/>
              <w:kinsoku/>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二档（</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9</w:t>
            </w:r>
            <w:r>
              <w:rPr>
                <w:rFonts w:hint="eastAsia" w:ascii="宋体" w:hAnsi="宋体" w:eastAsia="宋体" w:cs="宋体"/>
                <w:b w:val="0"/>
                <w:bCs w:val="0"/>
                <w:color w:val="000000" w:themeColor="text1"/>
                <w:sz w:val="21"/>
                <w:szCs w:val="21"/>
                <w:highlight w:val="none"/>
                <w14:textFill>
                  <w14:solidFill>
                    <w14:schemeClr w14:val="tx1"/>
                  </w14:solidFill>
                </w14:textFill>
              </w:rPr>
              <w:t>分）：质量控制重点分析比较明确；质量目标分解、规划比较合理，质量控制体系健全，质量控制措施有效可靠。</w:t>
            </w:r>
          </w:p>
          <w:p w14:paraId="79A98A81">
            <w:pPr>
              <w:keepNext w:val="0"/>
              <w:keepLines w:val="0"/>
              <w:pageBreakBefore w:val="0"/>
              <w:kinsoku/>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三档（1</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3</w:t>
            </w:r>
            <w:r>
              <w:rPr>
                <w:rFonts w:hint="eastAsia" w:ascii="宋体" w:hAnsi="宋体" w:eastAsia="宋体" w:cs="宋体"/>
                <w:b w:val="0"/>
                <w:bCs w:val="0"/>
                <w:color w:val="000000" w:themeColor="text1"/>
                <w:sz w:val="21"/>
                <w:szCs w:val="21"/>
                <w:highlight w:val="none"/>
                <w14:textFill>
                  <w14:solidFill>
                    <w14:schemeClr w14:val="tx1"/>
                  </w14:solidFill>
                </w14:textFill>
              </w:rPr>
              <w:t>分）：质量控制重点分析明确、到位；质量目标分解、规划合理，质量控制体系健全，质量控制措施有效可靠，控制手段先进完善。</w:t>
            </w:r>
          </w:p>
          <w:p w14:paraId="0ED7A52D">
            <w:pPr>
              <w:keepNext w:val="0"/>
              <w:keepLines w:val="0"/>
              <w:pageBreakBefore w:val="0"/>
              <w:widowControl/>
              <w:kinsoku/>
              <w:wordWrap w:val="0"/>
              <w:overflowPunct/>
              <w:topLinePunct w:val="0"/>
              <w:autoSpaceDE/>
              <w:autoSpaceDN/>
              <w:bidi w:val="0"/>
              <w:adjustRightInd/>
              <w:snapToGrid/>
              <w:spacing w:line="400" w:lineRule="exact"/>
              <w:ind w:firstLine="420" w:firstLineChars="20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注：未提供方案或方案不满足一档要求的不得分。</w:t>
            </w:r>
          </w:p>
        </w:tc>
      </w:tr>
      <w:tr w14:paraId="50772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390" w:type="pct"/>
            <w:vMerge w:val="continue"/>
            <w:noWrap w:val="0"/>
            <w:vAlign w:val="center"/>
          </w:tcPr>
          <w:p w14:paraId="254E4322">
            <w:pPr>
              <w:keepNext w:val="0"/>
              <w:keepLines w:val="0"/>
              <w:pageBreakBefore w:val="0"/>
              <w:widowControl/>
              <w:kinsoku/>
              <w:wordWrap w:val="0"/>
              <w:overflowPunct/>
              <w:topLinePunct w:val="0"/>
              <w:autoSpaceDE/>
              <w:autoSpaceDN/>
              <w:bidi w:val="0"/>
              <w:adjustRightInd/>
              <w:spacing w:line="400" w:lineRule="exact"/>
              <w:jc w:val="center"/>
              <w:textAlignment w:val="auto"/>
              <w:rPr>
                <w:rFonts w:hint="eastAsia" w:ascii="宋体" w:hAnsi="宋体" w:eastAsia="宋体" w:cs="宋体"/>
                <w:bCs/>
                <w:color w:val="000000" w:themeColor="text1"/>
                <w:kern w:val="0"/>
                <w:sz w:val="21"/>
                <w:szCs w:val="21"/>
                <w:highlight w:val="none"/>
                <w14:textFill>
                  <w14:solidFill>
                    <w14:schemeClr w14:val="tx1"/>
                  </w14:solidFill>
                </w14:textFill>
              </w:rPr>
            </w:pPr>
          </w:p>
        </w:tc>
        <w:tc>
          <w:tcPr>
            <w:tcW w:w="996" w:type="pct"/>
            <w:vMerge w:val="continue"/>
            <w:noWrap w:val="0"/>
            <w:vAlign w:val="center"/>
          </w:tcPr>
          <w:p w14:paraId="68088C84">
            <w:pPr>
              <w:keepNext w:val="0"/>
              <w:keepLines w:val="0"/>
              <w:pageBreakBefore w:val="0"/>
              <w:widowControl/>
              <w:kinsoku/>
              <w:wordWrap w:val="0"/>
              <w:overflowPunct/>
              <w:topLinePunct w:val="0"/>
              <w:autoSpaceDE/>
              <w:autoSpaceDN/>
              <w:bidi w:val="0"/>
              <w:adjustRightInd/>
              <w:spacing w:line="400" w:lineRule="exact"/>
              <w:jc w:val="center"/>
              <w:textAlignment w:val="auto"/>
              <w:rPr>
                <w:rFonts w:hint="eastAsia" w:ascii="宋体" w:hAnsi="宋体" w:eastAsia="宋体" w:cs="宋体"/>
                <w:bCs/>
                <w:color w:val="000000" w:themeColor="text1"/>
                <w:kern w:val="0"/>
                <w:sz w:val="21"/>
                <w:szCs w:val="21"/>
                <w:highlight w:val="none"/>
                <w14:textFill>
                  <w14:solidFill>
                    <w14:schemeClr w14:val="tx1"/>
                  </w14:solidFill>
                </w14:textFill>
              </w:rPr>
            </w:pPr>
          </w:p>
        </w:tc>
        <w:tc>
          <w:tcPr>
            <w:tcW w:w="774" w:type="pct"/>
            <w:noWrap w:val="0"/>
            <w:vAlign w:val="center"/>
          </w:tcPr>
          <w:p w14:paraId="3CD41939">
            <w:pPr>
              <w:keepNext w:val="0"/>
              <w:keepLines w:val="0"/>
              <w:pageBreakBefore w:val="0"/>
              <w:widowControl/>
              <w:kinsoku/>
              <w:wordWrap w:val="0"/>
              <w:overflowPunct/>
              <w:topLinePunct w:val="0"/>
              <w:autoSpaceDE/>
              <w:autoSpaceDN/>
              <w:bidi w:val="0"/>
              <w:adjustRightIn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2.4检测进度控制方案（</w:t>
            </w:r>
            <w:r>
              <w:rPr>
                <w:rFonts w:hint="eastAsia" w:ascii="宋体" w:hAnsi="宋体" w:eastAsia="宋体" w:cs="宋体"/>
                <w:b w:val="0"/>
                <w:bCs w:val="0"/>
                <w:color w:val="auto"/>
                <w:sz w:val="21"/>
                <w:szCs w:val="21"/>
                <w:highlight w:val="none"/>
                <w:lang w:eastAsia="zh-CN"/>
              </w:rPr>
              <w:t>0~</w:t>
            </w:r>
            <w:r>
              <w:rPr>
                <w:rFonts w:hint="eastAsia" w:ascii="宋体" w:hAnsi="宋体" w:eastAsia="宋体" w:cs="宋体"/>
                <w:color w:val="auto"/>
                <w:kern w:val="0"/>
                <w:sz w:val="21"/>
                <w:szCs w:val="21"/>
                <w:highlight w:val="none"/>
              </w:rPr>
              <w:t>1</w:t>
            </w:r>
            <w:r>
              <w:rPr>
                <w:rFonts w:hint="eastAsia" w:ascii="宋体" w:hAnsi="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分）</w:t>
            </w:r>
          </w:p>
        </w:tc>
        <w:tc>
          <w:tcPr>
            <w:tcW w:w="2838" w:type="pct"/>
            <w:noWrap w:val="0"/>
            <w:vAlign w:val="center"/>
          </w:tcPr>
          <w:p w14:paraId="72B5FA92">
            <w:pPr>
              <w:keepNext w:val="0"/>
              <w:keepLines w:val="0"/>
              <w:pageBreakBefore w:val="0"/>
              <w:kinsoku/>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一档（4分）：节点或阶段工期、进度控制重点基本明确；工期总进度控制方法、流程、措施</w:t>
            </w:r>
            <w:r>
              <w:rPr>
                <w:rFonts w:hint="eastAsia" w:ascii="宋体" w:hAnsi="宋体" w:cs="宋体"/>
                <w:bCs/>
                <w:color w:val="auto"/>
                <w:sz w:val="21"/>
                <w:szCs w:val="21"/>
                <w:highlight w:val="none"/>
                <w:lang w:val="en-US" w:eastAsia="zh-CN"/>
              </w:rPr>
              <w:t>一般</w:t>
            </w:r>
            <w:r>
              <w:rPr>
                <w:rFonts w:hint="eastAsia" w:ascii="宋体" w:hAnsi="宋体" w:eastAsia="宋体" w:cs="宋体"/>
                <w:bCs/>
                <w:color w:val="auto"/>
                <w:sz w:val="21"/>
                <w:szCs w:val="21"/>
                <w:highlight w:val="none"/>
              </w:rPr>
              <w:t>，工期控制点设置基本合理。</w:t>
            </w:r>
          </w:p>
          <w:p w14:paraId="4D169B3B">
            <w:pPr>
              <w:keepNext w:val="0"/>
              <w:keepLines w:val="0"/>
              <w:pageBreakBefore w:val="0"/>
              <w:kinsoku/>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二档（</w:t>
            </w:r>
            <w:r>
              <w:rPr>
                <w:rFonts w:hint="eastAsia" w:ascii="宋体" w:hAnsi="宋体" w:eastAsia="宋体" w:cs="宋体"/>
                <w:bCs/>
                <w:color w:val="auto"/>
                <w:sz w:val="21"/>
                <w:szCs w:val="21"/>
                <w:highlight w:val="none"/>
                <w:lang w:val="en-US" w:eastAsia="zh-CN"/>
              </w:rPr>
              <w:t>8</w:t>
            </w:r>
            <w:r>
              <w:rPr>
                <w:rFonts w:hint="eastAsia" w:ascii="宋体" w:hAnsi="宋体" w:eastAsia="宋体" w:cs="宋体"/>
                <w:bCs/>
                <w:color w:val="auto"/>
                <w:sz w:val="21"/>
                <w:szCs w:val="21"/>
                <w:highlight w:val="none"/>
              </w:rPr>
              <w:t>分）：节点或阶段工期、进度控制重点比较明确；工期总进度控制方法、流程、措施比较科学，工期控制点设置比较合理，控制措施与手段可</w:t>
            </w:r>
            <w:r>
              <w:rPr>
                <w:rFonts w:hint="eastAsia" w:ascii="宋体" w:hAnsi="宋体" w:cs="宋体"/>
                <w:bCs/>
                <w:color w:val="auto"/>
                <w:sz w:val="21"/>
                <w:szCs w:val="21"/>
                <w:highlight w:val="none"/>
                <w:lang w:val="en-US" w:eastAsia="zh-CN"/>
              </w:rPr>
              <w:t>行</w:t>
            </w:r>
            <w:r>
              <w:rPr>
                <w:rFonts w:hint="eastAsia" w:ascii="宋体" w:hAnsi="宋体" w:eastAsia="宋体" w:cs="宋体"/>
                <w:bCs/>
                <w:color w:val="auto"/>
                <w:sz w:val="21"/>
                <w:szCs w:val="21"/>
                <w:highlight w:val="none"/>
              </w:rPr>
              <w:t>。</w:t>
            </w:r>
          </w:p>
          <w:p w14:paraId="7931E8F0">
            <w:pPr>
              <w:keepNext w:val="0"/>
              <w:keepLines w:val="0"/>
              <w:pageBreakBefore w:val="0"/>
              <w:kinsoku/>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三档（1</w:t>
            </w:r>
            <w:r>
              <w:rPr>
                <w:rFonts w:hint="eastAsia" w:ascii="宋体" w:hAnsi="宋体" w:cs="宋体"/>
                <w:bCs/>
                <w:color w:val="auto"/>
                <w:sz w:val="21"/>
                <w:szCs w:val="21"/>
                <w:highlight w:val="none"/>
                <w:lang w:val="en-US" w:eastAsia="zh-CN"/>
              </w:rPr>
              <w:t>2</w:t>
            </w:r>
            <w:r>
              <w:rPr>
                <w:rFonts w:hint="eastAsia" w:ascii="宋体" w:hAnsi="宋体" w:eastAsia="宋体" w:cs="宋体"/>
                <w:bCs/>
                <w:color w:val="auto"/>
                <w:sz w:val="21"/>
                <w:szCs w:val="21"/>
                <w:highlight w:val="none"/>
              </w:rPr>
              <w:t>分）：节点或阶段工期</w:t>
            </w:r>
            <w:r>
              <w:rPr>
                <w:rFonts w:hint="eastAsia" w:ascii="宋体" w:hAnsi="宋体" w:cs="宋体"/>
                <w:bCs/>
                <w:color w:val="auto"/>
                <w:sz w:val="21"/>
                <w:szCs w:val="21"/>
                <w:highlight w:val="none"/>
                <w:lang w:eastAsia="zh-CN"/>
              </w:rPr>
              <w:t>、</w:t>
            </w:r>
            <w:r>
              <w:rPr>
                <w:rFonts w:hint="eastAsia" w:ascii="宋体" w:hAnsi="宋体" w:eastAsia="宋体" w:cs="宋体"/>
                <w:bCs/>
                <w:color w:val="auto"/>
                <w:sz w:val="21"/>
                <w:szCs w:val="21"/>
                <w:highlight w:val="none"/>
              </w:rPr>
              <w:t>进度控制重点明确；工期总进度控制方法、流程、措施科学，有优化，工期控制点设置合理，控制措施与手段可靠有力。</w:t>
            </w:r>
          </w:p>
          <w:p w14:paraId="0C435D34">
            <w:pPr>
              <w:keepNext w:val="0"/>
              <w:keepLines w:val="0"/>
              <w:pageBreakBefore w:val="0"/>
              <w:widowControl/>
              <w:kinsoku/>
              <w:wordWrap w:val="0"/>
              <w:overflowPunct/>
              <w:topLinePunct w:val="0"/>
              <w:autoSpaceDE/>
              <w:autoSpaceDN/>
              <w:bidi w:val="0"/>
              <w:adjustRightInd/>
              <w:snapToGrid/>
              <w:spacing w:line="400" w:lineRule="exact"/>
              <w:ind w:firstLine="420" w:firstLineChars="200"/>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Cs/>
                <w:color w:val="auto"/>
                <w:sz w:val="21"/>
                <w:szCs w:val="21"/>
                <w:highlight w:val="none"/>
              </w:rPr>
              <w:t>注：未提供方案或方案不满足一档要求的不得分。</w:t>
            </w:r>
          </w:p>
        </w:tc>
      </w:tr>
      <w:tr w14:paraId="0F186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390" w:type="pct"/>
            <w:vMerge w:val="continue"/>
            <w:noWrap w:val="0"/>
            <w:vAlign w:val="center"/>
          </w:tcPr>
          <w:p w14:paraId="11FDFA63">
            <w:pPr>
              <w:keepNext w:val="0"/>
              <w:keepLines w:val="0"/>
              <w:pageBreakBefore w:val="0"/>
              <w:widowControl/>
              <w:kinsoku/>
              <w:wordWrap w:val="0"/>
              <w:overflowPunct/>
              <w:topLinePunct w:val="0"/>
              <w:autoSpaceDE/>
              <w:autoSpaceDN/>
              <w:bidi w:val="0"/>
              <w:adjustRightInd/>
              <w:spacing w:line="400" w:lineRule="exact"/>
              <w:jc w:val="center"/>
              <w:textAlignment w:val="auto"/>
              <w:rPr>
                <w:rFonts w:hint="eastAsia" w:ascii="宋体" w:hAnsi="宋体" w:eastAsia="宋体" w:cs="宋体"/>
                <w:bCs/>
                <w:color w:val="000000" w:themeColor="text1"/>
                <w:kern w:val="0"/>
                <w:sz w:val="21"/>
                <w:szCs w:val="21"/>
                <w:highlight w:val="none"/>
                <w14:textFill>
                  <w14:solidFill>
                    <w14:schemeClr w14:val="tx1"/>
                  </w14:solidFill>
                </w14:textFill>
              </w:rPr>
            </w:pPr>
          </w:p>
        </w:tc>
        <w:tc>
          <w:tcPr>
            <w:tcW w:w="996" w:type="pct"/>
            <w:vMerge w:val="continue"/>
            <w:noWrap w:val="0"/>
            <w:vAlign w:val="center"/>
          </w:tcPr>
          <w:p w14:paraId="17A7534B">
            <w:pPr>
              <w:keepNext w:val="0"/>
              <w:keepLines w:val="0"/>
              <w:pageBreakBefore w:val="0"/>
              <w:widowControl/>
              <w:kinsoku/>
              <w:wordWrap w:val="0"/>
              <w:overflowPunct/>
              <w:topLinePunct w:val="0"/>
              <w:autoSpaceDE/>
              <w:autoSpaceDN/>
              <w:bidi w:val="0"/>
              <w:adjustRightInd/>
              <w:spacing w:line="400" w:lineRule="exact"/>
              <w:jc w:val="center"/>
              <w:textAlignment w:val="auto"/>
              <w:rPr>
                <w:rFonts w:hint="eastAsia" w:ascii="宋体" w:hAnsi="宋体" w:eastAsia="宋体" w:cs="宋体"/>
                <w:bCs/>
                <w:color w:val="000000" w:themeColor="text1"/>
                <w:kern w:val="0"/>
                <w:sz w:val="21"/>
                <w:szCs w:val="21"/>
                <w:highlight w:val="none"/>
                <w14:textFill>
                  <w14:solidFill>
                    <w14:schemeClr w14:val="tx1"/>
                  </w14:solidFill>
                </w14:textFill>
              </w:rPr>
            </w:pPr>
          </w:p>
        </w:tc>
        <w:tc>
          <w:tcPr>
            <w:tcW w:w="1463" w:type="dxa"/>
            <w:noWrap w:val="0"/>
            <w:vAlign w:val="center"/>
          </w:tcPr>
          <w:p w14:paraId="06477709">
            <w:pPr>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olor w:val="auto"/>
                <w:sz w:val="21"/>
                <w:szCs w:val="21"/>
                <w:highlight w:val="none"/>
                <w:lang w:val="en-US" w:eastAsia="zh-CN"/>
              </w:rPr>
              <w:t>2.5</w:t>
            </w:r>
            <w:r>
              <w:rPr>
                <w:rFonts w:hint="eastAsia" w:ascii="宋体" w:hAnsi="宋体" w:eastAsia="宋体"/>
                <w:color w:val="auto"/>
                <w:sz w:val="21"/>
                <w:szCs w:val="21"/>
                <w:highlight w:val="none"/>
              </w:rPr>
              <w:t>环保及安全文明检测方案</w:t>
            </w:r>
            <w:r>
              <w:rPr>
                <w:rFonts w:hint="eastAsia" w:ascii="宋体" w:hAnsi="宋体" w:eastAsia="宋体"/>
                <w:color w:val="auto"/>
                <w:sz w:val="21"/>
                <w:szCs w:val="21"/>
                <w:highlight w:val="none"/>
                <w:lang w:eastAsia="zh-CN"/>
              </w:rPr>
              <w:t>（0~1</w:t>
            </w:r>
            <w:r>
              <w:rPr>
                <w:rFonts w:hint="eastAsia" w:ascii="宋体" w:hAnsi="宋体" w:eastAsia="宋体"/>
                <w:color w:val="auto"/>
                <w:sz w:val="21"/>
                <w:szCs w:val="21"/>
                <w:highlight w:val="none"/>
                <w:lang w:val="en-US" w:eastAsia="zh-CN"/>
              </w:rPr>
              <w:t>0</w:t>
            </w:r>
            <w:r>
              <w:rPr>
                <w:rFonts w:hint="eastAsia" w:ascii="宋体" w:hAnsi="宋体" w:eastAsia="宋体"/>
                <w:color w:val="auto"/>
                <w:sz w:val="21"/>
                <w:szCs w:val="21"/>
                <w:highlight w:val="none"/>
                <w:lang w:eastAsia="zh-CN"/>
              </w:rPr>
              <w:t>分）</w:t>
            </w:r>
          </w:p>
        </w:tc>
        <w:tc>
          <w:tcPr>
            <w:tcW w:w="5370" w:type="dxa"/>
            <w:noWrap w:val="0"/>
            <w:vAlign w:val="center"/>
          </w:tcPr>
          <w:p w14:paraId="7EDFA9EA">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一档</w:t>
            </w: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rPr>
              <w:t>分）：</w:t>
            </w:r>
            <w:r>
              <w:rPr>
                <w:rFonts w:hint="eastAsia" w:ascii="宋体" w:hAnsi="宋体" w:eastAsia="宋体" w:cs="宋体"/>
                <w:bCs/>
                <w:color w:val="auto"/>
                <w:sz w:val="21"/>
                <w:szCs w:val="21"/>
                <w:highlight w:val="none"/>
                <w:lang w:val="en-US" w:eastAsia="zh-CN"/>
              </w:rPr>
              <w:t>方案包含</w:t>
            </w:r>
            <w:r>
              <w:rPr>
                <w:rFonts w:hint="eastAsia" w:ascii="宋体" w:hAnsi="宋体" w:eastAsia="宋体" w:cs="宋体"/>
                <w:bCs/>
                <w:color w:val="auto"/>
                <w:sz w:val="21"/>
                <w:szCs w:val="21"/>
                <w:highlight w:val="none"/>
              </w:rPr>
              <w:t>现场作业安全、用电安全、设备安全</w:t>
            </w:r>
            <w:r>
              <w:rPr>
                <w:rFonts w:hint="eastAsia" w:ascii="宋体" w:hAnsi="宋体" w:eastAsia="宋体" w:cs="宋体"/>
                <w:bCs/>
                <w:color w:val="auto"/>
                <w:sz w:val="21"/>
                <w:szCs w:val="21"/>
                <w:highlight w:val="none"/>
                <w:lang w:val="en-US" w:eastAsia="zh-CN"/>
              </w:rPr>
              <w:t>等</w:t>
            </w:r>
            <w:r>
              <w:rPr>
                <w:rFonts w:hint="eastAsia" w:ascii="宋体" w:hAnsi="宋体" w:eastAsia="宋体" w:cs="宋体"/>
                <w:bCs/>
                <w:color w:val="auto"/>
                <w:sz w:val="21"/>
                <w:szCs w:val="21"/>
                <w:highlight w:val="none"/>
              </w:rPr>
              <w:t>安全管控；明确安全责任人，配备基础安全防护用品。</w:t>
            </w:r>
          </w:p>
          <w:p w14:paraId="3B3912A5">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二档</w:t>
            </w: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7</w:t>
            </w:r>
            <w:r>
              <w:rPr>
                <w:rFonts w:hint="eastAsia" w:ascii="宋体" w:hAnsi="宋体" w:eastAsia="宋体" w:cs="宋体"/>
                <w:bCs/>
                <w:color w:val="auto"/>
                <w:sz w:val="21"/>
                <w:szCs w:val="21"/>
                <w:highlight w:val="none"/>
              </w:rPr>
              <w:t>分）：</w:t>
            </w:r>
            <w:r>
              <w:rPr>
                <w:rFonts w:hint="eastAsia" w:ascii="宋体" w:hAnsi="宋体" w:eastAsia="宋体" w:cs="宋体"/>
                <w:bCs/>
                <w:color w:val="auto"/>
                <w:sz w:val="21"/>
                <w:szCs w:val="21"/>
                <w:highlight w:val="none"/>
                <w:lang w:val="en-US" w:eastAsia="zh-CN"/>
              </w:rPr>
              <w:t>方案包含</w:t>
            </w:r>
            <w:r>
              <w:rPr>
                <w:rFonts w:hint="eastAsia" w:ascii="宋体" w:hAnsi="宋体" w:eastAsia="宋体" w:cs="宋体"/>
                <w:bCs/>
                <w:color w:val="auto"/>
                <w:sz w:val="21"/>
                <w:szCs w:val="21"/>
                <w:highlight w:val="none"/>
              </w:rPr>
              <w:t>现场作业安全、用电安全、设备安全</w:t>
            </w:r>
            <w:r>
              <w:rPr>
                <w:rFonts w:hint="eastAsia" w:ascii="宋体" w:hAnsi="宋体" w:eastAsia="宋体" w:cs="宋体"/>
                <w:bCs/>
                <w:color w:val="auto"/>
                <w:sz w:val="21"/>
                <w:szCs w:val="21"/>
                <w:highlight w:val="none"/>
                <w:lang w:val="en-US" w:eastAsia="zh-CN"/>
              </w:rPr>
              <w:t>、</w:t>
            </w:r>
            <w:r>
              <w:rPr>
                <w:rFonts w:hint="eastAsia" w:ascii="宋体" w:hAnsi="宋体" w:eastAsia="宋体" w:cs="宋体"/>
                <w:bCs/>
                <w:color w:val="auto"/>
                <w:sz w:val="21"/>
                <w:szCs w:val="21"/>
                <w:highlight w:val="none"/>
              </w:rPr>
              <w:t>高空作业安全、地下空间检测安全</w:t>
            </w:r>
            <w:r>
              <w:rPr>
                <w:rFonts w:hint="eastAsia" w:ascii="宋体" w:hAnsi="宋体" w:eastAsia="宋体" w:cs="宋体"/>
                <w:bCs/>
                <w:color w:val="auto"/>
                <w:sz w:val="21"/>
                <w:szCs w:val="21"/>
                <w:highlight w:val="none"/>
                <w:lang w:val="en-US" w:eastAsia="zh-CN"/>
              </w:rPr>
              <w:t>等</w:t>
            </w:r>
            <w:r>
              <w:rPr>
                <w:rFonts w:hint="eastAsia" w:ascii="宋体" w:hAnsi="宋体" w:eastAsia="宋体" w:cs="宋体"/>
                <w:bCs/>
                <w:color w:val="auto"/>
                <w:sz w:val="21"/>
                <w:szCs w:val="21"/>
                <w:highlight w:val="none"/>
              </w:rPr>
              <w:t>专项安全管控；明确安全责任人，配备基础安全防护用品</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制定针对性降噪、减废环保措施；针对本项目施工环境制定安全事故基础应急流程。</w:t>
            </w:r>
          </w:p>
          <w:p w14:paraId="38B6A48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三档</w:t>
            </w: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10</w:t>
            </w:r>
            <w:r>
              <w:rPr>
                <w:rFonts w:hint="eastAsia" w:ascii="宋体" w:hAnsi="宋体" w:eastAsia="宋体" w:cs="宋体"/>
                <w:bCs/>
                <w:color w:val="auto"/>
                <w:sz w:val="21"/>
                <w:szCs w:val="21"/>
                <w:highlight w:val="none"/>
              </w:rPr>
              <w:t>分）：</w:t>
            </w:r>
            <w:r>
              <w:rPr>
                <w:rFonts w:hint="eastAsia" w:ascii="宋体" w:hAnsi="宋体" w:eastAsia="宋体" w:cs="宋体"/>
                <w:bCs/>
                <w:color w:val="auto"/>
                <w:sz w:val="21"/>
                <w:szCs w:val="21"/>
                <w:highlight w:val="none"/>
                <w:lang w:val="en-US" w:eastAsia="zh-CN"/>
              </w:rPr>
              <w:t>方案包含</w:t>
            </w:r>
            <w:r>
              <w:rPr>
                <w:rFonts w:hint="eastAsia" w:ascii="宋体" w:hAnsi="宋体" w:eastAsia="宋体" w:cs="宋体"/>
                <w:bCs/>
                <w:color w:val="auto"/>
                <w:sz w:val="21"/>
                <w:szCs w:val="21"/>
                <w:highlight w:val="none"/>
              </w:rPr>
              <w:t>现场作业安全、用电安全、设备安全</w:t>
            </w:r>
            <w:r>
              <w:rPr>
                <w:rFonts w:hint="eastAsia" w:ascii="宋体" w:hAnsi="宋体" w:eastAsia="宋体" w:cs="宋体"/>
                <w:bCs/>
                <w:color w:val="auto"/>
                <w:sz w:val="21"/>
                <w:szCs w:val="21"/>
                <w:highlight w:val="none"/>
                <w:lang w:val="en-US" w:eastAsia="zh-CN"/>
              </w:rPr>
              <w:t>、</w:t>
            </w:r>
            <w:r>
              <w:rPr>
                <w:rFonts w:hint="eastAsia" w:ascii="宋体" w:hAnsi="宋体" w:eastAsia="宋体" w:cs="宋体"/>
                <w:bCs/>
                <w:color w:val="auto"/>
                <w:sz w:val="21"/>
                <w:szCs w:val="21"/>
                <w:highlight w:val="none"/>
              </w:rPr>
              <w:t>高空作业安全、地下空间检测安全</w:t>
            </w:r>
            <w:r>
              <w:rPr>
                <w:rFonts w:hint="eastAsia" w:ascii="宋体" w:hAnsi="宋体" w:eastAsia="宋体" w:cs="宋体"/>
                <w:bCs/>
                <w:color w:val="auto"/>
                <w:sz w:val="21"/>
                <w:szCs w:val="21"/>
                <w:highlight w:val="none"/>
                <w:lang w:val="en-US" w:eastAsia="zh-CN"/>
              </w:rPr>
              <w:t>等</w:t>
            </w:r>
            <w:r>
              <w:rPr>
                <w:rFonts w:hint="eastAsia" w:ascii="宋体" w:hAnsi="宋体" w:eastAsia="宋体" w:cs="宋体"/>
                <w:bCs/>
                <w:color w:val="auto"/>
                <w:sz w:val="21"/>
                <w:szCs w:val="21"/>
                <w:highlight w:val="none"/>
              </w:rPr>
              <w:t>专项安全管控；明确安全责任人，配备基础安全防护用品</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针对性降噪、减废环保</w:t>
            </w:r>
            <w:r>
              <w:rPr>
                <w:rFonts w:hint="eastAsia" w:ascii="宋体" w:hAnsi="宋体" w:eastAsia="宋体" w:cs="宋体"/>
                <w:bCs/>
                <w:color w:val="auto"/>
                <w:sz w:val="21"/>
                <w:szCs w:val="21"/>
                <w:highlight w:val="none"/>
                <w:lang w:val="en-US" w:eastAsia="zh-CN"/>
              </w:rPr>
              <w:t>有全流程环保管控措施</w:t>
            </w: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建立完整的安全事故应急处置与上报机制，有针对工程环境及工程特点、难点防范及化解安全事故发生的措施</w:t>
            </w:r>
            <w:r>
              <w:rPr>
                <w:rFonts w:hint="eastAsia" w:ascii="宋体" w:hAnsi="宋体" w:eastAsia="宋体" w:cs="宋体"/>
                <w:bCs/>
                <w:color w:val="auto"/>
                <w:sz w:val="21"/>
                <w:szCs w:val="21"/>
                <w:highlight w:val="none"/>
              </w:rPr>
              <w:t>。</w:t>
            </w:r>
          </w:p>
          <w:p w14:paraId="11C2639D">
            <w:pPr>
              <w:pStyle w:val="21"/>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color w:val="auto"/>
                <w:highlight w:val="none"/>
              </w:rPr>
            </w:pPr>
            <w:r>
              <w:rPr>
                <w:rFonts w:hint="eastAsia" w:ascii="宋体" w:hAnsi="宋体" w:eastAsia="宋体" w:cs="宋体"/>
                <w:color w:val="auto"/>
                <w:sz w:val="21"/>
                <w:szCs w:val="21"/>
                <w:highlight w:val="none"/>
              </w:rPr>
              <w:t>注：未提供方案或方案不满足一档要求的不得分。</w:t>
            </w:r>
          </w:p>
        </w:tc>
      </w:tr>
      <w:tr w14:paraId="37AE3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390" w:type="pct"/>
            <w:vMerge w:val="continue"/>
            <w:noWrap w:val="0"/>
            <w:vAlign w:val="center"/>
          </w:tcPr>
          <w:p w14:paraId="10D29FFE">
            <w:pPr>
              <w:keepNext w:val="0"/>
              <w:keepLines w:val="0"/>
              <w:pageBreakBefore w:val="0"/>
              <w:widowControl/>
              <w:kinsoku/>
              <w:wordWrap w:val="0"/>
              <w:overflowPunct/>
              <w:topLinePunct w:val="0"/>
              <w:autoSpaceDE/>
              <w:autoSpaceDN/>
              <w:bidi w:val="0"/>
              <w:adjustRightInd/>
              <w:spacing w:line="400" w:lineRule="exact"/>
              <w:jc w:val="center"/>
              <w:textAlignment w:val="auto"/>
              <w:rPr>
                <w:rFonts w:hint="eastAsia" w:ascii="宋体" w:hAnsi="宋体" w:eastAsia="宋体" w:cs="宋体"/>
                <w:bCs/>
                <w:color w:val="000000" w:themeColor="text1"/>
                <w:kern w:val="0"/>
                <w:sz w:val="21"/>
                <w:szCs w:val="21"/>
                <w:highlight w:val="none"/>
                <w14:textFill>
                  <w14:solidFill>
                    <w14:schemeClr w14:val="tx1"/>
                  </w14:solidFill>
                </w14:textFill>
              </w:rPr>
            </w:pPr>
          </w:p>
        </w:tc>
        <w:tc>
          <w:tcPr>
            <w:tcW w:w="996" w:type="pct"/>
            <w:vMerge w:val="continue"/>
            <w:noWrap w:val="0"/>
            <w:vAlign w:val="center"/>
          </w:tcPr>
          <w:p w14:paraId="66779F8C">
            <w:pPr>
              <w:keepNext w:val="0"/>
              <w:keepLines w:val="0"/>
              <w:pageBreakBefore w:val="0"/>
              <w:widowControl/>
              <w:kinsoku/>
              <w:wordWrap w:val="0"/>
              <w:overflowPunct/>
              <w:topLinePunct w:val="0"/>
              <w:autoSpaceDE/>
              <w:autoSpaceDN/>
              <w:bidi w:val="0"/>
              <w:adjustRightInd/>
              <w:spacing w:line="400" w:lineRule="exact"/>
              <w:jc w:val="center"/>
              <w:textAlignment w:val="auto"/>
              <w:rPr>
                <w:rFonts w:hint="eastAsia" w:ascii="宋体" w:hAnsi="宋体" w:eastAsia="宋体" w:cs="宋体"/>
                <w:bCs/>
                <w:color w:val="000000" w:themeColor="text1"/>
                <w:kern w:val="0"/>
                <w:sz w:val="21"/>
                <w:szCs w:val="21"/>
                <w:highlight w:val="none"/>
                <w14:textFill>
                  <w14:solidFill>
                    <w14:schemeClr w14:val="tx1"/>
                  </w14:solidFill>
                </w14:textFill>
              </w:rPr>
            </w:pPr>
          </w:p>
        </w:tc>
        <w:tc>
          <w:tcPr>
            <w:tcW w:w="774" w:type="pct"/>
            <w:noWrap w:val="0"/>
            <w:vAlign w:val="center"/>
          </w:tcPr>
          <w:p w14:paraId="7AA4E2F0">
            <w:pPr>
              <w:keepNext w:val="0"/>
              <w:keepLines w:val="0"/>
              <w:pageBreakBefore w:val="0"/>
              <w:widowControl/>
              <w:kinsoku/>
              <w:wordWrap w:val="0"/>
              <w:overflowPunct/>
              <w:topLinePunct w:val="0"/>
              <w:autoSpaceDE/>
              <w:autoSpaceDN/>
              <w:bidi w:val="0"/>
              <w:adjustRightInd/>
              <w:spacing w:line="40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w:t>
            </w:r>
            <w:r>
              <w:rPr>
                <w:rFonts w:hint="eastAsia" w:ascii="宋体" w:hAnsi="宋体" w:cs="宋体"/>
                <w:color w:val="000000" w:themeColor="text1"/>
                <w:kern w:val="0"/>
                <w:sz w:val="21"/>
                <w:szCs w:val="21"/>
                <w:highlight w:val="none"/>
                <w:lang w:val="en-US" w:eastAsia="zh-CN"/>
                <w14:textFill>
                  <w14:solidFill>
                    <w14:schemeClr w14:val="tx1"/>
                  </w14:solidFill>
                </w14:textFill>
              </w:rPr>
              <w:t>6</w:t>
            </w:r>
            <w:r>
              <w:rPr>
                <w:rFonts w:hint="eastAsia" w:ascii="宋体" w:hAnsi="宋体" w:eastAsia="宋体" w:cs="宋体"/>
                <w:color w:val="000000" w:themeColor="text1"/>
                <w:kern w:val="0"/>
                <w:sz w:val="21"/>
                <w:szCs w:val="21"/>
                <w:highlight w:val="none"/>
                <w14:textFill>
                  <w14:solidFill>
                    <w14:schemeClr w14:val="tx1"/>
                  </w14:solidFill>
                </w14:textFill>
              </w:rPr>
              <w:t>拟投入本项目设备情况（</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0~</w:t>
            </w:r>
            <w:r>
              <w:rPr>
                <w:rFonts w:hint="eastAsia" w:ascii="宋体" w:hAnsi="宋体" w:eastAsia="宋体" w:cs="宋体"/>
                <w:color w:val="000000" w:themeColor="text1"/>
                <w:kern w:val="0"/>
                <w:sz w:val="21"/>
                <w:szCs w:val="21"/>
                <w:highlight w:val="none"/>
                <w14:textFill>
                  <w14:solidFill>
                    <w14:schemeClr w14:val="tx1"/>
                  </w14:solidFill>
                </w14:textFill>
              </w:rPr>
              <w:t>1</w:t>
            </w:r>
            <w:r>
              <w:rPr>
                <w:rFonts w:hint="eastAsia" w:ascii="宋体" w:hAnsi="宋体" w:cs="宋体"/>
                <w:color w:val="000000" w:themeColor="text1"/>
                <w:kern w:val="0"/>
                <w:sz w:val="21"/>
                <w:szCs w:val="21"/>
                <w:highlight w:val="none"/>
                <w:lang w:val="en-US" w:eastAsia="zh-CN"/>
                <w14:textFill>
                  <w14:solidFill>
                    <w14:schemeClr w14:val="tx1"/>
                  </w14:solidFill>
                </w14:textFill>
              </w:rPr>
              <w:t>0</w:t>
            </w:r>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2838" w:type="pct"/>
            <w:noWrap w:val="0"/>
            <w:vAlign w:val="center"/>
          </w:tcPr>
          <w:p w14:paraId="4D896DC9">
            <w:pPr>
              <w:keepNext w:val="0"/>
              <w:keepLines w:val="0"/>
              <w:pageBreakBefore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一档（</w:t>
            </w:r>
            <w:r>
              <w:rPr>
                <w:rFonts w:hint="eastAsia" w:ascii="宋体" w:hAnsi="宋体" w:cs="宋体"/>
                <w:bCs/>
                <w:color w:val="000000" w:themeColor="text1"/>
                <w:sz w:val="21"/>
                <w:szCs w:val="21"/>
                <w:highlight w:val="none"/>
                <w:lang w:val="en-US" w:eastAsia="zh-CN"/>
                <w14:textFill>
                  <w14:solidFill>
                    <w14:schemeClr w14:val="tx1"/>
                  </w14:solidFill>
                </w14:textFill>
              </w:rPr>
              <w:t>3</w:t>
            </w:r>
            <w:r>
              <w:rPr>
                <w:rFonts w:hint="eastAsia" w:ascii="宋体" w:hAnsi="宋体" w:eastAsia="宋体" w:cs="宋体"/>
                <w:bCs/>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eastAsia="zh-CN"/>
                <w14:textFill>
                  <w14:solidFill>
                    <w14:schemeClr w14:val="tx1"/>
                  </w14:solidFill>
                </w14:textFill>
              </w:rPr>
              <w:t>拟投入</w:t>
            </w:r>
            <w:r>
              <w:rPr>
                <w:rFonts w:hint="eastAsia" w:ascii="宋体" w:hAnsi="宋体" w:eastAsia="宋体" w:cs="宋体"/>
                <w:bCs/>
                <w:color w:val="000000" w:themeColor="text1"/>
                <w:sz w:val="21"/>
                <w:szCs w:val="21"/>
                <w:highlight w:val="none"/>
                <w14:textFill>
                  <w14:solidFill>
                    <w14:schemeClr w14:val="tx1"/>
                  </w14:solidFill>
                </w14:textFill>
              </w:rPr>
              <w:t>的仪器设备</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配备</w:t>
            </w:r>
            <w:r>
              <w:rPr>
                <w:rFonts w:hint="eastAsia" w:ascii="宋体" w:hAnsi="宋体" w:eastAsia="宋体" w:cs="宋体"/>
                <w:bCs/>
                <w:color w:val="000000" w:themeColor="text1"/>
                <w:sz w:val="21"/>
                <w:szCs w:val="21"/>
                <w:highlight w:val="none"/>
                <w14:textFill>
                  <w14:solidFill>
                    <w14:schemeClr w14:val="tx1"/>
                  </w14:solidFill>
                </w14:textFill>
              </w:rPr>
              <w:t xml:space="preserve">基本齐全、检测仪器、办公设备配备计划基本完善，勉强满足本项目检测需要。 </w:t>
            </w:r>
          </w:p>
          <w:p w14:paraId="3266AF85">
            <w:pPr>
              <w:keepNext w:val="0"/>
              <w:keepLines w:val="0"/>
              <w:pageBreakBefore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二档（</w:t>
            </w:r>
            <w:r>
              <w:rPr>
                <w:rFonts w:hint="eastAsia" w:ascii="宋体" w:hAnsi="宋体" w:cs="宋体"/>
                <w:bCs/>
                <w:color w:val="000000" w:themeColor="text1"/>
                <w:sz w:val="21"/>
                <w:szCs w:val="21"/>
                <w:highlight w:val="none"/>
                <w:lang w:val="en-US" w:eastAsia="zh-CN"/>
                <w14:textFill>
                  <w14:solidFill>
                    <w14:schemeClr w14:val="tx1"/>
                  </w14:solidFill>
                </w14:textFill>
              </w:rPr>
              <w:t>7</w:t>
            </w:r>
            <w:r>
              <w:rPr>
                <w:rFonts w:hint="eastAsia" w:ascii="宋体" w:hAnsi="宋体" w:eastAsia="宋体" w:cs="宋体"/>
                <w:bCs/>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eastAsia="zh-CN"/>
                <w14:textFill>
                  <w14:solidFill>
                    <w14:schemeClr w14:val="tx1"/>
                  </w14:solidFill>
                </w14:textFill>
              </w:rPr>
              <w:t>拟投入</w:t>
            </w:r>
            <w:r>
              <w:rPr>
                <w:rFonts w:hint="eastAsia" w:ascii="宋体" w:hAnsi="宋体" w:eastAsia="宋体" w:cs="宋体"/>
                <w:bCs/>
                <w:color w:val="000000" w:themeColor="text1"/>
                <w:sz w:val="21"/>
                <w:szCs w:val="21"/>
                <w:highlight w:val="none"/>
                <w14:textFill>
                  <w14:solidFill>
                    <w14:schemeClr w14:val="tx1"/>
                  </w14:solidFill>
                </w14:textFill>
              </w:rPr>
              <w:t>的仪器设备</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配备</w:t>
            </w:r>
            <w:r>
              <w:rPr>
                <w:rFonts w:hint="eastAsia" w:ascii="宋体" w:hAnsi="宋体" w:eastAsia="宋体" w:cs="宋体"/>
                <w:bCs/>
                <w:color w:val="000000" w:themeColor="text1"/>
                <w:sz w:val="21"/>
                <w:szCs w:val="21"/>
                <w:highlight w:val="none"/>
                <w14:textFill>
                  <w14:solidFill>
                    <w14:schemeClr w14:val="tx1"/>
                  </w14:solidFill>
                </w14:textFill>
              </w:rPr>
              <w:t>较齐全、合理，检测仪器、办公设备配备计划</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较完</w:t>
            </w:r>
            <w:r>
              <w:rPr>
                <w:rFonts w:hint="eastAsia" w:ascii="宋体" w:hAnsi="宋体" w:eastAsia="宋体" w:cs="宋体"/>
                <w:bCs/>
                <w:color w:val="000000" w:themeColor="text1"/>
                <w:sz w:val="21"/>
                <w:szCs w:val="21"/>
                <w:highlight w:val="none"/>
                <w14:textFill>
                  <w14:solidFill>
                    <w14:schemeClr w14:val="tx1"/>
                  </w14:solidFill>
                </w14:textFill>
              </w:rPr>
              <w:t>善</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选型配置、进场投入计划与进度计划呼应，基本满足本项目检测需要</w:t>
            </w:r>
            <w:r>
              <w:rPr>
                <w:rFonts w:hint="eastAsia" w:ascii="宋体" w:hAnsi="宋体" w:eastAsia="宋体" w:cs="宋体"/>
                <w:bCs/>
                <w:color w:val="000000" w:themeColor="text1"/>
                <w:sz w:val="21"/>
                <w:szCs w:val="21"/>
                <w:highlight w:val="none"/>
                <w14:textFill>
                  <w14:solidFill>
                    <w14:schemeClr w14:val="tx1"/>
                  </w14:solidFill>
                </w14:textFill>
              </w:rPr>
              <w:t xml:space="preserve">。 </w:t>
            </w:r>
          </w:p>
          <w:p w14:paraId="06764E9C">
            <w:pPr>
              <w:keepNext w:val="0"/>
              <w:keepLines w:val="0"/>
              <w:pageBreakBefore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三档（1</w:t>
            </w:r>
            <w:r>
              <w:rPr>
                <w:rFonts w:hint="eastAsia" w:ascii="宋体" w:hAnsi="宋体" w:cs="宋体"/>
                <w:bCs/>
                <w:color w:val="000000" w:themeColor="text1"/>
                <w:sz w:val="21"/>
                <w:szCs w:val="21"/>
                <w:highlight w:val="none"/>
                <w:lang w:val="en-US" w:eastAsia="zh-CN"/>
                <w14:textFill>
                  <w14:solidFill>
                    <w14:schemeClr w14:val="tx1"/>
                  </w14:solidFill>
                </w14:textFill>
              </w:rPr>
              <w:t>0</w:t>
            </w:r>
            <w:r>
              <w:rPr>
                <w:rFonts w:hint="eastAsia" w:ascii="宋体" w:hAnsi="宋体" w:eastAsia="宋体" w:cs="宋体"/>
                <w:bCs/>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eastAsia="zh-CN"/>
                <w14:textFill>
                  <w14:solidFill>
                    <w14:schemeClr w14:val="tx1"/>
                  </w14:solidFill>
                </w14:textFill>
              </w:rPr>
              <w:t>拟投入</w:t>
            </w:r>
            <w:r>
              <w:rPr>
                <w:rFonts w:hint="eastAsia" w:ascii="宋体" w:hAnsi="宋体" w:eastAsia="宋体" w:cs="宋体"/>
                <w:color w:val="000000" w:themeColor="text1"/>
                <w:sz w:val="21"/>
                <w:szCs w:val="21"/>
                <w:highlight w:val="none"/>
                <w:lang w:val="en-US" w:eastAsia="zh-CN"/>
                <w14:textFill>
                  <w14:solidFill>
                    <w14:schemeClr w14:val="tx1"/>
                  </w14:solidFill>
                </w14:textFill>
              </w:rPr>
              <w:t>的</w:t>
            </w:r>
            <w:r>
              <w:rPr>
                <w:rFonts w:hint="eastAsia" w:ascii="宋体" w:hAnsi="宋体" w:eastAsia="宋体" w:cs="宋体"/>
                <w:bCs/>
                <w:color w:val="000000" w:themeColor="text1"/>
                <w:sz w:val="21"/>
                <w:szCs w:val="21"/>
                <w:highlight w:val="none"/>
                <w14:textFill>
                  <w14:solidFill>
                    <w14:schemeClr w14:val="tx1"/>
                  </w14:solidFill>
                </w14:textFill>
              </w:rPr>
              <w:t>检测仪器和设备配备计划完整，检测仪器和设备检验</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合格</w:t>
            </w:r>
            <w:r>
              <w:rPr>
                <w:rFonts w:hint="eastAsia" w:asciiTheme="minorEastAsia" w:hAnsiTheme="minorEastAsia" w:eastAsiaTheme="minorEastAsia" w:cstheme="minorEastAsia"/>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齐全、先进</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设备数量、选型配置</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进场时间安排合理，</w:t>
            </w:r>
            <w:r>
              <w:rPr>
                <w:rFonts w:hint="eastAsia" w:ascii="宋体" w:hAnsi="宋体" w:eastAsia="宋体" w:cs="宋体"/>
                <w:bCs/>
                <w:color w:val="000000" w:themeColor="text1"/>
                <w:sz w:val="21"/>
                <w:szCs w:val="21"/>
                <w:highlight w:val="none"/>
                <w14:textFill>
                  <w14:solidFill>
                    <w14:schemeClr w14:val="tx1"/>
                  </w14:solidFill>
                </w14:textFill>
              </w:rPr>
              <w:t>投入计划与进度计划呼应，</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完全</w:t>
            </w:r>
            <w:r>
              <w:rPr>
                <w:rFonts w:hint="eastAsia" w:ascii="宋体" w:hAnsi="宋体" w:eastAsia="宋体" w:cs="宋体"/>
                <w:bCs/>
                <w:color w:val="000000" w:themeColor="text1"/>
                <w:sz w:val="21"/>
                <w:szCs w:val="21"/>
                <w:highlight w:val="none"/>
                <w14:textFill>
                  <w14:solidFill>
                    <w14:schemeClr w14:val="tx1"/>
                  </w14:solidFill>
                </w14:textFill>
              </w:rPr>
              <w:t xml:space="preserve">满足本项目检测需要。 </w:t>
            </w:r>
          </w:p>
          <w:p w14:paraId="4E004C09">
            <w:pPr>
              <w:keepNext w:val="0"/>
              <w:keepLines w:val="0"/>
              <w:pageBreakBefore w:val="0"/>
              <w:widowControl/>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注：拟投入设备提供校准证书且在有效期内。</w:t>
            </w:r>
          </w:p>
        </w:tc>
      </w:tr>
      <w:tr w14:paraId="073EF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390" w:type="pct"/>
            <w:vMerge w:val="continue"/>
            <w:noWrap w:val="0"/>
            <w:vAlign w:val="center"/>
          </w:tcPr>
          <w:p w14:paraId="63A6E50D">
            <w:pPr>
              <w:keepNext w:val="0"/>
              <w:keepLines w:val="0"/>
              <w:pageBreakBefore w:val="0"/>
              <w:widowControl/>
              <w:kinsoku/>
              <w:wordWrap w:val="0"/>
              <w:overflowPunct/>
              <w:topLinePunct w:val="0"/>
              <w:autoSpaceDE/>
              <w:autoSpaceDN/>
              <w:bidi w:val="0"/>
              <w:adjustRightInd/>
              <w:spacing w:line="400" w:lineRule="exact"/>
              <w:jc w:val="center"/>
              <w:textAlignment w:val="auto"/>
              <w:rPr>
                <w:rFonts w:hint="eastAsia" w:ascii="宋体" w:hAnsi="宋体" w:eastAsia="宋体" w:cs="宋体"/>
                <w:bCs/>
                <w:color w:val="000000" w:themeColor="text1"/>
                <w:kern w:val="0"/>
                <w:sz w:val="21"/>
                <w:szCs w:val="21"/>
                <w:highlight w:val="none"/>
                <w14:textFill>
                  <w14:solidFill>
                    <w14:schemeClr w14:val="tx1"/>
                  </w14:solidFill>
                </w14:textFill>
              </w:rPr>
            </w:pPr>
          </w:p>
        </w:tc>
        <w:tc>
          <w:tcPr>
            <w:tcW w:w="996" w:type="pct"/>
            <w:vMerge w:val="continue"/>
            <w:noWrap w:val="0"/>
            <w:vAlign w:val="center"/>
          </w:tcPr>
          <w:p w14:paraId="2D6F37AB">
            <w:pPr>
              <w:keepNext w:val="0"/>
              <w:keepLines w:val="0"/>
              <w:pageBreakBefore w:val="0"/>
              <w:widowControl/>
              <w:kinsoku/>
              <w:wordWrap w:val="0"/>
              <w:overflowPunct/>
              <w:topLinePunct w:val="0"/>
              <w:autoSpaceDE/>
              <w:autoSpaceDN/>
              <w:bidi w:val="0"/>
              <w:adjustRightInd/>
              <w:spacing w:line="400" w:lineRule="exact"/>
              <w:jc w:val="center"/>
              <w:textAlignment w:val="auto"/>
              <w:rPr>
                <w:rFonts w:hint="eastAsia" w:ascii="宋体" w:hAnsi="宋体" w:eastAsia="宋体" w:cs="宋体"/>
                <w:bCs/>
                <w:color w:val="000000" w:themeColor="text1"/>
                <w:kern w:val="0"/>
                <w:sz w:val="21"/>
                <w:szCs w:val="21"/>
                <w:highlight w:val="none"/>
                <w14:textFill>
                  <w14:solidFill>
                    <w14:schemeClr w14:val="tx1"/>
                  </w14:solidFill>
                </w14:textFill>
              </w:rPr>
            </w:pPr>
          </w:p>
        </w:tc>
        <w:tc>
          <w:tcPr>
            <w:tcW w:w="774" w:type="pct"/>
            <w:noWrap w:val="0"/>
            <w:vAlign w:val="center"/>
          </w:tcPr>
          <w:p w14:paraId="31AD7E50">
            <w:pPr>
              <w:keepNext w:val="0"/>
              <w:keepLines w:val="0"/>
              <w:pageBreakBefore w:val="0"/>
              <w:widowControl/>
              <w:kinsoku/>
              <w:wordWrap w:val="0"/>
              <w:overflowPunct/>
              <w:topLinePunct w:val="0"/>
              <w:autoSpaceDE/>
              <w:autoSpaceDN/>
              <w:bidi w:val="0"/>
              <w:adjustRightInd/>
              <w:spacing w:line="40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w:t>
            </w:r>
            <w:r>
              <w:rPr>
                <w:rFonts w:hint="eastAsia" w:ascii="宋体" w:hAnsi="宋体" w:cs="宋体"/>
                <w:color w:val="000000" w:themeColor="text1"/>
                <w:kern w:val="0"/>
                <w:sz w:val="21"/>
                <w:szCs w:val="21"/>
                <w:highlight w:val="none"/>
                <w:lang w:val="en-US" w:eastAsia="zh-CN"/>
                <w14:textFill>
                  <w14:solidFill>
                    <w14:schemeClr w14:val="tx1"/>
                  </w14:solidFill>
                </w14:textFill>
              </w:rPr>
              <w:t>7</w:t>
            </w:r>
            <w:r>
              <w:rPr>
                <w:rFonts w:hint="eastAsia" w:ascii="宋体" w:hAnsi="宋体" w:eastAsia="宋体" w:cs="宋体"/>
                <w:color w:val="000000" w:themeColor="text1"/>
                <w:kern w:val="0"/>
                <w:sz w:val="21"/>
                <w:szCs w:val="21"/>
                <w:highlight w:val="none"/>
                <w14:textFill>
                  <w14:solidFill>
                    <w14:schemeClr w14:val="tx1"/>
                  </w14:solidFill>
                </w14:textFill>
              </w:rPr>
              <w:t>拟投入检测项目人员情况（</w:t>
            </w:r>
            <w:r>
              <w:rPr>
                <w:rFonts w:hint="eastAsia" w:ascii="宋体" w:hAnsi="宋体" w:eastAsia="宋体" w:cs="宋体"/>
                <w:color w:val="000000" w:themeColor="text1"/>
                <w:sz w:val="21"/>
                <w:szCs w:val="21"/>
                <w:highlight w:val="none"/>
                <w:lang w:val="en-US" w:eastAsia="zh-CN"/>
                <w14:textFill>
                  <w14:solidFill>
                    <w14:schemeClr w14:val="tx1"/>
                  </w14:solidFill>
                </w14:textFill>
              </w:rPr>
              <w:t>客观分，</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0~</w:t>
            </w:r>
            <w:r>
              <w:rPr>
                <w:rFonts w:hint="eastAsia" w:ascii="宋体" w:hAnsi="宋体" w:eastAsia="宋体" w:cs="宋体"/>
                <w:color w:val="000000" w:themeColor="text1"/>
                <w:kern w:val="0"/>
                <w:sz w:val="21"/>
                <w:szCs w:val="21"/>
                <w:highlight w:val="none"/>
                <w14:textFill>
                  <w14:solidFill>
                    <w14:schemeClr w14:val="tx1"/>
                  </w14:solidFill>
                </w14:textFill>
              </w:rPr>
              <w:t>1</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2</w:t>
            </w:r>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2838" w:type="pct"/>
            <w:noWrap w:val="0"/>
            <w:vAlign w:val="center"/>
          </w:tcPr>
          <w:p w14:paraId="5D69D195">
            <w:pPr>
              <w:keepNext w:val="0"/>
              <w:keepLines w:val="0"/>
              <w:pageBreakBefore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 xml:space="preserve">一档（4分）：拟投入本项目人员除项目负责人和技术负责人外，拟投入检测人员不少于 </w:t>
            </w:r>
            <w:r>
              <w:rPr>
                <w:rFonts w:hint="eastAsia" w:ascii="宋体" w:hAnsi="宋体" w:cs="宋体"/>
                <w:bCs/>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bCs/>
                <w:color w:val="000000" w:themeColor="text1"/>
                <w:sz w:val="21"/>
                <w:szCs w:val="21"/>
                <w:highlight w:val="none"/>
                <w14:textFill>
                  <w14:solidFill>
                    <w14:schemeClr w14:val="tx1"/>
                  </w14:solidFill>
                </w14:textFill>
              </w:rPr>
              <w:t>名，且具有中级工程师及以上职称的检测人员不少于</w:t>
            </w:r>
            <w:r>
              <w:rPr>
                <w:rFonts w:hint="eastAsia" w:ascii="宋体" w:hAnsi="宋体" w:cs="宋体"/>
                <w:bCs/>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Cs/>
                <w:color w:val="000000" w:themeColor="text1"/>
                <w:sz w:val="21"/>
                <w:szCs w:val="21"/>
                <w:highlight w:val="none"/>
                <w14:textFill>
                  <w14:solidFill>
                    <w14:schemeClr w14:val="tx1"/>
                  </w14:solidFill>
                </w14:textFill>
              </w:rPr>
              <w:t>名（含</w:t>
            </w:r>
            <w:r>
              <w:rPr>
                <w:rFonts w:hint="eastAsia" w:ascii="宋体" w:hAnsi="宋体" w:cs="宋体"/>
                <w:bCs/>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Cs/>
                <w:color w:val="000000" w:themeColor="text1"/>
                <w:sz w:val="21"/>
                <w:szCs w:val="21"/>
                <w:highlight w:val="none"/>
                <w14:textFill>
                  <w14:solidFill>
                    <w14:schemeClr w14:val="tx1"/>
                  </w14:solidFill>
                </w14:textFill>
              </w:rPr>
              <w:t>名）。</w:t>
            </w:r>
          </w:p>
          <w:p w14:paraId="5062E2AF">
            <w:pPr>
              <w:keepNext w:val="0"/>
              <w:keepLines w:val="0"/>
              <w:pageBreakBefore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二档（</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8</w:t>
            </w:r>
            <w:r>
              <w:rPr>
                <w:rFonts w:hint="eastAsia" w:ascii="宋体" w:hAnsi="宋体" w:eastAsia="宋体" w:cs="宋体"/>
                <w:bCs/>
                <w:color w:val="000000" w:themeColor="text1"/>
                <w:sz w:val="21"/>
                <w:szCs w:val="21"/>
                <w:highlight w:val="none"/>
                <w14:textFill>
                  <w14:solidFill>
                    <w14:schemeClr w14:val="tx1"/>
                  </w14:solidFill>
                </w14:textFill>
              </w:rPr>
              <w:t>分）：拟投入本项目的项目负责人和技术负责人均具有</w:t>
            </w:r>
            <w:r>
              <w:rPr>
                <w:rFonts w:hint="eastAsia" w:ascii="宋体" w:hAnsi="宋体" w:cs="宋体"/>
                <w:bCs/>
                <w:color w:val="000000" w:themeColor="text1"/>
                <w:sz w:val="21"/>
                <w:szCs w:val="21"/>
                <w:highlight w:val="none"/>
                <w:lang w:val="en-US" w:eastAsia="zh-CN"/>
                <w14:textFill>
                  <w14:solidFill>
                    <w14:schemeClr w14:val="tx1"/>
                  </w14:solidFill>
                </w14:textFill>
              </w:rPr>
              <w:t>中</w:t>
            </w:r>
            <w:r>
              <w:rPr>
                <w:rFonts w:hint="eastAsia" w:ascii="宋体" w:hAnsi="宋体" w:eastAsia="宋体" w:cs="宋体"/>
                <w:bCs/>
                <w:color w:val="000000" w:themeColor="text1"/>
                <w:sz w:val="21"/>
                <w:szCs w:val="21"/>
                <w:highlight w:val="none"/>
                <w14:textFill>
                  <w14:solidFill>
                    <w14:schemeClr w14:val="tx1"/>
                  </w14:solidFill>
                </w14:textFill>
              </w:rPr>
              <w:t>级（含）或以上职称并持有省部级建设行政主管部门颁发的检测上岗证，除项目负责人及技术负责人以外拟投入检测人员不少于</w:t>
            </w:r>
            <w:r>
              <w:rPr>
                <w:rFonts w:hint="eastAsia" w:ascii="宋体" w:hAnsi="宋体" w:cs="宋体"/>
                <w:bCs/>
                <w:color w:val="000000" w:themeColor="text1"/>
                <w:sz w:val="21"/>
                <w:szCs w:val="21"/>
                <w:highlight w:val="none"/>
                <w:lang w:val="en-US" w:eastAsia="zh-CN"/>
                <w14:textFill>
                  <w14:solidFill>
                    <w14:schemeClr w14:val="tx1"/>
                  </w14:solidFill>
                </w14:textFill>
              </w:rPr>
              <w:t>15</w:t>
            </w:r>
            <w:r>
              <w:rPr>
                <w:rFonts w:hint="eastAsia" w:ascii="宋体" w:hAnsi="宋体" w:eastAsia="宋体" w:cs="宋体"/>
                <w:bCs/>
                <w:color w:val="000000" w:themeColor="text1"/>
                <w:sz w:val="21"/>
                <w:szCs w:val="21"/>
                <w:highlight w:val="none"/>
                <w14:textFill>
                  <w14:solidFill>
                    <w14:schemeClr w14:val="tx1"/>
                  </w14:solidFill>
                </w14:textFill>
              </w:rPr>
              <w:t>名，且具有中级工程师及以上职称的检测人员不少于</w:t>
            </w:r>
            <w:r>
              <w:rPr>
                <w:rFonts w:hint="eastAsia" w:ascii="宋体" w:hAnsi="宋体" w:cs="宋体"/>
                <w:bCs/>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bCs/>
                <w:color w:val="000000" w:themeColor="text1"/>
                <w:sz w:val="21"/>
                <w:szCs w:val="21"/>
                <w:highlight w:val="none"/>
                <w14:textFill>
                  <w14:solidFill>
                    <w14:schemeClr w14:val="tx1"/>
                  </w14:solidFill>
                </w14:textFill>
              </w:rPr>
              <w:t>名（含</w:t>
            </w:r>
            <w:r>
              <w:rPr>
                <w:rFonts w:hint="eastAsia" w:ascii="宋体" w:hAnsi="宋体" w:cs="宋体"/>
                <w:bCs/>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bCs/>
                <w:color w:val="000000" w:themeColor="text1"/>
                <w:sz w:val="21"/>
                <w:szCs w:val="21"/>
                <w:highlight w:val="none"/>
                <w14:textFill>
                  <w14:solidFill>
                    <w14:schemeClr w14:val="tx1"/>
                  </w14:solidFill>
                </w14:textFill>
              </w:rPr>
              <w:t>名）。</w:t>
            </w:r>
          </w:p>
          <w:p w14:paraId="140FA702">
            <w:pPr>
              <w:keepNext w:val="0"/>
              <w:keepLines w:val="0"/>
              <w:pageBreakBefore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三档（1</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Cs/>
                <w:color w:val="000000" w:themeColor="text1"/>
                <w:sz w:val="21"/>
                <w:szCs w:val="21"/>
                <w:highlight w:val="none"/>
                <w14:textFill>
                  <w14:solidFill>
                    <w14:schemeClr w14:val="tx1"/>
                  </w14:solidFill>
                </w14:textFill>
              </w:rPr>
              <w:t>分）：拟投入本项目的项目负责人和技术负责人均具有高级（含）或以上职称并持有省部级建设行政主管部门颁发的检测上岗证，其中项目负责人具有一级注册结构工程师证书或注册土木工程师（岩土）技术资格，除项目负责人及技术负责人以外拟投入检测人员不少于</w:t>
            </w:r>
            <w:r>
              <w:rPr>
                <w:rFonts w:hint="eastAsia" w:ascii="宋体" w:hAnsi="宋体" w:cs="宋体"/>
                <w:bCs/>
                <w:color w:val="000000" w:themeColor="text1"/>
                <w:sz w:val="21"/>
                <w:szCs w:val="21"/>
                <w:highlight w:val="none"/>
                <w:lang w:val="en-US" w:eastAsia="zh-CN"/>
                <w14:textFill>
                  <w14:solidFill>
                    <w14:schemeClr w14:val="tx1"/>
                  </w14:solidFill>
                </w14:textFill>
              </w:rPr>
              <w:t>20</w:t>
            </w:r>
            <w:r>
              <w:rPr>
                <w:rFonts w:hint="eastAsia" w:ascii="宋体" w:hAnsi="宋体" w:eastAsia="宋体" w:cs="宋体"/>
                <w:bCs/>
                <w:color w:val="000000" w:themeColor="text1"/>
                <w:sz w:val="21"/>
                <w:szCs w:val="21"/>
                <w:highlight w:val="none"/>
                <w14:textFill>
                  <w14:solidFill>
                    <w14:schemeClr w14:val="tx1"/>
                  </w14:solidFill>
                </w14:textFill>
              </w:rPr>
              <w:t>名，具有中级工程师及以上职称不少于</w:t>
            </w:r>
            <w:r>
              <w:rPr>
                <w:rFonts w:hint="eastAsia" w:ascii="宋体" w:hAnsi="宋体" w:cs="宋体"/>
                <w:bCs/>
                <w:color w:val="000000" w:themeColor="text1"/>
                <w:sz w:val="21"/>
                <w:szCs w:val="21"/>
                <w:highlight w:val="none"/>
                <w:lang w:val="en-US" w:eastAsia="zh-CN"/>
                <w14:textFill>
                  <w14:solidFill>
                    <w14:schemeClr w14:val="tx1"/>
                  </w14:solidFill>
                </w14:textFill>
              </w:rPr>
              <w:t>15</w:t>
            </w:r>
            <w:r>
              <w:rPr>
                <w:rFonts w:hint="eastAsia" w:ascii="宋体" w:hAnsi="宋体" w:eastAsia="宋体" w:cs="宋体"/>
                <w:bCs/>
                <w:color w:val="000000" w:themeColor="text1"/>
                <w:sz w:val="21"/>
                <w:szCs w:val="21"/>
                <w:highlight w:val="none"/>
                <w14:textFill>
                  <w14:solidFill>
                    <w14:schemeClr w14:val="tx1"/>
                  </w14:solidFill>
                </w14:textFill>
              </w:rPr>
              <w:t>人（含</w:t>
            </w:r>
            <w:r>
              <w:rPr>
                <w:rFonts w:hint="eastAsia" w:ascii="宋体" w:hAnsi="宋体" w:cs="宋体"/>
                <w:bCs/>
                <w:color w:val="000000" w:themeColor="text1"/>
                <w:sz w:val="21"/>
                <w:szCs w:val="21"/>
                <w:highlight w:val="none"/>
                <w:lang w:val="en-US" w:eastAsia="zh-CN"/>
                <w14:textFill>
                  <w14:solidFill>
                    <w14:schemeClr w14:val="tx1"/>
                  </w14:solidFill>
                </w14:textFill>
              </w:rPr>
              <w:t>15</w:t>
            </w:r>
            <w:r>
              <w:rPr>
                <w:rFonts w:hint="eastAsia" w:ascii="宋体" w:hAnsi="宋体" w:eastAsia="宋体" w:cs="宋体"/>
                <w:bCs/>
                <w:color w:val="000000" w:themeColor="text1"/>
                <w:sz w:val="21"/>
                <w:szCs w:val="21"/>
                <w:highlight w:val="none"/>
                <w14:textFill>
                  <w14:solidFill>
                    <w14:schemeClr w14:val="tx1"/>
                  </w14:solidFill>
                </w14:textFill>
              </w:rPr>
              <w:t>名）。</w:t>
            </w:r>
          </w:p>
          <w:p w14:paraId="5C7E437F">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注：须提供拟投入人员证书复印件，证书必须处于有效期内，否则不</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予以计</w:t>
            </w:r>
            <w:r>
              <w:rPr>
                <w:rFonts w:hint="eastAsia" w:ascii="宋体" w:hAnsi="宋体" w:eastAsia="宋体" w:cs="宋体"/>
                <w:bCs/>
                <w:color w:val="000000" w:themeColor="text1"/>
                <w:sz w:val="21"/>
                <w:szCs w:val="21"/>
                <w:highlight w:val="none"/>
                <w14:textFill>
                  <w14:solidFill>
                    <w14:schemeClr w14:val="tx1"/>
                  </w14:solidFill>
                </w14:textFill>
              </w:rPr>
              <w:t>分。</w:t>
            </w:r>
          </w:p>
        </w:tc>
      </w:tr>
      <w:tr w14:paraId="42297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0" w:type="pct"/>
            <w:noWrap w:val="0"/>
            <w:vAlign w:val="center"/>
          </w:tcPr>
          <w:p w14:paraId="5BA3A11F">
            <w:pPr>
              <w:keepNext w:val="0"/>
              <w:keepLines w:val="0"/>
              <w:pageBreakBefore w:val="0"/>
              <w:widowControl/>
              <w:kinsoku/>
              <w:wordWrap w:val="0"/>
              <w:overflowPunct/>
              <w:topLinePunct w:val="0"/>
              <w:autoSpaceDE/>
              <w:autoSpaceDN/>
              <w:bidi w:val="0"/>
              <w:adjustRightInd/>
              <w:spacing w:line="400" w:lineRule="exact"/>
              <w:jc w:val="center"/>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3</w:t>
            </w:r>
          </w:p>
        </w:tc>
        <w:tc>
          <w:tcPr>
            <w:tcW w:w="996" w:type="pct"/>
            <w:noWrap w:val="0"/>
            <w:vAlign w:val="center"/>
          </w:tcPr>
          <w:p w14:paraId="5D79473A">
            <w:pPr>
              <w:keepNext w:val="0"/>
              <w:keepLines w:val="0"/>
              <w:pageBreakBefore w:val="0"/>
              <w:widowControl/>
              <w:kinsoku/>
              <w:wordWrap w:val="0"/>
              <w:overflowPunct/>
              <w:topLinePunct w:val="0"/>
              <w:autoSpaceDE/>
              <w:autoSpaceDN/>
              <w:bidi w:val="0"/>
              <w:adjustRightInd/>
              <w:spacing w:line="400" w:lineRule="exact"/>
              <w:jc w:val="center"/>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商务分</w:t>
            </w:r>
          </w:p>
          <w:p w14:paraId="6866D1C8">
            <w:pPr>
              <w:keepNext w:val="0"/>
              <w:keepLines w:val="0"/>
              <w:pageBreakBefore w:val="0"/>
              <w:widowControl/>
              <w:kinsoku/>
              <w:wordWrap w:val="0"/>
              <w:overflowPunct/>
              <w:topLinePunct w:val="0"/>
              <w:autoSpaceDE/>
              <w:autoSpaceDN/>
              <w:bidi w:val="0"/>
              <w:adjustRightInd/>
              <w:spacing w:line="400" w:lineRule="exact"/>
              <w:jc w:val="center"/>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（满分</w:t>
            </w:r>
            <w:r>
              <w:rPr>
                <w:rFonts w:hint="eastAsia" w:ascii="宋体" w:hAnsi="宋体" w:cs="宋体"/>
                <w:b/>
                <w:bCs/>
                <w:color w:val="000000" w:themeColor="text1"/>
                <w:kern w:val="0"/>
                <w:sz w:val="21"/>
                <w:szCs w:val="21"/>
                <w:highlight w:val="none"/>
                <w:lang w:val="en-US" w:eastAsia="zh-CN"/>
                <w14:textFill>
                  <w14:solidFill>
                    <w14:schemeClr w14:val="tx1"/>
                  </w14:solidFill>
                </w14:textFill>
              </w:rPr>
              <w:t>6</w:t>
            </w:r>
            <w:r>
              <w:rPr>
                <w:rFonts w:hint="eastAsia" w:ascii="宋体" w:hAnsi="宋体" w:eastAsia="宋体" w:cs="宋体"/>
                <w:b/>
                <w:bCs/>
                <w:color w:val="000000" w:themeColor="text1"/>
                <w:kern w:val="0"/>
                <w:sz w:val="21"/>
                <w:szCs w:val="21"/>
                <w:highlight w:val="none"/>
                <w14:textFill>
                  <w14:solidFill>
                    <w14:schemeClr w14:val="tx1"/>
                  </w14:solidFill>
                </w14:textFill>
              </w:rPr>
              <w:t>分）</w:t>
            </w:r>
          </w:p>
        </w:tc>
        <w:tc>
          <w:tcPr>
            <w:tcW w:w="774" w:type="pct"/>
            <w:noWrap w:val="0"/>
            <w:vAlign w:val="center"/>
          </w:tcPr>
          <w:p w14:paraId="6C443551">
            <w:pPr>
              <w:pStyle w:val="16"/>
              <w:keepNext w:val="0"/>
              <w:keepLines w:val="0"/>
              <w:pageBreakBefore w:val="0"/>
              <w:kinsoku/>
              <w:wordWrap w:val="0"/>
              <w:overflowPunct/>
              <w:topLinePunct w:val="0"/>
              <w:autoSpaceDE/>
              <w:autoSpaceDN/>
              <w:bidi w:val="0"/>
              <w:adjustRightInd/>
              <w:spacing w:line="400" w:lineRule="exact"/>
              <w:jc w:val="center"/>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3.1</w:t>
            </w:r>
            <w:r>
              <w:rPr>
                <w:rFonts w:hint="eastAsia" w:ascii="宋体" w:hAnsi="宋体" w:eastAsia="宋体" w:cs="宋体"/>
                <w:color w:val="000000" w:themeColor="text1"/>
                <w:sz w:val="21"/>
                <w:szCs w:val="21"/>
                <w:highlight w:val="none"/>
                <w:lang w:val="zh-CN"/>
                <w14:textFill>
                  <w14:solidFill>
                    <w14:schemeClr w14:val="tx1"/>
                  </w14:solidFill>
                </w14:textFill>
              </w:rPr>
              <w:t>信誉业绩（</w:t>
            </w:r>
            <w:r>
              <w:rPr>
                <w:rFonts w:hint="eastAsia" w:ascii="宋体" w:hAnsi="宋体" w:eastAsia="宋体" w:cs="宋体"/>
                <w:color w:val="000000" w:themeColor="text1"/>
                <w:sz w:val="21"/>
                <w:szCs w:val="21"/>
                <w:highlight w:val="none"/>
                <w:lang w:val="en-US" w:eastAsia="zh-CN"/>
                <w14:textFill>
                  <w14:solidFill>
                    <w14:schemeClr w14:val="tx1"/>
                  </w14:solidFill>
                </w14:textFill>
              </w:rPr>
              <w:t>客观分，</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0~</w:t>
            </w:r>
            <w:r>
              <w:rPr>
                <w:rFonts w:hint="eastAsia" w:hAnsi="宋体" w:cs="宋体"/>
                <w:b w:val="0"/>
                <w:bCs w:val="0"/>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lang w:val="zh-CN"/>
                <w14:textFill>
                  <w14:solidFill>
                    <w14:schemeClr w14:val="tx1"/>
                  </w14:solidFill>
                </w14:textFill>
              </w:rPr>
              <w:t>分）</w:t>
            </w:r>
          </w:p>
        </w:tc>
        <w:tc>
          <w:tcPr>
            <w:tcW w:w="2838" w:type="pct"/>
            <w:noWrap w:val="0"/>
            <w:vAlign w:val="center"/>
          </w:tcPr>
          <w:p w14:paraId="3D6FE4D2">
            <w:pPr>
              <w:keepNext w:val="0"/>
              <w:keepLines w:val="0"/>
              <w:pageBreakBefore w:val="0"/>
              <w:kinsoku/>
              <w:overflowPunct/>
              <w:topLinePunct w:val="0"/>
              <w:autoSpaceDE/>
              <w:autoSpaceDN/>
              <w:bidi w:val="0"/>
              <w:adjustRightInd/>
              <w:snapToGrid/>
              <w:spacing w:line="400" w:lineRule="exact"/>
              <w:ind w:firstLine="420" w:firstLineChars="200"/>
              <w:jc w:val="left"/>
              <w:textAlignment w:val="auto"/>
              <w:rPr>
                <w:rFonts w:hint="eastAsia"/>
                <w:color w:val="000000" w:themeColor="text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供应商自202</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年1月1日以来</w:t>
            </w:r>
            <w:r>
              <w:rPr>
                <w:rFonts w:hint="eastAsia" w:cs="Times New Roman"/>
                <w:bCs/>
                <w:color w:val="000000" w:themeColor="text1"/>
                <w:highlight w:val="none"/>
                <w:lang w:eastAsia="zh-CN"/>
                <w14:textFill>
                  <w14:solidFill>
                    <w14:schemeClr w14:val="tx1"/>
                  </w14:solidFill>
                </w14:textFill>
              </w:rPr>
              <w:t>至响应文件递交截止日期止</w:t>
            </w:r>
            <w:r>
              <w:rPr>
                <w:rFonts w:hint="eastAsia" w:ascii="宋体" w:hAnsi="宋体" w:eastAsia="宋体" w:cs="宋体"/>
                <w:color w:val="000000" w:themeColor="text1"/>
                <w:sz w:val="21"/>
                <w:szCs w:val="21"/>
                <w:highlight w:val="none"/>
                <w14:textFill>
                  <w14:solidFill>
                    <w14:schemeClr w14:val="tx1"/>
                  </w14:solidFill>
                </w14:textFill>
              </w:rPr>
              <w:t>承接过类似项目业绩</w:t>
            </w:r>
            <w:r>
              <w:rPr>
                <w:rFonts w:hint="eastAsia" w:ascii="宋体" w:hAnsi="宋体" w:cs="宋体"/>
                <w:color w:val="000000" w:themeColor="text1"/>
                <w:sz w:val="21"/>
                <w:szCs w:val="21"/>
                <w:highlight w:val="none"/>
                <w:lang w:val="en-US" w:eastAsia="zh-CN"/>
                <w14:textFill>
                  <w14:solidFill>
                    <w14:schemeClr w14:val="tx1"/>
                  </w14:solidFill>
                </w14:textFill>
              </w:rPr>
              <w:t>的，</w:t>
            </w:r>
            <w:r>
              <w:rPr>
                <w:rFonts w:hint="eastAsia" w:ascii="宋体" w:hAnsi="宋体" w:eastAsia="宋体" w:cs="宋体"/>
                <w:color w:val="000000" w:themeColor="text1"/>
                <w:sz w:val="21"/>
                <w:szCs w:val="21"/>
                <w:highlight w:val="none"/>
                <w14:textFill>
                  <w14:solidFill>
                    <w14:schemeClr w14:val="tx1"/>
                  </w14:solidFill>
                </w14:textFill>
              </w:rPr>
              <w:t>每项得</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分，此项满分</w:t>
            </w:r>
            <w:r>
              <w:rPr>
                <w:rFonts w:hint="eastAsia" w:ascii="宋体" w:hAnsi="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b/>
                <w:bCs/>
                <w:color w:val="000000" w:themeColor="text1"/>
                <w:sz w:val="21"/>
                <w:szCs w:val="21"/>
                <w:highlight w:val="none"/>
                <w14:textFill>
                  <w14:solidFill>
                    <w14:schemeClr w14:val="tx1"/>
                  </w14:solidFill>
                </w14:textFill>
              </w:rPr>
              <w:t>[以合同或者中标</w:t>
            </w:r>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14:textFill>
                  <w14:solidFill>
                    <w14:schemeClr w14:val="tx1"/>
                  </w14:solidFill>
                </w14:textFill>
              </w:rPr>
              <w:t>成交</w:t>
            </w:r>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14:textFill>
                  <w14:solidFill>
                    <w14:schemeClr w14:val="tx1"/>
                  </w14:solidFill>
                </w14:textFill>
              </w:rPr>
              <w:t>通知书扫描件为准</w:t>
            </w:r>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并</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加盖单位</w:t>
            </w:r>
            <w:r>
              <w:rPr>
                <w:rFonts w:hint="eastAsia" w:asciiTheme="minorEastAsia" w:hAnsiTheme="minorEastAsia" w:eastAsiaTheme="minorEastAsia" w:cstheme="minorEastAsia"/>
                <w:b/>
                <w:bCs/>
                <w:color w:val="000000" w:themeColor="text1"/>
                <w:sz w:val="21"/>
                <w:szCs w:val="21"/>
                <w:highlight w:val="none"/>
                <w:lang w:val="en-US" w:eastAsia="zh-CN"/>
                <w14:textFill>
                  <w14:solidFill>
                    <w14:schemeClr w14:val="tx1"/>
                  </w14:solidFill>
                </w14:textFill>
              </w:rPr>
              <w:t>公章或</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电子</w:t>
            </w:r>
            <w:r>
              <w:rPr>
                <w:rFonts w:hint="eastAsia" w:asciiTheme="minorEastAsia" w:hAnsiTheme="minorEastAsia" w:eastAsiaTheme="minorEastAsia" w:cstheme="minorEastAsia"/>
                <w:b/>
                <w:bCs/>
                <w:color w:val="000000" w:themeColor="text1"/>
                <w:sz w:val="21"/>
                <w:szCs w:val="21"/>
                <w:highlight w:val="none"/>
                <w:lang w:val="en-US" w:eastAsia="zh-CN"/>
                <w14:textFill>
                  <w14:solidFill>
                    <w14:schemeClr w14:val="tx1"/>
                  </w14:solidFill>
                </w14:textFill>
              </w:rPr>
              <w:t>签</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章，否则不</w:t>
            </w:r>
            <w:r>
              <w:rPr>
                <w:rFonts w:hint="eastAsia" w:asciiTheme="minorEastAsia" w:hAnsiTheme="minorEastAsia" w:eastAsiaTheme="minorEastAsia" w:cstheme="minorEastAsia"/>
                <w:b/>
                <w:bCs/>
                <w:color w:val="000000" w:themeColor="text1"/>
                <w:sz w:val="21"/>
                <w:szCs w:val="21"/>
                <w:highlight w:val="none"/>
                <w:lang w:val="en-US" w:eastAsia="zh-CN"/>
                <w14:textFill>
                  <w14:solidFill>
                    <w14:schemeClr w14:val="tx1"/>
                  </w14:solidFill>
                </w14:textFill>
              </w:rPr>
              <w:t>予以计</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分</w:t>
            </w:r>
            <w:r>
              <w:rPr>
                <w:rFonts w:hint="eastAsia" w:ascii="宋体" w:hAnsi="宋体" w:eastAsia="宋体" w:cs="宋体"/>
                <w:b/>
                <w:bCs/>
                <w:color w:val="000000" w:themeColor="text1"/>
                <w:sz w:val="21"/>
                <w:szCs w:val="21"/>
                <w:highlight w:val="none"/>
                <w14:textFill>
                  <w14:solidFill>
                    <w14:schemeClr w14:val="tx1"/>
                  </w14:solidFill>
                </w14:textFill>
              </w:rPr>
              <w:t>]。</w:t>
            </w:r>
          </w:p>
        </w:tc>
      </w:tr>
      <w:tr w14:paraId="08804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5000" w:type="pct"/>
            <w:gridSpan w:val="4"/>
            <w:noWrap w:val="0"/>
            <w:vAlign w:val="center"/>
          </w:tcPr>
          <w:p w14:paraId="446C9420">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bCs/>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总得分＝</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1</w:t>
            </w:r>
            <w:r>
              <w:rPr>
                <w:rFonts w:hint="eastAsia" w:ascii="宋体" w:hAnsi="宋体" w:cs="宋体"/>
                <w:b/>
                <w:bCs/>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cs="宋体"/>
                <w:b/>
                <w:bCs/>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2</w:t>
            </w:r>
            <w:r>
              <w:rPr>
                <w:rFonts w:hint="eastAsia" w:ascii="宋体" w:hAnsi="宋体" w:cs="宋体"/>
                <w:b/>
                <w:bCs/>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cs="宋体"/>
                <w:b/>
                <w:bCs/>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3</w:t>
            </w:r>
          </w:p>
        </w:tc>
      </w:tr>
    </w:tbl>
    <w:p w14:paraId="26B0A968">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bookmarkStart w:id="40" w:name="_Toc80205935"/>
      <w:r>
        <w:rPr>
          <w:rFonts w:hint="eastAsia" w:asciiTheme="minorEastAsia" w:hAnsiTheme="minorEastAsia" w:eastAsiaTheme="minorEastAsia" w:cstheme="minorEastAsia"/>
          <w:color w:val="000000" w:themeColor="text1"/>
          <w:highlight w:val="none"/>
          <w14:textFill>
            <w14:solidFill>
              <w14:schemeClr w14:val="tx1"/>
            </w14:solidFill>
          </w14:textFill>
        </w:rPr>
        <w:t>7.</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highlight w:val="none"/>
          <w14:textFill>
            <w14:solidFill>
              <w14:schemeClr w14:val="tx1"/>
            </w14:solidFill>
          </w14:textFill>
        </w:rPr>
        <w:t>终止竞争性磋商采购活动</w:t>
      </w:r>
    </w:p>
    <w:p w14:paraId="410557DD">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bookmarkEnd w:id="40"/>
    <w:p w14:paraId="375A09C1">
      <w:pPr>
        <w:pStyle w:val="3"/>
        <w:keepNext/>
        <w:keepLines/>
        <w:pageBreakBefore w:val="0"/>
        <w:widowControl w:val="0"/>
        <w:kinsoku/>
        <w:wordWrap/>
        <w:overflowPunct/>
        <w:topLinePunct w:val="0"/>
        <w:autoSpaceDE/>
        <w:autoSpaceDN/>
        <w:bidi w:val="0"/>
        <w:adjustRightInd/>
        <w:snapToGrid/>
        <w:spacing w:before="0" w:beforeLines="50" w:after="0" w:line="640" w:lineRule="exact"/>
        <w:jc w:val="center"/>
        <w:textAlignment w:val="auto"/>
        <w:rPr>
          <w:rFonts w:hint="eastAsia" w:asciiTheme="minorEastAsia" w:hAnsiTheme="minorEastAsia" w:eastAsiaTheme="minorEastAsia" w:cstheme="minorEastAsia"/>
          <w:b/>
          <w:bCs w:val="0"/>
          <w:color w:val="000000" w:themeColor="text1"/>
          <w:highlight w:val="none"/>
          <w14:textFill>
            <w14:solidFill>
              <w14:schemeClr w14:val="tx1"/>
            </w14:solidFill>
          </w14:textFill>
        </w:rPr>
      </w:pPr>
      <w:bookmarkStart w:id="41" w:name="_Toc87345238"/>
      <w:bookmarkEnd w:id="41"/>
      <w:r>
        <w:rPr>
          <w:rFonts w:hint="eastAsia" w:asciiTheme="minorEastAsia" w:hAnsiTheme="minorEastAsia" w:eastAsiaTheme="minorEastAsia" w:cstheme="minorEastAsia"/>
          <w:b/>
          <w:bCs w:val="0"/>
          <w:color w:val="000000" w:themeColor="text1"/>
          <w:highlight w:val="none"/>
          <w14:textFill>
            <w14:solidFill>
              <w14:schemeClr w14:val="tx1"/>
            </w14:solidFill>
          </w14:textFill>
        </w:rPr>
        <w:t>第二节 评标报告</w:t>
      </w:r>
    </w:p>
    <w:p w14:paraId="451FB9F3">
      <w:pPr>
        <w:keepNext w:val="0"/>
        <w:keepLines w:val="0"/>
        <w:pageBreakBefore w:val="0"/>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szCs w:val="32"/>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32"/>
          <w:highlight w:val="none"/>
          <w14:textFill>
            <w14:solidFill>
              <w14:schemeClr w14:val="tx1"/>
            </w14:solidFill>
          </w14:textFill>
        </w:rPr>
        <w:t>1.成交标准</w:t>
      </w:r>
    </w:p>
    <w:p w14:paraId="4C28897A">
      <w:pPr>
        <w:keepNext w:val="0"/>
        <w:keepLines w:val="0"/>
        <w:pageBreakBefore w:val="0"/>
        <w:widowControl/>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由磋商小组根据综合评分情况，按照评审得分由高到低顺序推荐3名以上成交候选供应商，并在线编写电子评审报告。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商务得分由高到低排序）。评审得分、最后报价（不计算价格折扣）、技术得分、商务得分均相同的，由磋商小组随机抽取推荐。</w:t>
      </w:r>
    </w:p>
    <w:p w14:paraId="74924AE6">
      <w:pPr>
        <w:keepNext w:val="0"/>
        <w:keepLines w:val="0"/>
        <w:pageBreakBefore w:val="0"/>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szCs w:val="32"/>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32"/>
          <w:highlight w:val="none"/>
          <w14:textFill>
            <w14:solidFill>
              <w14:schemeClr w14:val="tx1"/>
            </w14:solidFill>
          </w14:textFill>
        </w:rPr>
        <w:t>2.评标争议事项处理</w:t>
      </w:r>
    </w:p>
    <w:p w14:paraId="5D3E0FB5">
      <w:pPr>
        <w:pStyle w:val="80"/>
        <w:keepNext w:val="0"/>
        <w:keepLines w:val="0"/>
        <w:pageBreakBefore w:val="0"/>
        <w:kinsoku/>
        <w:wordWrap/>
        <w:overflowPunct/>
        <w:topLinePunct w:val="0"/>
        <w:autoSpaceDE/>
        <w:autoSpaceDN/>
        <w:bidi w:val="0"/>
        <w:adjustRightInd/>
        <w:snapToGrid/>
        <w:spacing w:before="0" w:line="420" w:lineRule="exact"/>
        <w:ind w:firstLine="420"/>
        <w:textAlignment w:val="auto"/>
        <w:rPr>
          <w:rFonts w:hint="eastAsia" w:asciiTheme="minorEastAsia" w:hAnsiTheme="minorEastAsia" w:eastAsiaTheme="minorEastAsia" w:cstheme="minorEastAsia"/>
          <w:color w:val="000000" w:themeColor="text1"/>
          <w:kern w:val="2"/>
          <w:sz w:val="2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2"/>
          <w:sz w:val="21"/>
          <w:szCs w:val="24"/>
          <w:highlight w:val="none"/>
          <w14:textFill>
            <w14:solidFill>
              <w14:schemeClr w14:val="tx1"/>
            </w14:solidFill>
          </w14:textFill>
        </w:rPr>
        <w:t>磋商小组成员对需要共同认定的事项存在争议的，应当按照少数服从多数的原则作出结论。持不同意见的磋商小组成员应当在评标报告上签署不同意见及理由，否则视为同意评标报告。</w:t>
      </w:r>
    </w:p>
    <w:p w14:paraId="3141F2EE">
      <w:pPr>
        <w:pStyle w:val="3"/>
        <w:keepNext/>
        <w:keepLines/>
        <w:pageBreakBefore w:val="0"/>
        <w:widowControl w:val="0"/>
        <w:kinsoku/>
        <w:wordWrap/>
        <w:overflowPunct/>
        <w:topLinePunct w:val="0"/>
        <w:autoSpaceDE/>
        <w:autoSpaceDN/>
        <w:bidi w:val="0"/>
        <w:adjustRightInd/>
        <w:snapToGrid/>
        <w:spacing w:before="0" w:beforeLines="50" w:after="0" w:line="640" w:lineRule="exact"/>
        <w:jc w:val="center"/>
        <w:textAlignment w:val="auto"/>
        <w:rPr>
          <w:rFonts w:hint="eastAsia" w:asciiTheme="minorEastAsia" w:hAnsiTheme="minorEastAsia" w:eastAsiaTheme="minorEastAsia" w:cstheme="minorEastAsia"/>
          <w:b/>
          <w:bCs w:val="0"/>
          <w:color w:val="000000" w:themeColor="text1"/>
          <w:highlight w:val="none"/>
          <w14:textFill>
            <w14:solidFill>
              <w14:schemeClr w14:val="tx1"/>
            </w14:solidFill>
          </w14:textFill>
        </w:rPr>
      </w:pPr>
      <w:bookmarkStart w:id="42" w:name="_Toc87345239"/>
      <w:bookmarkEnd w:id="42"/>
      <w:bookmarkStart w:id="43" w:name="_Toc80205936"/>
      <w:bookmarkEnd w:id="43"/>
      <w:r>
        <w:rPr>
          <w:rFonts w:hint="eastAsia" w:asciiTheme="minorEastAsia" w:hAnsiTheme="minorEastAsia" w:eastAsiaTheme="minorEastAsia" w:cstheme="minorEastAsia"/>
          <w:b/>
          <w:bCs w:val="0"/>
          <w:color w:val="000000" w:themeColor="text1"/>
          <w:highlight w:val="none"/>
          <w14:textFill>
            <w14:solidFill>
              <w14:schemeClr w14:val="tx1"/>
            </w14:solidFill>
          </w14:textFill>
        </w:rPr>
        <w:t>第三节 评审过程的保密与录像</w:t>
      </w:r>
    </w:p>
    <w:p w14:paraId="6D839EFF">
      <w:pPr>
        <w:keepNext w:val="0"/>
        <w:keepLines w:val="0"/>
        <w:pageBreakBefore w:val="0"/>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szCs w:val="32"/>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32"/>
          <w:highlight w:val="none"/>
          <w14:textFill>
            <w14:solidFill>
              <w14:schemeClr w14:val="tx1"/>
            </w14:solidFill>
          </w14:textFill>
        </w:rPr>
        <w:t>1.保密</w:t>
      </w:r>
    </w:p>
    <w:p w14:paraId="02E7B782">
      <w:pPr>
        <w:keepNext w:val="0"/>
        <w:keepLines w:val="0"/>
        <w:pageBreakBefore w:val="0"/>
        <w:widowControl/>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评审活动在严格保密的情况下进行。评审过程中凡是与采购响应文件评审和比较、成交供应商推荐等评审有关的情况，以及涉及国家秘密和商业秘密等信息，评审委员会成员、采购人和采购机构工作人员、相关监督人员等与评审有关的人员应当予以保密。</w:t>
      </w:r>
    </w:p>
    <w:p w14:paraId="72C95922">
      <w:pPr>
        <w:keepNext w:val="0"/>
        <w:keepLines w:val="0"/>
        <w:pageBreakBefore w:val="0"/>
        <w:widowControl/>
        <w:kinsoku/>
        <w:wordWrap/>
        <w:overflowPunct/>
        <w:topLinePunct w:val="0"/>
        <w:autoSpaceDE/>
        <w:autoSpaceDN/>
        <w:bidi w:val="0"/>
        <w:adjustRightInd/>
        <w:snapToGrid/>
        <w:spacing w:line="420" w:lineRule="exact"/>
        <w:ind w:firstLine="482" w:firstLineChars="200"/>
        <w:textAlignment w:val="auto"/>
        <w:rPr>
          <w:rFonts w:hint="eastAsia" w:asciiTheme="minorEastAsia" w:hAnsiTheme="minorEastAsia" w:eastAsiaTheme="minorEastAsia" w:cstheme="minorEastAsia"/>
          <w:b/>
          <w:bCs/>
          <w:color w:val="000000" w:themeColor="text1"/>
          <w:sz w:val="24"/>
          <w:szCs w:val="32"/>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32"/>
          <w:highlight w:val="none"/>
          <w14:textFill>
            <w14:solidFill>
              <w14:schemeClr w14:val="tx1"/>
            </w14:solidFill>
          </w14:textFill>
        </w:rPr>
        <w:t>2.录音录像</w:t>
      </w:r>
    </w:p>
    <w:p w14:paraId="5D27A827">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采购代理机构对评审工作现场及操作屏幕进行全过程录音录像，录音录像资料作为采购项目文件随其他文件一并存档。</w:t>
      </w:r>
      <w:bookmarkStart w:id="44" w:name="_Toc87345240"/>
      <w:bookmarkEnd w:id="44"/>
    </w:p>
    <w:p w14:paraId="713D806D">
      <w:pPr>
        <w:pStyle w:val="21"/>
        <w:rPr>
          <w:rFonts w:hint="eastAsia"/>
        </w:rPr>
      </w:pPr>
    </w:p>
    <w:p w14:paraId="5CE651A1">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p>
    <w:p w14:paraId="376DF583">
      <w:pPr>
        <w:pStyle w:val="3"/>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heme="minorEastAsia" w:hAnsiTheme="minorEastAsia" w:eastAsiaTheme="minorEastAsia" w:cstheme="minorEastAsia"/>
          <w:b/>
          <w:bCs w:val="0"/>
          <w:color w:val="000000" w:themeColor="text1"/>
          <w:sz w:val="36"/>
          <w:szCs w:val="36"/>
          <w:highlight w:val="none"/>
          <w14:textFill>
            <w14:solidFill>
              <w14:schemeClr w14:val="tx1"/>
            </w14:solidFill>
          </w14:textFill>
        </w:rPr>
      </w:pPr>
    </w:p>
    <w:p w14:paraId="22FC8626">
      <w:pPr>
        <w:rPr>
          <w:rFonts w:hint="eastAsia" w:asciiTheme="minorEastAsia" w:hAnsiTheme="minorEastAsia" w:eastAsiaTheme="minorEastAsia" w:cstheme="minorEastAsia"/>
          <w:b/>
          <w:bCs w:val="0"/>
          <w:color w:val="000000" w:themeColor="text1"/>
          <w:sz w:val="36"/>
          <w:szCs w:val="36"/>
          <w:highlight w:val="none"/>
          <w14:textFill>
            <w14:solidFill>
              <w14:schemeClr w14:val="tx1"/>
            </w14:solidFill>
          </w14:textFill>
        </w:rPr>
      </w:pPr>
    </w:p>
    <w:p w14:paraId="2B4108C3">
      <w:pPr>
        <w:pStyle w:val="21"/>
        <w:rPr>
          <w:rFonts w:hint="eastAsia"/>
        </w:rPr>
      </w:pPr>
    </w:p>
    <w:p w14:paraId="13A3B670">
      <w:pPr>
        <w:pStyle w:val="3"/>
        <w:keepNext/>
        <w:keepLines/>
        <w:pageBreakBefore w:val="0"/>
        <w:widowControl w:val="0"/>
        <w:kinsoku/>
        <w:wordWrap/>
        <w:overflowPunct/>
        <w:topLinePunct w:val="0"/>
        <w:autoSpaceDE/>
        <w:autoSpaceDN/>
        <w:bidi w:val="0"/>
        <w:adjustRightInd/>
        <w:snapToGrid/>
        <w:spacing w:before="0" w:beforeLines="50" w:after="0" w:line="640" w:lineRule="exact"/>
        <w:jc w:val="center"/>
        <w:textAlignment w:val="auto"/>
        <w:rPr>
          <w:rFonts w:hint="eastAsia" w:asciiTheme="minorEastAsia" w:hAnsiTheme="minorEastAsia" w:eastAsiaTheme="minorEastAsia" w:cstheme="minorEastAsia"/>
          <w:b/>
          <w:bCs w:val="0"/>
          <w:color w:val="000000" w:themeColor="text1"/>
          <w:sz w:val="36"/>
          <w:szCs w:val="36"/>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36"/>
          <w:szCs w:val="36"/>
          <w:highlight w:val="none"/>
          <w14:textFill>
            <w14:solidFill>
              <w14:schemeClr w14:val="tx1"/>
            </w14:solidFill>
          </w14:textFill>
        </w:rPr>
        <w:t>第五章</w:t>
      </w:r>
      <w:r>
        <w:rPr>
          <w:rFonts w:hint="eastAsia" w:asciiTheme="minorEastAsia" w:hAnsiTheme="minorEastAsia" w:eastAsiaTheme="minorEastAsia" w:cstheme="minorEastAsia"/>
          <w:b/>
          <w:bCs w:val="0"/>
          <w:color w:val="000000" w:themeColor="text1"/>
          <w:sz w:val="36"/>
          <w:szCs w:val="36"/>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val="0"/>
          <w:color w:val="000000" w:themeColor="text1"/>
          <w:sz w:val="36"/>
          <w:szCs w:val="36"/>
          <w:highlight w:val="none"/>
          <w14:textFill>
            <w14:solidFill>
              <w14:schemeClr w14:val="tx1"/>
            </w14:solidFill>
          </w14:textFill>
        </w:rPr>
        <w:t>响应文件格式</w:t>
      </w:r>
      <w:bookmarkStart w:id="45" w:name="_Toc87345241"/>
      <w:bookmarkEnd w:id="45"/>
      <w:bookmarkStart w:id="46" w:name="_Toc80205938"/>
      <w:bookmarkEnd w:id="46"/>
    </w:p>
    <w:p w14:paraId="6F27E0E5">
      <w:pPr>
        <w:pStyle w:val="3"/>
        <w:keepNext/>
        <w:keepLines/>
        <w:pageBreakBefore w:val="0"/>
        <w:widowControl w:val="0"/>
        <w:kinsoku/>
        <w:wordWrap/>
        <w:overflowPunct/>
        <w:topLinePunct w:val="0"/>
        <w:autoSpaceDE/>
        <w:autoSpaceDN/>
        <w:bidi w:val="0"/>
        <w:adjustRightInd/>
        <w:snapToGrid/>
        <w:spacing w:before="0" w:beforeLines="50" w:after="0" w:line="640" w:lineRule="exact"/>
        <w:jc w:val="center"/>
        <w:textAlignment w:val="auto"/>
        <w:rPr>
          <w:rFonts w:hint="eastAsia" w:asciiTheme="minorEastAsia" w:hAnsiTheme="minorEastAsia" w:eastAsiaTheme="minorEastAsia" w:cstheme="minorEastAsia"/>
          <w:b/>
          <w:bCs w:val="0"/>
          <w:color w:val="000000" w:themeColor="text1"/>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highlight w:val="none"/>
          <w14:textFill>
            <w14:solidFill>
              <w14:schemeClr w14:val="tx1"/>
            </w14:solidFill>
          </w14:textFill>
        </w:rPr>
        <w:t>第一节 封面格式</w:t>
      </w:r>
    </w:p>
    <w:p w14:paraId="567468A2">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3FA4D3B1">
      <w:pPr>
        <w:snapToGrid w:val="0"/>
        <w:spacing w:before="120" w:beforeLines="50" w:after="50"/>
        <w:rPr>
          <w:rFonts w:hint="eastAsia" w:asciiTheme="minorEastAsia" w:hAnsiTheme="minorEastAsia" w:eastAsiaTheme="minorEastAsia" w:cstheme="minorEastAsia"/>
          <w:color w:val="000000" w:themeColor="text1"/>
          <w:sz w:val="24"/>
          <w:szCs w:val="20"/>
          <w:highlight w:val="none"/>
          <w14:textFill>
            <w14:solidFill>
              <w14:schemeClr w14:val="tx1"/>
            </w14:solidFill>
          </w14:textFill>
        </w:rPr>
      </w:pPr>
    </w:p>
    <w:p w14:paraId="7D2E7DB8">
      <w:pPr>
        <w:snapToGrid w:val="0"/>
        <w:spacing w:before="120" w:beforeLines="50" w:after="50"/>
        <w:jc w:val="center"/>
        <w:rPr>
          <w:rFonts w:hint="eastAsia" w:asciiTheme="minorEastAsia" w:hAnsiTheme="minorEastAsia" w:eastAsiaTheme="minorEastAsia" w:cstheme="minorEastAsia"/>
          <w:bCs/>
          <w:color w:val="000000" w:themeColor="text1"/>
          <w:sz w:val="24"/>
          <w:szCs w:val="20"/>
          <w:highlight w:val="none"/>
          <w14:textFill>
            <w14:solidFill>
              <w14:schemeClr w14:val="tx1"/>
            </w14:solidFill>
          </w14:textFill>
        </w:rPr>
      </w:pPr>
    </w:p>
    <w:p w14:paraId="407F19E4">
      <w:pPr>
        <w:pStyle w:val="100"/>
        <w:rPr>
          <w:rFonts w:hint="eastAsia"/>
          <w:color w:val="000000" w:themeColor="text1"/>
          <w:highlight w:val="none"/>
          <w14:textFill>
            <w14:solidFill>
              <w14:schemeClr w14:val="tx1"/>
            </w14:solidFill>
          </w14:textFill>
        </w:rPr>
      </w:pPr>
    </w:p>
    <w:p w14:paraId="5837B1B1">
      <w:pPr>
        <w:pStyle w:val="100"/>
        <w:rPr>
          <w:rFonts w:hint="eastAsia" w:asciiTheme="minorEastAsia" w:hAnsiTheme="minorEastAsia" w:eastAsiaTheme="minorEastAsia" w:cstheme="minorEastAsia"/>
          <w:bCs/>
          <w:color w:val="000000" w:themeColor="text1"/>
          <w:sz w:val="24"/>
          <w:szCs w:val="20"/>
          <w:highlight w:val="none"/>
          <w14:textFill>
            <w14:solidFill>
              <w14:schemeClr w14:val="tx1"/>
            </w14:solidFill>
          </w14:textFill>
        </w:rPr>
      </w:pPr>
    </w:p>
    <w:p w14:paraId="22D48ACB">
      <w:pPr>
        <w:snapToGrid w:val="0"/>
        <w:spacing w:before="120" w:beforeLines="50" w:after="50"/>
        <w:jc w:val="center"/>
        <w:rPr>
          <w:rFonts w:hint="eastAsia" w:asciiTheme="minorEastAsia" w:hAnsiTheme="minorEastAsia" w:eastAsiaTheme="minorEastAsia" w:cstheme="minorEastAsia"/>
          <w:b/>
          <w:bCs w:val="0"/>
          <w:color w:val="000000" w:themeColor="text1"/>
          <w:sz w:val="50"/>
          <w:szCs w:val="50"/>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50"/>
          <w:szCs w:val="50"/>
          <w:highlight w:val="none"/>
          <w14:textFill>
            <w14:solidFill>
              <w14:schemeClr w14:val="tx1"/>
            </w14:solidFill>
          </w14:textFill>
        </w:rPr>
        <w:t>响 应 文 件</w:t>
      </w:r>
    </w:p>
    <w:p w14:paraId="6AAA7BA5">
      <w:pPr>
        <w:snapToGrid w:val="0"/>
        <w:spacing w:before="120" w:beforeLines="50" w:after="50"/>
        <w:rPr>
          <w:rFonts w:hint="eastAsia" w:asciiTheme="minorEastAsia" w:hAnsiTheme="minorEastAsia" w:eastAsiaTheme="minorEastAsia" w:cstheme="minorEastAsia"/>
          <w:bCs/>
          <w:color w:val="000000" w:themeColor="text1"/>
          <w:sz w:val="24"/>
          <w:szCs w:val="20"/>
          <w:highlight w:val="none"/>
          <w14:textFill>
            <w14:solidFill>
              <w14:schemeClr w14:val="tx1"/>
            </w14:solidFill>
          </w14:textFill>
        </w:rPr>
      </w:pPr>
    </w:p>
    <w:p w14:paraId="27612EAF">
      <w:pPr>
        <w:snapToGrid w:val="0"/>
        <w:spacing w:before="120" w:beforeLines="50" w:after="50"/>
        <w:rPr>
          <w:rFonts w:hint="eastAsia" w:asciiTheme="minorEastAsia" w:hAnsiTheme="minorEastAsia" w:eastAsiaTheme="minorEastAsia" w:cstheme="minorEastAsia"/>
          <w:bCs/>
          <w:color w:val="000000" w:themeColor="text1"/>
          <w:sz w:val="24"/>
          <w:szCs w:val="20"/>
          <w:highlight w:val="none"/>
          <w14:textFill>
            <w14:solidFill>
              <w14:schemeClr w14:val="tx1"/>
            </w14:solidFill>
          </w14:textFill>
        </w:rPr>
      </w:pPr>
    </w:p>
    <w:p w14:paraId="58FAFFD1">
      <w:pPr>
        <w:pStyle w:val="100"/>
        <w:rPr>
          <w:rFonts w:hint="eastAsia" w:asciiTheme="minorEastAsia" w:hAnsiTheme="minorEastAsia" w:eastAsiaTheme="minorEastAsia" w:cstheme="minorEastAsia"/>
          <w:bCs/>
          <w:color w:val="000000" w:themeColor="text1"/>
          <w:sz w:val="24"/>
          <w:szCs w:val="20"/>
          <w:highlight w:val="none"/>
          <w14:textFill>
            <w14:solidFill>
              <w14:schemeClr w14:val="tx1"/>
            </w14:solidFill>
          </w14:textFill>
        </w:rPr>
      </w:pPr>
    </w:p>
    <w:p w14:paraId="1C99DA52">
      <w:pPr>
        <w:pStyle w:val="100"/>
        <w:rPr>
          <w:rFonts w:hint="eastAsia" w:asciiTheme="minorEastAsia" w:hAnsiTheme="minorEastAsia" w:eastAsiaTheme="minorEastAsia" w:cstheme="minorEastAsia"/>
          <w:bCs/>
          <w:color w:val="000000" w:themeColor="text1"/>
          <w:sz w:val="24"/>
          <w:szCs w:val="20"/>
          <w:highlight w:val="none"/>
          <w14:textFill>
            <w14:solidFill>
              <w14:schemeClr w14:val="tx1"/>
            </w14:solidFill>
          </w14:textFill>
        </w:rPr>
      </w:pPr>
    </w:p>
    <w:p w14:paraId="4CF3CB28">
      <w:pPr>
        <w:pStyle w:val="100"/>
        <w:rPr>
          <w:rFonts w:hint="eastAsia" w:asciiTheme="minorEastAsia" w:hAnsiTheme="minorEastAsia" w:eastAsiaTheme="minorEastAsia" w:cstheme="minorEastAsia"/>
          <w:bCs/>
          <w:color w:val="000000" w:themeColor="text1"/>
          <w:sz w:val="24"/>
          <w:szCs w:val="20"/>
          <w:highlight w:val="none"/>
          <w14:textFill>
            <w14:solidFill>
              <w14:schemeClr w14:val="tx1"/>
            </w14:solidFill>
          </w14:textFill>
        </w:rPr>
      </w:pPr>
    </w:p>
    <w:p w14:paraId="6A84C443">
      <w:pPr>
        <w:snapToGrid w:val="0"/>
        <w:spacing w:before="120" w:beforeLines="50" w:after="50"/>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p>
    <w:p w14:paraId="4C469F55">
      <w:pPr>
        <w:snapToGrid w:val="0"/>
        <w:spacing w:before="120" w:beforeLines="50" w:after="50"/>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p>
    <w:p w14:paraId="26D37127">
      <w:pPr>
        <w:snapToGrid w:val="0"/>
        <w:spacing w:before="120" w:beforeLines="50" w:after="50"/>
        <w:ind w:firstLine="640" w:firstLineChars="200"/>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t>项目名称：</w:t>
      </w:r>
    </w:p>
    <w:p w14:paraId="413D454D">
      <w:pPr>
        <w:snapToGrid w:val="0"/>
        <w:spacing w:before="120" w:beforeLines="50" w:after="50"/>
        <w:ind w:firstLine="480" w:firstLineChars="150"/>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p>
    <w:p w14:paraId="0072C3F0">
      <w:pPr>
        <w:snapToGrid w:val="0"/>
        <w:spacing w:before="120" w:beforeLines="50" w:after="50"/>
        <w:ind w:firstLine="640" w:firstLineChars="200"/>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t>项目编号：</w:t>
      </w:r>
    </w:p>
    <w:p w14:paraId="34141278">
      <w:pPr>
        <w:snapToGrid w:val="0"/>
        <w:spacing w:before="120" w:beforeLines="50" w:after="50"/>
        <w:ind w:firstLine="480" w:firstLineChars="150"/>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p>
    <w:p w14:paraId="10DFD2B9">
      <w:pPr>
        <w:snapToGrid w:val="0"/>
        <w:spacing w:before="120" w:beforeLines="50" w:after="50"/>
        <w:ind w:firstLine="640" w:firstLineChars="200"/>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t>所竞分标（如有则填写，无分标时填写“无”或者留空）：</w:t>
      </w:r>
    </w:p>
    <w:p w14:paraId="14B6B149">
      <w:pPr>
        <w:snapToGrid w:val="0"/>
        <w:spacing w:before="120" w:beforeLines="50" w:after="50"/>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p>
    <w:p w14:paraId="36C448E9">
      <w:pPr>
        <w:snapToGrid w:val="0"/>
        <w:spacing w:before="120" w:beforeLines="50" w:after="50"/>
        <w:ind w:firstLine="640" w:firstLineChars="200"/>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t>供应商名称：</w:t>
      </w:r>
    </w:p>
    <w:p w14:paraId="1957BCFB">
      <w:pPr>
        <w:snapToGrid w:val="0"/>
        <w:spacing w:before="120" w:beforeLines="50" w:after="50"/>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p>
    <w:p w14:paraId="53C32633">
      <w:pPr>
        <w:snapToGrid w:val="0"/>
        <w:spacing w:before="120" w:beforeLines="50" w:after="50"/>
        <w:ind w:firstLine="480" w:firstLineChars="150"/>
        <w:jc w:val="cente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p>
    <w:p w14:paraId="52E3B9A8">
      <w:pPr>
        <w:snapToGrid w:val="0"/>
        <w:spacing w:before="120" w:beforeLines="50" w:after="50"/>
        <w:ind w:firstLine="480" w:firstLineChars="150"/>
        <w:jc w:val="cente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t>首次响应文件提交截止时间前不得解密</w:t>
      </w:r>
    </w:p>
    <w:p w14:paraId="2DE5B429">
      <w:pPr>
        <w:snapToGrid w:val="0"/>
        <w:spacing w:before="120" w:beforeLines="50" w:after="50"/>
        <w:ind w:firstLine="5440" w:firstLineChars="1700"/>
        <w:jc w:val="cente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p>
    <w:p w14:paraId="6F9A1F81">
      <w:pPr>
        <w:snapToGrid w:val="0"/>
        <w:spacing w:before="120" w:beforeLines="50" w:after="50"/>
        <w:ind w:firstLine="645"/>
        <w:jc w:val="cente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t>年   月   日</w:t>
      </w:r>
    </w:p>
    <w:p w14:paraId="701540DD">
      <w:pPr>
        <w:rPr>
          <w:rFonts w:hint="eastAsia" w:asciiTheme="minorEastAsia" w:hAnsiTheme="minorEastAsia" w:eastAsiaTheme="minorEastAsia" w:cstheme="minorEastAsia"/>
          <w:color w:val="000000" w:themeColor="text1"/>
          <w:highlight w:val="none"/>
          <w14:textFill>
            <w14:solidFill>
              <w14:schemeClr w14:val="tx1"/>
            </w14:solidFill>
          </w14:textFill>
        </w:rPr>
        <w:sectPr>
          <w:footerReference r:id="rId9" w:type="default"/>
          <w:pgSz w:w="11910" w:h="16840"/>
          <w:pgMar w:top="1077" w:right="1247" w:bottom="1077" w:left="1417" w:header="720" w:footer="850" w:gutter="0"/>
          <w:pgBorders>
            <w:top w:val="none" w:sz="0" w:space="0"/>
            <w:left w:val="none" w:sz="0" w:space="0"/>
            <w:bottom w:val="none" w:sz="0" w:space="0"/>
            <w:right w:val="none" w:sz="0" w:space="0"/>
          </w:pgBorders>
          <w:pgNumType w:fmt="decimal"/>
          <w:cols w:space="720" w:num="1"/>
        </w:sectPr>
      </w:pPr>
    </w:p>
    <w:p w14:paraId="7E70FC20">
      <w:pPr>
        <w:pStyle w:val="3"/>
        <w:keepNext/>
        <w:keepLines/>
        <w:pageBreakBefore w:val="0"/>
        <w:widowControl w:val="0"/>
        <w:kinsoku/>
        <w:wordWrap/>
        <w:overflowPunct/>
        <w:topLinePunct w:val="0"/>
        <w:autoSpaceDE/>
        <w:autoSpaceDN/>
        <w:bidi w:val="0"/>
        <w:adjustRightInd/>
        <w:snapToGrid/>
        <w:spacing w:before="0" w:after="0" w:line="640" w:lineRule="exact"/>
        <w:jc w:val="center"/>
        <w:textAlignment w:val="auto"/>
        <w:rPr>
          <w:rFonts w:hint="eastAsia" w:asciiTheme="minorEastAsia" w:hAnsiTheme="minorEastAsia" w:eastAsiaTheme="minorEastAsia" w:cstheme="minorEastAsia"/>
          <w:b/>
          <w:bCs w:val="0"/>
          <w:color w:val="000000" w:themeColor="text1"/>
          <w:highlight w:val="none"/>
          <w14:textFill>
            <w14:solidFill>
              <w14:schemeClr w14:val="tx1"/>
            </w14:solidFill>
          </w14:textFill>
        </w:rPr>
      </w:pPr>
      <w:bookmarkStart w:id="47" w:name="_Toc87345242"/>
      <w:bookmarkEnd w:id="47"/>
      <w:bookmarkStart w:id="48" w:name="_Toc80205939"/>
      <w:bookmarkEnd w:id="48"/>
      <w:r>
        <w:rPr>
          <w:rFonts w:hint="eastAsia" w:asciiTheme="minorEastAsia" w:hAnsiTheme="minorEastAsia" w:eastAsiaTheme="minorEastAsia" w:cstheme="minorEastAsia"/>
          <w:b/>
          <w:bCs w:val="0"/>
          <w:color w:val="000000" w:themeColor="text1"/>
          <w:highlight w:val="none"/>
          <w14:textFill>
            <w14:solidFill>
              <w14:schemeClr w14:val="tx1"/>
            </w14:solidFill>
          </w14:textFill>
        </w:rPr>
        <w:t>第二节 资格证明文件格式</w:t>
      </w:r>
    </w:p>
    <w:p w14:paraId="413E43CD">
      <w:pPr>
        <w:snapToGrid w:val="0"/>
        <w:spacing w:before="165" w:beforeLines="50" w:after="50"/>
        <w:rPr>
          <w:rFonts w:hint="eastAsia" w:asciiTheme="minorEastAsia" w:hAnsiTheme="minorEastAsia" w:eastAsiaTheme="minorEastAsia" w:cstheme="minorEastAsia"/>
          <w:bCs/>
          <w:color w:val="000000" w:themeColor="text1"/>
          <w:highlight w:val="none"/>
          <w14:textFill>
            <w14:solidFill>
              <w14:schemeClr w14:val="tx1"/>
            </w14:solidFill>
          </w14:textFill>
        </w:rPr>
      </w:pPr>
    </w:p>
    <w:p w14:paraId="562936B2">
      <w:pPr>
        <w:snapToGrid w:val="0"/>
        <w:spacing w:before="165" w:beforeLines="50" w:after="50"/>
        <w:jc w:val="cente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2"/>
          <w:szCs w:val="2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全流程电子文件</w:t>
      </w:r>
    </w:p>
    <w:p w14:paraId="7FA7BD40">
      <w:pPr>
        <w:snapToGrid w:val="0"/>
        <w:spacing w:before="165" w:beforeLines="50" w:after="50"/>
        <w:rPr>
          <w:rFonts w:hint="eastAsia" w:asciiTheme="minorEastAsia" w:hAnsiTheme="minorEastAsia" w:eastAsiaTheme="minorEastAsia" w:cstheme="minorEastAsia"/>
          <w:color w:val="000000" w:themeColor="text1"/>
          <w:sz w:val="24"/>
          <w:szCs w:val="20"/>
          <w:highlight w:val="none"/>
          <w14:textFill>
            <w14:solidFill>
              <w14:schemeClr w14:val="tx1"/>
            </w14:solidFill>
          </w14:textFill>
        </w:rPr>
      </w:pPr>
    </w:p>
    <w:p w14:paraId="3836BE0F">
      <w:pPr>
        <w:snapToGrid w:val="0"/>
        <w:spacing w:before="165" w:beforeLines="50" w:after="50"/>
        <w:rPr>
          <w:rFonts w:hint="eastAsia" w:asciiTheme="minorEastAsia" w:hAnsiTheme="minorEastAsia" w:eastAsiaTheme="minorEastAsia" w:cstheme="minorEastAsia"/>
          <w:color w:val="000000" w:themeColor="text1"/>
          <w:sz w:val="24"/>
          <w:szCs w:val="20"/>
          <w:highlight w:val="none"/>
          <w14:textFill>
            <w14:solidFill>
              <w14:schemeClr w14:val="tx1"/>
            </w14:solidFill>
          </w14:textFill>
        </w:rPr>
      </w:pPr>
    </w:p>
    <w:p w14:paraId="28FC4BEF">
      <w:pPr>
        <w:pStyle w:val="100"/>
        <w:rPr>
          <w:rFonts w:hint="eastAsia"/>
          <w:color w:val="000000" w:themeColor="text1"/>
          <w:highlight w:val="none"/>
          <w14:textFill>
            <w14:solidFill>
              <w14:schemeClr w14:val="tx1"/>
            </w14:solidFill>
          </w14:textFill>
        </w:rPr>
      </w:pPr>
    </w:p>
    <w:p w14:paraId="7060C0BE">
      <w:pPr>
        <w:pStyle w:val="100"/>
        <w:rPr>
          <w:rFonts w:hint="eastAsia"/>
          <w:color w:val="000000" w:themeColor="text1"/>
          <w:highlight w:val="none"/>
          <w14:textFill>
            <w14:solidFill>
              <w14:schemeClr w14:val="tx1"/>
            </w14:solidFill>
          </w14:textFill>
        </w:rPr>
      </w:pPr>
    </w:p>
    <w:p w14:paraId="3511EB2A">
      <w:pPr>
        <w:snapToGrid w:val="0"/>
        <w:spacing w:before="165" w:beforeLines="50" w:after="50"/>
        <w:jc w:val="cente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资格证明文件（封面）</w:t>
      </w:r>
    </w:p>
    <w:p w14:paraId="78698081">
      <w:pPr>
        <w:snapToGrid w:val="0"/>
        <w:spacing w:before="165" w:beforeLines="50" w:after="50"/>
        <w:rPr>
          <w:rFonts w:hint="eastAsia" w:asciiTheme="minorEastAsia" w:hAnsiTheme="minorEastAsia" w:eastAsiaTheme="minorEastAsia" w:cstheme="minorEastAsia"/>
          <w:bCs/>
          <w:color w:val="000000" w:themeColor="text1"/>
          <w:sz w:val="24"/>
          <w:szCs w:val="20"/>
          <w:highlight w:val="none"/>
          <w14:textFill>
            <w14:solidFill>
              <w14:schemeClr w14:val="tx1"/>
            </w14:solidFill>
          </w14:textFill>
        </w:rPr>
      </w:pPr>
    </w:p>
    <w:p w14:paraId="14198343">
      <w:pPr>
        <w:snapToGrid w:val="0"/>
        <w:spacing w:before="165" w:beforeLines="50" w:after="50"/>
        <w:rPr>
          <w:rFonts w:hint="eastAsia" w:asciiTheme="minorEastAsia" w:hAnsiTheme="minorEastAsia" w:eastAsiaTheme="minorEastAsia" w:cstheme="minorEastAsia"/>
          <w:bCs/>
          <w:color w:val="000000" w:themeColor="text1"/>
          <w:sz w:val="24"/>
          <w:szCs w:val="20"/>
          <w:highlight w:val="none"/>
          <w14:textFill>
            <w14:solidFill>
              <w14:schemeClr w14:val="tx1"/>
            </w14:solidFill>
          </w14:textFill>
        </w:rPr>
      </w:pPr>
    </w:p>
    <w:p w14:paraId="23E17CF5">
      <w:pPr>
        <w:pStyle w:val="100"/>
        <w:rPr>
          <w:rFonts w:hint="eastAsia"/>
          <w:color w:val="000000" w:themeColor="text1"/>
          <w:highlight w:val="none"/>
          <w14:textFill>
            <w14:solidFill>
              <w14:schemeClr w14:val="tx1"/>
            </w14:solidFill>
          </w14:textFill>
        </w:rPr>
      </w:pPr>
    </w:p>
    <w:p w14:paraId="76851790">
      <w:pPr>
        <w:pStyle w:val="100"/>
        <w:rPr>
          <w:rFonts w:hint="eastAsia"/>
          <w:color w:val="000000" w:themeColor="text1"/>
          <w:highlight w:val="none"/>
          <w14:textFill>
            <w14:solidFill>
              <w14:schemeClr w14:val="tx1"/>
            </w14:solidFill>
          </w14:textFill>
        </w:rPr>
      </w:pPr>
    </w:p>
    <w:p w14:paraId="58006759">
      <w:pPr>
        <w:snapToGrid w:val="0"/>
        <w:spacing w:before="165" w:beforeLines="50" w:after="50"/>
        <w:rPr>
          <w:rFonts w:hint="eastAsia" w:asciiTheme="minorEastAsia" w:hAnsiTheme="minorEastAsia" w:eastAsiaTheme="minorEastAsia" w:cstheme="minorEastAsia"/>
          <w:bCs/>
          <w:color w:val="000000" w:themeColor="text1"/>
          <w:sz w:val="24"/>
          <w:szCs w:val="20"/>
          <w:highlight w:val="none"/>
          <w14:textFill>
            <w14:solidFill>
              <w14:schemeClr w14:val="tx1"/>
            </w14:solidFill>
          </w14:textFill>
        </w:rPr>
      </w:pPr>
    </w:p>
    <w:p w14:paraId="43ED00DA">
      <w:pPr>
        <w:snapToGrid w:val="0"/>
        <w:spacing w:before="165" w:beforeLines="50" w:after="50"/>
        <w:rPr>
          <w:rFonts w:hint="eastAsia" w:asciiTheme="minorEastAsia" w:hAnsiTheme="minorEastAsia" w:eastAsiaTheme="minorEastAsia" w:cstheme="minorEastAsia"/>
          <w:bCs/>
          <w:color w:val="000000" w:themeColor="text1"/>
          <w:sz w:val="24"/>
          <w:szCs w:val="20"/>
          <w:highlight w:val="none"/>
          <w14:textFill>
            <w14:solidFill>
              <w14:schemeClr w14:val="tx1"/>
            </w14:solidFill>
          </w14:textFill>
        </w:rPr>
      </w:pPr>
    </w:p>
    <w:p w14:paraId="689E2577">
      <w:pPr>
        <w:snapToGrid w:val="0"/>
        <w:spacing w:before="165" w:beforeLines="50" w:after="50"/>
        <w:rPr>
          <w:rFonts w:hint="eastAsia" w:asciiTheme="minorEastAsia" w:hAnsiTheme="minorEastAsia" w:eastAsiaTheme="minorEastAsia" w:cstheme="minorEastAsia"/>
          <w:bCs/>
          <w:color w:val="000000" w:themeColor="text1"/>
          <w:sz w:val="24"/>
          <w:szCs w:val="20"/>
          <w:highlight w:val="none"/>
          <w14:textFill>
            <w14:solidFill>
              <w14:schemeClr w14:val="tx1"/>
            </w14:solidFill>
          </w14:textFill>
        </w:rPr>
      </w:pPr>
    </w:p>
    <w:p w14:paraId="55A9F894">
      <w:pPr>
        <w:snapToGrid w:val="0"/>
        <w:spacing w:before="165" w:beforeLines="50" w:after="50"/>
        <w:ind w:firstLine="640" w:firstLineChars="200"/>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t>项目名称：</w:t>
      </w:r>
    </w:p>
    <w:p w14:paraId="482A2158">
      <w:pPr>
        <w:snapToGrid w:val="0"/>
        <w:spacing w:before="165" w:beforeLines="50" w:after="50"/>
        <w:ind w:firstLine="720" w:firstLineChars="225"/>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p>
    <w:p w14:paraId="0832DAAF">
      <w:pPr>
        <w:snapToGrid w:val="0"/>
        <w:spacing w:before="165" w:beforeLines="50" w:after="50"/>
        <w:ind w:firstLine="720" w:firstLineChars="225"/>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t>项目编号：</w:t>
      </w:r>
    </w:p>
    <w:p w14:paraId="31AA2E68">
      <w:pPr>
        <w:snapToGrid w:val="0"/>
        <w:spacing w:before="165" w:beforeLines="50" w:after="50"/>
        <w:ind w:firstLine="720" w:firstLineChars="225"/>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p>
    <w:p w14:paraId="673CBF1F">
      <w:pPr>
        <w:snapToGrid w:val="0"/>
        <w:spacing w:before="165" w:beforeLines="50" w:after="50"/>
        <w:ind w:firstLine="720" w:firstLineChars="225"/>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t>所竞分标（如有则填写，无分标时填写“无”或者留空）：</w:t>
      </w:r>
    </w:p>
    <w:p w14:paraId="4821A32C">
      <w:pPr>
        <w:snapToGrid w:val="0"/>
        <w:spacing w:before="165" w:beforeLines="50" w:after="50"/>
        <w:ind w:firstLine="720" w:firstLineChars="225"/>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p>
    <w:p w14:paraId="14537CA3">
      <w:pPr>
        <w:pStyle w:val="10"/>
        <w:snapToGrid w:val="0"/>
        <w:spacing w:before="50" w:after="120"/>
        <w:ind w:firstLine="720" w:firstLineChars="225"/>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t>供应商名称：</w:t>
      </w:r>
    </w:p>
    <w:p w14:paraId="5570F9A3">
      <w:pPr>
        <w:pStyle w:val="10"/>
        <w:snapToGrid w:val="0"/>
        <w:spacing w:before="50" w:after="120"/>
        <w:ind w:firstLine="720" w:firstLineChars="225"/>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p>
    <w:p w14:paraId="1E1F0406">
      <w:pPr>
        <w:pStyle w:val="10"/>
        <w:snapToGrid w:val="0"/>
        <w:spacing w:before="50" w:after="120"/>
        <w:ind w:firstLine="1280" w:firstLineChars="400"/>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p>
    <w:p w14:paraId="7AB4875A">
      <w:pPr>
        <w:pStyle w:val="10"/>
        <w:snapToGrid w:val="0"/>
        <w:spacing w:before="50" w:after="120"/>
        <w:ind w:firstLine="1280" w:firstLineChars="400"/>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p>
    <w:p w14:paraId="11E9DBE9">
      <w:pPr>
        <w:snapToGrid w:val="0"/>
        <w:spacing w:before="165" w:beforeLines="50" w:after="50"/>
        <w:jc w:val="center"/>
        <w:rPr>
          <w:rFonts w:hint="eastAsia" w:asciiTheme="minorEastAsia" w:hAnsiTheme="minorEastAsia" w:eastAsiaTheme="minorEastAsia" w:cstheme="minorEastAsia"/>
          <w:color w:val="000000" w:themeColor="text1"/>
          <w:sz w:val="32"/>
          <w:szCs w:val="32"/>
          <w:highlight w:val="none"/>
          <w14:textFill>
            <w14:solidFill>
              <w14:schemeClr w14:val="tx1"/>
            </w14:solidFill>
          </w14:textFill>
        </w:rPr>
      </w:pPr>
      <w:r>
        <w:rPr>
          <w:rFonts w:hint="eastAsia" w:asciiTheme="minorEastAsia" w:hAnsiTheme="minorEastAsia" w:eastAsiaTheme="minorEastAsia" w:cstheme="minorEastAsia"/>
          <w:color w:val="000000" w:themeColor="text1"/>
          <w:sz w:val="32"/>
          <w:szCs w:val="32"/>
          <w:highlight w:val="none"/>
          <w14:textFill>
            <w14:solidFill>
              <w14:schemeClr w14:val="tx1"/>
            </w14:solidFill>
          </w14:textFill>
        </w:rPr>
        <w:t>年    月    日</w:t>
      </w:r>
    </w:p>
    <w:p w14:paraId="25F5A6E6">
      <w:pPr>
        <w:snapToGrid w:val="0"/>
        <w:spacing w:before="165" w:beforeLines="50" w:after="50" w:line="360" w:lineRule="auto"/>
        <w:jc w:val="left"/>
        <w:rPr>
          <w:rFonts w:hint="eastAsia" w:asciiTheme="minorEastAsia" w:hAnsiTheme="minorEastAsia" w:eastAsiaTheme="minorEastAsia" w:cstheme="minorEastAsia"/>
          <w:b/>
          <w:bCs/>
          <w:color w:val="000000" w:themeColor="text1"/>
          <w:sz w:val="32"/>
          <w:szCs w:val="32"/>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br w:type="page"/>
      </w:r>
    </w:p>
    <w:p w14:paraId="2C873745">
      <w:pPr>
        <w:keepNext w:val="0"/>
        <w:keepLines w:val="0"/>
        <w:pageBreakBefore w:val="0"/>
        <w:widowControl w:val="0"/>
        <w:kinsoku/>
        <w:wordWrap/>
        <w:overflowPunct/>
        <w:topLinePunct w:val="0"/>
        <w:autoSpaceDE/>
        <w:autoSpaceDN/>
        <w:bidi w:val="0"/>
        <w:adjustRightInd/>
        <w:snapToGrid/>
        <w:spacing w:after="266" w:afterLines="80" w:line="640" w:lineRule="exact"/>
        <w:jc w:val="center"/>
        <w:textAlignment w:val="auto"/>
        <w:rPr>
          <w:rFonts w:hint="eastAsia" w:asciiTheme="minorEastAsia" w:hAnsiTheme="minorEastAsia" w:eastAsiaTheme="minorEastAsia" w:cstheme="minorEastAsia"/>
          <w:b/>
          <w:color w:val="000000" w:themeColor="text1"/>
          <w:kern w:val="0"/>
          <w:sz w:val="36"/>
          <w:szCs w:val="36"/>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0"/>
          <w:sz w:val="36"/>
          <w:szCs w:val="36"/>
          <w:highlight w:val="none"/>
          <w14:textFill>
            <w14:solidFill>
              <w14:schemeClr w14:val="tx1"/>
            </w14:solidFill>
          </w14:textFill>
        </w:rPr>
        <w:t>资格证明文件目录</w:t>
      </w:r>
    </w:p>
    <w:p w14:paraId="6D27AF3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一、</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营业执照（或事业法人登记证或其他工商等登记证明材料）复印件（供应商为自然人的，须提供</w:t>
      </w: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自然人的身份证明</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………………………………………………………（页码）</w:t>
      </w:r>
    </w:p>
    <w:p w14:paraId="0FB334C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二、供应商依法缴纳税收的相关材料…………………………………………………（页码）</w:t>
      </w:r>
    </w:p>
    <w:p w14:paraId="35E7560E">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三、</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供应商依法缴纳社会保障资金的相关材料</w:t>
      </w: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……………………………………………（页码）</w:t>
      </w:r>
    </w:p>
    <w:p w14:paraId="4184142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四、</w:t>
      </w:r>
      <w:r>
        <w:rPr>
          <w:rFonts w:hint="eastAsia" w:asciiTheme="minorEastAsia" w:hAnsiTheme="minorEastAsia" w:eastAsiaTheme="minorEastAsia" w:cstheme="minorEastAsia"/>
          <w:color w:val="000000" w:themeColor="text1"/>
          <w:sz w:val="24"/>
          <w:highlight w:val="none"/>
          <w:lang w:eastAsia="zh-CN"/>
          <w14:textFill>
            <w14:solidFill>
              <w14:schemeClr w14:val="tx1"/>
            </w14:solidFill>
          </w14:textFill>
        </w:rPr>
        <w:t>供应商财务状况报告</w:t>
      </w: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………………………………………………………………（页码）</w:t>
      </w:r>
    </w:p>
    <w:p w14:paraId="5023464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五、供应商直接控股、管理关系信息表</w:t>
      </w: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………………………………………………（页码）</w:t>
      </w:r>
    </w:p>
    <w:p w14:paraId="62D64D3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六、资格声明函…………………………………………………………………………（页码）</w:t>
      </w:r>
    </w:p>
    <w:p w14:paraId="24B87181">
      <w:pPr>
        <w:keepNext w:val="0"/>
        <w:keepLines w:val="0"/>
        <w:pageBreakBefore w:val="0"/>
        <w:widowControl w:val="0"/>
        <w:kinsoku/>
        <w:wordWrap/>
        <w:overflowPunct/>
        <w:topLinePunct w:val="0"/>
        <w:autoSpaceDE/>
        <w:autoSpaceDN/>
        <w:bidi w:val="0"/>
        <w:adjustRightInd/>
        <w:snapToGrid w:val="0"/>
        <w:spacing w:line="520" w:lineRule="exact"/>
        <w:jc w:val="left"/>
        <w:textAlignment w:val="auto"/>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七、</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联合体协议书</w:t>
      </w: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………………………………………………………………………（页码）</w:t>
      </w:r>
    </w:p>
    <w:p w14:paraId="7F95749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八、中小企业声明函或残疾人福利性单位声明函或属于监狱企业的证明文件</w:t>
      </w: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……（页码）</w:t>
      </w:r>
    </w:p>
    <w:p w14:paraId="3AEB82C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九、</w:t>
      </w:r>
      <w:r>
        <w:rPr>
          <w:rFonts w:hint="eastAsia" w:asciiTheme="minorEastAsia" w:hAnsiTheme="minorEastAsia" w:eastAsiaTheme="minorEastAsia" w:cstheme="minorEastAsia"/>
          <w:color w:val="000000" w:themeColor="text1"/>
          <w:kern w:val="0"/>
          <w:sz w:val="24"/>
          <w:highlight w:val="none"/>
          <w:lang w:eastAsia="zh-CN"/>
          <w14:textFill>
            <w14:solidFill>
              <w14:schemeClr w14:val="tx1"/>
            </w14:solidFill>
          </w14:textFill>
        </w:rPr>
        <w:t>特定资格要求供应商提供的资格证明材料</w:t>
      </w: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………………………………………（页码）</w:t>
      </w:r>
    </w:p>
    <w:p w14:paraId="66994C31">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十、除磋商文件规定必须提供以外，供应商认为需要提供的其他证明材料……</w:t>
      </w: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（页码）</w:t>
      </w:r>
    </w:p>
    <w:p w14:paraId="2BD4C822">
      <w:pPr>
        <w:keepNext w:val="0"/>
        <w:keepLines w:val="0"/>
        <w:pageBreakBefore w:val="0"/>
        <w:widowControl w:val="0"/>
        <w:kinsoku/>
        <w:wordWrap/>
        <w:overflowPunct/>
        <w:topLinePunct w:val="0"/>
        <w:autoSpaceDE/>
        <w:autoSpaceDN/>
        <w:bidi w:val="0"/>
        <w:adjustRightInd/>
        <w:spacing w:line="520" w:lineRule="exact"/>
        <w:ind w:firstLine="482" w:firstLineChars="200"/>
        <w:textAlignment w:val="auto"/>
        <w:rPr>
          <w:rFonts w:hint="eastAsia" w:asciiTheme="minorEastAsia" w:hAnsiTheme="minorEastAsia" w:eastAsiaTheme="minorEastAsia" w:cstheme="minorEastAsia"/>
          <w:color w:val="000000" w:themeColor="text1"/>
          <w:sz w:val="30"/>
          <w:szCs w:val="20"/>
          <w:highlight w:val="none"/>
          <w:lang w:eastAsia="zh-CN"/>
          <w14:textFill>
            <w14:solidFill>
              <w14:schemeClr w14:val="tx1"/>
            </w14:solidFill>
          </w14:textFill>
        </w:rPr>
        <w:sectPr>
          <w:pgSz w:w="11906" w:h="16838"/>
          <w:pgMar w:top="1077" w:right="1247" w:bottom="1077" w:left="1417" w:header="720" w:footer="850" w:gutter="0"/>
          <w:pgBorders>
            <w:top w:val="none" w:sz="0" w:space="0"/>
            <w:left w:val="none" w:sz="0" w:space="0"/>
            <w:bottom w:val="none" w:sz="0" w:space="0"/>
            <w:right w:val="none" w:sz="0" w:space="0"/>
          </w:pgBorders>
          <w:pgNumType w:fmt="decimal"/>
          <w:cols w:space="720" w:num="1"/>
          <w:docGrid w:type="lines" w:linePitch="331" w:charSpace="0"/>
        </w:sect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注：以上目录是基本格式要求，各</w:t>
      </w:r>
      <w:r>
        <w:rPr>
          <w:rFonts w:hint="eastAsia" w:asciiTheme="minorEastAsia" w:hAnsiTheme="minorEastAsia" w:eastAsiaTheme="minorEastAsia" w:cstheme="minorEastAsia"/>
          <w:b/>
          <w:bCs/>
          <w:color w:val="000000" w:themeColor="text1"/>
          <w:sz w:val="24"/>
          <w:highlight w:val="none"/>
          <w:lang w:eastAsia="zh-CN"/>
          <w14:textFill>
            <w14:solidFill>
              <w14:schemeClr w14:val="tx1"/>
            </w14:solidFill>
          </w14:textFill>
        </w:rPr>
        <w:t>供应商</w:t>
      </w: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可根据自身情况进一步向下增加内容或细化</w:t>
      </w:r>
      <w:r>
        <w:rPr>
          <w:rFonts w:hint="eastAsia" w:asciiTheme="minorEastAsia" w:hAnsiTheme="minorEastAsia" w:eastAsiaTheme="minorEastAsia" w:cstheme="minorEastAsia"/>
          <w:b/>
          <w:bCs/>
          <w:color w:val="000000" w:themeColor="text1"/>
          <w:sz w:val="24"/>
          <w:highlight w:val="none"/>
          <w:lang w:eastAsia="zh-CN"/>
          <w14:textFill>
            <w14:solidFill>
              <w14:schemeClr w14:val="tx1"/>
            </w14:solidFill>
          </w14:textFill>
        </w:rPr>
        <w:t>。</w:t>
      </w:r>
    </w:p>
    <w:p w14:paraId="13ACDCB2">
      <w:pPr>
        <w:pStyle w:val="16"/>
        <w:spacing w:line="360" w:lineRule="auto"/>
        <w:ind w:firstLine="562" w:firstLineChars="200"/>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一、营业执照（或事业法人登记证或其他工商等登记证明材料）复印件（供应商为自然人的，提供自然人的身份证明）</w:t>
      </w:r>
    </w:p>
    <w:p w14:paraId="559EBBAE">
      <w:pPr>
        <w:pStyle w:val="16"/>
        <w:spacing w:line="360" w:lineRule="auto"/>
        <w:ind w:firstLine="602" w:firstLineChars="200"/>
        <w:rPr>
          <w:rFonts w:hint="eastAsia" w:asciiTheme="minorEastAsia" w:hAnsiTheme="minorEastAsia" w:eastAsiaTheme="minorEastAsia" w:cstheme="minorEastAsia"/>
          <w:b/>
          <w:color w:val="000000" w:themeColor="text1"/>
          <w:sz w:val="30"/>
          <w:szCs w:val="30"/>
          <w:highlight w:val="none"/>
          <w14:textFill>
            <w14:solidFill>
              <w14:schemeClr w14:val="tx1"/>
            </w14:solidFill>
          </w14:textFill>
        </w:rPr>
      </w:pPr>
    </w:p>
    <w:p w14:paraId="394F4080">
      <w:pPr>
        <w:rPr>
          <w:rFonts w:hint="eastAsia"/>
          <w:color w:val="000000" w:themeColor="text1"/>
          <w:highlight w:val="none"/>
          <w14:textFill>
            <w14:solidFill>
              <w14:schemeClr w14:val="tx1"/>
            </w14:solidFill>
          </w14:textFill>
        </w:rPr>
      </w:pPr>
    </w:p>
    <w:p w14:paraId="018DB8A7">
      <w:pPr>
        <w:keepNext w:val="0"/>
        <w:keepLines w:val="0"/>
        <w:pageBreakBefore w:val="0"/>
        <w:widowControl w:val="0"/>
        <w:kinsoku/>
        <w:wordWrap/>
        <w:overflowPunct/>
        <w:topLinePunct w:val="0"/>
        <w:autoSpaceDE w:val="0"/>
        <w:autoSpaceDN w:val="0"/>
        <w:bidi w:val="0"/>
        <w:adjustRightInd/>
        <w:snapToGrid/>
        <w:spacing w:line="600" w:lineRule="exact"/>
        <w:ind w:left="4365" w:leftChars="1850" w:hanging="480" w:hangingChars="200"/>
        <w:textAlignment w:val="auto"/>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供应商名称（电子签章）：</w:t>
      </w:r>
    </w:p>
    <w:p w14:paraId="28451D98">
      <w:pPr>
        <w:keepNext w:val="0"/>
        <w:keepLines w:val="0"/>
        <w:pageBreakBefore w:val="0"/>
        <w:widowControl w:val="0"/>
        <w:kinsoku/>
        <w:wordWrap/>
        <w:overflowPunct/>
        <w:topLinePunct w:val="0"/>
        <w:autoSpaceDE w:val="0"/>
        <w:autoSpaceDN w:val="0"/>
        <w:bidi w:val="0"/>
        <w:adjustRightInd/>
        <w:snapToGrid/>
        <w:spacing w:line="600" w:lineRule="exact"/>
        <w:ind w:firstLine="6120" w:firstLineChars="255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日期：  </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年 </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 月   日</w:t>
      </w:r>
    </w:p>
    <w:p w14:paraId="49C8E790">
      <w:pPr>
        <w:snapToGrid w:val="0"/>
        <w:spacing w:before="120" w:beforeLines="50" w:after="50"/>
        <w:rPr>
          <w:rFonts w:hint="eastAsia" w:asciiTheme="minorEastAsia" w:hAnsiTheme="minorEastAsia" w:eastAsiaTheme="minorEastAsia" w:cstheme="minorEastAsia"/>
          <w:color w:val="000000" w:themeColor="text1"/>
          <w:sz w:val="24"/>
          <w:szCs w:val="20"/>
          <w:highlight w:val="none"/>
          <w14:textFill>
            <w14:solidFill>
              <w14:schemeClr w14:val="tx1"/>
            </w14:solidFill>
          </w14:textFill>
        </w:rPr>
      </w:pPr>
    </w:p>
    <w:p w14:paraId="37D82899">
      <w:pPr>
        <w:pStyle w:val="16"/>
        <w:spacing w:line="360" w:lineRule="auto"/>
        <w:ind w:firstLine="562" w:firstLineChars="200"/>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二、供应商依法缴纳税收的相关材料</w:t>
      </w:r>
    </w:p>
    <w:p w14:paraId="07D78370">
      <w:pPr>
        <w:spacing w:line="300" w:lineRule="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p w14:paraId="282ADEC8">
      <w:pPr>
        <w:pStyle w:val="100"/>
        <w:rPr>
          <w:rFonts w:hint="eastAsia"/>
          <w:color w:val="000000" w:themeColor="text1"/>
          <w:highlight w:val="none"/>
          <w14:textFill>
            <w14:solidFill>
              <w14:schemeClr w14:val="tx1"/>
            </w14:solidFill>
          </w14:textFill>
        </w:rPr>
      </w:pPr>
    </w:p>
    <w:p w14:paraId="24B5F604">
      <w:pPr>
        <w:pStyle w:val="100"/>
        <w:rPr>
          <w:rFonts w:hint="eastAsia"/>
          <w:color w:val="000000" w:themeColor="text1"/>
          <w:highlight w:val="none"/>
          <w14:textFill>
            <w14:solidFill>
              <w14:schemeClr w14:val="tx1"/>
            </w14:solidFill>
          </w14:textFill>
        </w:rPr>
      </w:pPr>
    </w:p>
    <w:p w14:paraId="5818729E">
      <w:pPr>
        <w:keepNext w:val="0"/>
        <w:keepLines w:val="0"/>
        <w:pageBreakBefore w:val="0"/>
        <w:widowControl w:val="0"/>
        <w:kinsoku/>
        <w:wordWrap/>
        <w:overflowPunct/>
        <w:topLinePunct w:val="0"/>
        <w:autoSpaceDE w:val="0"/>
        <w:autoSpaceDN w:val="0"/>
        <w:bidi w:val="0"/>
        <w:adjustRightInd/>
        <w:snapToGrid/>
        <w:spacing w:line="600" w:lineRule="exact"/>
        <w:ind w:left="4365" w:leftChars="1850" w:hanging="480" w:hangingChars="200"/>
        <w:textAlignment w:val="auto"/>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供应商名称（电子签章）：</w:t>
      </w:r>
    </w:p>
    <w:p w14:paraId="17A14EA9">
      <w:pPr>
        <w:keepNext w:val="0"/>
        <w:keepLines w:val="0"/>
        <w:pageBreakBefore w:val="0"/>
        <w:widowControl w:val="0"/>
        <w:kinsoku/>
        <w:wordWrap/>
        <w:overflowPunct/>
        <w:topLinePunct w:val="0"/>
        <w:autoSpaceDE w:val="0"/>
        <w:autoSpaceDN w:val="0"/>
        <w:bidi w:val="0"/>
        <w:adjustRightInd/>
        <w:snapToGrid/>
        <w:spacing w:line="600" w:lineRule="exact"/>
        <w:ind w:firstLine="6120" w:firstLineChars="255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日期： </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 年  </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月   日</w:t>
      </w:r>
    </w:p>
    <w:p w14:paraId="3FD882F3">
      <w:pPr>
        <w:spacing w:line="300" w:lineRule="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p w14:paraId="49537591">
      <w:pPr>
        <w:spacing w:line="300" w:lineRule="auto"/>
        <w:ind w:firstLine="557" w:firstLineChars="198"/>
        <w:rPr>
          <w:rFonts w:hint="eastAsia" w:asciiTheme="minorEastAsia" w:hAnsiTheme="minorEastAsia" w:eastAsiaTheme="minorEastAsia" w:cstheme="minorEastAsia"/>
          <w:b/>
          <w:color w:val="000000" w:themeColor="text1"/>
          <w:kern w:val="0"/>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0"/>
          <w:sz w:val="28"/>
          <w:szCs w:val="28"/>
          <w:highlight w:val="none"/>
          <w14:textFill>
            <w14:solidFill>
              <w14:schemeClr w14:val="tx1"/>
            </w14:solidFill>
          </w14:textFill>
        </w:rPr>
        <w:t>三、供应商依法缴纳社会保障资金的相关材料</w:t>
      </w:r>
    </w:p>
    <w:p w14:paraId="0AF0BA31">
      <w:pPr>
        <w:spacing w:line="300" w:lineRule="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p w14:paraId="3A3C625C">
      <w:pPr>
        <w:autoSpaceDE w:val="0"/>
        <w:autoSpaceDN w:val="0"/>
        <w:spacing w:line="360" w:lineRule="auto"/>
        <w:ind w:left="4365" w:leftChars="1850" w:hanging="480" w:hangingChars="200"/>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p>
    <w:p w14:paraId="7ACC606B">
      <w:pPr>
        <w:autoSpaceDE w:val="0"/>
        <w:autoSpaceDN w:val="0"/>
        <w:spacing w:line="360" w:lineRule="auto"/>
        <w:ind w:left="4365" w:leftChars="1850" w:hanging="480" w:hangingChars="200"/>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p>
    <w:p w14:paraId="04DED20F">
      <w:pPr>
        <w:keepNext w:val="0"/>
        <w:keepLines w:val="0"/>
        <w:pageBreakBefore w:val="0"/>
        <w:widowControl w:val="0"/>
        <w:kinsoku/>
        <w:wordWrap/>
        <w:overflowPunct/>
        <w:topLinePunct w:val="0"/>
        <w:autoSpaceDE w:val="0"/>
        <w:autoSpaceDN w:val="0"/>
        <w:bidi w:val="0"/>
        <w:adjustRightInd/>
        <w:snapToGrid/>
        <w:spacing w:line="600" w:lineRule="exact"/>
        <w:ind w:left="4365" w:leftChars="1850" w:hanging="480" w:hangingChars="200"/>
        <w:textAlignment w:val="auto"/>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供应商名称（电子签章）：</w:t>
      </w:r>
    </w:p>
    <w:p w14:paraId="4AA87240">
      <w:pPr>
        <w:keepNext w:val="0"/>
        <w:keepLines w:val="0"/>
        <w:pageBreakBefore w:val="0"/>
        <w:widowControl w:val="0"/>
        <w:kinsoku/>
        <w:wordWrap/>
        <w:overflowPunct/>
        <w:topLinePunct w:val="0"/>
        <w:autoSpaceDE w:val="0"/>
        <w:autoSpaceDN w:val="0"/>
        <w:bidi w:val="0"/>
        <w:adjustRightInd/>
        <w:snapToGrid/>
        <w:spacing w:line="600" w:lineRule="exact"/>
        <w:ind w:firstLine="6120" w:firstLineChars="255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日期： </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 年 </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 月   日</w:t>
      </w:r>
    </w:p>
    <w:p w14:paraId="64EF6DB1">
      <w:pPr>
        <w:spacing w:line="320" w:lineRule="exact"/>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p w14:paraId="3FCA5AEA">
      <w:pPr>
        <w:spacing w:line="300" w:lineRule="auto"/>
        <w:ind w:firstLine="557" w:firstLineChars="198"/>
        <w:rPr>
          <w:rFonts w:hint="eastAsia" w:asciiTheme="minorEastAsia" w:hAnsiTheme="minorEastAsia" w:eastAsiaTheme="minorEastAsia" w:cstheme="minorEastAsia"/>
          <w:b/>
          <w:color w:val="000000" w:themeColor="text1"/>
          <w:kern w:val="0"/>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0"/>
          <w:sz w:val="28"/>
          <w:szCs w:val="28"/>
          <w:highlight w:val="none"/>
          <w:lang w:val="en-US" w:eastAsia="zh-CN"/>
          <w14:textFill>
            <w14:solidFill>
              <w14:schemeClr w14:val="tx1"/>
            </w14:solidFill>
          </w14:textFill>
        </w:rPr>
        <w:t>四</w:t>
      </w:r>
      <w:r>
        <w:rPr>
          <w:rFonts w:hint="eastAsia" w:asciiTheme="minorEastAsia" w:hAnsiTheme="minorEastAsia" w:eastAsiaTheme="minorEastAsia" w:cstheme="minorEastAsia"/>
          <w:b/>
          <w:color w:val="000000" w:themeColor="text1"/>
          <w:kern w:val="0"/>
          <w:sz w:val="28"/>
          <w:szCs w:val="28"/>
          <w:highlight w:val="none"/>
          <w14:textFill>
            <w14:solidFill>
              <w14:schemeClr w14:val="tx1"/>
            </w14:solidFill>
          </w14:textFill>
        </w:rPr>
        <w:t>、供应商依法缴纳社会保障资金的相关材料</w:t>
      </w:r>
    </w:p>
    <w:p w14:paraId="4B067047">
      <w:pPr>
        <w:keepNext w:val="0"/>
        <w:keepLines w:val="0"/>
        <w:pageBreakBefore w:val="0"/>
        <w:widowControl w:val="0"/>
        <w:kinsoku/>
        <w:wordWrap/>
        <w:overflowPunct/>
        <w:topLinePunct w:val="0"/>
        <w:autoSpaceDE w:val="0"/>
        <w:autoSpaceDN w:val="0"/>
        <w:bidi w:val="0"/>
        <w:adjustRightInd/>
        <w:snapToGrid/>
        <w:spacing w:line="600" w:lineRule="exact"/>
        <w:ind w:left="4365" w:leftChars="1850" w:hanging="480" w:hangingChars="200"/>
        <w:textAlignment w:val="auto"/>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p>
    <w:p w14:paraId="391D80BF">
      <w:pPr>
        <w:keepNext w:val="0"/>
        <w:keepLines w:val="0"/>
        <w:pageBreakBefore w:val="0"/>
        <w:widowControl w:val="0"/>
        <w:kinsoku/>
        <w:wordWrap/>
        <w:overflowPunct/>
        <w:topLinePunct w:val="0"/>
        <w:autoSpaceDE w:val="0"/>
        <w:autoSpaceDN w:val="0"/>
        <w:bidi w:val="0"/>
        <w:adjustRightInd/>
        <w:snapToGrid/>
        <w:spacing w:line="600" w:lineRule="exact"/>
        <w:ind w:left="4365" w:leftChars="1850" w:hanging="480" w:hangingChars="200"/>
        <w:textAlignment w:val="auto"/>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p>
    <w:p w14:paraId="58BD5CCD">
      <w:pPr>
        <w:keepNext w:val="0"/>
        <w:keepLines w:val="0"/>
        <w:pageBreakBefore w:val="0"/>
        <w:widowControl w:val="0"/>
        <w:kinsoku/>
        <w:wordWrap/>
        <w:overflowPunct/>
        <w:topLinePunct w:val="0"/>
        <w:autoSpaceDE w:val="0"/>
        <w:autoSpaceDN w:val="0"/>
        <w:bidi w:val="0"/>
        <w:adjustRightInd/>
        <w:snapToGrid/>
        <w:spacing w:line="600" w:lineRule="exact"/>
        <w:ind w:left="4365" w:leftChars="1850" w:hanging="480" w:hangingChars="200"/>
        <w:textAlignment w:val="auto"/>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供应商名称（电子签章）：</w:t>
      </w:r>
    </w:p>
    <w:p w14:paraId="061EDBA8">
      <w:pPr>
        <w:keepNext w:val="0"/>
        <w:keepLines w:val="0"/>
        <w:pageBreakBefore w:val="0"/>
        <w:widowControl w:val="0"/>
        <w:kinsoku/>
        <w:wordWrap/>
        <w:overflowPunct/>
        <w:topLinePunct w:val="0"/>
        <w:autoSpaceDE w:val="0"/>
        <w:autoSpaceDN w:val="0"/>
        <w:bidi w:val="0"/>
        <w:adjustRightInd/>
        <w:snapToGrid/>
        <w:spacing w:line="600" w:lineRule="exact"/>
        <w:ind w:firstLine="6120" w:firstLineChars="2550"/>
        <w:textAlignment w:val="auto"/>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日期： </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 年  </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月   日</w:t>
      </w:r>
    </w:p>
    <w:p w14:paraId="5645DEFC">
      <w:pPr>
        <w:keepNext w:val="0"/>
        <w:keepLines w:val="0"/>
        <w:pageBreakBefore w:val="0"/>
        <w:widowControl w:val="0"/>
        <w:kinsoku/>
        <w:wordWrap/>
        <w:overflowPunct/>
        <w:topLinePunct w:val="0"/>
        <w:autoSpaceDE w:val="0"/>
        <w:autoSpaceDN w:val="0"/>
        <w:bidi w:val="0"/>
        <w:adjustRightInd/>
        <w:snapToGrid/>
        <w:spacing w:line="600" w:lineRule="exact"/>
        <w:ind w:firstLine="6120" w:firstLineChars="2550"/>
        <w:textAlignment w:val="auto"/>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pPr>
    </w:p>
    <w:p w14:paraId="40A33364">
      <w:pPr>
        <w:keepNext w:val="0"/>
        <w:keepLines w:val="0"/>
        <w:pageBreakBefore w:val="0"/>
        <w:widowControl w:val="0"/>
        <w:kinsoku/>
        <w:wordWrap/>
        <w:overflowPunct/>
        <w:topLinePunct w:val="0"/>
        <w:autoSpaceDE w:val="0"/>
        <w:autoSpaceDN w:val="0"/>
        <w:bidi w:val="0"/>
        <w:adjustRightInd/>
        <w:snapToGrid/>
        <w:spacing w:line="600" w:lineRule="exact"/>
        <w:ind w:firstLine="6120" w:firstLineChars="2550"/>
        <w:textAlignment w:val="auto"/>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pPr>
    </w:p>
    <w:p w14:paraId="5C7F4D7E">
      <w:pPr>
        <w:keepNext w:val="0"/>
        <w:keepLines w:val="0"/>
        <w:pageBreakBefore w:val="0"/>
        <w:widowControl w:val="0"/>
        <w:kinsoku/>
        <w:wordWrap/>
        <w:overflowPunct/>
        <w:topLinePunct w:val="0"/>
        <w:autoSpaceDE w:val="0"/>
        <w:autoSpaceDN w:val="0"/>
        <w:bidi w:val="0"/>
        <w:adjustRightInd/>
        <w:snapToGrid/>
        <w:spacing w:line="600" w:lineRule="exact"/>
        <w:ind w:firstLine="6120" w:firstLineChars="2550"/>
        <w:textAlignment w:val="auto"/>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pPr>
    </w:p>
    <w:p w14:paraId="59E5AD3C">
      <w:pPr>
        <w:numPr>
          <w:ilvl w:val="0"/>
          <w:numId w:val="3"/>
        </w:numPr>
        <w:spacing w:line="360" w:lineRule="auto"/>
        <w:ind w:firstLine="557" w:firstLineChars="198"/>
        <w:contextualSpacing/>
        <w:rPr>
          <w:rFonts w:hint="eastAsia" w:asciiTheme="minorEastAsia" w:hAnsiTheme="minorEastAsia" w:eastAsiaTheme="minorEastAsia" w:cstheme="minorEastAsia"/>
          <w:b/>
          <w:color w:val="000000" w:themeColor="text1"/>
          <w:kern w:val="0"/>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0"/>
          <w:sz w:val="28"/>
          <w:szCs w:val="28"/>
          <w:highlight w:val="none"/>
          <w14:textFill>
            <w14:solidFill>
              <w14:schemeClr w14:val="tx1"/>
            </w14:solidFill>
          </w14:textFill>
        </w:rPr>
        <w:t>供应商直接控股、管理关系信息表</w:t>
      </w:r>
    </w:p>
    <w:p w14:paraId="59A27AA2">
      <w:pPr>
        <w:keepNext w:val="0"/>
        <w:keepLines w:val="0"/>
        <w:pageBreakBefore w:val="0"/>
        <w:widowControl w:val="0"/>
        <w:numPr>
          <w:ilvl w:val="0"/>
          <w:numId w:val="0"/>
        </w:numPr>
        <w:kinsoku/>
        <w:wordWrap/>
        <w:overflowPunct/>
        <w:topLinePunct w:val="0"/>
        <w:autoSpaceDE/>
        <w:autoSpaceDN/>
        <w:bidi w:val="0"/>
        <w:adjustRightInd/>
        <w:snapToGrid/>
        <w:spacing w:after="0" w:afterLines="50" w:line="600" w:lineRule="exact"/>
        <w:contextualSpacing/>
        <w:jc w:val="center"/>
        <w:textAlignment w:val="auto"/>
        <w:rPr>
          <w:rFonts w:hint="eastAsia" w:asciiTheme="minorEastAsia" w:hAnsiTheme="minorEastAsia" w:eastAsiaTheme="minorEastAsia" w:cstheme="minorEastAsia"/>
          <w:b/>
          <w:color w:val="000000" w:themeColor="text1"/>
          <w:kern w:val="0"/>
          <w:sz w:val="32"/>
          <w:szCs w:val="32"/>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0"/>
          <w:sz w:val="32"/>
          <w:szCs w:val="32"/>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kern w:val="0"/>
          <w:sz w:val="32"/>
          <w:szCs w:val="32"/>
          <w:highlight w:val="none"/>
          <w:lang w:val="en-US" w:eastAsia="zh-CN"/>
          <w14:textFill>
            <w14:solidFill>
              <w14:schemeClr w14:val="tx1"/>
            </w14:solidFill>
          </w14:textFill>
        </w:rPr>
        <w:t>一</w:t>
      </w:r>
      <w:r>
        <w:rPr>
          <w:rFonts w:hint="eastAsia" w:asciiTheme="minorEastAsia" w:hAnsiTheme="minorEastAsia" w:eastAsiaTheme="minorEastAsia" w:cstheme="minorEastAsia"/>
          <w:b/>
          <w:color w:val="000000" w:themeColor="text1"/>
          <w:kern w:val="0"/>
          <w:sz w:val="32"/>
          <w:szCs w:val="32"/>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kern w:val="0"/>
          <w:sz w:val="32"/>
          <w:szCs w:val="32"/>
          <w:highlight w:val="none"/>
          <w14:textFill>
            <w14:solidFill>
              <w14:schemeClr w14:val="tx1"/>
            </w14:solidFill>
          </w14:textFill>
        </w:rPr>
        <w:t>供应商直接控股股东信息</w:t>
      </w:r>
    </w:p>
    <w:tbl>
      <w:tblPr>
        <w:tblStyle w:val="26"/>
        <w:tblW w:w="5086" w:type="pct"/>
        <w:jc w:val="center"/>
        <w:shd w:val="clear" w:color="auto" w:fill="FBFBFB"/>
        <w:tblLayout w:type="autofit"/>
        <w:tblCellMar>
          <w:top w:w="0" w:type="dxa"/>
          <w:left w:w="0" w:type="dxa"/>
          <w:bottom w:w="0" w:type="dxa"/>
          <w:right w:w="0" w:type="dxa"/>
        </w:tblCellMar>
      </w:tblPr>
      <w:tblGrid>
        <w:gridCol w:w="682"/>
        <w:gridCol w:w="2522"/>
        <w:gridCol w:w="1307"/>
        <w:gridCol w:w="3938"/>
        <w:gridCol w:w="1142"/>
      </w:tblGrid>
      <w:tr w14:paraId="23834DDD">
        <w:tblPrEx>
          <w:tblCellMar>
            <w:top w:w="0" w:type="dxa"/>
            <w:left w:w="0" w:type="dxa"/>
            <w:bottom w:w="0" w:type="dxa"/>
            <w:right w:w="0" w:type="dxa"/>
          </w:tblCellMar>
        </w:tblPrEx>
        <w:trPr>
          <w:tblHeader/>
          <w:jc w:val="center"/>
        </w:trPr>
        <w:tc>
          <w:tcPr>
            <w:tcW w:w="356" w:type="pct"/>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60B484D">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b/>
                <w:bCs/>
                <w:color w:val="000000" w:themeColor="text1"/>
                <w:kern w:val="0"/>
                <w:sz w:val="23"/>
                <w:szCs w:val="23"/>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3"/>
                <w:szCs w:val="23"/>
                <w:highlight w:val="none"/>
                <w14:textFill>
                  <w14:solidFill>
                    <w14:schemeClr w14:val="tx1"/>
                  </w14:solidFill>
                </w14:textFill>
              </w:rPr>
              <w:t>序号</w:t>
            </w:r>
          </w:p>
        </w:tc>
        <w:tc>
          <w:tcPr>
            <w:tcW w:w="1314" w:type="pct"/>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F5DDA25">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b/>
                <w:bCs/>
                <w:color w:val="000000" w:themeColor="text1"/>
                <w:kern w:val="0"/>
                <w:sz w:val="23"/>
                <w:szCs w:val="23"/>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3"/>
                <w:szCs w:val="23"/>
                <w:highlight w:val="none"/>
                <w14:textFill>
                  <w14:solidFill>
                    <w14:schemeClr w14:val="tx1"/>
                  </w14:solidFill>
                </w14:textFill>
              </w:rPr>
              <w:t>直接控股股东名称</w:t>
            </w:r>
          </w:p>
        </w:tc>
        <w:tc>
          <w:tcPr>
            <w:tcW w:w="681" w:type="pct"/>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E02041B">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b/>
                <w:bCs/>
                <w:color w:val="000000" w:themeColor="text1"/>
                <w:kern w:val="0"/>
                <w:sz w:val="23"/>
                <w:szCs w:val="23"/>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3"/>
                <w:szCs w:val="23"/>
                <w:highlight w:val="none"/>
                <w14:textFill>
                  <w14:solidFill>
                    <w14:schemeClr w14:val="tx1"/>
                  </w14:solidFill>
                </w14:textFill>
              </w:rPr>
              <w:t>出资比例</w:t>
            </w:r>
          </w:p>
        </w:tc>
        <w:tc>
          <w:tcPr>
            <w:tcW w:w="2052" w:type="pct"/>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1E93F22">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b/>
                <w:bCs/>
                <w:color w:val="000000" w:themeColor="text1"/>
                <w:kern w:val="0"/>
                <w:sz w:val="23"/>
                <w:szCs w:val="23"/>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3"/>
                <w:szCs w:val="23"/>
                <w:highlight w:val="none"/>
                <w14:textFill>
                  <w14:solidFill>
                    <w14:schemeClr w14:val="tx1"/>
                  </w14:solidFill>
                </w14:textFill>
              </w:rPr>
              <w:t>身份证号码或者统一社会信用代码</w:t>
            </w:r>
          </w:p>
        </w:tc>
        <w:tc>
          <w:tcPr>
            <w:tcW w:w="595" w:type="pct"/>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AEAA0FA">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b/>
                <w:bCs/>
                <w:color w:val="000000" w:themeColor="text1"/>
                <w:kern w:val="0"/>
                <w:sz w:val="23"/>
                <w:szCs w:val="23"/>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3"/>
                <w:szCs w:val="23"/>
                <w:highlight w:val="none"/>
                <w14:textFill>
                  <w14:solidFill>
                    <w14:schemeClr w14:val="tx1"/>
                  </w14:solidFill>
                </w14:textFill>
              </w:rPr>
              <w:t>备注</w:t>
            </w:r>
          </w:p>
        </w:tc>
      </w:tr>
      <w:tr w14:paraId="507C1745">
        <w:tblPrEx>
          <w:shd w:val="clear" w:color="auto" w:fill="FBFBFB"/>
          <w:tblCellMar>
            <w:top w:w="0" w:type="dxa"/>
            <w:left w:w="0" w:type="dxa"/>
            <w:bottom w:w="0" w:type="dxa"/>
            <w:right w:w="0" w:type="dxa"/>
          </w:tblCellMar>
        </w:tblPrEx>
        <w:trPr>
          <w:jc w:val="center"/>
        </w:trPr>
        <w:tc>
          <w:tcPr>
            <w:tcW w:w="356" w:type="pct"/>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7670819">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t>1</w:t>
            </w:r>
          </w:p>
        </w:tc>
        <w:tc>
          <w:tcPr>
            <w:tcW w:w="1314" w:type="pct"/>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087FE8C">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p>
        </w:tc>
        <w:tc>
          <w:tcPr>
            <w:tcW w:w="681" w:type="pct"/>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8F9D86B">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p>
        </w:tc>
        <w:tc>
          <w:tcPr>
            <w:tcW w:w="2052" w:type="pct"/>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5B22257">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p>
        </w:tc>
        <w:tc>
          <w:tcPr>
            <w:tcW w:w="595" w:type="pct"/>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654EF2B">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p>
        </w:tc>
      </w:tr>
      <w:tr w14:paraId="58411DE5">
        <w:tblPrEx>
          <w:tblCellMar>
            <w:top w:w="0" w:type="dxa"/>
            <w:left w:w="0" w:type="dxa"/>
            <w:bottom w:w="0" w:type="dxa"/>
            <w:right w:w="0" w:type="dxa"/>
          </w:tblCellMar>
        </w:tblPrEx>
        <w:trPr>
          <w:jc w:val="center"/>
        </w:trPr>
        <w:tc>
          <w:tcPr>
            <w:tcW w:w="356" w:type="pct"/>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AC888A1">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t>2</w:t>
            </w:r>
          </w:p>
        </w:tc>
        <w:tc>
          <w:tcPr>
            <w:tcW w:w="1314" w:type="pct"/>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0A2CD0E">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p>
        </w:tc>
        <w:tc>
          <w:tcPr>
            <w:tcW w:w="681" w:type="pct"/>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F6DFF78">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p>
        </w:tc>
        <w:tc>
          <w:tcPr>
            <w:tcW w:w="2052" w:type="pct"/>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F9D2082">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p>
        </w:tc>
        <w:tc>
          <w:tcPr>
            <w:tcW w:w="595" w:type="pct"/>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CE0D7C1">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p>
        </w:tc>
      </w:tr>
      <w:tr w14:paraId="20FB30D6">
        <w:tblPrEx>
          <w:shd w:val="clear" w:color="auto" w:fill="FBFBFB"/>
          <w:tblCellMar>
            <w:top w:w="0" w:type="dxa"/>
            <w:left w:w="0" w:type="dxa"/>
            <w:bottom w:w="0" w:type="dxa"/>
            <w:right w:w="0" w:type="dxa"/>
          </w:tblCellMar>
        </w:tblPrEx>
        <w:trPr>
          <w:jc w:val="center"/>
        </w:trPr>
        <w:tc>
          <w:tcPr>
            <w:tcW w:w="356" w:type="pct"/>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12262FC">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t>3</w:t>
            </w:r>
          </w:p>
        </w:tc>
        <w:tc>
          <w:tcPr>
            <w:tcW w:w="1314" w:type="pct"/>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86E99CD">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p>
        </w:tc>
        <w:tc>
          <w:tcPr>
            <w:tcW w:w="681" w:type="pct"/>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C0730B1">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p>
        </w:tc>
        <w:tc>
          <w:tcPr>
            <w:tcW w:w="2052" w:type="pct"/>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8E00EAD">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p>
        </w:tc>
        <w:tc>
          <w:tcPr>
            <w:tcW w:w="595" w:type="pct"/>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609409C">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p>
        </w:tc>
      </w:tr>
      <w:tr w14:paraId="38C59F99">
        <w:tblPrEx>
          <w:tblCellMar>
            <w:top w:w="0" w:type="dxa"/>
            <w:left w:w="0" w:type="dxa"/>
            <w:bottom w:w="0" w:type="dxa"/>
            <w:right w:w="0" w:type="dxa"/>
          </w:tblCellMar>
        </w:tblPrEx>
        <w:trPr>
          <w:jc w:val="center"/>
        </w:trPr>
        <w:tc>
          <w:tcPr>
            <w:tcW w:w="356" w:type="pct"/>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3C49983">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t>……</w:t>
            </w:r>
          </w:p>
        </w:tc>
        <w:tc>
          <w:tcPr>
            <w:tcW w:w="1314" w:type="pct"/>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F6C7F4C">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p>
        </w:tc>
        <w:tc>
          <w:tcPr>
            <w:tcW w:w="681" w:type="pct"/>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1DC2E18">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p>
        </w:tc>
        <w:tc>
          <w:tcPr>
            <w:tcW w:w="2052" w:type="pct"/>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3C54418">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p>
        </w:tc>
        <w:tc>
          <w:tcPr>
            <w:tcW w:w="595" w:type="pct"/>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2B6794D">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p>
        </w:tc>
      </w:tr>
    </w:tbl>
    <w:p w14:paraId="79F56D39">
      <w:pPr>
        <w:keepNext w:val="0"/>
        <w:keepLines w:val="0"/>
        <w:pageBreakBefore w:val="0"/>
        <w:widowControl w:val="0"/>
        <w:kinsoku/>
        <w:wordWrap/>
        <w:overflowPunct/>
        <w:topLinePunct w:val="0"/>
        <w:autoSpaceDE/>
        <w:autoSpaceDN/>
        <w:bidi w:val="0"/>
        <w:adjustRightInd/>
        <w:snapToGrid/>
        <w:spacing w:line="400" w:lineRule="exact"/>
        <w:contextualSpacing/>
        <w:jc w:val="left"/>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t>注：</w:t>
      </w:r>
    </w:p>
    <w:p w14:paraId="20F2036C">
      <w:pPr>
        <w:keepNext w:val="0"/>
        <w:keepLines w:val="0"/>
        <w:pageBreakBefore w:val="0"/>
        <w:widowControl w:val="0"/>
        <w:kinsoku/>
        <w:wordWrap/>
        <w:overflowPunct/>
        <w:topLinePunct w:val="0"/>
        <w:autoSpaceDE/>
        <w:autoSpaceDN/>
        <w:bidi w:val="0"/>
        <w:adjustRightInd/>
        <w:snapToGrid/>
        <w:spacing w:line="400" w:lineRule="exact"/>
        <w:ind w:firstLine="460" w:firstLineChars="200"/>
        <w:contextualSpacing/>
        <w:jc w:val="left"/>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0EDEBC5D">
      <w:pPr>
        <w:keepNext w:val="0"/>
        <w:keepLines w:val="0"/>
        <w:pageBreakBefore w:val="0"/>
        <w:widowControl w:val="0"/>
        <w:kinsoku/>
        <w:wordWrap/>
        <w:overflowPunct/>
        <w:topLinePunct w:val="0"/>
        <w:autoSpaceDE/>
        <w:autoSpaceDN/>
        <w:bidi w:val="0"/>
        <w:adjustRightInd/>
        <w:snapToGrid/>
        <w:spacing w:line="400" w:lineRule="exact"/>
        <w:ind w:firstLine="460" w:firstLineChars="200"/>
        <w:contextualSpacing/>
        <w:jc w:val="left"/>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t>2.本表所指的控股关系仅限于直接控股关系，不包括间接的控股关系。公司实际控制人与公司之间的关系不属于本表所指的直接控股关系。</w:t>
      </w:r>
    </w:p>
    <w:p w14:paraId="1914D198">
      <w:pPr>
        <w:keepNext w:val="0"/>
        <w:keepLines w:val="0"/>
        <w:pageBreakBefore w:val="0"/>
        <w:widowControl w:val="0"/>
        <w:kinsoku/>
        <w:wordWrap/>
        <w:overflowPunct/>
        <w:topLinePunct w:val="0"/>
        <w:autoSpaceDE/>
        <w:autoSpaceDN/>
        <w:bidi w:val="0"/>
        <w:adjustRightInd/>
        <w:snapToGrid/>
        <w:spacing w:line="400" w:lineRule="exact"/>
        <w:ind w:firstLine="460" w:firstLineChars="200"/>
        <w:contextualSpacing/>
        <w:jc w:val="left"/>
        <w:textAlignment w:val="auto"/>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t>3.供应商不存在直接控股股东的，则填“无”。</w:t>
      </w:r>
    </w:p>
    <w:p w14:paraId="2DD2126B">
      <w:pPr>
        <w:snapToGrid w:val="0"/>
        <w:spacing w:line="360" w:lineRule="auto"/>
        <w:jc w:val="left"/>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p w14:paraId="79EE3746">
      <w:pPr>
        <w:snapToGrid w:val="0"/>
        <w:spacing w:line="360" w:lineRule="auto"/>
        <w:jc w:val="left"/>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p w14:paraId="5AE58D7B">
      <w:pPr>
        <w:keepNext w:val="0"/>
        <w:keepLines w:val="0"/>
        <w:pageBreakBefore w:val="0"/>
        <w:widowControl w:val="0"/>
        <w:kinsoku/>
        <w:wordWrap/>
        <w:overflowPunct/>
        <w:topLinePunct w:val="0"/>
        <w:autoSpaceDE w:val="0"/>
        <w:autoSpaceDN w:val="0"/>
        <w:bidi w:val="0"/>
        <w:adjustRightInd/>
        <w:snapToGrid/>
        <w:spacing w:line="600" w:lineRule="exact"/>
        <w:ind w:left="4365" w:leftChars="1850" w:hanging="480" w:hangingChars="200"/>
        <w:textAlignment w:val="auto"/>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供应商名称（电子签章）：</w:t>
      </w:r>
    </w:p>
    <w:p w14:paraId="3B0AECCE">
      <w:pPr>
        <w:keepNext w:val="0"/>
        <w:keepLines w:val="0"/>
        <w:pageBreakBefore w:val="0"/>
        <w:widowControl w:val="0"/>
        <w:kinsoku/>
        <w:wordWrap/>
        <w:overflowPunct/>
        <w:topLinePunct w:val="0"/>
        <w:autoSpaceDE w:val="0"/>
        <w:autoSpaceDN w:val="0"/>
        <w:bidi w:val="0"/>
        <w:adjustRightInd/>
        <w:snapToGrid/>
        <w:spacing w:line="600" w:lineRule="exact"/>
        <w:ind w:firstLine="6120" w:firstLineChars="255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日期：  </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年  </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月   日</w:t>
      </w:r>
    </w:p>
    <w:p w14:paraId="3D4BB108">
      <w:pPr>
        <w:snapToGrid w:val="0"/>
        <w:rPr>
          <w:rFonts w:hint="eastAsia" w:asciiTheme="minorEastAsia" w:hAnsiTheme="minorEastAsia" w:eastAsiaTheme="minorEastAsia" w:cstheme="minorEastAsia"/>
          <w:b/>
          <w:color w:val="000000" w:themeColor="text1"/>
          <w:kern w:val="0"/>
          <w:sz w:val="30"/>
          <w:szCs w:val="30"/>
          <w:highlight w:val="none"/>
          <w14:textFill>
            <w14:solidFill>
              <w14:schemeClr w14:val="tx1"/>
            </w14:solidFill>
          </w14:textFill>
        </w:rPr>
      </w:pPr>
    </w:p>
    <w:p w14:paraId="2BFAA02B">
      <w:pPr>
        <w:rPr>
          <w:rFonts w:hint="eastAsia" w:asciiTheme="minorEastAsia" w:hAnsiTheme="minorEastAsia" w:eastAsiaTheme="minorEastAsia" w:cstheme="minorEastAsia"/>
          <w:b/>
          <w:color w:val="000000" w:themeColor="text1"/>
          <w:kern w:val="0"/>
          <w:sz w:val="30"/>
          <w:szCs w:val="30"/>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0"/>
          <w:sz w:val="30"/>
          <w:szCs w:val="30"/>
          <w:highlight w:val="none"/>
          <w14:textFill>
            <w14:solidFill>
              <w14:schemeClr w14:val="tx1"/>
            </w14:solidFill>
          </w14:textFill>
        </w:rPr>
        <w:br w:type="page"/>
      </w:r>
    </w:p>
    <w:p w14:paraId="114F76E3">
      <w:pPr>
        <w:keepNext w:val="0"/>
        <w:keepLines w:val="0"/>
        <w:pageBreakBefore w:val="0"/>
        <w:widowControl w:val="0"/>
        <w:numPr>
          <w:ilvl w:val="0"/>
          <w:numId w:val="0"/>
        </w:numPr>
        <w:kinsoku/>
        <w:wordWrap/>
        <w:overflowPunct/>
        <w:topLinePunct w:val="0"/>
        <w:autoSpaceDE/>
        <w:autoSpaceDN/>
        <w:bidi w:val="0"/>
        <w:adjustRightInd/>
        <w:snapToGrid/>
        <w:spacing w:after="0" w:afterLines="100" w:line="600" w:lineRule="exact"/>
        <w:contextualSpacing/>
        <w:jc w:val="center"/>
        <w:textAlignment w:val="auto"/>
        <w:rPr>
          <w:rFonts w:hint="eastAsia" w:asciiTheme="minorEastAsia" w:hAnsiTheme="minorEastAsia" w:eastAsiaTheme="minorEastAsia" w:cstheme="minorEastAsia"/>
          <w:b/>
          <w:color w:val="000000" w:themeColor="text1"/>
          <w:kern w:val="0"/>
          <w:sz w:val="32"/>
          <w:szCs w:val="32"/>
          <w:highlight w:val="none"/>
          <w:lang w:eastAsia="zh-CN"/>
          <w14:textFill>
            <w14:solidFill>
              <w14:schemeClr w14:val="tx1"/>
            </w14:solidFill>
          </w14:textFill>
        </w:rPr>
      </w:pPr>
      <w:r>
        <w:rPr>
          <w:rFonts w:hint="eastAsia" w:asciiTheme="minorEastAsia" w:hAnsiTheme="minorEastAsia" w:eastAsiaTheme="minorEastAsia" w:cstheme="minorEastAsia"/>
          <w:b/>
          <w:color w:val="000000" w:themeColor="text1"/>
          <w:kern w:val="0"/>
          <w:sz w:val="32"/>
          <w:szCs w:val="32"/>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kern w:val="0"/>
          <w:sz w:val="32"/>
          <w:szCs w:val="32"/>
          <w:highlight w:val="none"/>
          <w:lang w:val="en-US" w:eastAsia="zh-CN"/>
          <w14:textFill>
            <w14:solidFill>
              <w14:schemeClr w14:val="tx1"/>
            </w14:solidFill>
          </w14:textFill>
        </w:rPr>
        <w:t>二</w:t>
      </w:r>
      <w:r>
        <w:rPr>
          <w:rFonts w:hint="eastAsia" w:asciiTheme="minorEastAsia" w:hAnsiTheme="minorEastAsia" w:eastAsiaTheme="minorEastAsia" w:cstheme="minorEastAsia"/>
          <w:b/>
          <w:color w:val="000000" w:themeColor="text1"/>
          <w:kern w:val="0"/>
          <w:sz w:val="32"/>
          <w:szCs w:val="32"/>
          <w:highlight w:val="none"/>
          <w:lang w:eastAsia="zh-CN"/>
          <w14:textFill>
            <w14:solidFill>
              <w14:schemeClr w14:val="tx1"/>
            </w14:solidFill>
          </w14:textFill>
        </w:rPr>
        <w:t>）供应商直接管理关系信息表</w:t>
      </w:r>
    </w:p>
    <w:tbl>
      <w:tblPr>
        <w:tblStyle w:val="26"/>
        <w:tblW w:w="9519" w:type="dxa"/>
        <w:jc w:val="center"/>
        <w:shd w:val="clear" w:color="auto" w:fill="FBFBFB"/>
        <w:tblLayout w:type="fixed"/>
        <w:tblCellMar>
          <w:top w:w="0" w:type="dxa"/>
          <w:left w:w="0" w:type="dxa"/>
          <w:bottom w:w="0" w:type="dxa"/>
          <w:right w:w="0" w:type="dxa"/>
        </w:tblCellMar>
      </w:tblPr>
      <w:tblGrid>
        <w:gridCol w:w="808"/>
        <w:gridCol w:w="3600"/>
        <w:gridCol w:w="3555"/>
        <w:gridCol w:w="1556"/>
      </w:tblGrid>
      <w:tr w14:paraId="3C86CEA3">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E6C0AF3">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b/>
                <w:bCs/>
                <w:color w:val="000000" w:themeColor="text1"/>
                <w:kern w:val="0"/>
                <w:sz w:val="23"/>
                <w:szCs w:val="23"/>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3"/>
                <w:szCs w:val="23"/>
                <w:highlight w:val="none"/>
                <w14:textFill>
                  <w14:solidFill>
                    <w14:schemeClr w14:val="tx1"/>
                  </w14:solidFill>
                </w14:textFill>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739FA40">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b/>
                <w:bCs/>
                <w:color w:val="000000" w:themeColor="text1"/>
                <w:kern w:val="0"/>
                <w:sz w:val="23"/>
                <w:szCs w:val="23"/>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3"/>
                <w:szCs w:val="23"/>
                <w:highlight w:val="none"/>
                <w14:textFill>
                  <w14:solidFill>
                    <w14:schemeClr w14:val="tx1"/>
                  </w14:solidFill>
                </w14:textFill>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3A0CAD3">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b/>
                <w:bCs/>
                <w:color w:val="000000" w:themeColor="text1"/>
                <w:kern w:val="0"/>
                <w:sz w:val="23"/>
                <w:szCs w:val="23"/>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3"/>
                <w:szCs w:val="23"/>
                <w:highlight w:val="none"/>
                <w14:textFill>
                  <w14:solidFill>
                    <w14:schemeClr w14:val="tx1"/>
                  </w14:solidFill>
                </w14:textFill>
              </w:rPr>
              <w:t>统一社会信用代码</w:t>
            </w:r>
          </w:p>
        </w:tc>
        <w:tc>
          <w:tcPr>
            <w:tcW w:w="1556"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47ADFAC">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b/>
                <w:bCs/>
                <w:color w:val="000000" w:themeColor="text1"/>
                <w:kern w:val="0"/>
                <w:sz w:val="23"/>
                <w:szCs w:val="23"/>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3"/>
                <w:szCs w:val="23"/>
                <w:highlight w:val="none"/>
                <w14:textFill>
                  <w14:solidFill>
                    <w14:schemeClr w14:val="tx1"/>
                  </w14:solidFill>
                </w14:textFill>
              </w:rPr>
              <w:t>备注</w:t>
            </w:r>
          </w:p>
        </w:tc>
      </w:tr>
      <w:tr w14:paraId="230EDA58">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F2EC682">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993B1E7">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47DB753">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p>
        </w:tc>
        <w:tc>
          <w:tcPr>
            <w:tcW w:w="1556"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E5FA2A8">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p>
        </w:tc>
      </w:tr>
      <w:tr w14:paraId="1CA64AB5">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267FF9D">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F39D669">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74284D2">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p>
        </w:tc>
        <w:tc>
          <w:tcPr>
            <w:tcW w:w="1556"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FF73DDA">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p>
        </w:tc>
      </w:tr>
      <w:tr w14:paraId="53FAA76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5A5C500">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7E71AE9">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0011A05">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p>
        </w:tc>
        <w:tc>
          <w:tcPr>
            <w:tcW w:w="1556"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D1B015D">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p>
        </w:tc>
      </w:tr>
      <w:tr w14:paraId="22F47F83">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DA2424E">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t>……</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22526AE">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F9FE1BF">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p>
        </w:tc>
        <w:tc>
          <w:tcPr>
            <w:tcW w:w="1556"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F2D51F3">
            <w:pPr>
              <w:keepNext w:val="0"/>
              <w:keepLines w:val="0"/>
              <w:pageBreakBefore w:val="0"/>
              <w:widowControl/>
              <w:kinsoku/>
              <w:wordWrap/>
              <w:overflowPunct/>
              <w:topLinePunct w:val="0"/>
              <w:autoSpaceDE/>
              <w:autoSpaceDN/>
              <w:bidi w:val="0"/>
              <w:adjustRightInd/>
              <w:snapToGrid/>
              <w:spacing w:line="400" w:lineRule="exact"/>
              <w:ind w:left="-42" w:leftChars="-20" w:right="-42" w:rightChars="-20"/>
              <w:contextualSpacing/>
              <w:jc w:val="center"/>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p>
        </w:tc>
      </w:tr>
    </w:tbl>
    <w:p w14:paraId="2D478D8C">
      <w:pPr>
        <w:spacing w:line="360" w:lineRule="auto"/>
        <w:ind w:firstLine="460" w:firstLineChars="200"/>
        <w:contextualSpacing/>
        <w:jc w:val="left"/>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t>注：</w:t>
      </w:r>
    </w:p>
    <w:p w14:paraId="53DA2593">
      <w:pPr>
        <w:spacing w:line="360" w:lineRule="auto"/>
        <w:ind w:firstLine="460" w:firstLineChars="200"/>
        <w:contextualSpacing/>
        <w:jc w:val="left"/>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t>1.管理关系：是指不具有出资持股关系的其他单位之间存在的管理与被管理关系，如一些上下级关系的事业单位和团体组织。</w:t>
      </w:r>
    </w:p>
    <w:p w14:paraId="66C1F7AB">
      <w:pPr>
        <w:spacing w:line="360" w:lineRule="auto"/>
        <w:ind w:firstLine="460" w:firstLineChars="200"/>
        <w:contextualSpacing/>
        <w:jc w:val="left"/>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t>2.本表所指的管理关系仅限于直接管理关系，不包括间接的管理关系。</w:t>
      </w:r>
    </w:p>
    <w:p w14:paraId="12952DE4">
      <w:pPr>
        <w:spacing w:line="360" w:lineRule="auto"/>
        <w:ind w:firstLine="460" w:firstLineChars="200"/>
        <w:contextualSpacing/>
        <w:jc w:val="left"/>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t>3.供应商不存在直接管理关系的，则填“无”。</w:t>
      </w:r>
    </w:p>
    <w:p w14:paraId="0778CC6E">
      <w:pPr>
        <w:spacing w:line="360" w:lineRule="auto"/>
        <w:contextualSpacing/>
        <w:jc w:val="left"/>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p>
    <w:p w14:paraId="4D8960EF">
      <w:pPr>
        <w:keepNext w:val="0"/>
        <w:keepLines w:val="0"/>
        <w:pageBreakBefore w:val="0"/>
        <w:widowControl w:val="0"/>
        <w:kinsoku/>
        <w:wordWrap/>
        <w:overflowPunct/>
        <w:topLinePunct w:val="0"/>
        <w:bidi w:val="0"/>
        <w:adjustRightInd/>
        <w:snapToGrid/>
        <w:spacing w:line="600" w:lineRule="exact"/>
        <w:contextualSpacing/>
        <w:jc w:val="left"/>
        <w:textAlignment w:val="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p>
    <w:p w14:paraId="486FBC99">
      <w:pPr>
        <w:keepNext w:val="0"/>
        <w:keepLines w:val="0"/>
        <w:pageBreakBefore w:val="0"/>
        <w:widowControl w:val="0"/>
        <w:kinsoku/>
        <w:wordWrap/>
        <w:overflowPunct/>
        <w:topLinePunct w:val="0"/>
        <w:autoSpaceDE w:val="0"/>
        <w:autoSpaceDN w:val="0"/>
        <w:bidi w:val="0"/>
        <w:adjustRightInd/>
        <w:snapToGrid/>
        <w:spacing w:line="600" w:lineRule="exact"/>
        <w:ind w:left="4345" w:leftChars="1850" w:hanging="460" w:hangingChars="200"/>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t>供应商名称（电子签章）：</w:t>
      </w:r>
    </w:p>
    <w:p w14:paraId="6D687005">
      <w:pPr>
        <w:keepNext w:val="0"/>
        <w:keepLines w:val="0"/>
        <w:pageBreakBefore w:val="0"/>
        <w:widowControl w:val="0"/>
        <w:kinsoku/>
        <w:wordWrap/>
        <w:overflowPunct/>
        <w:topLinePunct w:val="0"/>
        <w:autoSpaceDE w:val="0"/>
        <w:autoSpaceDN w:val="0"/>
        <w:bidi w:val="0"/>
        <w:adjustRightInd/>
        <w:snapToGrid/>
        <w:spacing w:line="600" w:lineRule="exact"/>
        <w:ind w:firstLine="6095" w:firstLineChars="2650"/>
        <w:textAlignment w:val="auto"/>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3"/>
          <w:szCs w:val="23"/>
          <w:highlight w:val="none"/>
          <w:lang w:val="zh-CN"/>
          <w14:textFill>
            <w14:solidFill>
              <w14:schemeClr w14:val="tx1"/>
            </w14:solidFill>
          </w14:textFill>
        </w:rPr>
        <w:t xml:space="preserve">日期： </w:t>
      </w:r>
      <w:r>
        <w:rPr>
          <w:rFonts w:hint="eastAsia" w:asciiTheme="minorEastAsia" w:hAnsiTheme="minorEastAsia" w:eastAsiaTheme="minorEastAsia" w:cstheme="minorEastAsia"/>
          <w:color w:val="000000" w:themeColor="text1"/>
          <w:kern w:val="0"/>
          <w:sz w:val="23"/>
          <w:szCs w:val="23"/>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3"/>
          <w:szCs w:val="23"/>
          <w:highlight w:val="none"/>
          <w:lang w:val="zh-CN"/>
          <w14:textFill>
            <w14:solidFill>
              <w14:schemeClr w14:val="tx1"/>
            </w14:solidFill>
          </w14:textFill>
        </w:rPr>
        <w:t xml:space="preserve"> 年 </w:t>
      </w:r>
      <w:r>
        <w:rPr>
          <w:rFonts w:hint="eastAsia" w:asciiTheme="minorEastAsia" w:hAnsiTheme="minorEastAsia" w:eastAsiaTheme="minorEastAsia" w:cstheme="minorEastAsia"/>
          <w:color w:val="000000" w:themeColor="text1"/>
          <w:kern w:val="0"/>
          <w:sz w:val="23"/>
          <w:szCs w:val="23"/>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3"/>
          <w:szCs w:val="23"/>
          <w:highlight w:val="none"/>
          <w:lang w:val="zh-CN"/>
          <w14:textFill>
            <w14:solidFill>
              <w14:schemeClr w14:val="tx1"/>
            </w14:solidFill>
          </w14:textFill>
        </w:rPr>
        <w:t xml:space="preserve"> 月   日</w:t>
      </w:r>
    </w:p>
    <w:p w14:paraId="775D4491">
      <w:pPr>
        <w:spacing w:line="320" w:lineRule="exact"/>
        <w:ind w:firstLine="560" w:firstLineChars="200"/>
        <w:jc w:val="left"/>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br w:type="page"/>
      </w:r>
      <w:r>
        <w:rPr>
          <w:rFonts w:hint="eastAsia" w:asciiTheme="minorEastAsia" w:hAnsiTheme="minorEastAsia" w:eastAsiaTheme="minorEastAsia" w:cstheme="minorEastAsia"/>
          <w:b/>
          <w:color w:val="000000" w:themeColor="text1"/>
          <w:kern w:val="0"/>
          <w:sz w:val="28"/>
          <w:szCs w:val="28"/>
          <w:highlight w:val="none"/>
          <w14:textFill>
            <w14:solidFill>
              <w14:schemeClr w14:val="tx1"/>
            </w14:solidFill>
          </w14:textFill>
        </w:rPr>
        <w:t>六、资格声明函</w:t>
      </w:r>
    </w:p>
    <w:p w14:paraId="6076357A">
      <w:pPr>
        <w:spacing w:line="320" w:lineRule="exact"/>
        <w:jc w:val="center"/>
        <w:rPr>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pPr>
    </w:p>
    <w:p w14:paraId="287F3149">
      <w:pPr>
        <w:spacing w:line="320" w:lineRule="exact"/>
        <w:jc w:val="center"/>
        <w:rPr>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t>资格声明函</w:t>
      </w:r>
    </w:p>
    <w:p w14:paraId="4A43CD27">
      <w:pPr>
        <w:spacing w:line="320" w:lineRule="exact"/>
        <w:jc w:val="center"/>
        <w:rPr>
          <w:rFonts w:hint="eastAsia" w:asciiTheme="minorEastAsia" w:hAnsiTheme="minorEastAsia" w:eastAsiaTheme="minorEastAsia" w:cstheme="minorEastAsia"/>
          <w:color w:val="000000" w:themeColor="text1"/>
          <w:sz w:val="24"/>
          <w:szCs w:val="20"/>
          <w:highlight w:val="none"/>
          <w14:textFill>
            <w14:solidFill>
              <w14:schemeClr w14:val="tx1"/>
            </w14:solidFill>
          </w14:textFill>
        </w:rPr>
      </w:pPr>
    </w:p>
    <w:p w14:paraId="430B7D3F">
      <w:pPr>
        <w:spacing w:line="360" w:lineRule="auto"/>
        <w:contextualSpacing/>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（采购代理机构名称）</w:t>
      </w:r>
    </w:p>
    <w:p w14:paraId="09DF17A7">
      <w:pPr>
        <w:spacing w:line="360" w:lineRule="auto"/>
        <w:ind w:firstLine="420" w:firstLineChars="200"/>
        <w:contextualSpacing/>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（供应商名称）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系中华人民共和国合法供应商，经营地址</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66D546A2">
      <w:pPr>
        <w:spacing w:line="360" w:lineRule="auto"/>
        <w:ind w:firstLine="420" w:firstLineChars="200"/>
        <w:contextualSpacing/>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我方愿意参加贵方组织的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项目的竞标，为便于贵方公正、择优地确定成交供应商及其竞标产品和服务，我方就本次竞标有关事项郑重声明如下：</w:t>
      </w:r>
    </w:p>
    <w:p w14:paraId="15B93CD2">
      <w:pPr>
        <w:spacing w:line="360" w:lineRule="auto"/>
        <w:ind w:firstLine="420" w:firstLineChars="200"/>
        <w:contextualSpacing/>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1.我方向贵方提交的所有响应文件、资料都是准确的和真实的。</w:t>
      </w:r>
    </w:p>
    <w:p w14:paraId="2905FF45">
      <w:pPr>
        <w:spacing w:line="360" w:lineRule="auto"/>
        <w:ind w:firstLine="420" w:firstLineChars="200"/>
        <w:contextualSpacing/>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2.我方不是为本次采购项目提供整体设计、规范编制或者项目管理、监理、检测等服务的供应商；在获知本项目采购信息后，与采购人聘请的为此项目提供咨询服务的公司及其附属机构没有任何联系。</w:t>
      </w:r>
    </w:p>
    <w:p w14:paraId="656F03BF">
      <w:pPr>
        <w:spacing w:line="360" w:lineRule="auto"/>
        <w:ind w:firstLine="420" w:firstLineChars="200"/>
        <w:contextualSpacing/>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3.在此，我方宣布同意如下：</w:t>
      </w:r>
    </w:p>
    <w:p w14:paraId="0C3A7DD4">
      <w:pPr>
        <w:spacing w:line="360" w:lineRule="auto"/>
        <w:ind w:firstLine="420" w:firstLineChars="200"/>
        <w:contextualSpacing/>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（1）将按磋商文件的约定履行合同责任和义务；</w:t>
      </w:r>
    </w:p>
    <w:p w14:paraId="2B21A2E5">
      <w:pPr>
        <w:spacing w:line="360" w:lineRule="auto"/>
        <w:ind w:firstLine="420" w:firstLineChars="200"/>
        <w:contextualSpacing/>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（2）已详细审查全部磋商文件，包括澄清或者更正公告（如有）；</w:t>
      </w:r>
    </w:p>
    <w:p w14:paraId="2C27FB91">
      <w:pPr>
        <w:spacing w:line="360" w:lineRule="auto"/>
        <w:ind w:firstLine="420" w:firstLineChars="200"/>
        <w:contextualSpacing/>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（3）同意提供按照贵方可能要求的与</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磋商</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有关的一切数据或者资料；</w:t>
      </w:r>
    </w:p>
    <w:p w14:paraId="196B01B1">
      <w:pPr>
        <w:spacing w:line="360" w:lineRule="auto"/>
        <w:ind w:firstLine="420" w:firstLineChars="200"/>
        <w:contextualSpacing/>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（4）响应磋商文件规定的竞标有效期。</w:t>
      </w:r>
    </w:p>
    <w:p w14:paraId="3AD0FC39">
      <w:pPr>
        <w:spacing w:line="360" w:lineRule="auto"/>
        <w:ind w:firstLine="420" w:firstLineChars="200"/>
        <w:contextualSpacing/>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我方承诺已经具备《中华人民共和国政府采购法》第二十二条规定的参加政府采购活动的供应商应当具备的条件并按本项目采购文件《第三章》第二节供应商须知前附表中“资格证明文件组成”完整提供证明材料：</w:t>
      </w:r>
    </w:p>
    <w:p w14:paraId="27305A6E">
      <w:pPr>
        <w:spacing w:line="360" w:lineRule="auto"/>
        <w:ind w:firstLine="420" w:firstLineChars="200"/>
        <w:contextualSpacing/>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（1）具有独立承担民事责任的能力；</w:t>
      </w:r>
    </w:p>
    <w:p w14:paraId="36E02C0A">
      <w:pPr>
        <w:spacing w:line="360" w:lineRule="auto"/>
        <w:ind w:firstLine="420" w:firstLineChars="200"/>
        <w:contextualSpacing/>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（2）具有良好的商业信誉和健全的财务会计制度；</w:t>
      </w:r>
    </w:p>
    <w:p w14:paraId="79ED0CB8">
      <w:pPr>
        <w:spacing w:line="360" w:lineRule="auto"/>
        <w:ind w:firstLine="420" w:firstLineChars="200"/>
        <w:contextualSpacing/>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（3）具有履行合同所必需的设备和专业技术能力；</w:t>
      </w:r>
    </w:p>
    <w:p w14:paraId="6D251633">
      <w:pPr>
        <w:spacing w:line="360" w:lineRule="auto"/>
        <w:ind w:firstLine="420" w:firstLineChars="200"/>
        <w:contextualSpacing/>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（4）有依法缴纳税收和社会保障资金的良好记录；</w:t>
      </w:r>
    </w:p>
    <w:p w14:paraId="6A8D8D4C">
      <w:pPr>
        <w:spacing w:line="360" w:lineRule="auto"/>
        <w:ind w:firstLine="420" w:firstLineChars="200"/>
        <w:contextualSpacing/>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（5）参加政府采购活动前三年内，在经营活动中没有重大违法记录；</w:t>
      </w:r>
    </w:p>
    <w:p w14:paraId="79C1EE6A">
      <w:pPr>
        <w:spacing w:line="360" w:lineRule="auto"/>
        <w:ind w:firstLine="420" w:firstLineChars="200"/>
        <w:contextualSpacing/>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（6）法律、行政法规规定的其他条件。</w:t>
      </w:r>
    </w:p>
    <w:p w14:paraId="349C3FEA">
      <w:pPr>
        <w:spacing w:line="360" w:lineRule="auto"/>
        <w:ind w:firstLine="420" w:firstLineChars="200"/>
        <w:contextualSpacing/>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40ACB0BD">
      <w:pPr>
        <w:spacing w:line="360" w:lineRule="auto"/>
        <w:ind w:firstLine="420" w:firstLineChars="200"/>
        <w:contextualSpacing/>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7A78124C">
      <w:pPr>
        <w:spacing w:line="360" w:lineRule="auto"/>
        <w:ind w:firstLine="420" w:firstLineChars="200"/>
        <w:contextualSpacing/>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□我方本次响应文件</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内容中</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未</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涉及商业秘密；</w:t>
      </w:r>
    </w:p>
    <w:p w14:paraId="5EF279A2">
      <w:pPr>
        <w:spacing w:line="360" w:lineRule="auto"/>
        <w:ind w:firstLine="420" w:firstLineChars="200"/>
        <w:contextualSpacing/>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□我方本次响应文件</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涉及商业秘密的内容有：</w:t>
      </w:r>
      <w:r>
        <w:rPr>
          <w:rFonts w:hint="eastAsia" w:asciiTheme="minorEastAsia" w:hAnsiTheme="minorEastAsia" w:eastAsiaTheme="minorEastAsia" w:cstheme="minorEastAsia"/>
          <w:color w:val="000000" w:themeColor="text1"/>
          <w:kern w:val="0"/>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w:t>
      </w:r>
    </w:p>
    <w:p w14:paraId="773AFD30">
      <w:pPr>
        <w:pStyle w:val="16"/>
        <w:numPr>
          <w:ilvl w:val="0"/>
          <w:numId w:val="0"/>
        </w:numPr>
        <w:spacing w:line="360" w:lineRule="auto"/>
        <w:ind w:firstLine="420" w:firstLineChars="200"/>
        <w:contextualSpacing/>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7.</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与本磋商有关的一切正式往来信函请寄：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邮政编号：</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p>
    <w:p w14:paraId="359DF876">
      <w:pPr>
        <w:pStyle w:val="16"/>
        <w:numPr>
          <w:ilvl w:val="0"/>
          <w:numId w:val="0"/>
        </w:numPr>
        <w:spacing w:line="360" w:lineRule="auto"/>
        <w:ind w:firstLine="420" w:firstLineChars="200"/>
        <w:contextualSpacing/>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电话/传真：</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电子函件：</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2551DD6">
      <w:pPr>
        <w:pStyle w:val="15"/>
        <w:tabs>
          <w:tab w:val="left" w:pos="939"/>
        </w:tabs>
        <w:spacing w:line="360" w:lineRule="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开户银行：</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账号：</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D75836D">
      <w:pPr>
        <w:pStyle w:val="15"/>
        <w:tabs>
          <w:tab w:val="left" w:pos="939"/>
        </w:tabs>
        <w:spacing w:line="360" w:lineRule="auto"/>
        <w:ind w:left="0" w:leftChars="0" w:firstLine="420" w:firstLineChars="20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8.以上事项如有虚假或者隐瞒，我方愿意承担一切后果，并不再寻求任何旨在减轻或者免除法律责任的辩解。</w:t>
      </w:r>
    </w:p>
    <w:p w14:paraId="77516854">
      <w:pPr>
        <w:pStyle w:val="15"/>
        <w:tabs>
          <w:tab w:val="left" w:pos="939"/>
        </w:tabs>
        <w:spacing w:line="360" w:lineRule="auto"/>
        <w:ind w:left="141" w:leftChars="67" w:firstLine="315" w:firstLineChars="15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特此承诺。</w:t>
      </w:r>
    </w:p>
    <w:p w14:paraId="6BB7E141">
      <w:pPr>
        <w:pStyle w:val="15"/>
        <w:tabs>
          <w:tab w:val="left" w:pos="939"/>
        </w:tabs>
        <w:spacing w:line="360" w:lineRule="auto"/>
        <w:ind w:left="0" w:leftChars="0" w:firstLine="422" w:firstLineChars="200"/>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注：如为联合体竞标，盖章处须加盖联合体各方公章并由联合体各方法定代表人签署，否则其响应文件按无效响应处理。</w:t>
      </w:r>
    </w:p>
    <w:p w14:paraId="02FE1B74">
      <w:pPr>
        <w:pStyle w:val="15"/>
        <w:tabs>
          <w:tab w:val="left" w:pos="939"/>
        </w:tabs>
        <w:spacing w:line="360" w:lineRule="auto"/>
        <w:ind w:left="0" w:leftChars="0" w:firstLine="422" w:firstLineChars="200"/>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3CDDC08">
      <w:pPr>
        <w:pStyle w:val="15"/>
        <w:tabs>
          <w:tab w:val="left" w:pos="939"/>
        </w:tabs>
        <w:spacing w:line="360" w:lineRule="auto"/>
        <w:ind w:left="0" w:leftChars="0" w:firstLine="422" w:firstLineChars="200"/>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B271747">
      <w:pPr>
        <w:keepNext w:val="0"/>
        <w:keepLines w:val="0"/>
        <w:pageBreakBefore w:val="0"/>
        <w:widowControl w:val="0"/>
        <w:kinsoku/>
        <w:wordWrap/>
        <w:overflowPunct/>
        <w:topLinePunct w:val="0"/>
        <w:autoSpaceDE w:val="0"/>
        <w:autoSpaceDN w:val="0"/>
        <w:bidi w:val="0"/>
        <w:adjustRightInd/>
        <w:snapToGrid/>
        <w:spacing w:line="600" w:lineRule="exact"/>
        <w:ind w:left="4305" w:leftChars="1850" w:hanging="420" w:hangingChars="200"/>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供应商名称（电子签章）：</w:t>
      </w:r>
    </w:p>
    <w:p w14:paraId="023FBDEA">
      <w:pPr>
        <w:keepNext w:val="0"/>
        <w:keepLines w:val="0"/>
        <w:pageBreakBefore w:val="0"/>
        <w:widowControl w:val="0"/>
        <w:kinsoku/>
        <w:wordWrap/>
        <w:overflowPunct/>
        <w:topLinePunct w:val="0"/>
        <w:autoSpaceDE w:val="0"/>
        <w:autoSpaceDN w:val="0"/>
        <w:bidi w:val="0"/>
        <w:adjustRightInd/>
        <w:snapToGrid/>
        <w:spacing w:line="600" w:lineRule="exact"/>
        <w:ind w:firstLine="5775" w:firstLineChars="2750"/>
        <w:textAlignment w:val="auto"/>
        <w:rPr>
          <w:rFonts w:hint="eastAsia" w:asciiTheme="minorEastAsia" w:hAnsiTheme="minorEastAsia" w:eastAsiaTheme="minorEastAsia" w:cstheme="minorEastAsia"/>
          <w:color w:val="000000" w:themeColor="text1"/>
          <w:kern w:val="0"/>
          <w:sz w:val="21"/>
          <w:szCs w:val="21"/>
          <w:highlight w:val="none"/>
          <w:lang w:val="zh-CN"/>
          <w14:textFill>
            <w14:solidFill>
              <w14:schemeClr w14:val="tx1"/>
            </w14:solidFill>
          </w14:textFill>
        </w:rPr>
        <w:sectPr>
          <w:pgSz w:w="11910" w:h="16840"/>
          <w:pgMar w:top="1077" w:right="1304" w:bottom="1077" w:left="1417" w:header="720" w:footer="850" w:gutter="0"/>
          <w:pgBorders>
            <w:top w:val="none" w:sz="0" w:space="0"/>
            <w:left w:val="none" w:sz="0" w:space="0"/>
            <w:bottom w:val="none" w:sz="0" w:space="0"/>
            <w:right w:val="none" w:sz="0" w:space="0"/>
          </w:pgBorders>
          <w:pgNumType w:fmt="decimal"/>
          <w:cols w:space="720" w:num="1"/>
        </w:sectPr>
      </w:pPr>
      <w:r>
        <w:rPr>
          <w:rFonts w:hint="eastAsia" w:asciiTheme="minorEastAsia" w:hAnsiTheme="minorEastAsia" w:eastAsiaTheme="minorEastAsia" w:cstheme="minorEastAsia"/>
          <w:color w:val="000000" w:themeColor="text1"/>
          <w:kern w:val="0"/>
          <w:sz w:val="21"/>
          <w:szCs w:val="21"/>
          <w:highlight w:val="none"/>
          <w:lang w:val="zh-CN"/>
          <w14:textFill>
            <w14:solidFill>
              <w14:schemeClr w14:val="tx1"/>
            </w14:solidFill>
          </w14:textFill>
        </w:rPr>
        <w:t xml:space="preserve">日期： </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lang w:val="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lang w:val="zh-CN"/>
          <w14:textFill>
            <w14:solidFill>
              <w14:schemeClr w14:val="tx1"/>
            </w14:solidFill>
          </w14:textFill>
        </w:rPr>
        <w:t xml:space="preserve">年  </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lang w:val="zh-CN"/>
          <w14:textFill>
            <w14:solidFill>
              <w14:schemeClr w14:val="tx1"/>
            </w14:solidFill>
          </w14:textFill>
        </w:rPr>
        <w:t>月   日</w:t>
      </w:r>
    </w:p>
    <w:p w14:paraId="31EB04DF">
      <w:pPr>
        <w:spacing w:line="320" w:lineRule="exact"/>
        <w:ind w:firstLine="562" w:firstLineChars="200"/>
        <w:jc w:val="left"/>
        <w:rPr>
          <w:rFonts w:hint="eastAsia" w:asciiTheme="minorEastAsia" w:hAnsiTheme="minorEastAsia" w:eastAsiaTheme="minorEastAsia" w:cstheme="minorEastAsia"/>
          <w:b/>
          <w:color w:val="000000" w:themeColor="text1"/>
          <w:kern w:val="0"/>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0"/>
          <w:sz w:val="28"/>
          <w:szCs w:val="28"/>
          <w:highlight w:val="none"/>
          <w14:textFill>
            <w14:solidFill>
              <w14:schemeClr w14:val="tx1"/>
            </w14:solidFill>
          </w14:textFill>
        </w:rPr>
        <w:t>七、联合体协议书</w:t>
      </w:r>
    </w:p>
    <w:p w14:paraId="07EA7C3E">
      <w:pPr>
        <w:keepNext w:val="0"/>
        <w:keepLines w:val="0"/>
        <w:pageBreakBefore w:val="0"/>
        <w:widowControl w:val="0"/>
        <w:kinsoku/>
        <w:wordWrap/>
        <w:overflowPunct/>
        <w:topLinePunct w:val="0"/>
        <w:autoSpaceDE/>
        <w:autoSpaceDN/>
        <w:bidi w:val="0"/>
        <w:adjustRightInd/>
        <w:snapToGrid/>
        <w:spacing w:before="313" w:beforeLines="100" w:after="251" w:afterLines="80" w:line="500" w:lineRule="exact"/>
        <w:jc w:val="center"/>
        <w:textAlignment w:val="auto"/>
        <w:rPr>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t>联合体竞标协议书（格式）</w:t>
      </w:r>
    </w:p>
    <w:p w14:paraId="0F094C4E">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ascii="宋体" w:hAnsi="宋体" w:eastAsia="宋体"/>
          <w:color w:val="auto"/>
          <w:sz w:val="22"/>
          <w:szCs w:val="22"/>
          <w:highlight w:val="none"/>
        </w:rPr>
      </w:pPr>
      <w:r>
        <w:rPr>
          <w:rFonts w:ascii="Times New Roman" w:hAnsi="Times New Roman" w:eastAsia="宋体" w:cs="Times New Roman"/>
          <w:color w:val="auto"/>
          <w:sz w:val="22"/>
          <w:szCs w:val="22"/>
          <w:highlight w:val="none"/>
        </w:rPr>
        <w:t>_____</w:t>
      </w:r>
      <w:r>
        <w:rPr>
          <w:rFonts w:ascii="Times New Roman" w:hAnsi="Times New Roman" w:eastAsia="宋体" w:cs="Times New Roman"/>
          <w:color w:val="auto"/>
          <w:sz w:val="22"/>
          <w:szCs w:val="22"/>
          <w:highlight w:val="none"/>
          <w:u w:val="single"/>
        </w:rPr>
        <w:t>_</w:t>
      </w:r>
      <w:r>
        <w:rPr>
          <w:rFonts w:hint="eastAsia" w:ascii="宋体" w:hAnsi="宋体" w:eastAsia="宋体"/>
          <w:color w:val="auto"/>
          <w:sz w:val="22"/>
          <w:szCs w:val="22"/>
          <w:highlight w:val="none"/>
          <w:u w:val="single"/>
        </w:rPr>
        <w:t>（所有成员单位名称）</w:t>
      </w:r>
      <w:r>
        <w:rPr>
          <w:rFonts w:hint="eastAsia" w:ascii="宋体" w:hAnsi="宋体"/>
          <w:color w:val="auto"/>
          <w:sz w:val="22"/>
          <w:szCs w:val="22"/>
          <w:highlight w:val="none"/>
          <w:u w:val="single"/>
          <w:lang w:val="en-US" w:eastAsia="zh-CN"/>
        </w:rPr>
        <w:t xml:space="preserve">     </w:t>
      </w:r>
      <w:r>
        <w:rPr>
          <w:rFonts w:hint="eastAsia" w:ascii="宋体" w:hAnsi="宋体" w:eastAsia="宋体"/>
          <w:color w:val="auto"/>
          <w:sz w:val="22"/>
          <w:szCs w:val="22"/>
          <w:highlight w:val="none"/>
        </w:rPr>
        <w:t>自愿组成联合体，共同参加</w:t>
      </w:r>
      <w:r>
        <w:rPr>
          <w:rFonts w:hint="eastAsia" w:ascii="宋体" w:hAnsi="宋体"/>
          <w:color w:val="auto"/>
          <w:sz w:val="22"/>
          <w:szCs w:val="22"/>
          <w:highlight w:val="none"/>
          <w:u w:val="single"/>
          <w:lang w:eastAsia="zh-CN"/>
        </w:rPr>
        <w:t>（</w:t>
      </w:r>
      <w:r>
        <w:rPr>
          <w:rFonts w:hint="eastAsia" w:ascii="宋体" w:hAnsi="宋体" w:eastAsia="宋体"/>
          <w:color w:val="auto"/>
          <w:sz w:val="22"/>
          <w:szCs w:val="22"/>
          <w:highlight w:val="none"/>
          <w:u w:val="single"/>
        </w:rPr>
        <w:t>采购组织机构</w:t>
      </w:r>
      <w:r>
        <w:rPr>
          <w:rFonts w:hint="eastAsia" w:ascii="宋体" w:hAnsi="宋体"/>
          <w:color w:val="auto"/>
          <w:sz w:val="22"/>
          <w:szCs w:val="22"/>
          <w:highlight w:val="none"/>
          <w:u w:val="single"/>
          <w:lang w:eastAsia="zh-CN"/>
        </w:rPr>
        <w:t>）</w:t>
      </w:r>
      <w:r>
        <w:rPr>
          <w:rFonts w:hint="eastAsia" w:ascii="宋体" w:hAnsi="宋体" w:eastAsia="宋体"/>
          <w:color w:val="auto"/>
          <w:sz w:val="22"/>
          <w:szCs w:val="22"/>
          <w:highlight w:val="none"/>
        </w:rPr>
        <w:t>组织的</w:t>
      </w:r>
      <w:r>
        <w:rPr>
          <w:rFonts w:hint="eastAsia" w:ascii="宋体" w:hAnsi="宋体"/>
          <w:color w:val="auto"/>
          <w:sz w:val="22"/>
          <w:szCs w:val="22"/>
          <w:highlight w:val="none"/>
          <w:u w:val="single"/>
          <w:lang w:eastAsia="zh-CN"/>
        </w:rPr>
        <w:t>（</w:t>
      </w:r>
      <w:r>
        <w:rPr>
          <w:rFonts w:hint="eastAsia" w:ascii="宋体" w:hAnsi="宋体" w:eastAsia="宋体"/>
          <w:color w:val="auto"/>
          <w:sz w:val="22"/>
          <w:szCs w:val="22"/>
          <w:highlight w:val="none"/>
          <w:u w:val="single"/>
        </w:rPr>
        <w:t>项目名称</w:t>
      </w:r>
      <w:r>
        <w:rPr>
          <w:rFonts w:hint="eastAsia" w:ascii="宋体" w:hAnsi="宋体"/>
          <w:color w:val="auto"/>
          <w:sz w:val="22"/>
          <w:szCs w:val="22"/>
          <w:highlight w:val="none"/>
          <w:u w:val="single"/>
          <w:lang w:eastAsia="zh-CN"/>
        </w:rPr>
        <w:t>）</w:t>
      </w:r>
      <w:r>
        <w:rPr>
          <w:rFonts w:hint="eastAsia" w:ascii="宋体" w:hAnsi="宋体" w:eastAsia="宋体"/>
          <w:color w:val="auto"/>
          <w:sz w:val="22"/>
          <w:szCs w:val="22"/>
          <w:highlight w:val="none"/>
        </w:rPr>
        <w:t>（项目编号：</w:t>
      </w:r>
      <w:r>
        <w:rPr>
          <w:rFonts w:hint="eastAsia" w:ascii="宋体" w:hAnsi="宋体"/>
          <w:color w:val="auto"/>
          <w:sz w:val="22"/>
          <w:szCs w:val="22"/>
          <w:highlight w:val="none"/>
          <w:u w:val="single"/>
          <w:lang w:eastAsia="zh-CN"/>
        </w:rPr>
        <w:t>（</w:t>
      </w:r>
      <w:r>
        <w:rPr>
          <w:rFonts w:hint="eastAsia" w:ascii="宋体" w:hAnsi="宋体" w:eastAsia="宋体"/>
          <w:color w:val="auto"/>
          <w:sz w:val="22"/>
          <w:szCs w:val="22"/>
          <w:highlight w:val="none"/>
          <w:u w:val="single"/>
        </w:rPr>
        <w:t>项目编号</w:t>
      </w:r>
      <w:r>
        <w:rPr>
          <w:rFonts w:hint="eastAsia" w:ascii="宋体" w:hAnsi="宋体"/>
          <w:color w:val="auto"/>
          <w:sz w:val="22"/>
          <w:szCs w:val="22"/>
          <w:highlight w:val="none"/>
          <w:u w:val="single"/>
          <w:lang w:eastAsia="zh-CN"/>
        </w:rPr>
        <w:t>）</w:t>
      </w:r>
      <w:r>
        <w:rPr>
          <w:rFonts w:hint="eastAsia" w:ascii="宋体" w:hAnsi="宋体" w:eastAsia="宋体"/>
          <w:color w:val="auto"/>
          <w:sz w:val="22"/>
          <w:szCs w:val="22"/>
          <w:highlight w:val="none"/>
        </w:rPr>
        <w:t>竞争性磋商采购。现就联合体竞标事宜订立如下协议：</w:t>
      </w:r>
    </w:p>
    <w:p w14:paraId="72C0FAA4">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ascii="宋体" w:hAnsi="宋体" w:eastAsia="宋体"/>
          <w:color w:val="auto"/>
          <w:sz w:val="22"/>
          <w:szCs w:val="22"/>
          <w:highlight w:val="none"/>
        </w:rPr>
      </w:pPr>
      <w:r>
        <w:rPr>
          <w:rFonts w:hint="eastAsia" w:ascii="宋体" w:hAnsi="宋体" w:eastAsia="宋体"/>
          <w:color w:val="auto"/>
          <w:sz w:val="22"/>
          <w:szCs w:val="22"/>
          <w:highlight w:val="none"/>
        </w:rPr>
        <w:t>1</w:t>
      </w:r>
      <w:r>
        <w:rPr>
          <w:rFonts w:hint="eastAsia" w:ascii="宋体" w:hAnsi="宋体"/>
          <w:color w:val="auto"/>
          <w:sz w:val="22"/>
          <w:szCs w:val="22"/>
          <w:highlight w:val="none"/>
          <w:lang w:val="en-US" w:eastAsia="zh-CN"/>
        </w:rPr>
        <w:t>.</w:t>
      </w:r>
      <w:r>
        <w:rPr>
          <w:rFonts w:ascii="Times New Roman" w:hAnsi="Times New Roman" w:eastAsia="宋体" w:cs="Times New Roman"/>
          <w:color w:val="auto"/>
          <w:sz w:val="22"/>
          <w:szCs w:val="22"/>
          <w:highlight w:val="none"/>
        </w:rPr>
        <w:t>____________________</w:t>
      </w:r>
      <w:r>
        <w:rPr>
          <w:rFonts w:hint="eastAsia" w:ascii="宋体" w:hAnsi="宋体" w:eastAsia="宋体"/>
          <w:color w:val="auto"/>
          <w:sz w:val="22"/>
          <w:szCs w:val="22"/>
          <w:highlight w:val="none"/>
        </w:rPr>
        <w:t>（某成员单位名称）为联合体名称牵头人。</w:t>
      </w:r>
    </w:p>
    <w:p w14:paraId="705C4928">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ascii="宋体" w:hAnsi="宋体" w:eastAsia="宋体"/>
          <w:color w:val="auto"/>
          <w:sz w:val="22"/>
          <w:szCs w:val="22"/>
          <w:highlight w:val="none"/>
        </w:rPr>
      </w:pPr>
      <w:r>
        <w:rPr>
          <w:rFonts w:hint="eastAsia" w:ascii="宋体" w:hAnsi="宋体" w:eastAsia="宋体"/>
          <w:color w:val="auto"/>
          <w:sz w:val="22"/>
          <w:szCs w:val="22"/>
          <w:highlight w:val="none"/>
        </w:rPr>
        <w:t>2</w:t>
      </w:r>
      <w:r>
        <w:rPr>
          <w:rFonts w:hint="eastAsia" w:ascii="宋体" w:hAnsi="宋体"/>
          <w:color w:val="auto"/>
          <w:sz w:val="22"/>
          <w:szCs w:val="22"/>
          <w:highlight w:val="none"/>
          <w:lang w:val="en-US" w:eastAsia="zh-CN"/>
        </w:rPr>
        <w:t>.</w:t>
      </w:r>
      <w:r>
        <w:rPr>
          <w:rFonts w:hint="eastAsia" w:ascii="宋体" w:hAnsi="宋体" w:eastAsia="宋体"/>
          <w:color w:val="auto"/>
          <w:sz w:val="22"/>
          <w:szCs w:val="22"/>
          <w:highlight w:val="none"/>
        </w:rPr>
        <w:t>联合体牵头人合法代表联合体各成员负责本磋商项目响应文件编制和合同谈判活动，并代表联合体提交和接收相关的资料、信息及指示，并处理与之有关的一切事务，负责合同实施阶段的主办、组织和协调工作。</w:t>
      </w:r>
    </w:p>
    <w:p w14:paraId="1F6F6CCF">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ascii="宋体" w:hAnsi="宋体" w:eastAsia="宋体"/>
          <w:color w:val="auto"/>
          <w:sz w:val="22"/>
          <w:szCs w:val="22"/>
          <w:highlight w:val="none"/>
        </w:rPr>
      </w:pPr>
      <w:r>
        <w:rPr>
          <w:rFonts w:hint="eastAsia" w:ascii="宋体" w:hAnsi="宋体" w:eastAsia="宋体"/>
          <w:color w:val="auto"/>
          <w:sz w:val="22"/>
          <w:szCs w:val="22"/>
          <w:highlight w:val="none"/>
        </w:rPr>
        <w:t>3</w:t>
      </w:r>
      <w:r>
        <w:rPr>
          <w:rFonts w:hint="eastAsia" w:ascii="宋体" w:hAnsi="宋体"/>
          <w:color w:val="auto"/>
          <w:sz w:val="22"/>
          <w:szCs w:val="22"/>
          <w:highlight w:val="none"/>
          <w:lang w:val="en-US" w:eastAsia="zh-CN"/>
        </w:rPr>
        <w:t>.</w:t>
      </w:r>
      <w:r>
        <w:rPr>
          <w:rFonts w:hint="eastAsia" w:ascii="宋体" w:hAnsi="宋体" w:eastAsia="宋体"/>
          <w:color w:val="auto"/>
          <w:sz w:val="22"/>
          <w:szCs w:val="22"/>
          <w:highlight w:val="none"/>
        </w:rPr>
        <w:t>联合体牵头人在本项目中签署和盖章的一切文件和处理的一切事宜，联合体各成员均予以承认。联合体各成员将严格按照磋商文件、响应文件和合同的要求全面履行义务，并向采购人承担连带责任。</w:t>
      </w:r>
    </w:p>
    <w:p w14:paraId="10ADFC9F">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left"/>
        <w:textAlignment w:val="auto"/>
        <w:rPr>
          <w:rFonts w:ascii="宋体" w:hAnsi="宋体" w:eastAsia="宋体"/>
          <w:color w:val="auto"/>
          <w:sz w:val="22"/>
          <w:szCs w:val="22"/>
          <w:highlight w:val="none"/>
        </w:rPr>
      </w:pPr>
      <w:r>
        <w:rPr>
          <w:rFonts w:hint="eastAsia" w:ascii="宋体" w:hAnsi="宋体" w:eastAsia="宋体"/>
          <w:color w:val="auto"/>
          <w:sz w:val="22"/>
          <w:szCs w:val="22"/>
          <w:highlight w:val="none"/>
        </w:rPr>
        <w:t>4</w:t>
      </w:r>
      <w:r>
        <w:rPr>
          <w:rFonts w:hint="eastAsia" w:ascii="宋体" w:hAnsi="宋体"/>
          <w:color w:val="auto"/>
          <w:sz w:val="22"/>
          <w:szCs w:val="22"/>
          <w:highlight w:val="none"/>
          <w:lang w:val="en-US" w:eastAsia="zh-CN"/>
        </w:rPr>
        <w:t>.</w:t>
      </w:r>
      <w:r>
        <w:rPr>
          <w:rFonts w:hint="eastAsia" w:ascii="宋体" w:hAnsi="宋体" w:eastAsia="宋体"/>
          <w:color w:val="auto"/>
          <w:sz w:val="22"/>
          <w:szCs w:val="22"/>
          <w:highlight w:val="none"/>
        </w:rPr>
        <w:t>联合体各成员单位内部的职责分工如下：</w:t>
      </w:r>
      <w:r>
        <w:rPr>
          <w:rFonts w:ascii="Times New Roman" w:hAnsi="Times New Roman" w:eastAsia="宋体" w:cs="Times New Roman"/>
          <w:color w:val="auto"/>
          <w:sz w:val="22"/>
          <w:szCs w:val="22"/>
          <w:highlight w:val="none"/>
        </w:rPr>
        <w:t>____________________________________________</w:t>
      </w:r>
      <w:r>
        <w:rPr>
          <w:rFonts w:hint="eastAsia" w:ascii="宋体" w:hAnsi="宋体" w:eastAsia="宋体"/>
          <w:color w:val="auto"/>
          <w:sz w:val="22"/>
          <w:szCs w:val="22"/>
          <w:highlight w:val="none"/>
        </w:rPr>
        <w:t>。</w:t>
      </w:r>
    </w:p>
    <w:p w14:paraId="7DC114CF">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宋体" w:hAnsi="宋体" w:eastAsia="宋体"/>
          <w:color w:val="auto"/>
          <w:sz w:val="22"/>
          <w:szCs w:val="22"/>
          <w:highlight w:val="none"/>
          <w:lang w:eastAsia="zh-CN"/>
        </w:rPr>
      </w:pPr>
      <w:r>
        <w:rPr>
          <w:rFonts w:hint="eastAsia" w:ascii="宋体" w:hAnsi="宋体" w:eastAsia="宋体"/>
          <w:color w:val="auto"/>
          <w:sz w:val="22"/>
          <w:szCs w:val="22"/>
          <w:highlight w:val="none"/>
        </w:rPr>
        <w:t>5</w:t>
      </w:r>
      <w:r>
        <w:rPr>
          <w:rFonts w:hint="eastAsia" w:ascii="宋体" w:hAnsi="宋体"/>
          <w:color w:val="auto"/>
          <w:sz w:val="22"/>
          <w:szCs w:val="22"/>
          <w:highlight w:val="none"/>
          <w:lang w:val="en-US" w:eastAsia="zh-CN"/>
        </w:rPr>
        <w:t>.</w:t>
      </w:r>
      <w:r>
        <w:rPr>
          <w:rFonts w:hint="eastAsia" w:ascii="宋体" w:hAnsi="宋体" w:eastAsia="宋体"/>
          <w:color w:val="auto"/>
          <w:sz w:val="22"/>
          <w:szCs w:val="22"/>
          <w:highlight w:val="none"/>
        </w:rPr>
        <w:t>本联合体中，</w:t>
      </w:r>
      <w:r>
        <w:rPr>
          <w:rFonts w:ascii="Times New Roman" w:hAnsi="Times New Roman" w:eastAsia="宋体" w:cs="Times New Roman"/>
          <w:color w:val="auto"/>
          <w:sz w:val="22"/>
          <w:szCs w:val="22"/>
          <w:highlight w:val="none"/>
        </w:rPr>
        <w:t>____________________</w:t>
      </w:r>
      <w:r>
        <w:rPr>
          <w:rFonts w:hint="eastAsia" w:ascii="宋体" w:hAnsi="宋体" w:eastAsia="宋体"/>
          <w:color w:val="auto"/>
          <w:sz w:val="22"/>
          <w:szCs w:val="22"/>
          <w:highlight w:val="none"/>
        </w:rPr>
        <w:t>（某成员单位名称）为______（请填写：中型、小型、微型）企业，其协议合同金额占联合体协议合同总金额的______%【如联合体成员中有小型、微型企业的，请填写此条，否则无需填写；如联合体成员中有多个小型、微型企业的，请逐一列出】</w:t>
      </w:r>
      <w:r>
        <w:rPr>
          <w:rFonts w:hint="eastAsia" w:ascii="宋体" w:hAnsi="宋体"/>
          <w:color w:val="auto"/>
          <w:sz w:val="22"/>
          <w:szCs w:val="22"/>
          <w:highlight w:val="none"/>
          <w:lang w:eastAsia="zh-CN"/>
        </w:rPr>
        <w:t>。</w:t>
      </w:r>
    </w:p>
    <w:p w14:paraId="73483A1D">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ascii="宋体" w:hAnsi="宋体" w:eastAsia="宋体"/>
          <w:color w:val="auto"/>
          <w:sz w:val="22"/>
          <w:szCs w:val="22"/>
          <w:highlight w:val="none"/>
        </w:rPr>
      </w:pPr>
      <w:r>
        <w:rPr>
          <w:rFonts w:hint="eastAsia" w:ascii="宋体" w:hAnsi="宋体" w:eastAsia="宋体"/>
          <w:color w:val="auto"/>
          <w:sz w:val="22"/>
          <w:szCs w:val="22"/>
          <w:highlight w:val="none"/>
        </w:rPr>
        <w:t>6</w:t>
      </w:r>
      <w:r>
        <w:rPr>
          <w:rFonts w:hint="eastAsia" w:ascii="宋体" w:hAnsi="宋体"/>
          <w:color w:val="auto"/>
          <w:sz w:val="22"/>
          <w:szCs w:val="22"/>
          <w:highlight w:val="none"/>
          <w:lang w:val="en-US" w:eastAsia="zh-CN"/>
        </w:rPr>
        <w:t>.</w:t>
      </w:r>
      <w:r>
        <w:rPr>
          <w:rFonts w:hint="eastAsia" w:ascii="宋体" w:hAnsi="宋体" w:eastAsia="宋体"/>
          <w:color w:val="auto"/>
          <w:sz w:val="22"/>
          <w:szCs w:val="22"/>
          <w:highlight w:val="none"/>
        </w:rPr>
        <w:t>本协议书自签署之日起生效，合同履行完毕后自动失效。</w:t>
      </w:r>
    </w:p>
    <w:p w14:paraId="34EA608C">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ascii="宋体" w:hAnsi="宋体" w:eastAsia="宋体"/>
          <w:color w:val="auto"/>
          <w:sz w:val="22"/>
          <w:szCs w:val="22"/>
          <w:highlight w:val="none"/>
        </w:rPr>
      </w:pPr>
      <w:r>
        <w:rPr>
          <w:rFonts w:hint="eastAsia" w:ascii="宋体" w:hAnsi="宋体" w:eastAsia="宋体"/>
          <w:color w:val="auto"/>
          <w:sz w:val="22"/>
          <w:szCs w:val="22"/>
          <w:highlight w:val="none"/>
        </w:rPr>
        <w:t>7</w:t>
      </w:r>
      <w:r>
        <w:rPr>
          <w:rFonts w:hint="eastAsia" w:ascii="宋体" w:hAnsi="宋体"/>
          <w:color w:val="auto"/>
          <w:sz w:val="22"/>
          <w:szCs w:val="22"/>
          <w:highlight w:val="none"/>
          <w:lang w:val="en-US" w:eastAsia="zh-CN"/>
        </w:rPr>
        <w:t>.</w:t>
      </w:r>
      <w:r>
        <w:rPr>
          <w:rFonts w:hint="eastAsia" w:ascii="宋体" w:hAnsi="宋体" w:eastAsia="宋体"/>
          <w:color w:val="auto"/>
          <w:sz w:val="22"/>
          <w:szCs w:val="22"/>
          <w:highlight w:val="none"/>
        </w:rPr>
        <w:t>本协议书一式______份，联合体成员和采购代理机构各执一份。</w:t>
      </w:r>
    </w:p>
    <w:p w14:paraId="1E86B7FF">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ascii="宋体" w:hAnsi="宋体" w:eastAsia="宋体"/>
          <w:color w:val="auto"/>
          <w:sz w:val="22"/>
          <w:szCs w:val="22"/>
          <w:highlight w:val="none"/>
        </w:rPr>
      </w:pPr>
      <w:r>
        <w:rPr>
          <w:rFonts w:hint="eastAsia" w:ascii="宋体" w:hAnsi="宋体" w:eastAsia="宋体"/>
          <w:color w:val="auto"/>
          <w:sz w:val="22"/>
          <w:szCs w:val="22"/>
          <w:highlight w:val="none"/>
        </w:rPr>
        <w:t>注：本协议书由法定代表人签字的，应附法定代表人身份证明；本协议书由委托代理人签字的，应附法定代表人授权委托书。</w:t>
      </w:r>
    </w:p>
    <w:p w14:paraId="314D8303">
      <w:pPr>
        <w:keepNext w:val="0"/>
        <w:keepLines w:val="0"/>
        <w:pageBreakBefore w:val="0"/>
        <w:widowControl w:val="0"/>
        <w:kinsoku/>
        <w:wordWrap/>
        <w:overflowPunct/>
        <w:topLinePunct w:val="0"/>
        <w:autoSpaceDE/>
        <w:autoSpaceDN/>
        <w:bidi w:val="0"/>
        <w:adjustRightInd/>
        <w:snapToGrid/>
        <w:spacing w:before="313" w:beforeLines="100" w:line="500" w:lineRule="exact"/>
        <w:ind w:firstLine="440" w:firstLineChars="200"/>
        <w:textAlignment w:val="auto"/>
        <w:rPr>
          <w:rFonts w:ascii="宋体" w:hAnsi="宋体" w:eastAsia="宋体"/>
          <w:color w:val="auto"/>
          <w:sz w:val="22"/>
          <w:szCs w:val="22"/>
          <w:highlight w:val="none"/>
        </w:rPr>
      </w:pPr>
      <w:r>
        <w:rPr>
          <w:rFonts w:hint="eastAsia" w:ascii="宋体" w:hAnsi="宋体" w:eastAsia="宋体"/>
          <w:color w:val="auto"/>
          <w:sz w:val="22"/>
          <w:szCs w:val="22"/>
          <w:highlight w:val="none"/>
        </w:rPr>
        <w:t>牵头人名称：</w:t>
      </w:r>
      <w:r>
        <w:rPr>
          <w:rFonts w:ascii="Times New Roman" w:hAnsi="Times New Roman" w:eastAsia="宋体" w:cs="Times New Roman"/>
          <w:color w:val="auto"/>
          <w:sz w:val="22"/>
          <w:szCs w:val="22"/>
          <w:highlight w:val="none"/>
        </w:rPr>
        <w:t>_____________________________________</w:t>
      </w:r>
      <w:r>
        <w:rPr>
          <w:rFonts w:hint="eastAsia" w:ascii="宋体" w:hAnsi="宋体" w:eastAsia="宋体"/>
          <w:color w:val="auto"/>
          <w:sz w:val="22"/>
          <w:szCs w:val="22"/>
          <w:highlight w:val="none"/>
        </w:rPr>
        <w:t>（盖单位公章）</w:t>
      </w:r>
    </w:p>
    <w:p w14:paraId="05A7C79C">
      <w:pPr>
        <w:keepNext w:val="0"/>
        <w:keepLines w:val="0"/>
        <w:pageBreakBefore w:val="0"/>
        <w:widowControl w:val="0"/>
        <w:kinsoku/>
        <w:wordWrap/>
        <w:overflowPunct/>
        <w:topLinePunct w:val="0"/>
        <w:autoSpaceDE/>
        <w:autoSpaceDN/>
        <w:bidi w:val="0"/>
        <w:adjustRightInd/>
        <w:snapToGrid/>
        <w:spacing w:line="500" w:lineRule="exact"/>
        <w:ind w:firstLine="440" w:firstLineChars="200"/>
        <w:textAlignment w:val="auto"/>
        <w:rPr>
          <w:rFonts w:ascii="宋体" w:hAnsi="宋体" w:eastAsia="宋体"/>
          <w:color w:val="auto"/>
          <w:sz w:val="22"/>
          <w:szCs w:val="22"/>
          <w:highlight w:val="none"/>
        </w:rPr>
      </w:pPr>
      <w:r>
        <w:rPr>
          <w:rFonts w:hint="eastAsia" w:ascii="宋体" w:hAnsi="宋体" w:eastAsia="宋体"/>
          <w:color w:val="auto"/>
          <w:sz w:val="22"/>
          <w:szCs w:val="22"/>
          <w:highlight w:val="none"/>
        </w:rPr>
        <w:t>法定代表人或其委托代理人：</w:t>
      </w:r>
      <w:r>
        <w:rPr>
          <w:rFonts w:ascii="Times New Roman" w:hAnsi="Times New Roman" w:eastAsia="宋体" w:cs="Times New Roman"/>
          <w:color w:val="auto"/>
          <w:sz w:val="22"/>
          <w:szCs w:val="22"/>
          <w:highlight w:val="none"/>
        </w:rPr>
        <w:t>_______________________</w:t>
      </w:r>
      <w:r>
        <w:rPr>
          <w:rFonts w:hint="eastAsia" w:ascii="宋体" w:hAnsi="宋体" w:eastAsia="宋体"/>
          <w:color w:val="auto"/>
          <w:sz w:val="22"/>
          <w:szCs w:val="22"/>
          <w:highlight w:val="none"/>
        </w:rPr>
        <w:t>（签字或盖章）</w:t>
      </w:r>
    </w:p>
    <w:p w14:paraId="1A86DE13">
      <w:pPr>
        <w:keepNext w:val="0"/>
        <w:keepLines w:val="0"/>
        <w:pageBreakBefore w:val="0"/>
        <w:widowControl w:val="0"/>
        <w:kinsoku/>
        <w:wordWrap/>
        <w:overflowPunct/>
        <w:topLinePunct w:val="0"/>
        <w:autoSpaceDE/>
        <w:autoSpaceDN/>
        <w:bidi w:val="0"/>
        <w:adjustRightInd/>
        <w:snapToGrid/>
        <w:spacing w:line="500" w:lineRule="exact"/>
        <w:ind w:firstLine="440" w:firstLineChars="200"/>
        <w:textAlignment w:val="auto"/>
        <w:rPr>
          <w:rFonts w:ascii="宋体" w:hAnsi="宋体" w:eastAsia="宋体"/>
          <w:color w:val="auto"/>
          <w:sz w:val="22"/>
          <w:szCs w:val="22"/>
          <w:highlight w:val="none"/>
        </w:rPr>
      </w:pPr>
      <w:r>
        <w:rPr>
          <w:rFonts w:hint="eastAsia" w:ascii="宋体" w:hAnsi="宋体" w:eastAsia="宋体"/>
          <w:color w:val="auto"/>
          <w:sz w:val="22"/>
          <w:szCs w:val="22"/>
          <w:highlight w:val="none"/>
        </w:rPr>
        <w:t>成员一名称：</w:t>
      </w:r>
      <w:r>
        <w:rPr>
          <w:rFonts w:ascii="Times New Roman" w:hAnsi="Times New Roman" w:eastAsia="宋体" w:cs="Times New Roman"/>
          <w:color w:val="auto"/>
          <w:sz w:val="22"/>
          <w:szCs w:val="22"/>
          <w:highlight w:val="none"/>
        </w:rPr>
        <w:t>___________________</w:t>
      </w:r>
      <w:r>
        <w:rPr>
          <w:rFonts w:ascii="Times New Roman" w:hAnsi="Times New Roman" w:eastAsia="宋体" w:cs="Times New Roman"/>
          <w:color w:val="auto"/>
          <w:sz w:val="22"/>
          <w:szCs w:val="22"/>
          <w:highlight w:val="none"/>
          <w:u w:val="single"/>
        </w:rPr>
        <w:t>_____</w:t>
      </w:r>
      <w:r>
        <w:rPr>
          <w:rFonts w:hint="eastAsia" w:cs="Times New Roman"/>
          <w:color w:val="auto"/>
          <w:sz w:val="22"/>
          <w:szCs w:val="22"/>
          <w:highlight w:val="none"/>
          <w:u w:val="single"/>
          <w:lang w:val="en-US" w:eastAsia="zh-CN"/>
        </w:rPr>
        <w:t xml:space="preserve">        </w:t>
      </w:r>
      <w:r>
        <w:rPr>
          <w:rFonts w:ascii="Times New Roman" w:hAnsi="Times New Roman" w:eastAsia="宋体" w:cs="Times New Roman"/>
          <w:color w:val="auto"/>
          <w:sz w:val="22"/>
          <w:szCs w:val="22"/>
          <w:highlight w:val="none"/>
        </w:rPr>
        <w:t>_____</w:t>
      </w:r>
      <w:r>
        <w:rPr>
          <w:rFonts w:hint="eastAsia" w:ascii="宋体" w:hAnsi="宋体" w:eastAsia="宋体"/>
          <w:color w:val="auto"/>
          <w:sz w:val="22"/>
          <w:szCs w:val="22"/>
          <w:highlight w:val="none"/>
        </w:rPr>
        <w:t>（盖单位公章）</w:t>
      </w:r>
    </w:p>
    <w:p w14:paraId="4302329A">
      <w:pPr>
        <w:keepNext w:val="0"/>
        <w:keepLines w:val="0"/>
        <w:pageBreakBefore w:val="0"/>
        <w:widowControl w:val="0"/>
        <w:kinsoku/>
        <w:wordWrap/>
        <w:overflowPunct/>
        <w:topLinePunct w:val="0"/>
        <w:autoSpaceDE/>
        <w:autoSpaceDN/>
        <w:bidi w:val="0"/>
        <w:adjustRightInd/>
        <w:snapToGrid/>
        <w:spacing w:line="500" w:lineRule="exact"/>
        <w:ind w:firstLine="440" w:firstLineChars="200"/>
        <w:textAlignment w:val="auto"/>
        <w:rPr>
          <w:rFonts w:ascii="宋体" w:hAnsi="宋体" w:eastAsia="宋体"/>
          <w:color w:val="auto"/>
          <w:sz w:val="22"/>
          <w:szCs w:val="22"/>
          <w:highlight w:val="none"/>
        </w:rPr>
      </w:pPr>
      <w:r>
        <w:rPr>
          <w:rFonts w:hint="eastAsia" w:ascii="宋体" w:hAnsi="宋体" w:eastAsia="宋体"/>
          <w:color w:val="auto"/>
          <w:sz w:val="22"/>
          <w:szCs w:val="22"/>
          <w:highlight w:val="none"/>
        </w:rPr>
        <w:t>法定代表人或其委托代理人：</w:t>
      </w:r>
      <w:r>
        <w:rPr>
          <w:rFonts w:ascii="Times New Roman" w:hAnsi="Times New Roman" w:eastAsia="宋体" w:cs="Times New Roman"/>
          <w:color w:val="auto"/>
          <w:sz w:val="22"/>
          <w:szCs w:val="22"/>
          <w:highlight w:val="none"/>
        </w:rPr>
        <w:t>_______________________</w:t>
      </w:r>
      <w:r>
        <w:rPr>
          <w:rFonts w:hint="eastAsia" w:ascii="宋体" w:hAnsi="宋体" w:eastAsia="宋体"/>
          <w:color w:val="auto"/>
          <w:sz w:val="22"/>
          <w:szCs w:val="22"/>
          <w:highlight w:val="none"/>
        </w:rPr>
        <w:t>（签字或盖章）</w:t>
      </w:r>
    </w:p>
    <w:p w14:paraId="57F1F5B4">
      <w:pPr>
        <w:keepNext w:val="0"/>
        <w:keepLines w:val="0"/>
        <w:pageBreakBefore w:val="0"/>
        <w:widowControl w:val="0"/>
        <w:kinsoku/>
        <w:wordWrap/>
        <w:overflowPunct/>
        <w:topLinePunct w:val="0"/>
        <w:autoSpaceDE/>
        <w:autoSpaceDN/>
        <w:bidi w:val="0"/>
        <w:adjustRightInd/>
        <w:snapToGrid/>
        <w:spacing w:line="500" w:lineRule="exact"/>
        <w:ind w:firstLine="440" w:firstLineChars="200"/>
        <w:textAlignment w:val="auto"/>
        <w:rPr>
          <w:rFonts w:ascii="宋体" w:hAnsi="宋体" w:eastAsia="宋体"/>
          <w:color w:val="auto"/>
          <w:sz w:val="22"/>
          <w:szCs w:val="22"/>
          <w:highlight w:val="none"/>
        </w:rPr>
      </w:pPr>
      <w:r>
        <w:rPr>
          <w:rFonts w:hint="eastAsia" w:ascii="宋体" w:hAnsi="宋体" w:eastAsia="宋体"/>
          <w:color w:val="auto"/>
          <w:sz w:val="22"/>
          <w:szCs w:val="22"/>
          <w:highlight w:val="none"/>
        </w:rPr>
        <w:t>成员二名称：</w:t>
      </w:r>
      <w:r>
        <w:rPr>
          <w:rFonts w:ascii="Times New Roman" w:hAnsi="Times New Roman" w:eastAsia="宋体" w:cs="Times New Roman"/>
          <w:color w:val="auto"/>
          <w:sz w:val="22"/>
          <w:szCs w:val="22"/>
          <w:highlight w:val="none"/>
        </w:rPr>
        <w:t>_____________________________________</w:t>
      </w:r>
      <w:r>
        <w:rPr>
          <w:rFonts w:hint="eastAsia" w:ascii="宋体" w:hAnsi="宋体" w:eastAsia="宋体"/>
          <w:color w:val="auto"/>
          <w:sz w:val="22"/>
          <w:szCs w:val="22"/>
          <w:highlight w:val="none"/>
        </w:rPr>
        <w:t>（盖单位公章）</w:t>
      </w:r>
    </w:p>
    <w:p w14:paraId="786BF01A">
      <w:pPr>
        <w:keepNext w:val="0"/>
        <w:keepLines w:val="0"/>
        <w:pageBreakBefore w:val="0"/>
        <w:widowControl w:val="0"/>
        <w:kinsoku/>
        <w:wordWrap/>
        <w:overflowPunct/>
        <w:topLinePunct w:val="0"/>
        <w:autoSpaceDE/>
        <w:autoSpaceDN/>
        <w:bidi w:val="0"/>
        <w:adjustRightInd/>
        <w:snapToGrid/>
        <w:spacing w:line="500" w:lineRule="exact"/>
        <w:ind w:firstLine="440" w:firstLineChars="200"/>
        <w:textAlignment w:val="auto"/>
        <w:rPr>
          <w:rFonts w:ascii="宋体" w:hAnsi="宋体" w:eastAsia="宋体"/>
          <w:color w:val="auto"/>
          <w:sz w:val="22"/>
          <w:szCs w:val="22"/>
          <w:highlight w:val="none"/>
        </w:rPr>
      </w:pPr>
      <w:r>
        <w:rPr>
          <w:rFonts w:hint="eastAsia" w:ascii="宋体" w:hAnsi="宋体" w:eastAsia="宋体"/>
          <w:color w:val="auto"/>
          <w:sz w:val="22"/>
          <w:szCs w:val="22"/>
          <w:highlight w:val="none"/>
        </w:rPr>
        <w:t>法定代表人或其委托代理人：</w:t>
      </w:r>
      <w:r>
        <w:rPr>
          <w:rFonts w:ascii="Times New Roman" w:hAnsi="Times New Roman" w:eastAsia="宋体" w:cs="Times New Roman"/>
          <w:color w:val="auto"/>
          <w:sz w:val="22"/>
          <w:szCs w:val="22"/>
          <w:highlight w:val="none"/>
        </w:rPr>
        <w:t>_______________________</w:t>
      </w:r>
      <w:r>
        <w:rPr>
          <w:rFonts w:hint="eastAsia" w:ascii="宋体" w:hAnsi="宋体" w:eastAsia="宋体"/>
          <w:color w:val="auto"/>
          <w:sz w:val="22"/>
          <w:szCs w:val="22"/>
          <w:highlight w:val="none"/>
        </w:rPr>
        <w:t>（签字或盖章）</w:t>
      </w:r>
    </w:p>
    <w:p w14:paraId="5FE6FCFF">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ascii="宋体" w:hAnsi="宋体" w:eastAsia="宋体"/>
          <w:color w:val="auto"/>
          <w:sz w:val="22"/>
          <w:szCs w:val="22"/>
          <w:highlight w:val="none"/>
        </w:rPr>
      </w:pPr>
    </w:p>
    <w:p w14:paraId="4A6058E7">
      <w:pPr>
        <w:keepNext w:val="0"/>
        <w:keepLines w:val="0"/>
        <w:pageBreakBefore w:val="0"/>
        <w:widowControl w:val="0"/>
        <w:kinsoku/>
        <w:wordWrap/>
        <w:overflowPunct/>
        <w:topLinePunct w:val="0"/>
        <w:autoSpaceDE/>
        <w:autoSpaceDN/>
        <w:bidi w:val="0"/>
        <w:adjustRightInd/>
        <w:snapToGrid/>
        <w:spacing w:line="500" w:lineRule="exact"/>
        <w:ind w:right="1575" w:rightChars="750"/>
        <w:jc w:val="center"/>
        <w:textAlignment w:val="auto"/>
        <w:rPr>
          <w:rFonts w:ascii="宋体" w:hAnsi="宋体" w:eastAsia="宋体"/>
          <w:color w:val="auto"/>
          <w:sz w:val="22"/>
          <w:szCs w:val="22"/>
          <w:highlight w:val="none"/>
        </w:rPr>
      </w:pPr>
      <w:r>
        <w:rPr>
          <w:rFonts w:hint="eastAsia" w:ascii="宋体" w:hAnsi="宋体"/>
          <w:color w:val="auto"/>
          <w:sz w:val="22"/>
          <w:szCs w:val="22"/>
          <w:highlight w:val="none"/>
          <w:lang w:val="en-US" w:eastAsia="zh-CN"/>
        </w:rPr>
        <w:t xml:space="preserve">            </w:t>
      </w:r>
      <w:r>
        <w:rPr>
          <w:rFonts w:hint="eastAsia" w:ascii="宋体" w:hAnsi="宋体" w:eastAsia="宋体"/>
          <w:color w:val="auto"/>
          <w:sz w:val="22"/>
          <w:szCs w:val="22"/>
          <w:highlight w:val="none"/>
        </w:rPr>
        <w:t>供应商名称（电子签章）：</w:t>
      </w:r>
    </w:p>
    <w:p w14:paraId="5680B97A">
      <w:pPr>
        <w:keepNext w:val="0"/>
        <w:keepLines w:val="0"/>
        <w:pageBreakBefore w:val="0"/>
        <w:widowControl w:val="0"/>
        <w:kinsoku/>
        <w:wordWrap/>
        <w:overflowPunct/>
        <w:topLinePunct w:val="0"/>
        <w:autoSpaceDE/>
        <w:autoSpaceDN/>
        <w:bidi w:val="0"/>
        <w:adjustRightInd/>
        <w:snapToGrid/>
        <w:spacing w:line="500" w:lineRule="exact"/>
        <w:ind w:firstLine="5500" w:firstLineChars="2500"/>
        <w:jc w:val="both"/>
        <w:textAlignment w:val="auto"/>
        <w:rPr>
          <w:rFonts w:ascii="宋体" w:hAnsi="宋体" w:eastAsia="宋体"/>
          <w:color w:val="auto"/>
          <w:sz w:val="22"/>
          <w:szCs w:val="22"/>
          <w:highlight w:val="none"/>
        </w:rPr>
      </w:pPr>
      <w:r>
        <w:rPr>
          <w:rFonts w:hint="eastAsia" w:ascii="宋体" w:hAnsi="宋体" w:eastAsia="宋体"/>
          <w:color w:val="auto"/>
          <w:sz w:val="22"/>
          <w:szCs w:val="22"/>
          <w:highlight w:val="none"/>
        </w:rPr>
        <w:t>日期：</w:t>
      </w:r>
      <w:r>
        <w:rPr>
          <w:rFonts w:hint="eastAsia" w:cs="Times New Roman"/>
          <w:color w:val="auto"/>
          <w:sz w:val="22"/>
          <w:szCs w:val="22"/>
          <w:highlight w:val="none"/>
          <w:u w:val="none"/>
          <w:lang w:val="en-US" w:eastAsia="zh-CN"/>
        </w:rPr>
        <w:t xml:space="preserve">       </w:t>
      </w:r>
      <w:r>
        <w:rPr>
          <w:rFonts w:hint="eastAsia" w:ascii="宋体" w:hAnsi="宋体" w:eastAsia="宋体"/>
          <w:color w:val="auto"/>
          <w:sz w:val="22"/>
          <w:szCs w:val="22"/>
          <w:highlight w:val="none"/>
          <w:u w:val="none"/>
        </w:rPr>
        <w:t>年</w:t>
      </w:r>
      <w:r>
        <w:rPr>
          <w:rFonts w:hint="eastAsia" w:cs="Times New Roman"/>
          <w:color w:val="auto"/>
          <w:sz w:val="22"/>
          <w:szCs w:val="22"/>
          <w:highlight w:val="none"/>
          <w:u w:val="none"/>
          <w:lang w:val="en-US" w:eastAsia="zh-CN"/>
        </w:rPr>
        <w:t xml:space="preserve">    </w:t>
      </w:r>
      <w:r>
        <w:rPr>
          <w:rFonts w:hint="eastAsia" w:ascii="宋体" w:hAnsi="宋体" w:eastAsia="宋体"/>
          <w:color w:val="auto"/>
          <w:sz w:val="22"/>
          <w:szCs w:val="22"/>
          <w:highlight w:val="none"/>
          <w:u w:val="none"/>
        </w:rPr>
        <w:t>月</w:t>
      </w:r>
      <w:r>
        <w:rPr>
          <w:rFonts w:hint="eastAsia" w:cs="Times New Roman"/>
          <w:color w:val="auto"/>
          <w:sz w:val="22"/>
          <w:szCs w:val="22"/>
          <w:highlight w:val="none"/>
          <w:u w:val="none"/>
          <w:lang w:val="en-US" w:eastAsia="zh-CN"/>
        </w:rPr>
        <w:t xml:space="preserve">   </w:t>
      </w:r>
      <w:r>
        <w:rPr>
          <w:rFonts w:hint="eastAsia" w:ascii="宋体" w:hAnsi="宋体" w:eastAsia="宋体"/>
          <w:color w:val="auto"/>
          <w:sz w:val="22"/>
          <w:szCs w:val="22"/>
          <w:highlight w:val="none"/>
          <w:u w:val="none"/>
        </w:rPr>
        <w:t>日</w:t>
      </w:r>
    </w:p>
    <w:p w14:paraId="23586FAA">
      <w:pPr>
        <w:keepNext w:val="0"/>
        <w:keepLines w:val="0"/>
        <w:pageBreakBefore w:val="0"/>
        <w:widowControl w:val="0"/>
        <w:kinsoku/>
        <w:wordWrap/>
        <w:overflowPunct/>
        <w:topLinePunct w:val="0"/>
        <w:autoSpaceDE/>
        <w:autoSpaceDN/>
        <w:bidi w:val="0"/>
        <w:adjustRightInd/>
        <w:snapToGrid/>
        <w:spacing w:line="500" w:lineRule="exact"/>
        <w:ind w:firstLine="440" w:firstLineChars="200"/>
        <w:jc w:val="right"/>
        <w:textAlignment w:val="auto"/>
        <w:rPr>
          <w:rFonts w:ascii="宋体" w:hAnsi="宋体" w:eastAsia="宋体"/>
          <w:color w:val="auto"/>
          <w:sz w:val="22"/>
          <w:szCs w:val="22"/>
          <w:highlight w:val="none"/>
        </w:rPr>
        <w:sectPr>
          <w:pgSz w:w="11906" w:h="16838"/>
          <w:pgMar w:top="1134" w:right="1134" w:bottom="1134" w:left="1134" w:header="851" w:footer="992" w:gutter="0"/>
          <w:cols w:space="425" w:num="1"/>
          <w:docGrid w:type="lines" w:linePitch="312" w:charSpace="0"/>
        </w:sectPr>
      </w:pPr>
    </w:p>
    <w:p w14:paraId="4CD6C792">
      <w:pPr>
        <w:snapToGrid w:val="0"/>
        <w:spacing w:line="360" w:lineRule="auto"/>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val="en-US" w:eastAsia="zh-CN"/>
          <w14:textFill>
            <w14:solidFill>
              <w14:schemeClr w14:val="tx1"/>
            </w14:solidFill>
          </w14:textFill>
        </w:rPr>
        <w:t>八</w:t>
      </w: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r>
        <w:rPr>
          <w:rFonts w:hint="eastAsia" w:asciiTheme="minorEastAsia" w:hAnsiTheme="minorEastAsia" w:eastAsiaTheme="minorEastAsia" w:cstheme="minorEastAsia"/>
          <w:b/>
          <w:bCs/>
          <w:color w:val="000000" w:themeColor="text1"/>
          <w:sz w:val="28"/>
          <w:szCs w:val="28"/>
          <w:highlight w:val="none"/>
          <w:lang w:val="en-US" w:eastAsia="zh-CN"/>
          <w14:textFill>
            <w14:solidFill>
              <w14:schemeClr w14:val="tx1"/>
            </w14:solidFill>
          </w14:textFill>
        </w:rPr>
        <w:t>中小企业声明函或残疾人福利性单位声明函或属于监狱企业的证明文件</w:t>
      </w:r>
    </w:p>
    <w:p w14:paraId="70CA8AA9">
      <w:pPr>
        <w:snapToGrid w:val="0"/>
        <w:spacing w:line="360" w:lineRule="auto"/>
        <w:rPr>
          <w:rFonts w:hint="default" w:asciiTheme="minorEastAsia" w:hAnsiTheme="minorEastAsia" w:eastAsiaTheme="minorEastAsia" w:cstheme="minorEastAsia"/>
          <w:b w:val="0"/>
          <w:bCs w:val="0"/>
          <w:color w:val="000000" w:themeColor="text1"/>
          <w:sz w:val="23"/>
          <w:szCs w:val="23"/>
          <w:highlight w:val="none"/>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30"/>
          <w:szCs w:val="30"/>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color w:val="000000" w:themeColor="text1"/>
          <w:sz w:val="23"/>
          <w:szCs w:val="23"/>
          <w:highlight w:val="none"/>
          <w:lang w:val="en-US" w:eastAsia="zh-CN"/>
          <w14:textFill>
            <w14:solidFill>
              <w14:schemeClr w14:val="tx1"/>
            </w14:solidFill>
          </w14:textFill>
        </w:rPr>
        <w:t xml:space="preserve">   </w:t>
      </w:r>
    </w:p>
    <w:p w14:paraId="119C8A2F">
      <w:pPr>
        <w:snapToGrid w:val="0"/>
        <w:spacing w:line="360" w:lineRule="auto"/>
        <w:jc w:val="center"/>
        <w:rPr>
          <w:rFonts w:hint="default" w:asciiTheme="minorEastAsia" w:hAnsiTheme="minorEastAsia" w:eastAsiaTheme="minorEastAsia" w:cstheme="minorEastAsia"/>
          <w:b w:val="0"/>
          <w:bCs w:val="0"/>
          <w:color w:val="000000" w:themeColor="text1"/>
          <w:sz w:val="23"/>
          <w:szCs w:val="23"/>
          <w:highlight w:val="none"/>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3"/>
          <w:szCs w:val="23"/>
          <w:highlight w:val="none"/>
          <w:lang w:val="en-US" w:eastAsia="zh-CN"/>
          <w14:textFill>
            <w14:solidFill>
              <w14:schemeClr w14:val="tx1"/>
            </w14:solidFill>
          </w14:textFill>
        </w:rPr>
        <w:t>按“第五节 其他文书、文件格式”中对应的格式填写</w:t>
      </w:r>
    </w:p>
    <w:p w14:paraId="62E6F9A3">
      <w:pPr>
        <w:snapToGrid w:val="0"/>
        <w:spacing w:line="360" w:lineRule="auto"/>
        <w:jc w:val="center"/>
        <w:rPr>
          <w:rFonts w:hint="eastAsia" w:asciiTheme="minorEastAsia" w:hAnsiTheme="minorEastAsia" w:eastAsiaTheme="minorEastAsia" w:cstheme="minorEastAsia"/>
          <w:b w:val="0"/>
          <w:bCs w:val="0"/>
          <w:color w:val="000000" w:themeColor="text1"/>
          <w:sz w:val="23"/>
          <w:szCs w:val="23"/>
          <w:highlight w:val="none"/>
          <w:lang w:val="en-US" w:eastAsia="zh-CN"/>
          <w14:textFill>
            <w14:solidFill>
              <w14:schemeClr w14:val="tx1"/>
            </w14:solidFill>
          </w14:textFill>
        </w:rPr>
      </w:pPr>
    </w:p>
    <w:p w14:paraId="299AE5A8">
      <w:pPr>
        <w:snapToGrid w:val="0"/>
        <w:spacing w:line="360" w:lineRule="auto"/>
        <w:jc w:val="center"/>
        <w:rPr>
          <w:rFonts w:hint="eastAsia" w:asciiTheme="minorEastAsia" w:hAnsiTheme="minorEastAsia" w:eastAsiaTheme="minorEastAsia" w:cstheme="minorEastAsia"/>
          <w:b w:val="0"/>
          <w:bCs w:val="0"/>
          <w:color w:val="000000" w:themeColor="text1"/>
          <w:sz w:val="23"/>
          <w:szCs w:val="23"/>
          <w:highlight w:val="none"/>
          <w:lang w:val="en-US" w:eastAsia="zh-CN"/>
          <w14:textFill>
            <w14:solidFill>
              <w14:schemeClr w14:val="tx1"/>
            </w14:solidFill>
          </w14:textFill>
        </w:rPr>
      </w:pPr>
    </w:p>
    <w:p w14:paraId="22E6CC80">
      <w:pPr>
        <w:pStyle w:val="21"/>
        <w:rPr>
          <w:rFonts w:hint="eastAsia"/>
          <w:lang w:val="en-US" w:eastAsia="zh-CN"/>
        </w:rPr>
      </w:pPr>
    </w:p>
    <w:p w14:paraId="0EEC8C88">
      <w:pPr>
        <w:snapToGrid w:val="0"/>
        <w:spacing w:line="360" w:lineRule="auto"/>
        <w:jc w:val="center"/>
        <w:rPr>
          <w:rFonts w:hint="eastAsia" w:asciiTheme="minorEastAsia" w:hAnsiTheme="minorEastAsia" w:eastAsiaTheme="minorEastAsia" w:cstheme="minorEastAsia"/>
          <w:b w:val="0"/>
          <w:bCs w:val="0"/>
          <w:color w:val="000000" w:themeColor="text1"/>
          <w:sz w:val="23"/>
          <w:szCs w:val="23"/>
          <w:highlight w:val="none"/>
          <w:lang w:val="en-US" w:eastAsia="zh-CN"/>
          <w14:textFill>
            <w14:solidFill>
              <w14:schemeClr w14:val="tx1"/>
            </w14:solidFill>
          </w14:textFill>
        </w:rPr>
      </w:pPr>
    </w:p>
    <w:p w14:paraId="6B65E2B7">
      <w:pPr>
        <w:snapToGrid w:val="0"/>
        <w:spacing w:line="360" w:lineRule="auto"/>
        <w:rPr>
          <w:rFonts w:hint="eastAsia" w:asciiTheme="minorEastAsia" w:hAnsiTheme="minorEastAsia" w:eastAsiaTheme="minorEastAsia" w:cstheme="minorEastAsia"/>
          <w:b/>
          <w:bCs/>
          <w:color w:val="000000" w:themeColor="text1"/>
          <w:sz w:val="30"/>
          <w:szCs w:val="30"/>
          <w:highlight w:val="none"/>
          <w:lang w:val="en-US" w:eastAsia="zh-CN"/>
          <w14:textFill>
            <w14:solidFill>
              <w14:schemeClr w14:val="tx1"/>
            </w14:solidFill>
          </w14:textFill>
        </w:rPr>
      </w:pPr>
    </w:p>
    <w:p w14:paraId="3E60D555">
      <w:pPr>
        <w:snapToGrid w:val="0"/>
        <w:spacing w:line="360" w:lineRule="auto"/>
        <w:rPr>
          <w:rFonts w:hint="eastAsia" w:asciiTheme="minorEastAsia" w:hAnsiTheme="minorEastAsia" w:eastAsiaTheme="minorEastAsia" w:cstheme="minorEastAsia"/>
          <w:b/>
          <w:bCs/>
          <w:color w:val="000000" w:themeColor="text1"/>
          <w:sz w:val="28"/>
          <w:szCs w:val="28"/>
          <w:highlight w:val="none"/>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val="en-US" w:eastAsia="zh-CN"/>
          <w14:textFill>
            <w14:solidFill>
              <w14:schemeClr w14:val="tx1"/>
            </w14:solidFill>
          </w14:textFill>
        </w:rPr>
        <w:t>九、特定资格要求供应商提供的资格证明材料</w:t>
      </w:r>
    </w:p>
    <w:p w14:paraId="39DBA36F">
      <w:pPr>
        <w:snapToGrid w:val="0"/>
        <w:spacing w:line="360" w:lineRule="auto"/>
        <w:ind w:firstLine="602" w:firstLineChars="200"/>
        <w:rPr>
          <w:rFonts w:hint="eastAsia" w:asciiTheme="minorEastAsia" w:hAnsiTheme="minorEastAsia" w:eastAsiaTheme="minorEastAsia" w:cstheme="minorEastAsia"/>
          <w:b/>
          <w:color w:val="000000" w:themeColor="text1"/>
          <w:sz w:val="30"/>
          <w:szCs w:val="30"/>
          <w:highlight w:val="none"/>
          <w14:textFill>
            <w14:solidFill>
              <w14:schemeClr w14:val="tx1"/>
            </w14:solidFill>
          </w14:textFill>
        </w:rPr>
      </w:pPr>
    </w:p>
    <w:p w14:paraId="1EDBDE0C">
      <w:pPr>
        <w:autoSpaceDE w:val="0"/>
        <w:autoSpaceDN w:val="0"/>
        <w:spacing w:line="360" w:lineRule="auto"/>
        <w:ind w:firstLine="3600" w:firstLineChars="1500"/>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p>
    <w:p w14:paraId="74689E4F">
      <w:pPr>
        <w:pStyle w:val="21"/>
        <w:rPr>
          <w:rFonts w:hint="eastAsia"/>
        </w:rPr>
      </w:pPr>
    </w:p>
    <w:p w14:paraId="2DB8E3D1">
      <w:pPr>
        <w:keepNext w:val="0"/>
        <w:keepLines w:val="0"/>
        <w:pageBreakBefore w:val="0"/>
        <w:widowControl w:val="0"/>
        <w:kinsoku/>
        <w:wordWrap/>
        <w:overflowPunct/>
        <w:topLinePunct w:val="0"/>
        <w:autoSpaceDE w:val="0"/>
        <w:autoSpaceDN w:val="0"/>
        <w:bidi w:val="0"/>
        <w:adjustRightInd/>
        <w:snapToGrid/>
        <w:spacing w:line="600" w:lineRule="exact"/>
        <w:ind w:firstLine="3600" w:firstLineChars="1500"/>
        <w:textAlignment w:val="auto"/>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供应商名称（电子签章）：</w:t>
      </w:r>
    </w:p>
    <w:p w14:paraId="33971C6F">
      <w:pPr>
        <w:keepNext w:val="0"/>
        <w:keepLines w:val="0"/>
        <w:pageBreakBefore w:val="0"/>
        <w:widowControl w:val="0"/>
        <w:kinsoku/>
        <w:wordWrap/>
        <w:overflowPunct/>
        <w:topLinePunct w:val="0"/>
        <w:autoSpaceDE w:val="0"/>
        <w:autoSpaceDN w:val="0"/>
        <w:bidi w:val="0"/>
        <w:adjustRightInd/>
        <w:snapToGrid/>
        <w:spacing w:line="600" w:lineRule="exact"/>
        <w:ind w:firstLine="5760" w:firstLineChars="2400"/>
        <w:textAlignment w:val="auto"/>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日期： </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 年 </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 月 </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 日</w:t>
      </w:r>
    </w:p>
    <w:p w14:paraId="2E9DF682">
      <w:pPr>
        <w:keepNext w:val="0"/>
        <w:keepLines w:val="0"/>
        <w:pageBreakBefore w:val="0"/>
        <w:widowControl w:val="0"/>
        <w:kinsoku/>
        <w:wordWrap/>
        <w:overflowPunct/>
        <w:topLinePunct w:val="0"/>
        <w:autoSpaceDE w:val="0"/>
        <w:autoSpaceDN w:val="0"/>
        <w:bidi w:val="0"/>
        <w:adjustRightInd/>
        <w:snapToGrid/>
        <w:spacing w:line="600" w:lineRule="exact"/>
        <w:ind w:firstLine="5760" w:firstLineChars="2400"/>
        <w:textAlignment w:val="auto"/>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pPr>
    </w:p>
    <w:p w14:paraId="1F297DF9">
      <w:pPr>
        <w:pStyle w:val="21"/>
        <w:rPr>
          <w:rFonts w:hint="eastAsia"/>
          <w:lang w:val="zh-CN"/>
        </w:rPr>
      </w:pPr>
    </w:p>
    <w:p w14:paraId="68653BE2">
      <w:pPr>
        <w:autoSpaceDE w:val="0"/>
        <w:autoSpaceDN w:val="0"/>
        <w:spacing w:line="360" w:lineRule="auto"/>
        <w:ind w:firstLine="6480" w:firstLineChars="2700"/>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pPr>
    </w:p>
    <w:p w14:paraId="08EBA2CA">
      <w:pPr>
        <w:snapToGrid w:val="0"/>
        <w:spacing w:line="360" w:lineRule="auto"/>
        <w:rPr>
          <w:rFonts w:hint="eastAsia" w:asciiTheme="minorEastAsia" w:hAnsiTheme="minorEastAsia" w:eastAsiaTheme="minorEastAsia" w:cstheme="minorEastAsia"/>
          <w:b/>
          <w:bCs/>
          <w:color w:val="000000" w:themeColor="text1"/>
          <w:sz w:val="28"/>
          <w:szCs w:val="28"/>
          <w:highlight w:val="none"/>
          <w:lang w:val="zh-CN"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val="en-US" w:eastAsia="zh-CN"/>
          <w14:textFill>
            <w14:solidFill>
              <w14:schemeClr w14:val="tx1"/>
            </w14:solidFill>
          </w14:textFill>
        </w:rPr>
        <w:t>十、除磋商文件规定必须提供以外，供应商认为需要提供的其他证明材料</w:t>
      </w:r>
    </w:p>
    <w:p w14:paraId="0996CA19">
      <w:pPr>
        <w:autoSpaceDE w:val="0"/>
        <w:autoSpaceDN w:val="0"/>
        <w:spacing w:line="360" w:lineRule="auto"/>
        <w:ind w:firstLine="6480" w:firstLineChars="2700"/>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pPr>
    </w:p>
    <w:p w14:paraId="47266C00">
      <w:pPr>
        <w:autoSpaceDE w:val="0"/>
        <w:autoSpaceDN w:val="0"/>
        <w:spacing w:line="360" w:lineRule="auto"/>
        <w:ind w:firstLine="6480" w:firstLineChars="2700"/>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pPr>
    </w:p>
    <w:p w14:paraId="2E5B73CF">
      <w:pPr>
        <w:pStyle w:val="21"/>
        <w:rPr>
          <w:rFonts w:hint="eastAsia"/>
          <w:lang w:val="zh-CN"/>
        </w:rPr>
      </w:pPr>
    </w:p>
    <w:p w14:paraId="4CF492EF">
      <w:pPr>
        <w:autoSpaceDE w:val="0"/>
        <w:autoSpaceDN w:val="0"/>
        <w:spacing w:line="360" w:lineRule="auto"/>
        <w:ind w:firstLine="6480" w:firstLineChars="2700"/>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pPr>
    </w:p>
    <w:p w14:paraId="56BD4BF7">
      <w:pPr>
        <w:keepNext w:val="0"/>
        <w:keepLines w:val="0"/>
        <w:pageBreakBefore w:val="0"/>
        <w:widowControl w:val="0"/>
        <w:kinsoku/>
        <w:wordWrap/>
        <w:overflowPunct/>
        <w:topLinePunct w:val="0"/>
        <w:autoSpaceDE w:val="0"/>
        <w:autoSpaceDN w:val="0"/>
        <w:bidi w:val="0"/>
        <w:adjustRightInd/>
        <w:snapToGrid/>
        <w:spacing w:line="600" w:lineRule="exact"/>
        <w:ind w:firstLine="3600" w:firstLineChars="1500"/>
        <w:textAlignment w:val="auto"/>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供应商名称（电子签章）：</w:t>
      </w:r>
    </w:p>
    <w:p w14:paraId="40C18D6B">
      <w:pPr>
        <w:keepNext w:val="0"/>
        <w:keepLines w:val="0"/>
        <w:pageBreakBefore w:val="0"/>
        <w:widowControl w:val="0"/>
        <w:kinsoku/>
        <w:wordWrap/>
        <w:overflowPunct/>
        <w:topLinePunct w:val="0"/>
        <w:autoSpaceDE w:val="0"/>
        <w:autoSpaceDN w:val="0"/>
        <w:bidi w:val="0"/>
        <w:adjustRightInd/>
        <w:snapToGrid/>
        <w:spacing w:line="600" w:lineRule="exact"/>
        <w:ind w:firstLine="5760" w:firstLineChars="2400"/>
        <w:textAlignment w:val="auto"/>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日期： </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 年 </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 月 </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 日</w:t>
      </w:r>
    </w:p>
    <w:p w14:paraId="5FEB00D5">
      <w:pPr>
        <w:autoSpaceDE w:val="0"/>
        <w:autoSpaceDN w:val="0"/>
        <w:spacing w:line="360" w:lineRule="auto"/>
        <w:ind w:firstLine="6480" w:firstLineChars="2700"/>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pPr>
    </w:p>
    <w:p w14:paraId="7CBDFA24">
      <w:pPr>
        <w:autoSpaceDE w:val="0"/>
        <w:autoSpaceDN w:val="0"/>
        <w:spacing w:line="360" w:lineRule="auto"/>
        <w:ind w:firstLine="6480" w:firstLineChars="2700"/>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pPr>
    </w:p>
    <w:p w14:paraId="3AC841B7">
      <w:pPr>
        <w:autoSpaceDE w:val="0"/>
        <w:autoSpaceDN w:val="0"/>
        <w:spacing w:line="360" w:lineRule="auto"/>
        <w:ind w:firstLine="6480" w:firstLineChars="2700"/>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pPr>
    </w:p>
    <w:p w14:paraId="750F6FFC">
      <w:pPr>
        <w:autoSpaceDE w:val="0"/>
        <w:autoSpaceDN w:val="0"/>
        <w:spacing w:line="360" w:lineRule="auto"/>
        <w:ind w:firstLine="6480" w:firstLineChars="2700"/>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pPr>
    </w:p>
    <w:p w14:paraId="45362DF0">
      <w:pPr>
        <w:autoSpaceDE w:val="0"/>
        <w:autoSpaceDN w:val="0"/>
        <w:spacing w:line="360" w:lineRule="auto"/>
        <w:ind w:firstLine="6480" w:firstLineChars="2700"/>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pPr>
    </w:p>
    <w:p w14:paraId="3BE9FC2D">
      <w:pPr>
        <w:autoSpaceDE w:val="0"/>
        <w:autoSpaceDN w:val="0"/>
        <w:spacing w:line="360" w:lineRule="auto"/>
        <w:ind w:firstLine="6480" w:firstLineChars="2700"/>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pPr>
    </w:p>
    <w:p w14:paraId="00D17BD4">
      <w:pPr>
        <w:autoSpaceDE w:val="0"/>
        <w:autoSpaceDN w:val="0"/>
        <w:spacing w:line="360" w:lineRule="auto"/>
        <w:ind w:firstLine="6480" w:firstLineChars="2700"/>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pPr>
    </w:p>
    <w:p w14:paraId="6A32D626">
      <w:pPr>
        <w:pStyle w:val="3"/>
        <w:keepNext/>
        <w:keepLines/>
        <w:pageBreakBefore w:val="0"/>
        <w:widowControl w:val="0"/>
        <w:kinsoku/>
        <w:wordWrap/>
        <w:overflowPunct/>
        <w:topLinePunct w:val="0"/>
        <w:autoSpaceDE/>
        <w:autoSpaceDN/>
        <w:bidi w:val="0"/>
        <w:adjustRightInd/>
        <w:snapToGrid/>
        <w:spacing w:before="0" w:after="0" w:line="600" w:lineRule="exact"/>
        <w:jc w:val="center"/>
        <w:textAlignment w:val="auto"/>
        <w:rPr>
          <w:rFonts w:hint="eastAsia" w:asciiTheme="minorEastAsia" w:hAnsiTheme="minorEastAsia" w:eastAsiaTheme="minorEastAsia" w:cstheme="minorEastAsia"/>
          <w:b/>
          <w:bCs w:val="0"/>
          <w:color w:val="000000" w:themeColor="text1"/>
          <w:kern w:val="2"/>
          <w:sz w:val="32"/>
          <w:szCs w:val="32"/>
          <w:highlight w:val="none"/>
          <w:lang w:val="en-US" w:eastAsia="zh-CN" w:bidi="ar-SA"/>
          <w14:textFill>
            <w14:solidFill>
              <w14:schemeClr w14:val="tx1"/>
            </w14:solidFill>
          </w14:textFill>
        </w:rPr>
      </w:pPr>
      <w:bookmarkStart w:id="49" w:name="_Toc87345243"/>
      <w:bookmarkEnd w:id="49"/>
      <w:bookmarkStart w:id="50" w:name="_Toc80205940"/>
      <w:bookmarkEnd w:id="50"/>
      <w:r>
        <w:rPr>
          <w:rFonts w:hint="eastAsia" w:asciiTheme="minorEastAsia" w:hAnsiTheme="minorEastAsia" w:eastAsiaTheme="minorEastAsia" w:cstheme="minorEastAsia"/>
          <w:b/>
          <w:bCs w:val="0"/>
          <w:color w:val="000000" w:themeColor="text1"/>
          <w:kern w:val="2"/>
          <w:sz w:val="32"/>
          <w:szCs w:val="32"/>
          <w:highlight w:val="none"/>
          <w:lang w:val="en-US" w:eastAsia="zh-CN" w:bidi="ar-SA"/>
          <w14:textFill>
            <w14:solidFill>
              <w14:schemeClr w14:val="tx1"/>
            </w14:solidFill>
          </w14:textFill>
        </w:rPr>
        <w:t>第三节 商务技术文件格式</w:t>
      </w:r>
    </w:p>
    <w:p w14:paraId="5E69B534">
      <w:pPr>
        <w:snapToGrid w:val="0"/>
        <w:spacing w:before="120" w:beforeLines="50" w:after="50"/>
        <w:rPr>
          <w:rFonts w:hint="eastAsia" w:asciiTheme="minorEastAsia" w:hAnsiTheme="minorEastAsia" w:eastAsiaTheme="minorEastAsia" w:cstheme="minorEastAsia"/>
          <w:bCs/>
          <w:color w:val="000000" w:themeColor="text1"/>
          <w:highlight w:val="none"/>
          <w14:textFill>
            <w14:solidFill>
              <w14:schemeClr w14:val="tx1"/>
            </w14:solidFill>
          </w14:textFill>
        </w:rPr>
      </w:pPr>
    </w:p>
    <w:p w14:paraId="0239D6D0">
      <w:pPr>
        <w:snapToGrid w:val="0"/>
        <w:spacing w:before="120" w:beforeLines="50" w:after="50"/>
        <w:jc w:val="center"/>
        <w:rPr>
          <w:rFonts w:hint="eastAsia" w:asciiTheme="minorEastAsia" w:hAnsiTheme="minorEastAsia" w:eastAsiaTheme="minorEastAsia" w:cstheme="minorEastAsia"/>
          <w:bCs/>
          <w:color w:val="000000" w:themeColor="text1"/>
          <w:sz w:val="32"/>
          <w:szCs w:val="20"/>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highlight w:val="none"/>
          <w14:textFill>
            <w14:solidFill>
              <w14:schemeClr w14:val="tx1"/>
            </w14:solidFill>
          </w14:textFill>
        </w:rPr>
        <w:t>全流程电子文件</w:t>
      </w:r>
    </w:p>
    <w:p w14:paraId="6797F590">
      <w:pPr>
        <w:snapToGrid w:val="0"/>
        <w:spacing w:before="120" w:beforeLines="50" w:after="50"/>
        <w:rPr>
          <w:rFonts w:hint="eastAsia" w:asciiTheme="minorEastAsia" w:hAnsiTheme="minorEastAsia" w:eastAsiaTheme="minorEastAsia" w:cstheme="minorEastAsia"/>
          <w:color w:val="000000" w:themeColor="text1"/>
          <w:sz w:val="24"/>
          <w:szCs w:val="20"/>
          <w:highlight w:val="none"/>
          <w14:textFill>
            <w14:solidFill>
              <w14:schemeClr w14:val="tx1"/>
            </w14:solidFill>
          </w14:textFill>
        </w:rPr>
      </w:pPr>
    </w:p>
    <w:p w14:paraId="041311A0">
      <w:pPr>
        <w:snapToGrid w:val="0"/>
        <w:spacing w:before="120" w:beforeLines="50" w:after="50"/>
        <w:rPr>
          <w:rFonts w:hint="eastAsia" w:asciiTheme="minorEastAsia" w:hAnsiTheme="minorEastAsia" w:eastAsiaTheme="minorEastAsia" w:cstheme="minorEastAsia"/>
          <w:color w:val="000000" w:themeColor="text1"/>
          <w:sz w:val="24"/>
          <w:szCs w:val="20"/>
          <w:highlight w:val="none"/>
          <w14:textFill>
            <w14:solidFill>
              <w14:schemeClr w14:val="tx1"/>
            </w14:solidFill>
          </w14:textFill>
        </w:rPr>
      </w:pPr>
    </w:p>
    <w:p w14:paraId="1EBA753E">
      <w:pPr>
        <w:snapToGrid w:val="0"/>
        <w:spacing w:before="120" w:beforeLines="50" w:after="50"/>
        <w:rPr>
          <w:rFonts w:hint="eastAsia" w:asciiTheme="minorEastAsia" w:hAnsiTheme="minorEastAsia" w:eastAsiaTheme="minorEastAsia" w:cstheme="minorEastAsia"/>
          <w:color w:val="000000" w:themeColor="text1"/>
          <w:sz w:val="24"/>
          <w:szCs w:val="20"/>
          <w:highlight w:val="none"/>
          <w14:textFill>
            <w14:solidFill>
              <w14:schemeClr w14:val="tx1"/>
            </w14:solidFill>
          </w14:textFill>
        </w:rPr>
      </w:pPr>
    </w:p>
    <w:p w14:paraId="745AB213">
      <w:pPr>
        <w:snapToGrid w:val="0"/>
        <w:spacing w:before="120" w:beforeLines="50" w:after="50"/>
        <w:jc w:val="cente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3590C190">
      <w:pPr>
        <w:pStyle w:val="100"/>
        <w:rPr>
          <w:rFonts w:hint="eastAsia"/>
          <w:color w:val="000000" w:themeColor="text1"/>
          <w:highlight w:val="none"/>
          <w14:textFill>
            <w14:solidFill>
              <w14:schemeClr w14:val="tx1"/>
            </w14:solidFill>
          </w14:textFill>
        </w:rPr>
      </w:pPr>
    </w:p>
    <w:p w14:paraId="13E34C64">
      <w:pPr>
        <w:snapToGrid w:val="0"/>
        <w:spacing w:before="120" w:beforeLines="50" w:after="50"/>
        <w:jc w:val="center"/>
        <w:rPr>
          <w:rFonts w:hint="eastAsia" w:asciiTheme="minorEastAsia" w:hAnsiTheme="minorEastAsia" w:eastAsiaTheme="minorEastAsia" w:cstheme="minorEastAsia"/>
          <w:b/>
          <w:bCs w:val="0"/>
          <w:color w:val="000000" w:themeColor="text1"/>
          <w:sz w:val="46"/>
          <w:szCs w:val="46"/>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6"/>
          <w:szCs w:val="46"/>
          <w:highlight w:val="none"/>
          <w14:textFill>
            <w14:solidFill>
              <w14:schemeClr w14:val="tx1"/>
            </w14:solidFill>
          </w14:textFill>
        </w:rPr>
        <w:t>商务技术文件（封面）</w:t>
      </w:r>
    </w:p>
    <w:p w14:paraId="3211B8E9">
      <w:pPr>
        <w:snapToGrid w:val="0"/>
        <w:spacing w:before="120" w:beforeLines="50" w:after="50"/>
        <w:rPr>
          <w:rFonts w:hint="eastAsia" w:asciiTheme="minorEastAsia" w:hAnsiTheme="minorEastAsia" w:eastAsiaTheme="minorEastAsia" w:cstheme="minorEastAsia"/>
          <w:bCs/>
          <w:color w:val="000000" w:themeColor="text1"/>
          <w:sz w:val="24"/>
          <w:szCs w:val="20"/>
          <w:highlight w:val="none"/>
          <w14:textFill>
            <w14:solidFill>
              <w14:schemeClr w14:val="tx1"/>
            </w14:solidFill>
          </w14:textFill>
        </w:rPr>
      </w:pPr>
    </w:p>
    <w:p w14:paraId="7052DD2F">
      <w:pPr>
        <w:snapToGrid w:val="0"/>
        <w:spacing w:before="120" w:beforeLines="50" w:after="50"/>
        <w:rPr>
          <w:rFonts w:hint="eastAsia" w:asciiTheme="minorEastAsia" w:hAnsiTheme="minorEastAsia" w:eastAsiaTheme="minorEastAsia" w:cstheme="minorEastAsia"/>
          <w:bCs/>
          <w:color w:val="000000" w:themeColor="text1"/>
          <w:sz w:val="24"/>
          <w:szCs w:val="20"/>
          <w:highlight w:val="none"/>
          <w14:textFill>
            <w14:solidFill>
              <w14:schemeClr w14:val="tx1"/>
            </w14:solidFill>
          </w14:textFill>
        </w:rPr>
      </w:pPr>
    </w:p>
    <w:p w14:paraId="32237AC2">
      <w:pPr>
        <w:pStyle w:val="100"/>
        <w:rPr>
          <w:rFonts w:hint="eastAsia"/>
          <w:color w:val="000000" w:themeColor="text1"/>
          <w:highlight w:val="none"/>
          <w14:textFill>
            <w14:solidFill>
              <w14:schemeClr w14:val="tx1"/>
            </w14:solidFill>
          </w14:textFill>
        </w:rPr>
      </w:pPr>
    </w:p>
    <w:p w14:paraId="25924528">
      <w:pPr>
        <w:pStyle w:val="100"/>
        <w:rPr>
          <w:rFonts w:hint="eastAsia"/>
          <w:color w:val="000000" w:themeColor="text1"/>
          <w:highlight w:val="none"/>
          <w14:textFill>
            <w14:solidFill>
              <w14:schemeClr w14:val="tx1"/>
            </w14:solidFill>
          </w14:textFill>
        </w:rPr>
      </w:pPr>
    </w:p>
    <w:p w14:paraId="04D928F2">
      <w:pPr>
        <w:snapToGrid w:val="0"/>
        <w:spacing w:before="120" w:beforeLines="50" w:after="50"/>
        <w:rPr>
          <w:rFonts w:hint="eastAsia" w:asciiTheme="minorEastAsia" w:hAnsiTheme="minorEastAsia" w:eastAsiaTheme="minorEastAsia" w:cstheme="minorEastAsia"/>
          <w:bCs/>
          <w:color w:val="000000" w:themeColor="text1"/>
          <w:sz w:val="24"/>
          <w:szCs w:val="20"/>
          <w:highlight w:val="none"/>
          <w14:textFill>
            <w14:solidFill>
              <w14:schemeClr w14:val="tx1"/>
            </w14:solidFill>
          </w14:textFill>
        </w:rPr>
      </w:pPr>
    </w:p>
    <w:p w14:paraId="57A21A1A">
      <w:pPr>
        <w:snapToGrid w:val="0"/>
        <w:spacing w:before="120" w:beforeLines="50" w:after="50"/>
        <w:rPr>
          <w:rFonts w:hint="eastAsia" w:asciiTheme="minorEastAsia" w:hAnsiTheme="minorEastAsia" w:eastAsiaTheme="minorEastAsia" w:cstheme="minorEastAsia"/>
          <w:bCs/>
          <w:color w:val="000000" w:themeColor="text1"/>
          <w:sz w:val="24"/>
          <w:szCs w:val="20"/>
          <w:highlight w:val="none"/>
          <w14:textFill>
            <w14:solidFill>
              <w14:schemeClr w14:val="tx1"/>
            </w14:solidFill>
          </w14:textFill>
        </w:rPr>
      </w:pPr>
    </w:p>
    <w:p w14:paraId="6288D007">
      <w:pPr>
        <w:snapToGrid w:val="0"/>
        <w:spacing w:before="120" w:beforeLines="50" w:after="50"/>
        <w:rPr>
          <w:rFonts w:hint="eastAsia" w:asciiTheme="minorEastAsia" w:hAnsiTheme="minorEastAsia" w:eastAsiaTheme="minorEastAsia" w:cstheme="minorEastAsia"/>
          <w:bCs/>
          <w:color w:val="000000" w:themeColor="text1"/>
          <w:sz w:val="24"/>
          <w:szCs w:val="20"/>
          <w:highlight w:val="none"/>
          <w14:textFill>
            <w14:solidFill>
              <w14:schemeClr w14:val="tx1"/>
            </w14:solidFill>
          </w14:textFill>
        </w:rPr>
      </w:pPr>
    </w:p>
    <w:p w14:paraId="51B2FBEA">
      <w:pPr>
        <w:snapToGrid w:val="0"/>
        <w:spacing w:before="120" w:beforeLines="50" w:after="50"/>
        <w:ind w:firstLine="640" w:firstLineChars="200"/>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t>项目名称：</w:t>
      </w:r>
    </w:p>
    <w:p w14:paraId="78052C7E">
      <w:pPr>
        <w:snapToGrid w:val="0"/>
        <w:spacing w:before="120" w:beforeLines="50" w:after="50"/>
        <w:ind w:firstLine="720" w:firstLineChars="225"/>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p>
    <w:p w14:paraId="5C3EBADF">
      <w:pPr>
        <w:snapToGrid w:val="0"/>
        <w:spacing w:before="120" w:beforeLines="50" w:after="50"/>
        <w:ind w:firstLine="640" w:firstLineChars="200"/>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t>项目编号：</w:t>
      </w:r>
    </w:p>
    <w:p w14:paraId="59DB14C8">
      <w:pPr>
        <w:snapToGrid w:val="0"/>
        <w:spacing w:before="120" w:beforeLines="50" w:after="50"/>
        <w:ind w:firstLine="720" w:firstLineChars="225"/>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p>
    <w:p w14:paraId="6F8B8DFA">
      <w:pPr>
        <w:snapToGrid w:val="0"/>
        <w:spacing w:before="120" w:beforeLines="50" w:after="50"/>
        <w:ind w:firstLine="640" w:firstLineChars="200"/>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t>所竞分标（如有则填写，无分标时填写“无”或者留空）：</w:t>
      </w:r>
    </w:p>
    <w:p w14:paraId="0F78B4F3">
      <w:pPr>
        <w:snapToGrid w:val="0"/>
        <w:spacing w:before="120" w:beforeLines="50" w:after="50"/>
        <w:ind w:firstLine="720" w:firstLineChars="225"/>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p>
    <w:p w14:paraId="18403E74">
      <w:pPr>
        <w:pStyle w:val="10"/>
        <w:snapToGrid w:val="0"/>
        <w:spacing w:before="50" w:after="120"/>
        <w:ind w:firstLine="640" w:firstLineChars="200"/>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t>供应商名称：</w:t>
      </w:r>
    </w:p>
    <w:p w14:paraId="0360503F">
      <w:pPr>
        <w:pStyle w:val="10"/>
        <w:snapToGrid w:val="0"/>
        <w:spacing w:before="50" w:after="120"/>
        <w:ind w:firstLine="720" w:firstLineChars="225"/>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p>
    <w:p w14:paraId="647FAA0A">
      <w:pPr>
        <w:pStyle w:val="10"/>
        <w:snapToGrid w:val="0"/>
        <w:spacing w:before="50" w:after="120"/>
        <w:ind w:firstLine="1280" w:firstLineChars="400"/>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p>
    <w:p w14:paraId="552F0432">
      <w:pPr>
        <w:snapToGrid w:val="0"/>
        <w:spacing w:before="120" w:beforeLines="50" w:after="50"/>
        <w:jc w:val="center"/>
        <w:rPr>
          <w:rFonts w:hint="eastAsia" w:asciiTheme="minorEastAsia" w:hAnsiTheme="minorEastAsia" w:eastAsiaTheme="minorEastAsia" w:cstheme="minorEastAsia"/>
          <w:color w:val="000000" w:themeColor="text1"/>
          <w:sz w:val="32"/>
          <w:szCs w:val="32"/>
          <w:highlight w:val="none"/>
          <w14:textFill>
            <w14:solidFill>
              <w14:schemeClr w14:val="tx1"/>
            </w14:solidFill>
          </w14:textFill>
        </w:rPr>
      </w:pPr>
      <w:r>
        <w:rPr>
          <w:rFonts w:hint="eastAsia" w:asciiTheme="minorEastAsia" w:hAnsiTheme="minorEastAsia" w:eastAsiaTheme="minorEastAsia" w:cstheme="minorEastAsia"/>
          <w:color w:val="000000" w:themeColor="text1"/>
          <w:sz w:val="32"/>
          <w:szCs w:val="32"/>
          <w:highlight w:val="none"/>
          <w14:textFill>
            <w14:solidFill>
              <w14:schemeClr w14:val="tx1"/>
            </w14:solidFill>
          </w14:textFill>
        </w:rPr>
        <w:t>年   月   日</w:t>
      </w:r>
    </w:p>
    <w:p w14:paraId="60A23B4E">
      <w:pPr>
        <w:snapToGrid w:val="0"/>
        <w:spacing w:before="120" w:beforeLines="50" w:after="50" w:line="360" w:lineRule="auto"/>
        <w:ind w:left="142" w:firstLine="643" w:firstLineChars="200"/>
        <w:jc w:val="left"/>
        <w:rPr>
          <w:rFonts w:hint="eastAsia" w:asciiTheme="minorEastAsia" w:hAnsiTheme="minorEastAsia" w:eastAsiaTheme="minorEastAsia" w:cstheme="minorEastAsia"/>
          <w:b/>
          <w:bCs/>
          <w:color w:val="000000" w:themeColor="text1"/>
          <w:sz w:val="32"/>
          <w:szCs w:val="32"/>
          <w:highlight w:val="none"/>
          <w14:textFill>
            <w14:solidFill>
              <w14:schemeClr w14:val="tx1"/>
            </w14:solidFill>
          </w14:textFill>
        </w:rPr>
        <w:sectPr>
          <w:pgSz w:w="11910" w:h="16840"/>
          <w:pgMar w:top="1077" w:right="1247" w:bottom="1077" w:left="1417" w:header="720" w:footer="850" w:gutter="0"/>
          <w:pgBorders>
            <w:top w:val="none" w:sz="0" w:space="0"/>
            <w:left w:val="none" w:sz="0" w:space="0"/>
            <w:bottom w:val="none" w:sz="0" w:space="0"/>
            <w:right w:val="none" w:sz="0" w:space="0"/>
          </w:pgBorders>
          <w:pgNumType w:fmt="decimal"/>
          <w:cols w:space="720" w:num="1"/>
        </w:sectPr>
      </w:pPr>
    </w:p>
    <w:p w14:paraId="0D6ACC04">
      <w:pPr>
        <w:jc w:val="center"/>
        <w:rPr>
          <w:rFonts w:hint="eastAsia" w:asciiTheme="minorEastAsia" w:hAnsiTheme="minorEastAsia" w:eastAsiaTheme="minorEastAsia" w:cstheme="minorEastAsia"/>
          <w:b/>
          <w:color w:val="000000" w:themeColor="text1"/>
          <w:kern w:val="0"/>
          <w:sz w:val="32"/>
          <w:szCs w:val="32"/>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0"/>
          <w:sz w:val="32"/>
          <w:szCs w:val="32"/>
          <w:highlight w:val="none"/>
          <w14:textFill>
            <w14:solidFill>
              <w14:schemeClr w14:val="tx1"/>
            </w14:solidFill>
          </w14:textFill>
        </w:rPr>
        <w:t>商务技术文件目录</w:t>
      </w:r>
    </w:p>
    <w:p w14:paraId="1BAB9151">
      <w:pPr>
        <w:jc w:val="center"/>
        <w:rPr>
          <w:rFonts w:hint="eastAsia" w:asciiTheme="minorEastAsia" w:hAnsiTheme="minorEastAsia" w:eastAsiaTheme="minorEastAsia" w:cstheme="minorEastAsia"/>
          <w:b/>
          <w:color w:val="000000" w:themeColor="text1"/>
          <w:kern w:val="0"/>
          <w:sz w:val="28"/>
          <w:szCs w:val="28"/>
          <w:highlight w:val="none"/>
          <w14:textFill>
            <w14:solidFill>
              <w14:schemeClr w14:val="tx1"/>
            </w14:solidFill>
          </w14:textFill>
        </w:rPr>
      </w:pPr>
    </w:p>
    <w:p w14:paraId="2125C6E9">
      <w:pPr>
        <w:pStyle w:val="81"/>
        <w:spacing w:line="360" w:lineRule="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一、无串标行为承诺函…………………………………………………………（页码）</w:t>
      </w:r>
    </w:p>
    <w:p w14:paraId="1A5C28C0">
      <w:pPr>
        <w:pStyle w:val="81"/>
        <w:spacing w:line="360" w:lineRule="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二、法定代表人身份证明及法定代表人有效身份证正反面复印件…………（页码）</w:t>
      </w:r>
    </w:p>
    <w:p w14:paraId="2F1784F6">
      <w:pPr>
        <w:pStyle w:val="81"/>
        <w:spacing w:line="360" w:lineRule="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三、法定代表人授权委托书（如有委托时）…………………………………（页码）</w:t>
      </w:r>
    </w:p>
    <w:p w14:paraId="649D72AB">
      <w:pPr>
        <w:pStyle w:val="81"/>
        <w:spacing w:line="360" w:lineRule="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四、</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商务条款偏离表………………………………</w:t>
      </w:r>
      <w:r>
        <w:rPr>
          <w:rFonts w:hint="eastAsia" w:asciiTheme="minorEastAsia" w:hAnsiTheme="minorEastAsia" w:eastAsiaTheme="minorEastAsia" w:cstheme="minorEastAsia"/>
          <w:color w:val="000000" w:themeColor="text1"/>
          <w:highlight w:val="none"/>
          <w14:textFill>
            <w14:solidFill>
              <w14:schemeClr w14:val="tx1"/>
            </w14:solidFill>
          </w14:textFill>
        </w:rPr>
        <w:t>……………………………（页码）</w:t>
      </w:r>
    </w:p>
    <w:p w14:paraId="475FE527">
      <w:pPr>
        <w:pStyle w:val="81"/>
        <w:spacing w:line="360" w:lineRule="auto"/>
        <w:rPr>
          <w:rFonts w:hint="eastAsia" w:asciiTheme="minorEastAsia" w:hAnsiTheme="minorEastAsia" w:eastAsiaTheme="minorEastAsia" w:cstheme="minorEastAsia"/>
          <w:color w:val="000000" w:themeColor="text1"/>
          <w:highlight w:val="none"/>
          <w14:textFill>
            <w14:solidFill>
              <w14:schemeClr w14:val="tx1"/>
            </w14:solidFill>
          </w14:textFill>
        </w:rPr>
      </w:pPr>
      <w:bookmarkStart w:id="51" w:name="OLE_LINK7"/>
      <w:bookmarkStart w:id="52" w:name="OLE_LINK6"/>
      <w:r>
        <w:rPr>
          <w:rFonts w:hint="eastAsia" w:asciiTheme="minorEastAsia" w:hAnsiTheme="minorEastAsia" w:eastAsiaTheme="minorEastAsia" w:cstheme="minorEastAsia"/>
          <w:color w:val="000000" w:themeColor="text1"/>
          <w:highlight w:val="none"/>
          <w14:textFill>
            <w14:solidFill>
              <w14:schemeClr w14:val="tx1"/>
            </w14:solidFill>
          </w14:textFill>
        </w:rPr>
        <w:t>五、竞标人</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基本</w:t>
      </w:r>
      <w:r>
        <w:rPr>
          <w:rFonts w:hint="eastAsia" w:asciiTheme="minorEastAsia" w:hAnsiTheme="minorEastAsia" w:eastAsiaTheme="minorEastAsia" w:cstheme="minorEastAsia"/>
          <w:color w:val="000000" w:themeColor="text1"/>
          <w:highlight w:val="none"/>
          <w14:textFill>
            <w14:solidFill>
              <w14:schemeClr w14:val="tx1"/>
            </w14:solidFill>
          </w14:textFill>
        </w:rPr>
        <w:t>情况</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表</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……………………………（页码）</w:t>
      </w:r>
    </w:p>
    <w:bookmarkEnd w:id="51"/>
    <w:bookmarkEnd w:id="52"/>
    <w:p w14:paraId="605D556F">
      <w:pPr>
        <w:pStyle w:val="81"/>
        <w:spacing w:line="360" w:lineRule="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六、供应商类似业绩的证明文件（如有要求）</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…（页码）</w:t>
      </w:r>
    </w:p>
    <w:p w14:paraId="62D0B2ED">
      <w:pPr>
        <w:pStyle w:val="81"/>
        <w:spacing w:line="360" w:lineRule="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七、</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技术</w:t>
      </w:r>
      <w:r>
        <w:rPr>
          <w:rFonts w:hint="eastAsia" w:asciiTheme="minorEastAsia" w:hAnsiTheme="minorEastAsia" w:eastAsiaTheme="minorEastAsia" w:cstheme="minorEastAsia"/>
          <w:color w:val="000000" w:themeColor="text1"/>
          <w:highlight w:val="none"/>
          <w14:textFill>
            <w14:solidFill>
              <w14:schemeClr w14:val="tx1"/>
            </w14:solidFill>
          </w14:textFill>
        </w:rPr>
        <w:t>需求偏离表……………………………………………………………（页码）</w:t>
      </w:r>
    </w:p>
    <w:p w14:paraId="2FADE7BC">
      <w:pPr>
        <w:pStyle w:val="81"/>
        <w:spacing w:line="360" w:lineRule="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八、服务方案……………………………………………………………………（页码）</w:t>
      </w:r>
    </w:p>
    <w:p w14:paraId="4EAAC08F">
      <w:pPr>
        <w:pStyle w:val="81"/>
        <w:spacing w:line="360" w:lineRule="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九、售后服务方案………………………………</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………………………（页码）</w:t>
      </w:r>
    </w:p>
    <w:p w14:paraId="0EF55F81">
      <w:pPr>
        <w:pStyle w:val="81"/>
        <w:spacing w:line="360" w:lineRule="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十、</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项目实施人员一览表………………………………</w:t>
      </w:r>
      <w:r>
        <w:rPr>
          <w:rFonts w:hint="eastAsia" w:asciiTheme="minorEastAsia" w:hAnsiTheme="minorEastAsia" w:eastAsiaTheme="minorEastAsia" w:cstheme="minorEastAsia"/>
          <w:color w:val="000000" w:themeColor="text1"/>
          <w:highlight w:val="none"/>
          <w14:textFill>
            <w14:solidFill>
              <w14:schemeClr w14:val="tx1"/>
            </w14:solidFill>
          </w14:textFill>
        </w:rPr>
        <w:t>………………………（页码）</w:t>
      </w:r>
    </w:p>
    <w:p w14:paraId="2A4A52E2">
      <w:pPr>
        <w:pStyle w:val="81"/>
        <w:spacing w:line="360" w:lineRule="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十一、服务需求、商务条款要求提供的其他材料</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…………（页码）</w:t>
      </w:r>
    </w:p>
    <w:p w14:paraId="4140D89D">
      <w:pPr>
        <w:spacing w:line="360" w:lineRule="auto"/>
        <w:ind w:firstLine="482" w:firstLineChars="200"/>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p>
    <w:p w14:paraId="05595B7B">
      <w:pPr>
        <w:spacing w:line="360" w:lineRule="auto"/>
        <w:ind w:firstLine="482" w:firstLineChars="200"/>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注：以上目录是基本格式要求，各供应商可根据自身情况进一步向下增加内容或细化。</w:t>
      </w:r>
    </w:p>
    <w:p w14:paraId="110CC806">
      <w:pPr>
        <w:spacing w:line="400" w:lineRule="exact"/>
        <w:rPr>
          <w:rFonts w:hint="eastAsia" w:asciiTheme="minorEastAsia" w:hAnsiTheme="minorEastAsia" w:eastAsiaTheme="minorEastAsia" w:cstheme="minorEastAsia"/>
          <w:color w:val="000000" w:themeColor="text1"/>
          <w:sz w:val="32"/>
          <w:szCs w:val="32"/>
          <w:highlight w:val="none"/>
          <w14:textFill>
            <w14:solidFill>
              <w14:schemeClr w14:val="tx1"/>
            </w14:solidFill>
          </w14:textFill>
        </w:rPr>
      </w:pPr>
    </w:p>
    <w:p w14:paraId="4471D32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color w:val="000000" w:themeColor="text1"/>
          <w:sz w:val="44"/>
          <w:szCs w:val="44"/>
          <w:highlight w:val="none"/>
          <w14:textFill>
            <w14:solidFill>
              <w14:schemeClr w14:val="tx1"/>
            </w14:solidFill>
          </w14:textFill>
        </w:rPr>
        <w:br w:type="page"/>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一、无串标行为承诺函</w:t>
      </w:r>
    </w:p>
    <w:p w14:paraId="770F95AE">
      <w:pPr>
        <w:keepNext w:val="0"/>
        <w:keepLines w:val="0"/>
        <w:pageBreakBefore w:val="0"/>
        <w:widowControl w:val="0"/>
        <w:kinsoku/>
        <w:wordWrap/>
        <w:overflowPunct/>
        <w:topLinePunct w:val="0"/>
        <w:autoSpaceDE/>
        <w:autoSpaceDN/>
        <w:bidi w:val="0"/>
        <w:adjustRightInd/>
        <w:snapToGrid/>
        <w:spacing w:before="0" w:beforeLines="100" w:after="0" w:afterLines="100" w:line="600" w:lineRule="exact"/>
        <w:jc w:val="center"/>
        <w:textAlignment w:val="auto"/>
        <w:rPr>
          <w:rFonts w:hint="eastAsia" w:asciiTheme="minorEastAsia" w:hAnsiTheme="minorEastAsia" w:eastAsiaTheme="minorEastAsia" w:cstheme="minorEastAsia"/>
          <w:b/>
          <w:bCs/>
          <w:color w:val="000000" w:themeColor="text1"/>
          <w:sz w:val="34"/>
          <w:szCs w:val="3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34"/>
          <w:szCs w:val="34"/>
          <w:highlight w:val="none"/>
          <w14:textFill>
            <w14:solidFill>
              <w14:schemeClr w14:val="tx1"/>
            </w14:solidFill>
          </w14:textFill>
        </w:rPr>
        <w:t>无串通竞标行为的承诺函</w:t>
      </w:r>
    </w:p>
    <w:p w14:paraId="4E59EB14">
      <w:pPr>
        <w:keepNext w:val="0"/>
        <w:keepLines w:val="0"/>
        <w:pageBreakBefore w:val="0"/>
        <w:widowControl w:val="0"/>
        <w:kinsoku/>
        <w:wordWrap/>
        <w:overflowPunct/>
        <w:topLinePunct w:val="0"/>
        <w:autoSpaceDE/>
        <w:autoSpaceDN/>
        <w:bidi w:val="0"/>
        <w:adjustRightInd/>
        <w:snapToGrid/>
        <w:spacing w:line="440" w:lineRule="exact"/>
        <w:ind w:firstLine="462" w:firstLineChars="200"/>
        <w:contextualSpacing/>
        <w:textAlignment w:val="auto"/>
        <w:rPr>
          <w:rFonts w:hint="eastAsia" w:asciiTheme="minorEastAsia" w:hAnsiTheme="minorEastAsia" w:eastAsiaTheme="minorEastAsia" w:cstheme="minorEastAsia"/>
          <w:b/>
          <w:bCs/>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3"/>
          <w:szCs w:val="23"/>
          <w:highlight w:val="none"/>
          <w14:textFill>
            <w14:solidFill>
              <w14:schemeClr w14:val="tx1"/>
            </w14:solidFill>
          </w14:textFill>
        </w:rPr>
        <w:t>一、我方承诺无下列相互串通竞标的情形：</w:t>
      </w:r>
    </w:p>
    <w:p w14:paraId="5543E58F">
      <w:pPr>
        <w:keepNext w:val="0"/>
        <w:keepLines w:val="0"/>
        <w:pageBreakBefore w:val="0"/>
        <w:widowControl w:val="0"/>
        <w:kinsoku/>
        <w:wordWrap/>
        <w:overflowPunct/>
        <w:topLinePunct w:val="0"/>
        <w:autoSpaceDE/>
        <w:autoSpaceDN/>
        <w:bidi w:val="0"/>
        <w:adjustRightInd/>
        <w:snapToGrid/>
        <w:spacing w:line="440" w:lineRule="exact"/>
        <w:ind w:firstLine="460" w:firstLineChars="200"/>
        <w:contextualSpacing/>
        <w:textAlignment w:val="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1.不同供应商的</w:t>
      </w:r>
      <w:r>
        <w:rPr>
          <w:rFonts w:hint="eastAsia" w:asciiTheme="minorEastAsia" w:hAnsiTheme="minorEastAsia" w:eastAsiaTheme="minorEastAsia" w:cstheme="minorEastAsia"/>
          <w:color w:val="000000" w:themeColor="text1"/>
          <w:sz w:val="23"/>
          <w:szCs w:val="23"/>
          <w:highlight w:val="none"/>
          <w:lang w:eastAsia="zh-CN"/>
          <w14:textFill>
            <w14:solidFill>
              <w14:schemeClr w14:val="tx1"/>
            </w14:solidFill>
          </w14:textFill>
        </w:rPr>
        <w:t>响应</w:t>
      </w: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文件由同一单位或者个人编制；或者不同供应商报名的IP地址一致的；或者编制</w:t>
      </w:r>
      <w:r>
        <w:rPr>
          <w:rFonts w:hint="eastAsia" w:asciiTheme="minorEastAsia" w:hAnsiTheme="minorEastAsia" w:eastAsiaTheme="minorEastAsia" w:cstheme="minorEastAsia"/>
          <w:color w:val="000000" w:themeColor="text1"/>
          <w:sz w:val="23"/>
          <w:szCs w:val="23"/>
          <w:highlight w:val="none"/>
          <w:lang w:eastAsia="zh-CN"/>
          <w14:textFill>
            <w14:solidFill>
              <w14:schemeClr w14:val="tx1"/>
            </w14:solidFill>
          </w14:textFill>
        </w:rPr>
        <w:t>响应文件</w:t>
      </w: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 xml:space="preserve">硬件设备CPU编号、硬盘编号、网卡地址一致的情况； </w:t>
      </w:r>
    </w:p>
    <w:p w14:paraId="3DEF01E6">
      <w:pPr>
        <w:keepNext w:val="0"/>
        <w:keepLines w:val="0"/>
        <w:pageBreakBefore w:val="0"/>
        <w:widowControl w:val="0"/>
        <w:kinsoku/>
        <w:wordWrap/>
        <w:overflowPunct/>
        <w:topLinePunct w:val="0"/>
        <w:autoSpaceDE/>
        <w:autoSpaceDN/>
        <w:bidi w:val="0"/>
        <w:adjustRightInd/>
        <w:snapToGrid/>
        <w:spacing w:line="440" w:lineRule="exact"/>
        <w:ind w:firstLine="460" w:firstLineChars="200"/>
        <w:contextualSpacing/>
        <w:textAlignment w:val="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2.不同供应商委托同一单位或者个人办理竞标事宜；</w:t>
      </w:r>
    </w:p>
    <w:p w14:paraId="7519C5A8">
      <w:pPr>
        <w:keepNext w:val="0"/>
        <w:keepLines w:val="0"/>
        <w:pageBreakBefore w:val="0"/>
        <w:widowControl w:val="0"/>
        <w:kinsoku/>
        <w:wordWrap/>
        <w:overflowPunct/>
        <w:topLinePunct w:val="0"/>
        <w:autoSpaceDE/>
        <w:autoSpaceDN/>
        <w:bidi w:val="0"/>
        <w:adjustRightInd/>
        <w:snapToGrid/>
        <w:spacing w:line="440" w:lineRule="exact"/>
        <w:ind w:firstLine="460" w:firstLineChars="200"/>
        <w:contextualSpacing/>
        <w:textAlignment w:val="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3.不同供应商的响应文件载明的项目管理员为同一个人；</w:t>
      </w:r>
    </w:p>
    <w:p w14:paraId="33860587">
      <w:pPr>
        <w:keepNext w:val="0"/>
        <w:keepLines w:val="0"/>
        <w:pageBreakBefore w:val="0"/>
        <w:widowControl w:val="0"/>
        <w:kinsoku/>
        <w:wordWrap/>
        <w:overflowPunct/>
        <w:topLinePunct w:val="0"/>
        <w:autoSpaceDE/>
        <w:autoSpaceDN/>
        <w:bidi w:val="0"/>
        <w:adjustRightInd/>
        <w:snapToGrid/>
        <w:spacing w:line="440" w:lineRule="exact"/>
        <w:ind w:firstLine="460" w:firstLineChars="200"/>
        <w:contextualSpacing/>
        <w:textAlignment w:val="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4.不</w:t>
      </w:r>
      <w:r>
        <w:rPr>
          <w:rFonts w:hint="eastAsia" w:asciiTheme="minorEastAsia" w:hAnsiTheme="minorEastAsia" w:eastAsiaTheme="minorEastAsia" w:cstheme="minorEastAsia"/>
          <w:color w:val="000000" w:themeColor="text1"/>
          <w:spacing w:val="-6"/>
          <w:sz w:val="23"/>
          <w:szCs w:val="23"/>
          <w:highlight w:val="none"/>
          <w14:textFill>
            <w14:solidFill>
              <w14:schemeClr w14:val="tx1"/>
            </w14:solidFill>
          </w14:textFill>
        </w:rPr>
        <w:t>同供应商的响应文件异常一致或者响应报价呈规律性差异；</w:t>
      </w:r>
    </w:p>
    <w:p w14:paraId="5C5A6087">
      <w:pPr>
        <w:keepNext w:val="0"/>
        <w:keepLines w:val="0"/>
        <w:pageBreakBefore w:val="0"/>
        <w:widowControl w:val="0"/>
        <w:kinsoku/>
        <w:wordWrap/>
        <w:overflowPunct/>
        <w:topLinePunct w:val="0"/>
        <w:autoSpaceDE/>
        <w:autoSpaceDN/>
        <w:bidi w:val="0"/>
        <w:adjustRightInd/>
        <w:snapToGrid/>
        <w:spacing w:line="440" w:lineRule="exact"/>
        <w:ind w:firstLine="460" w:firstLineChars="200"/>
        <w:contextualSpacing/>
        <w:textAlignment w:val="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5.不同供应商的响应文件相互混装；</w:t>
      </w:r>
    </w:p>
    <w:p w14:paraId="38D37F89">
      <w:pPr>
        <w:keepNext w:val="0"/>
        <w:keepLines w:val="0"/>
        <w:pageBreakBefore w:val="0"/>
        <w:widowControl w:val="0"/>
        <w:kinsoku/>
        <w:wordWrap/>
        <w:overflowPunct/>
        <w:topLinePunct w:val="0"/>
        <w:autoSpaceDE/>
        <w:autoSpaceDN/>
        <w:bidi w:val="0"/>
        <w:adjustRightInd/>
        <w:snapToGrid/>
        <w:spacing w:line="440" w:lineRule="exact"/>
        <w:ind w:firstLine="460" w:firstLineChars="200"/>
        <w:contextualSpacing/>
        <w:textAlignment w:val="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6.不同供应商的磋商保证金从同一单位或者个人账户转出。</w:t>
      </w:r>
    </w:p>
    <w:p w14:paraId="7EBCDD04">
      <w:pPr>
        <w:keepNext w:val="0"/>
        <w:keepLines w:val="0"/>
        <w:pageBreakBefore w:val="0"/>
        <w:widowControl w:val="0"/>
        <w:kinsoku/>
        <w:wordWrap/>
        <w:overflowPunct/>
        <w:topLinePunct w:val="0"/>
        <w:autoSpaceDE/>
        <w:autoSpaceDN/>
        <w:bidi w:val="0"/>
        <w:adjustRightInd/>
        <w:snapToGrid/>
        <w:spacing w:line="440" w:lineRule="exact"/>
        <w:ind w:firstLine="462" w:firstLineChars="200"/>
        <w:contextualSpacing/>
        <w:textAlignment w:val="auto"/>
        <w:rPr>
          <w:rFonts w:hint="eastAsia" w:asciiTheme="minorEastAsia" w:hAnsiTheme="minorEastAsia" w:eastAsiaTheme="minorEastAsia" w:cstheme="minorEastAsia"/>
          <w:b/>
          <w:bCs/>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3"/>
          <w:szCs w:val="23"/>
          <w:highlight w:val="none"/>
          <w14:textFill>
            <w14:solidFill>
              <w14:schemeClr w14:val="tx1"/>
            </w14:solidFill>
          </w14:textFill>
        </w:rPr>
        <w:t>二、我方承诺无下列恶意串通的情形：</w:t>
      </w:r>
    </w:p>
    <w:p w14:paraId="562D0F46">
      <w:pPr>
        <w:keepNext w:val="0"/>
        <w:keepLines w:val="0"/>
        <w:pageBreakBefore w:val="0"/>
        <w:widowControl w:val="0"/>
        <w:kinsoku/>
        <w:wordWrap/>
        <w:overflowPunct/>
        <w:topLinePunct w:val="0"/>
        <w:autoSpaceDE/>
        <w:autoSpaceDN/>
        <w:bidi w:val="0"/>
        <w:adjustRightInd/>
        <w:snapToGrid/>
        <w:spacing w:line="440" w:lineRule="exact"/>
        <w:ind w:firstLine="460" w:firstLineChars="200"/>
        <w:contextualSpacing/>
        <w:textAlignment w:val="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1.供应商直接或者间接从采购人或者采购代理机构处获得其他供应商的相关信息并修改其响应文件；</w:t>
      </w:r>
    </w:p>
    <w:p w14:paraId="48C23D8F">
      <w:pPr>
        <w:keepNext w:val="0"/>
        <w:keepLines w:val="0"/>
        <w:pageBreakBefore w:val="0"/>
        <w:widowControl w:val="0"/>
        <w:kinsoku/>
        <w:wordWrap/>
        <w:overflowPunct/>
        <w:topLinePunct w:val="0"/>
        <w:autoSpaceDE/>
        <w:autoSpaceDN/>
        <w:bidi w:val="0"/>
        <w:adjustRightInd/>
        <w:snapToGrid/>
        <w:spacing w:line="440" w:lineRule="exact"/>
        <w:ind w:firstLine="460" w:firstLineChars="200"/>
        <w:contextualSpacing/>
        <w:textAlignment w:val="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2.供应商按照采购人或者采购代理机构的授意撤换、修改响应文件；</w:t>
      </w:r>
    </w:p>
    <w:p w14:paraId="38E3DF51">
      <w:pPr>
        <w:keepNext w:val="0"/>
        <w:keepLines w:val="0"/>
        <w:pageBreakBefore w:val="0"/>
        <w:widowControl w:val="0"/>
        <w:kinsoku/>
        <w:wordWrap/>
        <w:overflowPunct/>
        <w:topLinePunct w:val="0"/>
        <w:autoSpaceDE/>
        <w:autoSpaceDN/>
        <w:bidi w:val="0"/>
        <w:adjustRightInd/>
        <w:snapToGrid/>
        <w:spacing w:line="440" w:lineRule="exact"/>
        <w:ind w:firstLine="460" w:firstLineChars="200"/>
        <w:contextualSpacing/>
        <w:textAlignment w:val="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3.供</w:t>
      </w:r>
      <w:r>
        <w:rPr>
          <w:rFonts w:hint="eastAsia" w:asciiTheme="minorEastAsia" w:hAnsiTheme="minorEastAsia" w:eastAsiaTheme="minorEastAsia" w:cstheme="minorEastAsia"/>
          <w:color w:val="000000" w:themeColor="text1"/>
          <w:spacing w:val="-6"/>
          <w:sz w:val="23"/>
          <w:szCs w:val="23"/>
          <w:highlight w:val="none"/>
          <w14:textFill>
            <w14:solidFill>
              <w14:schemeClr w14:val="tx1"/>
            </w14:solidFill>
          </w14:textFill>
        </w:rPr>
        <w:t>应商之间协商报价、技术方案等响应文件的实质性内容；</w:t>
      </w:r>
    </w:p>
    <w:p w14:paraId="3461E22B">
      <w:pPr>
        <w:keepNext w:val="0"/>
        <w:keepLines w:val="0"/>
        <w:pageBreakBefore w:val="0"/>
        <w:widowControl w:val="0"/>
        <w:kinsoku/>
        <w:wordWrap/>
        <w:overflowPunct/>
        <w:topLinePunct w:val="0"/>
        <w:autoSpaceDE/>
        <w:autoSpaceDN/>
        <w:bidi w:val="0"/>
        <w:adjustRightInd/>
        <w:snapToGrid/>
        <w:spacing w:line="440" w:lineRule="exact"/>
        <w:ind w:firstLine="460" w:firstLineChars="200"/>
        <w:contextualSpacing/>
        <w:textAlignment w:val="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4.属于同一集团、协会、商会等组织成员的供应商按照该组织要求协同参加政府采购活动；</w:t>
      </w:r>
    </w:p>
    <w:p w14:paraId="1D606BA9">
      <w:pPr>
        <w:keepNext w:val="0"/>
        <w:keepLines w:val="0"/>
        <w:pageBreakBefore w:val="0"/>
        <w:widowControl w:val="0"/>
        <w:kinsoku/>
        <w:wordWrap/>
        <w:overflowPunct/>
        <w:topLinePunct w:val="0"/>
        <w:autoSpaceDE/>
        <w:autoSpaceDN/>
        <w:bidi w:val="0"/>
        <w:adjustRightInd/>
        <w:snapToGrid/>
        <w:spacing w:line="440" w:lineRule="exact"/>
        <w:ind w:firstLine="460" w:firstLineChars="200"/>
        <w:contextualSpacing/>
        <w:textAlignment w:val="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5.供应商之间事先约定一致抬高或者压低响应报价，或者在竞争性磋商项目中事先约定轮流以高价位或者低价位成交，或者事先约定由某一特定供应商成交，然后再参加竞标；</w:t>
      </w:r>
    </w:p>
    <w:p w14:paraId="42787F14">
      <w:pPr>
        <w:keepNext w:val="0"/>
        <w:keepLines w:val="0"/>
        <w:pageBreakBefore w:val="0"/>
        <w:widowControl w:val="0"/>
        <w:kinsoku/>
        <w:wordWrap/>
        <w:overflowPunct/>
        <w:topLinePunct w:val="0"/>
        <w:autoSpaceDE/>
        <w:autoSpaceDN/>
        <w:bidi w:val="0"/>
        <w:adjustRightInd/>
        <w:snapToGrid/>
        <w:spacing w:line="440" w:lineRule="exact"/>
        <w:ind w:firstLine="460" w:firstLineChars="200"/>
        <w:contextualSpacing/>
        <w:textAlignment w:val="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6.供应商之间商定部分供应商放弃参加政府采购活动或者放弃成交；</w:t>
      </w:r>
    </w:p>
    <w:p w14:paraId="109135C2">
      <w:pPr>
        <w:keepNext w:val="0"/>
        <w:keepLines w:val="0"/>
        <w:pageBreakBefore w:val="0"/>
        <w:widowControl w:val="0"/>
        <w:kinsoku/>
        <w:wordWrap/>
        <w:overflowPunct/>
        <w:topLinePunct w:val="0"/>
        <w:autoSpaceDE/>
        <w:autoSpaceDN/>
        <w:bidi w:val="0"/>
        <w:adjustRightInd/>
        <w:snapToGrid/>
        <w:spacing w:line="440" w:lineRule="exact"/>
        <w:ind w:firstLine="460" w:firstLineChars="200"/>
        <w:contextualSpacing/>
        <w:textAlignment w:val="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7.供应商与采购人或者采购代理机构之间、供应商相互之间，为</w:t>
      </w:r>
      <w:r>
        <w:rPr>
          <w:rFonts w:hint="eastAsia" w:asciiTheme="minorEastAsia" w:hAnsiTheme="minorEastAsia" w:eastAsiaTheme="minorEastAsia" w:cstheme="minorEastAsia"/>
          <w:color w:val="000000" w:themeColor="text1"/>
          <w:spacing w:val="-6"/>
          <w:sz w:val="23"/>
          <w:szCs w:val="23"/>
          <w:highlight w:val="none"/>
          <w14:textFill>
            <w14:solidFill>
              <w14:schemeClr w14:val="tx1"/>
            </w14:solidFill>
          </w14:textFill>
        </w:rPr>
        <w:t>谋求特定供应商成交或者排斥其他供应商的其他串通行为。</w:t>
      </w:r>
    </w:p>
    <w:p w14:paraId="5AD43826">
      <w:pPr>
        <w:keepNext w:val="0"/>
        <w:keepLines w:val="0"/>
        <w:pageBreakBefore w:val="0"/>
        <w:widowControl w:val="0"/>
        <w:kinsoku/>
        <w:wordWrap/>
        <w:overflowPunct/>
        <w:topLinePunct w:val="0"/>
        <w:autoSpaceDE/>
        <w:autoSpaceDN/>
        <w:bidi w:val="0"/>
        <w:adjustRightInd/>
        <w:snapToGrid/>
        <w:spacing w:line="440" w:lineRule="exact"/>
        <w:ind w:firstLine="462" w:firstLineChars="200"/>
        <w:contextualSpacing/>
        <w:textAlignment w:val="auto"/>
        <w:rPr>
          <w:rFonts w:hint="eastAsia" w:asciiTheme="minorEastAsia" w:hAnsiTheme="minorEastAsia" w:eastAsiaTheme="minorEastAsia" w:cstheme="minorEastAsia"/>
          <w:b/>
          <w:bCs/>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3"/>
          <w:szCs w:val="23"/>
          <w:highlight w:val="none"/>
          <w14:textFill>
            <w14:solidFill>
              <w14:schemeClr w14:val="tx1"/>
            </w14:solidFill>
          </w14:textFill>
        </w:rPr>
        <w:t>以上情形一经核查属实，我方愿意承担一切后果，并不再寻求任何旨在减轻或者免除法律责任的辩解。</w:t>
      </w:r>
    </w:p>
    <w:p w14:paraId="38A9558D">
      <w:pPr>
        <w:keepNext w:val="0"/>
        <w:keepLines w:val="0"/>
        <w:pageBreakBefore w:val="0"/>
        <w:widowControl w:val="0"/>
        <w:kinsoku/>
        <w:wordWrap/>
        <w:overflowPunct/>
        <w:topLinePunct w:val="0"/>
        <w:autoSpaceDE w:val="0"/>
        <w:autoSpaceDN w:val="0"/>
        <w:bidi w:val="0"/>
        <w:adjustRightInd/>
        <w:snapToGrid/>
        <w:spacing w:line="600" w:lineRule="exact"/>
        <w:ind w:left="4335" w:leftChars="1950" w:hanging="240" w:hangingChars="100"/>
        <w:textAlignment w:val="auto"/>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p>
    <w:p w14:paraId="45D223D4">
      <w:pPr>
        <w:keepNext w:val="0"/>
        <w:keepLines w:val="0"/>
        <w:pageBreakBefore w:val="0"/>
        <w:widowControl w:val="0"/>
        <w:kinsoku/>
        <w:wordWrap/>
        <w:overflowPunct/>
        <w:topLinePunct w:val="0"/>
        <w:autoSpaceDE w:val="0"/>
        <w:autoSpaceDN w:val="0"/>
        <w:bidi w:val="0"/>
        <w:adjustRightInd/>
        <w:snapToGrid/>
        <w:spacing w:line="600" w:lineRule="exact"/>
        <w:ind w:left="4335" w:leftChars="1950" w:hanging="240" w:hangingChars="100"/>
        <w:textAlignment w:val="auto"/>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供应商名称（电子签章）：</w:t>
      </w:r>
    </w:p>
    <w:p w14:paraId="5C4CC0E9">
      <w:pPr>
        <w:keepNext w:val="0"/>
        <w:keepLines w:val="0"/>
        <w:pageBreakBefore w:val="0"/>
        <w:widowControl w:val="0"/>
        <w:kinsoku/>
        <w:wordWrap/>
        <w:overflowPunct/>
        <w:topLinePunct w:val="0"/>
        <w:bidi w:val="0"/>
        <w:adjustRightInd/>
        <w:snapToGrid/>
        <w:spacing w:line="600" w:lineRule="exact"/>
        <w:ind w:left="239" w:leftChars="114" w:firstLine="6120" w:firstLineChars="2550"/>
        <w:jc w:val="left"/>
        <w:textAlignment w:val="auto"/>
        <w:rPr>
          <w:rFonts w:hint="eastAsia" w:asciiTheme="minorEastAsia" w:hAnsiTheme="minorEastAsia" w:eastAsiaTheme="minorEastAsia" w:cstheme="minorEastAsia"/>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日期：  </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年 </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 月   日   </w:t>
      </w:r>
      <w:r>
        <w:rPr>
          <w:rFonts w:hint="eastAsia" w:asciiTheme="minorEastAsia" w:hAnsiTheme="minorEastAsia" w:eastAsiaTheme="minorEastAsia" w:cstheme="minorEastAsia"/>
          <w:b/>
          <w:bCs/>
          <w:color w:val="000000" w:themeColor="text1"/>
          <w:sz w:val="32"/>
          <w:szCs w:val="32"/>
          <w:highlight w:val="none"/>
          <w14:textFill>
            <w14:solidFill>
              <w14:schemeClr w14:val="tx1"/>
            </w14:solidFill>
          </w14:textFill>
        </w:rPr>
        <w:br w:type="page"/>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二、法定代表人身份证明及法定代表人有效身份证正反面复印件</w:t>
      </w:r>
    </w:p>
    <w:p w14:paraId="220EF423">
      <w:pPr>
        <w:keepNext w:val="0"/>
        <w:keepLines w:val="0"/>
        <w:pageBreakBefore w:val="0"/>
        <w:widowControl w:val="0"/>
        <w:kinsoku/>
        <w:wordWrap/>
        <w:overflowPunct/>
        <w:topLinePunct w:val="0"/>
        <w:autoSpaceDE/>
        <w:autoSpaceDN/>
        <w:bidi w:val="0"/>
        <w:adjustRightInd/>
        <w:snapToGrid/>
        <w:spacing w:before="0" w:beforeLines="100" w:after="0" w:afterLines="100" w:line="600" w:lineRule="exact"/>
        <w:jc w:val="center"/>
        <w:textAlignment w:val="auto"/>
        <w:rPr>
          <w:rFonts w:hint="eastAsia" w:asciiTheme="minorEastAsia" w:hAnsiTheme="minorEastAsia" w:eastAsiaTheme="minorEastAsia" w:cstheme="minorEastAsia"/>
          <w:b/>
          <w:bCs/>
          <w:color w:val="000000" w:themeColor="text1"/>
          <w:sz w:val="34"/>
          <w:szCs w:val="3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34"/>
          <w:szCs w:val="34"/>
          <w:highlight w:val="none"/>
          <w14:textFill>
            <w14:solidFill>
              <w14:schemeClr w14:val="tx1"/>
            </w14:solidFill>
          </w14:textFill>
        </w:rPr>
        <w:t>法定代表人证明书</w:t>
      </w:r>
    </w:p>
    <w:p w14:paraId="7243633B">
      <w:pPr>
        <w:spacing w:line="360" w:lineRule="auto"/>
        <w:ind w:left="540"/>
        <w:contextualSpacing/>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供应商名称：</w:t>
      </w:r>
      <w:r>
        <w:rPr>
          <w:rFonts w:hint="eastAsia" w:asciiTheme="minorEastAsia" w:hAnsiTheme="minorEastAsia" w:eastAsiaTheme="minorEastAsia" w:cstheme="minorEastAsia"/>
          <w:color w:val="000000" w:themeColor="text1"/>
          <w:sz w:val="23"/>
          <w:szCs w:val="23"/>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3"/>
          <w:szCs w:val="23"/>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3"/>
          <w:szCs w:val="23"/>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 xml:space="preserve">                </w:t>
      </w:r>
    </w:p>
    <w:p w14:paraId="3A140F8E">
      <w:pPr>
        <w:spacing w:line="360" w:lineRule="auto"/>
        <w:ind w:left="540"/>
        <w:contextualSpacing/>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地    址：</w:t>
      </w:r>
      <w:r>
        <w:rPr>
          <w:rFonts w:hint="eastAsia" w:asciiTheme="minorEastAsia" w:hAnsiTheme="minorEastAsia" w:eastAsiaTheme="minorEastAsia" w:cstheme="minorEastAsia"/>
          <w:color w:val="000000" w:themeColor="text1"/>
          <w:sz w:val="23"/>
          <w:szCs w:val="23"/>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 xml:space="preserve">             </w:t>
      </w:r>
    </w:p>
    <w:p w14:paraId="7BDE8017">
      <w:pPr>
        <w:spacing w:line="360" w:lineRule="auto"/>
        <w:ind w:left="540"/>
        <w:contextualSpacing/>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姓    名：</w:t>
      </w:r>
      <w:r>
        <w:rPr>
          <w:rFonts w:hint="eastAsia" w:asciiTheme="minorEastAsia" w:hAnsiTheme="minorEastAsia" w:eastAsiaTheme="minorEastAsia" w:cstheme="minorEastAsia"/>
          <w:color w:val="000000" w:themeColor="text1"/>
          <w:sz w:val="23"/>
          <w:szCs w:val="23"/>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 xml:space="preserve">   性    别：</w:t>
      </w:r>
      <w:r>
        <w:rPr>
          <w:rFonts w:hint="eastAsia" w:asciiTheme="minorEastAsia" w:hAnsiTheme="minorEastAsia" w:eastAsiaTheme="minorEastAsia" w:cstheme="minorEastAsia"/>
          <w:color w:val="000000" w:themeColor="text1"/>
          <w:sz w:val="23"/>
          <w:szCs w:val="23"/>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 xml:space="preserve">    </w:t>
      </w:r>
    </w:p>
    <w:p w14:paraId="53EB2B60">
      <w:pPr>
        <w:spacing w:line="360" w:lineRule="auto"/>
        <w:ind w:left="540"/>
        <w:contextualSpacing/>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年    龄：</w:t>
      </w:r>
      <w:r>
        <w:rPr>
          <w:rFonts w:hint="eastAsia" w:asciiTheme="minorEastAsia" w:hAnsiTheme="minorEastAsia" w:eastAsiaTheme="minorEastAsia" w:cstheme="minorEastAsia"/>
          <w:color w:val="000000" w:themeColor="text1"/>
          <w:sz w:val="23"/>
          <w:szCs w:val="23"/>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 xml:space="preserve">   职    务：</w:t>
      </w:r>
      <w:r>
        <w:rPr>
          <w:rFonts w:hint="eastAsia" w:asciiTheme="minorEastAsia" w:hAnsiTheme="minorEastAsia" w:eastAsiaTheme="minorEastAsia" w:cstheme="minorEastAsia"/>
          <w:color w:val="000000" w:themeColor="text1"/>
          <w:sz w:val="23"/>
          <w:szCs w:val="23"/>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 xml:space="preserve">    </w:t>
      </w:r>
    </w:p>
    <w:p w14:paraId="104190C3">
      <w:pPr>
        <w:spacing w:line="360" w:lineRule="auto"/>
        <w:ind w:left="540"/>
        <w:contextualSpacing/>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身份证号码：</w:t>
      </w:r>
      <w:r>
        <w:rPr>
          <w:rFonts w:hint="eastAsia" w:asciiTheme="minorEastAsia" w:hAnsiTheme="minorEastAsia" w:eastAsiaTheme="minorEastAsia" w:cstheme="minorEastAsia"/>
          <w:color w:val="000000" w:themeColor="text1"/>
          <w:sz w:val="23"/>
          <w:szCs w:val="23"/>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 xml:space="preserve">    </w:t>
      </w:r>
    </w:p>
    <w:p w14:paraId="553B6CA8">
      <w:pPr>
        <w:spacing w:line="360" w:lineRule="auto"/>
        <w:ind w:firstLine="460" w:firstLineChars="200"/>
        <w:contextualSpacing/>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系（供应商名称）的法定代表人。</w:t>
      </w:r>
    </w:p>
    <w:p w14:paraId="6753D38F">
      <w:pPr>
        <w:spacing w:line="360" w:lineRule="auto"/>
        <w:ind w:left="540"/>
        <w:contextualSpacing/>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特此证明。</w:t>
      </w:r>
    </w:p>
    <w:p w14:paraId="68C5CFA5">
      <w:pPr>
        <w:spacing w:line="360" w:lineRule="auto"/>
        <w:ind w:left="540"/>
        <w:contextualSpacing/>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附件：法定代表人有效身份证正反面复印件</w:t>
      </w:r>
    </w:p>
    <w:tbl>
      <w:tblPr>
        <w:tblStyle w:val="26"/>
        <w:tblW w:w="9149" w:type="dxa"/>
        <w:jc w:val="center"/>
        <w:tblBorders>
          <w:top w:val="dotted" w:color="auto" w:sz="4" w:space="0"/>
          <w:left w:val="dotted" w:color="auto" w:sz="4" w:space="0"/>
          <w:bottom w:val="dotted" w:color="auto" w:sz="4" w:space="0"/>
          <w:right w:val="dotted" w:color="auto" w:sz="4" w:space="0"/>
          <w:insideH w:val="single" w:color="auto" w:sz="4" w:space="0"/>
          <w:insideV w:val="none" w:color="auto" w:sz="0" w:space="0"/>
        </w:tblBorders>
        <w:tblLayout w:type="fixed"/>
        <w:tblCellMar>
          <w:top w:w="0" w:type="dxa"/>
          <w:left w:w="108" w:type="dxa"/>
          <w:bottom w:w="0" w:type="dxa"/>
          <w:right w:w="108" w:type="dxa"/>
        </w:tblCellMar>
      </w:tblPr>
      <w:tblGrid>
        <w:gridCol w:w="9149"/>
      </w:tblGrid>
      <w:tr w14:paraId="750B3113">
        <w:tblPrEx>
          <w:tblBorders>
            <w:top w:val="dotted" w:color="auto" w:sz="4" w:space="0"/>
            <w:left w:val="dotted" w:color="auto" w:sz="4" w:space="0"/>
            <w:bottom w:val="dotted" w:color="auto" w:sz="4" w:space="0"/>
            <w:right w:val="dotted" w:color="auto" w:sz="4" w:space="0"/>
            <w:insideH w:val="single" w:color="auto" w:sz="4" w:space="0"/>
            <w:insideV w:val="none" w:color="auto" w:sz="0" w:space="0"/>
          </w:tblBorders>
          <w:tblCellMar>
            <w:top w:w="0" w:type="dxa"/>
            <w:left w:w="108" w:type="dxa"/>
            <w:bottom w:w="0" w:type="dxa"/>
            <w:right w:w="108" w:type="dxa"/>
          </w:tblCellMar>
        </w:tblPrEx>
        <w:trPr>
          <w:trHeight w:val="3648" w:hRule="atLeast"/>
          <w:jc w:val="center"/>
        </w:trPr>
        <w:tc>
          <w:tcPr>
            <w:tcW w:w="9149" w:type="dxa"/>
            <w:tcBorders>
              <w:tl2br w:val="nil"/>
              <w:tr2bl w:val="nil"/>
            </w:tcBorders>
            <w:vAlign w:val="top"/>
          </w:tcPr>
          <w:p w14:paraId="6A1C9F6C">
            <w:pPr>
              <w:spacing w:line="360" w:lineRule="auto"/>
              <w:jc w:val="cente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法定代</w:t>
            </w:r>
            <w:r>
              <w:rPr>
                <w:rFonts w:hint="eastAsia" w:asciiTheme="minorEastAsia" w:hAnsiTheme="minorEastAsia" w:eastAsiaTheme="minorEastAsia" w:cstheme="minorEastAsia"/>
                <w:b/>
                <w:color w:val="000000" w:themeColor="text1"/>
                <w:sz w:val="21"/>
                <w:szCs w:val="21"/>
                <w:highlight w:val="none"/>
                <w:lang w:eastAsia="zh-CN"/>
                <w14:textFill>
                  <w14:solidFill>
                    <w14:schemeClr w14:val="tx1"/>
                  </w14:solidFill>
                </w14:textFill>
              </w:rPr>
              <w:t>表人</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身份证复印件粘贴处（正、反面）</w:t>
            </w:r>
          </w:p>
        </w:tc>
      </w:tr>
    </w:tbl>
    <w:p w14:paraId="58CEAD84">
      <w:pPr>
        <w:autoSpaceDE w:val="0"/>
        <w:autoSpaceDN w:val="0"/>
        <w:spacing w:line="360" w:lineRule="auto"/>
        <w:ind w:left="4335" w:leftChars="1950" w:hanging="240" w:hangingChars="100"/>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p>
    <w:p w14:paraId="72DCB2E6">
      <w:pPr>
        <w:keepNext w:val="0"/>
        <w:keepLines w:val="0"/>
        <w:pageBreakBefore w:val="0"/>
        <w:widowControl w:val="0"/>
        <w:kinsoku/>
        <w:wordWrap/>
        <w:overflowPunct/>
        <w:topLinePunct w:val="0"/>
        <w:autoSpaceDE w:val="0"/>
        <w:autoSpaceDN w:val="0"/>
        <w:bidi w:val="0"/>
        <w:adjustRightInd/>
        <w:snapToGrid/>
        <w:spacing w:line="600" w:lineRule="exact"/>
        <w:ind w:left="4325" w:leftChars="1950" w:hanging="230" w:hangingChars="100"/>
        <w:textAlignment w:val="auto"/>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t>供应商名称（电子签章）：</w:t>
      </w:r>
    </w:p>
    <w:p w14:paraId="01362AE3">
      <w:pPr>
        <w:keepNext w:val="0"/>
        <w:keepLines w:val="0"/>
        <w:pageBreakBefore w:val="0"/>
        <w:widowControl w:val="0"/>
        <w:kinsoku/>
        <w:wordWrap/>
        <w:overflowPunct/>
        <w:topLinePunct w:val="0"/>
        <w:bidi w:val="0"/>
        <w:adjustRightInd/>
        <w:snapToGrid/>
        <w:spacing w:line="600" w:lineRule="exact"/>
        <w:contextualSpacing/>
        <w:jc w:val="center"/>
        <w:textAlignment w:val="auto"/>
        <w:rPr>
          <w:rFonts w:hint="eastAsia" w:asciiTheme="minorEastAsia" w:hAnsiTheme="minorEastAsia" w:eastAsiaTheme="minorEastAsia" w:cstheme="minorEastAsia"/>
          <w:b/>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3"/>
          <w:szCs w:val="23"/>
          <w:highlight w:val="none"/>
          <w:lang w:val="zh-CN"/>
          <w14:textFill>
            <w14:solidFill>
              <w14:schemeClr w14:val="tx1"/>
            </w14:solidFill>
          </w14:textFill>
        </w:rPr>
        <w:t xml:space="preserve">                                                   日期：</w:t>
      </w:r>
      <w:r>
        <w:rPr>
          <w:rFonts w:hint="eastAsia" w:asciiTheme="minorEastAsia" w:hAnsiTheme="minorEastAsia" w:eastAsiaTheme="minorEastAsia" w:cstheme="minorEastAsia"/>
          <w:color w:val="000000" w:themeColor="text1"/>
          <w:kern w:val="0"/>
          <w:sz w:val="23"/>
          <w:szCs w:val="23"/>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3"/>
          <w:szCs w:val="23"/>
          <w:highlight w:val="none"/>
          <w:lang w:val="zh-CN"/>
          <w14:textFill>
            <w14:solidFill>
              <w14:schemeClr w14:val="tx1"/>
            </w14:solidFill>
          </w14:textFill>
        </w:rPr>
        <w:t xml:space="preserve">  年 </w:t>
      </w:r>
      <w:r>
        <w:rPr>
          <w:rFonts w:hint="eastAsia" w:asciiTheme="minorEastAsia" w:hAnsiTheme="minorEastAsia" w:eastAsiaTheme="minorEastAsia" w:cstheme="minorEastAsia"/>
          <w:color w:val="000000" w:themeColor="text1"/>
          <w:kern w:val="0"/>
          <w:sz w:val="23"/>
          <w:szCs w:val="23"/>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3"/>
          <w:szCs w:val="23"/>
          <w:highlight w:val="none"/>
          <w:lang w:val="zh-CN"/>
          <w14:textFill>
            <w14:solidFill>
              <w14:schemeClr w14:val="tx1"/>
            </w14:solidFill>
          </w14:textFill>
        </w:rPr>
        <w:t xml:space="preserve"> 月   日</w:t>
      </w:r>
    </w:p>
    <w:p w14:paraId="10DF893C">
      <w:pPr>
        <w:spacing w:line="360" w:lineRule="auto"/>
        <w:contextualSpacing/>
        <w:jc w:val="left"/>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p>
    <w:p w14:paraId="740DBE91">
      <w:pPr>
        <w:keepNext w:val="0"/>
        <w:keepLines w:val="0"/>
        <w:pageBreakBefore w:val="0"/>
        <w:widowControl w:val="0"/>
        <w:kinsoku/>
        <w:wordWrap/>
        <w:overflowPunct/>
        <w:topLinePunct w:val="0"/>
        <w:autoSpaceDE/>
        <w:autoSpaceDN/>
        <w:bidi w:val="0"/>
        <w:adjustRightInd/>
        <w:snapToGrid/>
        <w:spacing w:line="420" w:lineRule="exact"/>
        <w:ind w:firstLine="460" w:firstLineChars="200"/>
        <w:contextualSpacing/>
        <w:jc w:val="left"/>
        <w:textAlignment w:val="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注：1.自然人竞标的无需提供，联合体竞标的只需牵头人出具。</w:t>
      </w:r>
    </w:p>
    <w:p w14:paraId="5127158D">
      <w:pPr>
        <w:keepNext w:val="0"/>
        <w:keepLines w:val="0"/>
        <w:pageBreakBefore w:val="0"/>
        <w:widowControl w:val="0"/>
        <w:kinsoku/>
        <w:wordWrap/>
        <w:overflowPunct/>
        <w:topLinePunct w:val="0"/>
        <w:autoSpaceDE/>
        <w:autoSpaceDN/>
        <w:bidi w:val="0"/>
        <w:adjustRightInd/>
        <w:snapToGrid/>
        <w:spacing w:line="420" w:lineRule="exact"/>
        <w:ind w:firstLine="460" w:firstLineChars="200"/>
        <w:contextualSpacing/>
        <w:jc w:val="left"/>
        <w:textAlignment w:val="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sectPr>
          <w:pgSz w:w="11910" w:h="16840"/>
          <w:pgMar w:top="1077" w:right="1247" w:bottom="1077" w:left="1417" w:header="720" w:footer="794" w:gutter="0"/>
          <w:pgBorders>
            <w:top w:val="none" w:sz="0" w:space="0"/>
            <w:left w:val="none" w:sz="0" w:space="0"/>
            <w:bottom w:val="none" w:sz="0" w:space="0"/>
            <w:right w:val="none" w:sz="0" w:space="0"/>
          </w:pgBorders>
          <w:pgNumType w:fmt="decimal"/>
          <w:cols w:space="720" w:num="1"/>
        </w:sect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761D3C0D">
      <w:pPr>
        <w:spacing w:line="520" w:lineRule="exact"/>
        <w:jc w:val="left"/>
        <w:rPr>
          <w:rFonts w:hint="eastAsia" w:asciiTheme="minorEastAsia" w:hAnsiTheme="minorEastAsia" w:eastAsiaTheme="minorEastAsia" w:cstheme="minorEastAsia"/>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三、法定代表人授权委托书</w:t>
      </w:r>
    </w:p>
    <w:p w14:paraId="6852F85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inorEastAsia" w:hAnsiTheme="minorEastAsia" w:eastAsiaTheme="minorEastAsia" w:cstheme="minorEastAsia"/>
          <w:b/>
          <w:bCs/>
          <w:color w:val="000000" w:themeColor="text1"/>
          <w:sz w:val="36"/>
          <w:szCs w:val="36"/>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36"/>
          <w:szCs w:val="36"/>
          <w:highlight w:val="none"/>
          <w14:textFill>
            <w14:solidFill>
              <w14:schemeClr w14:val="tx1"/>
            </w14:solidFill>
          </w14:textFill>
        </w:rPr>
        <w:t>授权委托书</w:t>
      </w:r>
    </w:p>
    <w:p w14:paraId="7499F9E4">
      <w:pPr>
        <w:keepNext w:val="0"/>
        <w:keepLines w:val="0"/>
        <w:pageBreakBefore w:val="0"/>
        <w:widowControl w:val="0"/>
        <w:kinsoku/>
        <w:wordWrap/>
        <w:overflowPunct/>
        <w:topLinePunct w:val="0"/>
        <w:autoSpaceDE/>
        <w:autoSpaceDN/>
        <w:bidi w:val="0"/>
        <w:adjustRightInd/>
        <w:snapToGrid/>
        <w:spacing w:after="0" w:afterLines="100" w:line="600" w:lineRule="exact"/>
        <w:jc w:val="center"/>
        <w:textAlignment w:val="auto"/>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color w:val="000000" w:themeColor="text1"/>
          <w:sz w:val="32"/>
          <w:szCs w:val="32"/>
          <w:highlight w:val="none"/>
          <w14:textFill>
            <w14:solidFill>
              <w14:schemeClr w14:val="tx1"/>
            </w14:solidFill>
          </w14:textFill>
        </w:rPr>
        <w:t>（如有委托时）</w:t>
      </w:r>
    </w:p>
    <w:p w14:paraId="6746DCE3">
      <w:pPr>
        <w:spacing w:line="360" w:lineRule="auto"/>
        <w:rPr>
          <w:rFonts w:hint="eastAsia" w:asciiTheme="minorEastAsia" w:hAnsiTheme="minorEastAsia" w:eastAsiaTheme="minorEastAsia" w:cstheme="minorEastAsia"/>
          <w:color w:val="000000" w:themeColor="text1"/>
          <w:sz w:val="23"/>
          <w:szCs w:val="23"/>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致：</w:t>
      </w:r>
      <w:r>
        <w:rPr>
          <w:rFonts w:hint="eastAsia" w:asciiTheme="minorEastAsia" w:hAnsiTheme="minorEastAsia" w:eastAsiaTheme="minorEastAsia" w:cstheme="minorEastAsia"/>
          <w:color w:val="000000" w:themeColor="text1"/>
          <w:sz w:val="23"/>
          <w:szCs w:val="23"/>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3"/>
          <w:szCs w:val="23"/>
          <w:highlight w:val="none"/>
          <w:u w:val="single"/>
          <w14:textFill>
            <w14:solidFill>
              <w14:schemeClr w14:val="tx1"/>
            </w14:solidFill>
          </w14:textFill>
        </w:rPr>
        <w:t>（采购人名称）</w:t>
      </w:r>
      <w:r>
        <w:rPr>
          <w:rFonts w:hint="eastAsia" w:asciiTheme="minorEastAsia" w:hAnsiTheme="minorEastAsia" w:eastAsiaTheme="minorEastAsia" w:cstheme="minorEastAsia"/>
          <w:color w:val="000000" w:themeColor="text1"/>
          <w:sz w:val="23"/>
          <w:szCs w:val="23"/>
          <w:highlight w:val="none"/>
          <w:u w:val="single"/>
          <w:lang w:val="en-US" w:eastAsia="zh-CN"/>
          <w14:textFill>
            <w14:solidFill>
              <w14:schemeClr w14:val="tx1"/>
            </w14:solidFill>
          </w14:textFill>
        </w:rPr>
        <w:t xml:space="preserve"> </w:t>
      </w:r>
    </w:p>
    <w:p w14:paraId="38D090E1">
      <w:pPr>
        <w:spacing w:line="360" w:lineRule="auto"/>
        <w:ind w:firstLine="460" w:firstLineChars="200"/>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我</w:t>
      </w:r>
      <w:r>
        <w:rPr>
          <w:rFonts w:hint="eastAsia" w:asciiTheme="minorEastAsia" w:hAnsiTheme="minorEastAsia" w:eastAsiaTheme="minorEastAsia" w:cstheme="minorEastAsia"/>
          <w:color w:val="000000" w:themeColor="text1"/>
          <w:sz w:val="23"/>
          <w:szCs w:val="23"/>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3"/>
          <w:szCs w:val="23"/>
          <w:highlight w:val="none"/>
          <w:u w:val="single"/>
          <w14:textFill>
            <w14:solidFill>
              <w14:schemeClr w14:val="tx1"/>
            </w14:solidFill>
          </w14:textFill>
        </w:rPr>
        <w:t xml:space="preserve">（姓名）  系  （供应商名称）  </w:t>
      </w: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的（□法定代表人/□负责人/□自然人本人），现授权</w:t>
      </w:r>
      <w:r>
        <w:rPr>
          <w:rFonts w:hint="eastAsia" w:asciiTheme="minorEastAsia" w:hAnsiTheme="minorEastAsia" w:eastAsiaTheme="minorEastAsia" w:cstheme="minorEastAsia"/>
          <w:color w:val="000000" w:themeColor="text1"/>
          <w:sz w:val="23"/>
          <w:szCs w:val="23"/>
          <w:highlight w:val="none"/>
          <w:u w:val="single"/>
          <w14:textFill>
            <w14:solidFill>
              <w14:schemeClr w14:val="tx1"/>
            </w14:solidFill>
          </w14:textFill>
        </w:rPr>
        <w:t xml:space="preserve"> （姓名） </w:t>
      </w: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以我方的名义参加项目的竞标活动，并代表我方全权办理针对上述项目的所有采购程序和环节的具体事务和签署相关文件。</w:t>
      </w:r>
    </w:p>
    <w:p w14:paraId="2A5935C7">
      <w:pPr>
        <w:spacing w:line="360" w:lineRule="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 xml:space="preserve">    我方对委托代理人的签字事项负全部责任。</w:t>
      </w:r>
    </w:p>
    <w:p w14:paraId="0DAF1789">
      <w:pPr>
        <w:spacing w:line="360" w:lineRule="auto"/>
        <w:ind w:firstLine="460" w:firstLineChars="200"/>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本授权书自签署之日起生效，在撤销授权的书面通知以前，本授权书一直有效。委托代理人在授权书有效期内签署的所有文件不因授权的撤销而失效。</w:t>
      </w:r>
    </w:p>
    <w:p w14:paraId="14443C58">
      <w:pPr>
        <w:spacing w:line="360" w:lineRule="auto"/>
        <w:ind w:firstLine="460" w:firstLineChars="200"/>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委托代理人无转委托权，特此委托。</w:t>
      </w:r>
    </w:p>
    <w:p w14:paraId="6CC60618">
      <w:pPr>
        <w:spacing w:line="360" w:lineRule="auto"/>
        <w:ind w:firstLine="462" w:firstLineChars="200"/>
        <w:rPr>
          <w:rFonts w:hint="eastAsia" w:asciiTheme="minorEastAsia" w:hAnsiTheme="minorEastAsia" w:eastAsiaTheme="minorEastAsia" w:cstheme="minorEastAsia"/>
          <w:b/>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3"/>
          <w:szCs w:val="23"/>
          <w:highlight w:val="none"/>
          <w14:textFill>
            <w14:solidFill>
              <w14:schemeClr w14:val="tx1"/>
            </w14:solidFill>
          </w14:textFill>
        </w:rPr>
        <w:t>附：法定代表人身份证明书及委托代理人有效身份证正反面复印件</w:t>
      </w:r>
    </w:p>
    <w:p w14:paraId="673BBEDC">
      <w:pPr>
        <w:spacing w:line="360" w:lineRule="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p>
    <w:p w14:paraId="77DF84DC">
      <w:pPr>
        <w:spacing w:line="360" w:lineRule="auto"/>
        <w:ind w:firstLine="460" w:firstLineChars="200"/>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 xml:space="preserve">委托代理人（签字）：       </w:t>
      </w:r>
      <w:r>
        <w:rPr>
          <w:rFonts w:hint="eastAsia" w:asciiTheme="minorEastAsia" w:hAnsiTheme="minorEastAsia" w:eastAsiaTheme="minorEastAsia" w:cstheme="minorEastAsia"/>
          <w:color w:val="000000" w:themeColor="text1"/>
          <w:sz w:val="23"/>
          <w:szCs w:val="23"/>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 xml:space="preserve"> 法定代表人（签字或盖章）：                    </w:t>
      </w:r>
    </w:p>
    <w:p w14:paraId="1A9C5C25">
      <w:pPr>
        <w:spacing w:line="360" w:lineRule="auto"/>
        <w:ind w:firstLine="460" w:firstLineChars="200"/>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 xml:space="preserve">委托代理人身份证号码：                              </w:t>
      </w:r>
    </w:p>
    <w:p w14:paraId="673928E0">
      <w:pPr>
        <w:spacing w:line="360" w:lineRule="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p>
    <w:p w14:paraId="48C074AA">
      <w:pPr>
        <w:spacing w:line="360" w:lineRule="auto"/>
        <w:ind w:firstLine="4140" w:firstLineChars="1800"/>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t>供应商名称（电子签章）：</w:t>
      </w:r>
    </w:p>
    <w:p w14:paraId="03CDA778">
      <w:pPr>
        <w:spacing w:line="360" w:lineRule="auto"/>
        <w:contextualSpacing/>
        <w:jc w:val="center"/>
        <w:rPr>
          <w:rFonts w:hint="eastAsia" w:asciiTheme="minorEastAsia" w:hAnsiTheme="minorEastAsia" w:eastAsiaTheme="minorEastAsia" w:cstheme="minorEastAsia"/>
          <w:b/>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3"/>
          <w:szCs w:val="23"/>
          <w:highlight w:val="none"/>
          <w:lang w:val="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3"/>
          <w:szCs w:val="23"/>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3"/>
          <w:szCs w:val="23"/>
          <w:highlight w:val="none"/>
          <w:lang w:val="zh-CN"/>
          <w14:textFill>
            <w14:solidFill>
              <w14:schemeClr w14:val="tx1"/>
            </w14:solidFill>
          </w14:textFill>
        </w:rPr>
        <w:t xml:space="preserve">            日期： </w:t>
      </w:r>
      <w:r>
        <w:rPr>
          <w:rFonts w:hint="eastAsia" w:asciiTheme="minorEastAsia" w:hAnsiTheme="minorEastAsia" w:eastAsiaTheme="minorEastAsia" w:cstheme="minorEastAsia"/>
          <w:color w:val="000000" w:themeColor="text1"/>
          <w:kern w:val="0"/>
          <w:sz w:val="23"/>
          <w:szCs w:val="23"/>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3"/>
          <w:szCs w:val="23"/>
          <w:highlight w:val="none"/>
          <w:lang w:val="zh-CN"/>
          <w14:textFill>
            <w14:solidFill>
              <w14:schemeClr w14:val="tx1"/>
            </w14:solidFill>
          </w14:textFill>
        </w:rPr>
        <w:t xml:space="preserve"> 年 </w:t>
      </w:r>
      <w:r>
        <w:rPr>
          <w:rFonts w:hint="eastAsia" w:asciiTheme="minorEastAsia" w:hAnsiTheme="minorEastAsia" w:eastAsiaTheme="minorEastAsia" w:cstheme="minorEastAsia"/>
          <w:color w:val="000000" w:themeColor="text1"/>
          <w:kern w:val="0"/>
          <w:sz w:val="23"/>
          <w:szCs w:val="23"/>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3"/>
          <w:szCs w:val="23"/>
          <w:highlight w:val="none"/>
          <w:lang w:val="zh-CN"/>
          <w14:textFill>
            <w14:solidFill>
              <w14:schemeClr w14:val="tx1"/>
            </w14:solidFill>
          </w14:textFill>
        </w:rPr>
        <w:t xml:space="preserve"> 月   日</w:t>
      </w:r>
    </w:p>
    <w:p w14:paraId="6B184D7B">
      <w:pPr>
        <w:spacing w:line="360" w:lineRule="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p>
    <w:p w14:paraId="79D7058B">
      <w:pPr>
        <w:spacing w:line="360" w:lineRule="auto"/>
        <w:ind w:firstLine="460" w:firstLineChars="200"/>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注：1.法定代表人必须在授权委托书上亲笔签字或盖章，委托代理人必须在授权委托书上亲笔签字，</w:t>
      </w:r>
      <w:r>
        <w:rPr>
          <w:rFonts w:hint="eastAsia" w:asciiTheme="minorEastAsia" w:hAnsiTheme="minorEastAsia" w:eastAsiaTheme="minorEastAsia" w:cstheme="minorEastAsia"/>
          <w:b/>
          <w:color w:val="000000" w:themeColor="text1"/>
          <w:sz w:val="23"/>
          <w:szCs w:val="23"/>
          <w:highlight w:val="none"/>
          <w14:textFill>
            <w14:solidFill>
              <w14:schemeClr w14:val="tx1"/>
            </w14:solidFill>
          </w14:textFill>
        </w:rPr>
        <w:t>否则其响应文件按无效响应处理。</w:t>
      </w:r>
    </w:p>
    <w:p w14:paraId="371E6A5D">
      <w:pPr>
        <w:spacing w:line="360" w:lineRule="auto"/>
        <w:ind w:firstLine="460" w:firstLineChars="200"/>
        <w:jc w:val="left"/>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2150808F">
      <w:pPr>
        <w:spacing w:line="360" w:lineRule="auto"/>
        <w:ind w:firstLine="460" w:firstLineChars="200"/>
        <w:jc w:val="left"/>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3.法人、其他组织竞标时“我方”是指“我单位”，自然人竞标时“我方”是指“本人”。</w:t>
      </w:r>
    </w:p>
    <w:p w14:paraId="601EA27D">
      <w:pPr>
        <w:spacing w:line="360" w:lineRule="auto"/>
        <w:jc w:val="left"/>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br w:type="page"/>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四、商务条款偏离表</w:t>
      </w:r>
    </w:p>
    <w:p w14:paraId="4E013B40">
      <w:pPr>
        <w:spacing w:line="360" w:lineRule="auto"/>
        <w:jc w:val="center"/>
        <w:rPr>
          <w:rFonts w:hint="eastAsia" w:asciiTheme="minorEastAsia" w:hAnsiTheme="minorEastAsia" w:eastAsiaTheme="minorEastAsia" w:cstheme="minorEastAsia"/>
          <w:b/>
          <w:bCs/>
          <w:color w:val="000000" w:themeColor="text1"/>
          <w:sz w:val="36"/>
          <w:szCs w:val="36"/>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36"/>
          <w:szCs w:val="36"/>
          <w:highlight w:val="none"/>
          <w14:textFill>
            <w14:solidFill>
              <w14:schemeClr w14:val="tx1"/>
            </w14:solidFill>
          </w14:textFill>
        </w:rPr>
        <w:t>商务条款偏离表</w:t>
      </w:r>
    </w:p>
    <w:p w14:paraId="38A9ECB9">
      <w:pPr>
        <w:keepNext w:val="0"/>
        <w:keepLines w:val="0"/>
        <w:pageBreakBefore w:val="0"/>
        <w:widowControl w:val="0"/>
        <w:kinsoku/>
        <w:wordWrap/>
        <w:overflowPunct/>
        <w:topLinePunct w:val="0"/>
        <w:autoSpaceDE/>
        <w:autoSpaceDN/>
        <w:bidi w:val="0"/>
        <w:adjustRightInd/>
        <w:snapToGrid/>
        <w:spacing w:line="500" w:lineRule="exact"/>
        <w:contextualSpacing/>
        <w:textAlignment w:val="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 xml:space="preserve">采购项目编号：                 </w:t>
      </w:r>
    </w:p>
    <w:p w14:paraId="2D59F533">
      <w:pPr>
        <w:keepNext w:val="0"/>
        <w:keepLines w:val="0"/>
        <w:pageBreakBefore w:val="0"/>
        <w:widowControl w:val="0"/>
        <w:kinsoku/>
        <w:wordWrap/>
        <w:overflowPunct/>
        <w:topLinePunct w:val="0"/>
        <w:autoSpaceDE/>
        <w:autoSpaceDN/>
        <w:bidi w:val="0"/>
        <w:adjustRightInd/>
        <w:snapToGrid/>
        <w:spacing w:line="500" w:lineRule="exact"/>
        <w:contextualSpacing/>
        <w:textAlignment w:val="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 xml:space="preserve">采购项目名称：                 </w:t>
      </w:r>
    </w:p>
    <w:p w14:paraId="2FBA5232">
      <w:pPr>
        <w:keepNext w:val="0"/>
        <w:keepLines w:val="0"/>
        <w:pageBreakBefore w:val="0"/>
        <w:widowControl w:val="0"/>
        <w:kinsoku/>
        <w:wordWrap/>
        <w:overflowPunct/>
        <w:topLinePunct w:val="0"/>
        <w:autoSpaceDE/>
        <w:autoSpaceDN/>
        <w:bidi w:val="0"/>
        <w:adjustRightInd/>
        <w:snapToGrid/>
        <w:spacing w:line="500" w:lineRule="exact"/>
        <w:contextualSpacing/>
        <w:textAlignment w:val="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 xml:space="preserve">分标号（此处有分标时填写具体分标号，无分标时填写“无”）： </w:t>
      </w:r>
    </w:p>
    <w:tbl>
      <w:tblPr>
        <w:tblStyle w:val="26"/>
        <w:tblpPr w:leftFromText="180" w:rightFromText="180" w:vertAnchor="text" w:horzAnchor="margin" w:tblpXSpec="center" w:tblpY="94"/>
        <w:tblW w:w="95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273"/>
        <w:gridCol w:w="2835"/>
        <w:gridCol w:w="2786"/>
      </w:tblGrid>
      <w:tr w14:paraId="28D08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691" w:type="dxa"/>
            <w:tcBorders>
              <w:top w:val="single" w:color="auto" w:sz="4" w:space="0"/>
              <w:left w:val="single" w:color="auto" w:sz="4" w:space="0"/>
              <w:bottom w:val="single" w:color="auto" w:sz="4" w:space="0"/>
              <w:right w:val="single" w:color="auto" w:sz="4" w:space="0"/>
            </w:tcBorders>
          </w:tcPr>
          <w:p w14:paraId="006231B4">
            <w:pPr>
              <w:spacing w:line="34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项号</w:t>
            </w:r>
          </w:p>
        </w:tc>
        <w:tc>
          <w:tcPr>
            <w:tcW w:w="3273" w:type="dxa"/>
            <w:tcBorders>
              <w:top w:val="single" w:color="auto" w:sz="4" w:space="0"/>
              <w:left w:val="single" w:color="auto" w:sz="4" w:space="0"/>
              <w:bottom w:val="single" w:color="auto" w:sz="4" w:space="0"/>
              <w:right w:val="single" w:color="auto" w:sz="4" w:space="0"/>
            </w:tcBorders>
          </w:tcPr>
          <w:p w14:paraId="19E91343">
            <w:pPr>
              <w:spacing w:line="34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竞争性磋商采购文件的商务需求</w:t>
            </w:r>
          </w:p>
        </w:tc>
        <w:tc>
          <w:tcPr>
            <w:tcW w:w="2835" w:type="dxa"/>
            <w:tcBorders>
              <w:top w:val="single" w:color="auto" w:sz="4" w:space="0"/>
              <w:left w:val="single" w:color="auto" w:sz="4" w:space="0"/>
              <w:bottom w:val="single" w:color="auto" w:sz="4" w:space="0"/>
              <w:right w:val="single" w:color="auto" w:sz="4" w:space="0"/>
            </w:tcBorders>
          </w:tcPr>
          <w:p w14:paraId="74178FF6">
            <w:pPr>
              <w:spacing w:line="34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响应文件承诺的商务条款</w:t>
            </w:r>
          </w:p>
        </w:tc>
        <w:tc>
          <w:tcPr>
            <w:tcW w:w="2786" w:type="dxa"/>
            <w:tcBorders>
              <w:top w:val="single" w:color="auto" w:sz="4" w:space="0"/>
              <w:left w:val="single" w:color="auto" w:sz="4" w:space="0"/>
              <w:bottom w:val="single" w:color="auto" w:sz="4" w:space="0"/>
              <w:right w:val="single" w:color="auto" w:sz="4" w:space="0"/>
            </w:tcBorders>
          </w:tcPr>
          <w:p w14:paraId="659F98C9">
            <w:pPr>
              <w:spacing w:line="300" w:lineRule="exact"/>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偏离说明</w:t>
            </w:r>
          </w:p>
        </w:tc>
      </w:tr>
      <w:tr w14:paraId="2CB96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91" w:type="dxa"/>
            <w:vMerge w:val="restart"/>
            <w:tcBorders>
              <w:top w:val="single" w:color="auto" w:sz="4" w:space="0"/>
              <w:left w:val="single" w:color="auto" w:sz="4" w:space="0"/>
              <w:bottom w:val="single" w:color="auto" w:sz="4" w:space="0"/>
              <w:right w:val="single" w:color="auto" w:sz="4" w:space="0"/>
            </w:tcBorders>
          </w:tcPr>
          <w:p w14:paraId="7D00D188">
            <w:pPr>
              <w:spacing w:line="34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一</w:t>
            </w:r>
          </w:p>
        </w:tc>
        <w:tc>
          <w:tcPr>
            <w:tcW w:w="3273" w:type="dxa"/>
            <w:tcBorders>
              <w:top w:val="single" w:color="auto" w:sz="4" w:space="0"/>
              <w:left w:val="single" w:color="auto" w:sz="4" w:space="0"/>
              <w:bottom w:val="single" w:color="auto" w:sz="4" w:space="0"/>
              <w:right w:val="single" w:color="auto" w:sz="4" w:space="0"/>
            </w:tcBorders>
          </w:tcPr>
          <w:p w14:paraId="701607DE">
            <w:pP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  ……</w:t>
            </w:r>
          </w:p>
        </w:tc>
        <w:tc>
          <w:tcPr>
            <w:tcW w:w="2835" w:type="dxa"/>
            <w:tcBorders>
              <w:top w:val="single" w:color="auto" w:sz="4" w:space="0"/>
              <w:left w:val="single" w:color="auto" w:sz="4" w:space="0"/>
              <w:bottom w:val="single" w:color="auto" w:sz="4" w:space="0"/>
              <w:right w:val="single" w:color="auto" w:sz="4" w:space="0"/>
            </w:tcBorders>
          </w:tcPr>
          <w:p w14:paraId="762A5B06">
            <w:pP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  ……</w:t>
            </w:r>
          </w:p>
        </w:tc>
        <w:tc>
          <w:tcPr>
            <w:tcW w:w="2786" w:type="dxa"/>
            <w:tcBorders>
              <w:top w:val="single" w:color="auto" w:sz="4" w:space="0"/>
              <w:left w:val="single" w:color="auto" w:sz="4" w:space="0"/>
              <w:bottom w:val="single" w:color="auto" w:sz="4" w:space="0"/>
              <w:right w:val="single" w:color="auto" w:sz="4" w:space="0"/>
            </w:tcBorders>
          </w:tcPr>
          <w:p w14:paraId="7EE9FF66">
            <w:pPr>
              <w:spacing w:line="30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r>
      <w:tr w14:paraId="3B868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91" w:type="dxa"/>
            <w:vMerge w:val="continue"/>
            <w:tcBorders>
              <w:top w:val="single" w:color="auto" w:sz="4" w:space="0"/>
              <w:left w:val="single" w:color="auto" w:sz="4" w:space="0"/>
              <w:bottom w:val="single" w:color="auto" w:sz="4" w:space="0"/>
              <w:right w:val="single" w:color="auto" w:sz="4" w:space="0"/>
            </w:tcBorders>
            <w:vAlign w:val="center"/>
          </w:tcPr>
          <w:p w14:paraId="0B7F7C54">
            <w:pPr>
              <w:widowControl/>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3273" w:type="dxa"/>
            <w:tcBorders>
              <w:top w:val="single" w:color="auto" w:sz="4" w:space="0"/>
              <w:left w:val="single" w:color="auto" w:sz="4" w:space="0"/>
              <w:bottom w:val="single" w:color="auto" w:sz="4" w:space="0"/>
              <w:right w:val="single" w:color="auto" w:sz="4" w:space="0"/>
            </w:tcBorders>
          </w:tcPr>
          <w:p w14:paraId="1E9EC784">
            <w:pPr>
              <w:spacing w:line="34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  ……</w:t>
            </w:r>
          </w:p>
        </w:tc>
        <w:tc>
          <w:tcPr>
            <w:tcW w:w="2835" w:type="dxa"/>
            <w:tcBorders>
              <w:top w:val="single" w:color="auto" w:sz="4" w:space="0"/>
              <w:left w:val="single" w:color="auto" w:sz="4" w:space="0"/>
              <w:bottom w:val="single" w:color="auto" w:sz="4" w:space="0"/>
              <w:right w:val="single" w:color="auto" w:sz="4" w:space="0"/>
            </w:tcBorders>
          </w:tcPr>
          <w:p w14:paraId="1F8ABABC">
            <w:pPr>
              <w:spacing w:line="30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  ……</w:t>
            </w:r>
          </w:p>
        </w:tc>
        <w:tc>
          <w:tcPr>
            <w:tcW w:w="2786" w:type="dxa"/>
            <w:tcBorders>
              <w:top w:val="single" w:color="auto" w:sz="4" w:space="0"/>
              <w:left w:val="single" w:color="auto" w:sz="4" w:space="0"/>
              <w:bottom w:val="single" w:color="auto" w:sz="4" w:space="0"/>
              <w:right w:val="single" w:color="auto" w:sz="4" w:space="0"/>
            </w:tcBorders>
          </w:tcPr>
          <w:p w14:paraId="174DED05">
            <w:pPr>
              <w:spacing w:line="30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r>
      <w:tr w14:paraId="7719E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91" w:type="dxa"/>
            <w:vMerge w:val="continue"/>
            <w:tcBorders>
              <w:top w:val="single" w:color="auto" w:sz="4" w:space="0"/>
              <w:left w:val="single" w:color="auto" w:sz="4" w:space="0"/>
              <w:bottom w:val="single" w:color="auto" w:sz="4" w:space="0"/>
              <w:right w:val="single" w:color="auto" w:sz="4" w:space="0"/>
            </w:tcBorders>
            <w:vAlign w:val="center"/>
          </w:tcPr>
          <w:p w14:paraId="13B6969E">
            <w:pPr>
              <w:widowControl/>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3273" w:type="dxa"/>
            <w:tcBorders>
              <w:top w:val="single" w:color="auto" w:sz="4" w:space="0"/>
              <w:left w:val="single" w:color="auto" w:sz="4" w:space="0"/>
              <w:bottom w:val="single" w:color="auto" w:sz="4" w:space="0"/>
              <w:right w:val="single" w:color="auto" w:sz="4" w:space="0"/>
            </w:tcBorders>
          </w:tcPr>
          <w:p w14:paraId="3502CFFF">
            <w:pPr>
              <w:spacing w:line="34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  ……</w:t>
            </w:r>
          </w:p>
        </w:tc>
        <w:tc>
          <w:tcPr>
            <w:tcW w:w="2835" w:type="dxa"/>
            <w:tcBorders>
              <w:top w:val="single" w:color="auto" w:sz="4" w:space="0"/>
              <w:left w:val="single" w:color="auto" w:sz="4" w:space="0"/>
              <w:bottom w:val="single" w:color="auto" w:sz="4" w:space="0"/>
              <w:right w:val="single" w:color="auto" w:sz="4" w:space="0"/>
            </w:tcBorders>
          </w:tcPr>
          <w:p w14:paraId="6EC3D6EE">
            <w:pPr>
              <w:spacing w:line="30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  ……</w:t>
            </w:r>
          </w:p>
        </w:tc>
        <w:tc>
          <w:tcPr>
            <w:tcW w:w="2786" w:type="dxa"/>
            <w:tcBorders>
              <w:top w:val="single" w:color="auto" w:sz="4" w:space="0"/>
              <w:left w:val="single" w:color="auto" w:sz="4" w:space="0"/>
              <w:bottom w:val="single" w:color="auto" w:sz="4" w:space="0"/>
              <w:right w:val="single" w:color="auto" w:sz="4" w:space="0"/>
            </w:tcBorders>
          </w:tcPr>
          <w:p w14:paraId="50ECF6F6">
            <w:pPr>
              <w:spacing w:line="30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r>
      <w:tr w14:paraId="27DE5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91" w:type="dxa"/>
            <w:vMerge w:val="continue"/>
            <w:tcBorders>
              <w:top w:val="single" w:color="auto" w:sz="4" w:space="0"/>
              <w:left w:val="single" w:color="auto" w:sz="4" w:space="0"/>
              <w:bottom w:val="single" w:color="auto" w:sz="4" w:space="0"/>
              <w:right w:val="single" w:color="auto" w:sz="4" w:space="0"/>
            </w:tcBorders>
            <w:vAlign w:val="center"/>
          </w:tcPr>
          <w:p w14:paraId="161ABB00">
            <w:pPr>
              <w:widowControl/>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3273" w:type="dxa"/>
            <w:tcBorders>
              <w:top w:val="single" w:color="auto" w:sz="4" w:space="0"/>
              <w:left w:val="single" w:color="auto" w:sz="4" w:space="0"/>
              <w:bottom w:val="single" w:color="auto" w:sz="4" w:space="0"/>
              <w:right w:val="single" w:color="auto" w:sz="4" w:space="0"/>
            </w:tcBorders>
          </w:tcPr>
          <w:p w14:paraId="1F754B89">
            <w:pPr>
              <w:spacing w:line="34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tc>
        <w:tc>
          <w:tcPr>
            <w:tcW w:w="2835" w:type="dxa"/>
            <w:tcBorders>
              <w:top w:val="single" w:color="auto" w:sz="4" w:space="0"/>
              <w:left w:val="single" w:color="auto" w:sz="4" w:space="0"/>
              <w:bottom w:val="single" w:color="auto" w:sz="4" w:space="0"/>
              <w:right w:val="single" w:color="auto" w:sz="4" w:space="0"/>
            </w:tcBorders>
          </w:tcPr>
          <w:p w14:paraId="16385207">
            <w:pPr>
              <w:spacing w:line="30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tc>
        <w:tc>
          <w:tcPr>
            <w:tcW w:w="2786" w:type="dxa"/>
            <w:tcBorders>
              <w:top w:val="single" w:color="auto" w:sz="4" w:space="0"/>
              <w:left w:val="single" w:color="auto" w:sz="4" w:space="0"/>
              <w:bottom w:val="single" w:color="auto" w:sz="4" w:space="0"/>
              <w:right w:val="single" w:color="auto" w:sz="4" w:space="0"/>
            </w:tcBorders>
          </w:tcPr>
          <w:p w14:paraId="1896B251">
            <w:pPr>
              <w:spacing w:line="30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r>
      <w:tr w14:paraId="1F69C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91" w:type="dxa"/>
            <w:vMerge w:val="restart"/>
            <w:tcBorders>
              <w:top w:val="single" w:color="auto" w:sz="4" w:space="0"/>
              <w:left w:val="single" w:color="auto" w:sz="4" w:space="0"/>
              <w:bottom w:val="single" w:color="auto" w:sz="4" w:space="0"/>
              <w:right w:val="single" w:color="auto" w:sz="4" w:space="0"/>
            </w:tcBorders>
          </w:tcPr>
          <w:p w14:paraId="6784182B">
            <w:pPr>
              <w:spacing w:line="34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二</w:t>
            </w:r>
          </w:p>
        </w:tc>
        <w:tc>
          <w:tcPr>
            <w:tcW w:w="3273" w:type="dxa"/>
            <w:tcBorders>
              <w:top w:val="single" w:color="auto" w:sz="4" w:space="0"/>
              <w:left w:val="single" w:color="auto" w:sz="4" w:space="0"/>
              <w:bottom w:val="single" w:color="auto" w:sz="4" w:space="0"/>
              <w:right w:val="single" w:color="auto" w:sz="4" w:space="0"/>
            </w:tcBorders>
          </w:tcPr>
          <w:p w14:paraId="16D810F4">
            <w:pP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  ……</w:t>
            </w:r>
          </w:p>
        </w:tc>
        <w:tc>
          <w:tcPr>
            <w:tcW w:w="2835" w:type="dxa"/>
            <w:tcBorders>
              <w:top w:val="single" w:color="auto" w:sz="4" w:space="0"/>
              <w:left w:val="single" w:color="auto" w:sz="4" w:space="0"/>
              <w:bottom w:val="single" w:color="auto" w:sz="4" w:space="0"/>
              <w:right w:val="single" w:color="auto" w:sz="4" w:space="0"/>
            </w:tcBorders>
          </w:tcPr>
          <w:p w14:paraId="4C849F39">
            <w:pP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  ……</w:t>
            </w:r>
          </w:p>
        </w:tc>
        <w:tc>
          <w:tcPr>
            <w:tcW w:w="2786" w:type="dxa"/>
            <w:tcBorders>
              <w:top w:val="single" w:color="auto" w:sz="4" w:space="0"/>
              <w:left w:val="single" w:color="auto" w:sz="4" w:space="0"/>
              <w:bottom w:val="single" w:color="auto" w:sz="4" w:space="0"/>
              <w:right w:val="single" w:color="auto" w:sz="4" w:space="0"/>
            </w:tcBorders>
          </w:tcPr>
          <w:p w14:paraId="59475E3E">
            <w:pPr>
              <w:spacing w:line="30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r>
      <w:tr w14:paraId="0D258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91" w:type="dxa"/>
            <w:vMerge w:val="continue"/>
            <w:tcBorders>
              <w:top w:val="single" w:color="auto" w:sz="4" w:space="0"/>
              <w:left w:val="single" w:color="auto" w:sz="4" w:space="0"/>
              <w:bottom w:val="single" w:color="auto" w:sz="4" w:space="0"/>
              <w:right w:val="single" w:color="auto" w:sz="4" w:space="0"/>
            </w:tcBorders>
            <w:vAlign w:val="center"/>
          </w:tcPr>
          <w:p w14:paraId="40A2F7B7">
            <w:pPr>
              <w:widowControl/>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3273" w:type="dxa"/>
            <w:tcBorders>
              <w:top w:val="single" w:color="auto" w:sz="4" w:space="0"/>
              <w:left w:val="single" w:color="auto" w:sz="4" w:space="0"/>
              <w:bottom w:val="single" w:color="auto" w:sz="4" w:space="0"/>
              <w:right w:val="single" w:color="auto" w:sz="4" w:space="0"/>
            </w:tcBorders>
          </w:tcPr>
          <w:p w14:paraId="36A0FDB0">
            <w:pPr>
              <w:spacing w:line="34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  ……</w:t>
            </w:r>
          </w:p>
        </w:tc>
        <w:tc>
          <w:tcPr>
            <w:tcW w:w="2835" w:type="dxa"/>
            <w:tcBorders>
              <w:top w:val="single" w:color="auto" w:sz="4" w:space="0"/>
              <w:left w:val="single" w:color="auto" w:sz="4" w:space="0"/>
              <w:bottom w:val="single" w:color="auto" w:sz="4" w:space="0"/>
              <w:right w:val="single" w:color="auto" w:sz="4" w:space="0"/>
            </w:tcBorders>
          </w:tcPr>
          <w:p w14:paraId="65296D38">
            <w:pPr>
              <w:spacing w:line="30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  ……</w:t>
            </w:r>
          </w:p>
        </w:tc>
        <w:tc>
          <w:tcPr>
            <w:tcW w:w="2786" w:type="dxa"/>
            <w:tcBorders>
              <w:top w:val="single" w:color="auto" w:sz="4" w:space="0"/>
              <w:left w:val="single" w:color="auto" w:sz="4" w:space="0"/>
              <w:bottom w:val="single" w:color="auto" w:sz="4" w:space="0"/>
              <w:right w:val="single" w:color="auto" w:sz="4" w:space="0"/>
            </w:tcBorders>
          </w:tcPr>
          <w:p w14:paraId="524DE4EA">
            <w:pPr>
              <w:spacing w:line="30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r>
      <w:tr w14:paraId="67306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91" w:type="dxa"/>
            <w:vMerge w:val="continue"/>
            <w:tcBorders>
              <w:top w:val="single" w:color="auto" w:sz="4" w:space="0"/>
              <w:left w:val="single" w:color="auto" w:sz="4" w:space="0"/>
              <w:bottom w:val="single" w:color="auto" w:sz="4" w:space="0"/>
              <w:right w:val="single" w:color="auto" w:sz="4" w:space="0"/>
            </w:tcBorders>
            <w:vAlign w:val="center"/>
          </w:tcPr>
          <w:p w14:paraId="3F306BAC">
            <w:pPr>
              <w:widowControl/>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3273" w:type="dxa"/>
            <w:tcBorders>
              <w:top w:val="single" w:color="auto" w:sz="4" w:space="0"/>
              <w:left w:val="single" w:color="auto" w:sz="4" w:space="0"/>
              <w:bottom w:val="single" w:color="auto" w:sz="4" w:space="0"/>
              <w:right w:val="single" w:color="auto" w:sz="4" w:space="0"/>
            </w:tcBorders>
          </w:tcPr>
          <w:p w14:paraId="2D7BE4E8">
            <w:pPr>
              <w:spacing w:line="34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  ……</w:t>
            </w:r>
          </w:p>
        </w:tc>
        <w:tc>
          <w:tcPr>
            <w:tcW w:w="2835" w:type="dxa"/>
            <w:tcBorders>
              <w:top w:val="single" w:color="auto" w:sz="4" w:space="0"/>
              <w:left w:val="single" w:color="auto" w:sz="4" w:space="0"/>
              <w:bottom w:val="single" w:color="auto" w:sz="4" w:space="0"/>
              <w:right w:val="single" w:color="auto" w:sz="4" w:space="0"/>
            </w:tcBorders>
          </w:tcPr>
          <w:p w14:paraId="0A080073">
            <w:pPr>
              <w:spacing w:line="30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  ……</w:t>
            </w:r>
          </w:p>
        </w:tc>
        <w:tc>
          <w:tcPr>
            <w:tcW w:w="2786" w:type="dxa"/>
            <w:tcBorders>
              <w:top w:val="single" w:color="auto" w:sz="4" w:space="0"/>
              <w:left w:val="single" w:color="auto" w:sz="4" w:space="0"/>
              <w:bottom w:val="single" w:color="auto" w:sz="4" w:space="0"/>
              <w:right w:val="single" w:color="auto" w:sz="4" w:space="0"/>
            </w:tcBorders>
          </w:tcPr>
          <w:p w14:paraId="11EE2E6B">
            <w:pPr>
              <w:spacing w:line="30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r>
      <w:tr w14:paraId="45627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91" w:type="dxa"/>
            <w:vMerge w:val="continue"/>
            <w:tcBorders>
              <w:top w:val="single" w:color="auto" w:sz="4" w:space="0"/>
              <w:left w:val="single" w:color="auto" w:sz="4" w:space="0"/>
              <w:bottom w:val="single" w:color="auto" w:sz="4" w:space="0"/>
              <w:right w:val="single" w:color="auto" w:sz="4" w:space="0"/>
            </w:tcBorders>
            <w:vAlign w:val="center"/>
          </w:tcPr>
          <w:p w14:paraId="7E09A9B9">
            <w:pPr>
              <w:widowControl/>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3273" w:type="dxa"/>
            <w:tcBorders>
              <w:top w:val="single" w:color="auto" w:sz="4" w:space="0"/>
              <w:left w:val="single" w:color="auto" w:sz="4" w:space="0"/>
              <w:bottom w:val="single" w:color="auto" w:sz="4" w:space="0"/>
              <w:right w:val="single" w:color="auto" w:sz="4" w:space="0"/>
            </w:tcBorders>
          </w:tcPr>
          <w:p w14:paraId="7A5A4415">
            <w:pPr>
              <w:spacing w:line="34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tc>
        <w:tc>
          <w:tcPr>
            <w:tcW w:w="2835" w:type="dxa"/>
            <w:tcBorders>
              <w:top w:val="single" w:color="auto" w:sz="4" w:space="0"/>
              <w:left w:val="single" w:color="auto" w:sz="4" w:space="0"/>
              <w:bottom w:val="single" w:color="auto" w:sz="4" w:space="0"/>
              <w:right w:val="single" w:color="auto" w:sz="4" w:space="0"/>
            </w:tcBorders>
          </w:tcPr>
          <w:p w14:paraId="7A45A52D">
            <w:pPr>
              <w:spacing w:line="30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tc>
        <w:tc>
          <w:tcPr>
            <w:tcW w:w="2786" w:type="dxa"/>
            <w:tcBorders>
              <w:top w:val="single" w:color="auto" w:sz="4" w:space="0"/>
              <w:left w:val="single" w:color="auto" w:sz="4" w:space="0"/>
              <w:bottom w:val="single" w:color="auto" w:sz="4" w:space="0"/>
              <w:right w:val="single" w:color="auto" w:sz="4" w:space="0"/>
            </w:tcBorders>
          </w:tcPr>
          <w:p w14:paraId="7AAD055D">
            <w:pPr>
              <w:spacing w:line="30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r>
      <w:tr w14:paraId="01A3F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91" w:type="dxa"/>
            <w:vMerge w:val="restart"/>
            <w:tcBorders>
              <w:top w:val="single" w:color="auto" w:sz="4" w:space="0"/>
              <w:left w:val="single" w:color="auto" w:sz="4" w:space="0"/>
              <w:bottom w:val="single" w:color="auto" w:sz="4" w:space="0"/>
              <w:right w:val="single" w:color="auto" w:sz="4" w:space="0"/>
            </w:tcBorders>
          </w:tcPr>
          <w:p w14:paraId="6A4AED90">
            <w:pPr>
              <w:spacing w:line="34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tc>
        <w:tc>
          <w:tcPr>
            <w:tcW w:w="3273" w:type="dxa"/>
            <w:tcBorders>
              <w:top w:val="single" w:color="auto" w:sz="4" w:space="0"/>
              <w:left w:val="single" w:color="auto" w:sz="4" w:space="0"/>
              <w:bottom w:val="single" w:color="auto" w:sz="4" w:space="0"/>
              <w:right w:val="single" w:color="auto" w:sz="4" w:space="0"/>
            </w:tcBorders>
          </w:tcPr>
          <w:p w14:paraId="304DCC9B">
            <w:pP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  ……</w:t>
            </w:r>
          </w:p>
        </w:tc>
        <w:tc>
          <w:tcPr>
            <w:tcW w:w="2835" w:type="dxa"/>
            <w:tcBorders>
              <w:top w:val="single" w:color="auto" w:sz="4" w:space="0"/>
              <w:left w:val="single" w:color="auto" w:sz="4" w:space="0"/>
              <w:bottom w:val="single" w:color="auto" w:sz="4" w:space="0"/>
              <w:right w:val="single" w:color="auto" w:sz="4" w:space="0"/>
            </w:tcBorders>
          </w:tcPr>
          <w:p w14:paraId="720222FF">
            <w:pP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  ……</w:t>
            </w:r>
          </w:p>
        </w:tc>
        <w:tc>
          <w:tcPr>
            <w:tcW w:w="2786" w:type="dxa"/>
            <w:tcBorders>
              <w:top w:val="single" w:color="auto" w:sz="4" w:space="0"/>
              <w:left w:val="single" w:color="auto" w:sz="4" w:space="0"/>
              <w:bottom w:val="single" w:color="auto" w:sz="4" w:space="0"/>
              <w:right w:val="single" w:color="auto" w:sz="4" w:space="0"/>
            </w:tcBorders>
          </w:tcPr>
          <w:p w14:paraId="009AB5EF">
            <w:pPr>
              <w:spacing w:line="30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r>
      <w:tr w14:paraId="2F13D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91" w:type="dxa"/>
            <w:vMerge w:val="continue"/>
            <w:tcBorders>
              <w:top w:val="single" w:color="auto" w:sz="4" w:space="0"/>
              <w:left w:val="single" w:color="auto" w:sz="4" w:space="0"/>
              <w:bottom w:val="single" w:color="auto" w:sz="4" w:space="0"/>
              <w:right w:val="single" w:color="auto" w:sz="4" w:space="0"/>
            </w:tcBorders>
            <w:vAlign w:val="center"/>
          </w:tcPr>
          <w:p w14:paraId="7B60E83D">
            <w:pPr>
              <w:widowControl/>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3273" w:type="dxa"/>
            <w:tcBorders>
              <w:top w:val="single" w:color="auto" w:sz="4" w:space="0"/>
              <w:left w:val="single" w:color="auto" w:sz="4" w:space="0"/>
              <w:bottom w:val="single" w:color="auto" w:sz="4" w:space="0"/>
              <w:right w:val="single" w:color="auto" w:sz="4" w:space="0"/>
            </w:tcBorders>
          </w:tcPr>
          <w:p w14:paraId="07761E16">
            <w:pPr>
              <w:spacing w:line="34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  ……</w:t>
            </w:r>
          </w:p>
        </w:tc>
        <w:tc>
          <w:tcPr>
            <w:tcW w:w="2835" w:type="dxa"/>
            <w:tcBorders>
              <w:top w:val="single" w:color="auto" w:sz="4" w:space="0"/>
              <w:left w:val="single" w:color="auto" w:sz="4" w:space="0"/>
              <w:bottom w:val="single" w:color="auto" w:sz="4" w:space="0"/>
              <w:right w:val="single" w:color="auto" w:sz="4" w:space="0"/>
            </w:tcBorders>
          </w:tcPr>
          <w:p w14:paraId="14770944">
            <w:pPr>
              <w:spacing w:line="30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  ……</w:t>
            </w:r>
          </w:p>
        </w:tc>
        <w:tc>
          <w:tcPr>
            <w:tcW w:w="2786" w:type="dxa"/>
            <w:tcBorders>
              <w:top w:val="single" w:color="auto" w:sz="4" w:space="0"/>
              <w:left w:val="single" w:color="auto" w:sz="4" w:space="0"/>
              <w:bottom w:val="single" w:color="auto" w:sz="4" w:space="0"/>
              <w:right w:val="single" w:color="auto" w:sz="4" w:space="0"/>
            </w:tcBorders>
          </w:tcPr>
          <w:p w14:paraId="3D17509F">
            <w:pPr>
              <w:spacing w:line="30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r>
      <w:tr w14:paraId="17EFF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91" w:type="dxa"/>
            <w:vMerge w:val="continue"/>
            <w:tcBorders>
              <w:top w:val="single" w:color="auto" w:sz="4" w:space="0"/>
              <w:left w:val="single" w:color="auto" w:sz="4" w:space="0"/>
              <w:bottom w:val="single" w:color="auto" w:sz="4" w:space="0"/>
              <w:right w:val="single" w:color="auto" w:sz="4" w:space="0"/>
            </w:tcBorders>
            <w:vAlign w:val="center"/>
          </w:tcPr>
          <w:p w14:paraId="478F9C0C">
            <w:pPr>
              <w:widowControl/>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3273" w:type="dxa"/>
            <w:tcBorders>
              <w:top w:val="single" w:color="auto" w:sz="4" w:space="0"/>
              <w:left w:val="single" w:color="auto" w:sz="4" w:space="0"/>
              <w:bottom w:val="single" w:color="auto" w:sz="4" w:space="0"/>
              <w:right w:val="single" w:color="auto" w:sz="4" w:space="0"/>
            </w:tcBorders>
          </w:tcPr>
          <w:p w14:paraId="0F9C7C11">
            <w:pPr>
              <w:spacing w:line="34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  ……</w:t>
            </w:r>
          </w:p>
        </w:tc>
        <w:tc>
          <w:tcPr>
            <w:tcW w:w="2835" w:type="dxa"/>
            <w:tcBorders>
              <w:top w:val="single" w:color="auto" w:sz="4" w:space="0"/>
              <w:left w:val="single" w:color="auto" w:sz="4" w:space="0"/>
              <w:bottom w:val="single" w:color="auto" w:sz="4" w:space="0"/>
              <w:right w:val="single" w:color="auto" w:sz="4" w:space="0"/>
            </w:tcBorders>
          </w:tcPr>
          <w:p w14:paraId="03ECB69B">
            <w:pPr>
              <w:spacing w:line="30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  ……</w:t>
            </w:r>
          </w:p>
        </w:tc>
        <w:tc>
          <w:tcPr>
            <w:tcW w:w="2786" w:type="dxa"/>
            <w:tcBorders>
              <w:top w:val="single" w:color="auto" w:sz="4" w:space="0"/>
              <w:left w:val="single" w:color="auto" w:sz="4" w:space="0"/>
              <w:bottom w:val="single" w:color="auto" w:sz="4" w:space="0"/>
              <w:right w:val="single" w:color="auto" w:sz="4" w:space="0"/>
            </w:tcBorders>
          </w:tcPr>
          <w:p w14:paraId="7B1BB381">
            <w:pPr>
              <w:spacing w:line="30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r>
      <w:tr w14:paraId="51246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91" w:type="dxa"/>
            <w:vMerge w:val="continue"/>
            <w:tcBorders>
              <w:top w:val="single" w:color="auto" w:sz="4" w:space="0"/>
              <w:left w:val="single" w:color="auto" w:sz="4" w:space="0"/>
              <w:bottom w:val="single" w:color="auto" w:sz="4" w:space="0"/>
              <w:right w:val="single" w:color="auto" w:sz="4" w:space="0"/>
            </w:tcBorders>
            <w:vAlign w:val="center"/>
          </w:tcPr>
          <w:p w14:paraId="3AD99626">
            <w:pPr>
              <w:widowControl/>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3273" w:type="dxa"/>
            <w:tcBorders>
              <w:top w:val="single" w:color="auto" w:sz="4" w:space="0"/>
              <w:left w:val="single" w:color="auto" w:sz="4" w:space="0"/>
              <w:bottom w:val="single" w:color="auto" w:sz="4" w:space="0"/>
              <w:right w:val="single" w:color="auto" w:sz="4" w:space="0"/>
            </w:tcBorders>
          </w:tcPr>
          <w:p w14:paraId="213E8916">
            <w:pPr>
              <w:spacing w:line="34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tc>
        <w:tc>
          <w:tcPr>
            <w:tcW w:w="2835" w:type="dxa"/>
            <w:tcBorders>
              <w:top w:val="single" w:color="auto" w:sz="4" w:space="0"/>
              <w:left w:val="single" w:color="auto" w:sz="4" w:space="0"/>
              <w:bottom w:val="single" w:color="auto" w:sz="4" w:space="0"/>
              <w:right w:val="single" w:color="auto" w:sz="4" w:space="0"/>
            </w:tcBorders>
          </w:tcPr>
          <w:p w14:paraId="67B359F9">
            <w:pPr>
              <w:spacing w:line="30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tc>
        <w:tc>
          <w:tcPr>
            <w:tcW w:w="2786" w:type="dxa"/>
            <w:tcBorders>
              <w:top w:val="single" w:color="auto" w:sz="4" w:space="0"/>
              <w:left w:val="single" w:color="auto" w:sz="4" w:space="0"/>
              <w:bottom w:val="single" w:color="auto" w:sz="4" w:space="0"/>
              <w:right w:val="single" w:color="auto" w:sz="4" w:space="0"/>
            </w:tcBorders>
          </w:tcPr>
          <w:p w14:paraId="606649E5">
            <w:pPr>
              <w:spacing w:line="30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r>
      <w:tr w14:paraId="699F6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9585" w:type="dxa"/>
            <w:gridSpan w:val="4"/>
            <w:tcBorders>
              <w:top w:val="single" w:color="auto" w:sz="4" w:space="0"/>
              <w:left w:val="single" w:color="auto" w:sz="4" w:space="0"/>
              <w:bottom w:val="single" w:color="auto" w:sz="4" w:space="0"/>
              <w:right w:val="single" w:color="auto" w:sz="4" w:space="0"/>
            </w:tcBorders>
          </w:tcPr>
          <w:p w14:paraId="4B601F08">
            <w:pPr>
              <w:spacing w:line="340" w:lineRule="exac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u w:val="single"/>
                <w14:textFill>
                  <w14:solidFill>
                    <w14:schemeClr w14:val="tx1"/>
                  </w14:solidFill>
                </w14:textFill>
              </w:rPr>
              <w:t>　　</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分标（此处有分标时填写具体分标号，无分标时填写“无”）</w:t>
            </w:r>
          </w:p>
        </w:tc>
      </w:tr>
    </w:tbl>
    <w:p w14:paraId="174E2ADF">
      <w:pPr>
        <w:pStyle w:val="14"/>
        <w:keepNext w:val="0"/>
        <w:keepLines w:val="0"/>
        <w:pageBreakBefore w:val="0"/>
        <w:widowControl w:val="0"/>
        <w:kinsoku/>
        <w:wordWrap/>
        <w:overflowPunct/>
        <w:topLinePunct w:val="0"/>
        <w:autoSpaceDE/>
        <w:autoSpaceDN/>
        <w:bidi w:val="0"/>
        <w:adjustRightInd/>
        <w:snapToGrid/>
        <w:spacing w:line="400" w:lineRule="exact"/>
        <w:ind w:firstLine="440" w:firstLineChars="200"/>
        <w:contextualSpacing/>
        <w:textAlignment w:val="auto"/>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注：</w:t>
      </w:r>
    </w:p>
    <w:p w14:paraId="54251B9A">
      <w:pPr>
        <w:pStyle w:val="14"/>
        <w:keepNext w:val="0"/>
        <w:keepLines w:val="0"/>
        <w:pageBreakBefore w:val="0"/>
        <w:widowControl w:val="0"/>
        <w:kinsoku/>
        <w:wordWrap/>
        <w:overflowPunct/>
        <w:topLinePunct w:val="0"/>
        <w:autoSpaceDE/>
        <w:autoSpaceDN/>
        <w:bidi w:val="0"/>
        <w:adjustRightInd/>
        <w:snapToGrid/>
        <w:spacing w:line="400" w:lineRule="exact"/>
        <w:ind w:firstLine="440" w:firstLineChars="200"/>
        <w:contextualSpacing/>
        <w:textAlignment w:val="auto"/>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1.说明：应对照磋商文件“第二章 采购需求”中的商务条款逐条作出明确响应，并作出偏离说明。</w:t>
      </w:r>
    </w:p>
    <w:p w14:paraId="30080D20">
      <w:pPr>
        <w:pStyle w:val="14"/>
        <w:keepNext w:val="0"/>
        <w:keepLines w:val="0"/>
        <w:pageBreakBefore w:val="0"/>
        <w:widowControl w:val="0"/>
        <w:kinsoku/>
        <w:wordWrap/>
        <w:overflowPunct/>
        <w:topLinePunct w:val="0"/>
        <w:autoSpaceDE/>
        <w:autoSpaceDN/>
        <w:bidi w:val="0"/>
        <w:adjustRightInd/>
        <w:snapToGrid/>
        <w:spacing w:line="400" w:lineRule="exact"/>
        <w:ind w:firstLine="440" w:firstLineChars="200"/>
        <w:contextualSpacing/>
        <w:textAlignment w:val="auto"/>
        <w:rPr>
          <w:rFonts w:hint="eastAsia" w:asciiTheme="minorEastAsia" w:hAnsiTheme="minorEastAsia" w:eastAsiaTheme="minorEastAsia" w:cstheme="minorEastAsia"/>
          <w:color w:val="000000" w:themeColor="text1"/>
          <w:sz w:val="22"/>
          <w:szCs w:val="22"/>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2.供应商应根据自身的承诺，对照磋商文件要求，在“偏离说明”中注明“正偏离”“负偏离”或者“无偏离”。既不属于“正偏离”也不属于“负偏离”即为“无偏离”。当响应文件的商务内容低于竞争性磋商采购文件要求时，竞标人应当如实写明“负偏离”，否则视为虚假应标</w:t>
      </w:r>
      <w:r>
        <w:rPr>
          <w:rFonts w:hint="eastAsia" w:asciiTheme="minorEastAsia" w:hAnsiTheme="minorEastAsia" w:eastAsiaTheme="minorEastAsia" w:cstheme="minorEastAsia"/>
          <w:color w:val="000000" w:themeColor="text1"/>
          <w:sz w:val="22"/>
          <w:szCs w:val="22"/>
          <w:highlight w:val="none"/>
          <w:lang w:eastAsia="zh-CN"/>
          <w14:textFill>
            <w14:solidFill>
              <w14:schemeClr w14:val="tx1"/>
            </w14:solidFill>
          </w14:textFill>
        </w:rPr>
        <w:t>。</w:t>
      </w:r>
    </w:p>
    <w:p w14:paraId="77B399A3">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Theme="minorEastAsia" w:hAnsiTheme="minorEastAsia" w:eastAsiaTheme="minorEastAsia" w:cstheme="minorEastAsia"/>
          <w:color w:val="000000" w:themeColor="text1"/>
          <w:kern w:val="0"/>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2"/>
          <w:szCs w:val="22"/>
          <w:highlight w:val="none"/>
          <w14:textFill>
            <w14:solidFill>
              <w14:schemeClr w14:val="tx1"/>
            </w14:solidFill>
          </w14:textFill>
        </w:rPr>
        <w:t>3.表格内容均须按要求填写，不得留空，否则按竞标无效处理。</w:t>
      </w:r>
    </w:p>
    <w:p w14:paraId="0C216401">
      <w:pPr>
        <w:pStyle w:val="16"/>
        <w:keepNext w:val="0"/>
        <w:keepLines w:val="0"/>
        <w:pageBreakBefore w:val="0"/>
        <w:widowControl w:val="0"/>
        <w:kinsoku/>
        <w:wordWrap/>
        <w:overflowPunct/>
        <w:topLinePunct w:val="0"/>
        <w:autoSpaceDE/>
        <w:autoSpaceDN/>
        <w:bidi w:val="0"/>
        <w:adjustRightInd/>
        <w:snapToGrid/>
        <w:spacing w:line="400" w:lineRule="exact"/>
        <w:ind w:firstLine="440" w:firstLineChars="200"/>
        <w:contextualSpacing/>
        <w:textAlignment w:val="auto"/>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4.如果采购需求为小于、小于等于、大于或大于等于某个数值标准时，响应文件承诺不得直接复制采购需求，响应文件承诺内容应当写明竞标货物具体参数或商务响应承诺的具体数值。如该采购需求属于不能明确具体数值的，采购人应在此采购需求的数值后标注◆号，对标注◆号的采购需求不适用上述“竞标无效”条款。</w:t>
      </w:r>
    </w:p>
    <w:p w14:paraId="2D2E5E99">
      <w:pPr>
        <w:spacing w:line="360" w:lineRule="auto"/>
        <w:ind w:firstLine="3520" w:firstLineChars="1600"/>
        <w:rPr>
          <w:rFonts w:hint="eastAsia" w:asciiTheme="minorEastAsia" w:hAnsiTheme="minorEastAsia" w:eastAsiaTheme="minorEastAsia" w:cstheme="minorEastAsia"/>
          <w:color w:val="000000" w:themeColor="text1"/>
          <w:kern w:val="0"/>
          <w:sz w:val="22"/>
          <w:szCs w:val="22"/>
          <w:highlight w:val="none"/>
          <w14:textFill>
            <w14:solidFill>
              <w14:schemeClr w14:val="tx1"/>
            </w14:solidFill>
          </w14:textFill>
        </w:rPr>
      </w:pPr>
      <w:bookmarkStart w:id="107" w:name="_GoBack"/>
      <w:bookmarkEnd w:id="107"/>
    </w:p>
    <w:p w14:paraId="0C60FA9B">
      <w:pPr>
        <w:keepNext w:val="0"/>
        <w:keepLines w:val="0"/>
        <w:pageBreakBefore w:val="0"/>
        <w:widowControl w:val="0"/>
        <w:kinsoku/>
        <w:wordWrap/>
        <w:overflowPunct/>
        <w:topLinePunct w:val="0"/>
        <w:autoSpaceDE/>
        <w:autoSpaceDN/>
        <w:bidi w:val="0"/>
        <w:adjustRightInd/>
        <w:snapToGrid/>
        <w:spacing w:line="600" w:lineRule="exact"/>
        <w:ind w:firstLine="3680" w:firstLineChars="1600"/>
        <w:textAlignment w:val="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t>供应商名称（电子签章）：</w:t>
      </w:r>
    </w:p>
    <w:p w14:paraId="2CEE9683">
      <w:pPr>
        <w:keepNext w:val="0"/>
        <w:keepLines w:val="0"/>
        <w:pageBreakBefore w:val="0"/>
        <w:widowControl w:val="0"/>
        <w:kinsoku/>
        <w:wordWrap/>
        <w:overflowPunct/>
        <w:topLinePunct w:val="0"/>
        <w:autoSpaceDE/>
        <w:autoSpaceDN/>
        <w:bidi w:val="0"/>
        <w:adjustRightInd/>
        <w:snapToGrid/>
        <w:spacing w:line="600" w:lineRule="exact"/>
        <w:contextualSpacing/>
        <w:jc w:val="center"/>
        <w:textAlignment w:val="auto"/>
        <w:rPr>
          <w:rFonts w:hint="eastAsia" w:asciiTheme="minorEastAsia" w:hAnsiTheme="minorEastAsia" w:eastAsiaTheme="minorEastAsia" w:cstheme="minorEastAsia"/>
          <w:color w:val="000000" w:themeColor="text1"/>
          <w:kern w:val="0"/>
          <w:sz w:val="23"/>
          <w:szCs w:val="23"/>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kern w:val="0"/>
          <w:sz w:val="23"/>
          <w:szCs w:val="23"/>
          <w:highlight w:val="none"/>
          <w:lang w:val="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3"/>
          <w:szCs w:val="23"/>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3"/>
          <w:szCs w:val="23"/>
          <w:highlight w:val="none"/>
          <w:lang w:val="zh-CN"/>
          <w14:textFill>
            <w14:solidFill>
              <w14:schemeClr w14:val="tx1"/>
            </w14:solidFill>
          </w14:textFill>
        </w:rPr>
        <w:t xml:space="preserve">    日期： </w:t>
      </w:r>
      <w:r>
        <w:rPr>
          <w:rFonts w:hint="eastAsia" w:asciiTheme="minorEastAsia" w:hAnsiTheme="minorEastAsia" w:eastAsiaTheme="minorEastAsia" w:cstheme="minorEastAsia"/>
          <w:color w:val="000000" w:themeColor="text1"/>
          <w:kern w:val="0"/>
          <w:sz w:val="23"/>
          <w:szCs w:val="23"/>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3"/>
          <w:szCs w:val="23"/>
          <w:highlight w:val="none"/>
          <w:lang w:val="zh-CN"/>
          <w14:textFill>
            <w14:solidFill>
              <w14:schemeClr w14:val="tx1"/>
            </w14:solidFill>
          </w14:textFill>
        </w:rPr>
        <w:t xml:space="preserve"> 年 </w:t>
      </w:r>
      <w:r>
        <w:rPr>
          <w:rFonts w:hint="eastAsia" w:asciiTheme="minorEastAsia" w:hAnsiTheme="minorEastAsia" w:eastAsiaTheme="minorEastAsia" w:cstheme="minorEastAsia"/>
          <w:color w:val="000000" w:themeColor="text1"/>
          <w:kern w:val="0"/>
          <w:sz w:val="23"/>
          <w:szCs w:val="23"/>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3"/>
          <w:szCs w:val="23"/>
          <w:highlight w:val="none"/>
          <w:lang w:val="zh-CN"/>
          <w14:textFill>
            <w14:solidFill>
              <w14:schemeClr w14:val="tx1"/>
            </w14:solidFill>
          </w14:textFill>
        </w:rPr>
        <w:t xml:space="preserve"> 月   日</w:t>
      </w:r>
    </w:p>
    <w:p w14:paraId="12F24345">
      <w:pPr>
        <w:spacing w:line="360" w:lineRule="auto"/>
        <w:contextualSpacing/>
        <w:jc w:val="center"/>
        <w:rPr>
          <w:rFonts w:hint="eastAsia" w:asciiTheme="minorEastAsia" w:hAnsiTheme="minorEastAsia" w:eastAsiaTheme="minorEastAsia" w:cstheme="minorEastAsia"/>
          <w:b/>
          <w:color w:val="000000" w:themeColor="text1"/>
          <w:sz w:val="24"/>
          <w:highlight w:val="none"/>
          <w14:textFill>
            <w14:solidFill>
              <w14:schemeClr w14:val="tx1"/>
            </w14:solidFill>
          </w14:textFill>
        </w:rPr>
      </w:pPr>
    </w:p>
    <w:p w14:paraId="7525BCF9">
      <w:pPr>
        <w:snapToGrid w:val="0"/>
        <w:spacing w:line="360" w:lineRule="auto"/>
        <w:ind w:firstLine="602" w:firstLineChars="200"/>
        <w:rPr>
          <w:rFonts w:hint="eastAsia" w:asciiTheme="minorEastAsia" w:hAnsiTheme="minorEastAsia" w:eastAsiaTheme="minorEastAsia" w:cstheme="minorEastAsia"/>
          <w:b/>
          <w:color w:val="000000" w:themeColor="text1"/>
          <w:sz w:val="30"/>
          <w:szCs w:val="30"/>
          <w:highlight w:val="none"/>
          <w14:textFill>
            <w14:solidFill>
              <w14:schemeClr w14:val="tx1"/>
            </w14:solidFill>
          </w14:textFill>
        </w:rPr>
      </w:pPr>
    </w:p>
    <w:p w14:paraId="0AC984FA">
      <w:pPr>
        <w:spacing w:line="360" w:lineRule="auto"/>
        <w:jc w:val="left"/>
        <w:rPr>
          <w:rFonts w:hint="eastAsia" w:asciiTheme="minorEastAsia" w:hAnsiTheme="minorEastAsia" w:eastAsiaTheme="minorEastAsia" w:cstheme="minorEastAsia"/>
          <w:b/>
          <w:color w:val="000000" w:themeColor="text1"/>
          <w:sz w:val="28"/>
          <w:szCs w:val="28"/>
          <w:highlight w:val="none"/>
          <w:lang w:val="en-US" w:eastAsia="zh-CN"/>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五、竞标人</w:t>
      </w:r>
      <w:r>
        <w:rPr>
          <w:rFonts w:hint="eastAsia" w:asciiTheme="minorEastAsia" w:hAnsiTheme="minorEastAsia" w:eastAsiaTheme="minorEastAsia" w:cstheme="minorEastAsia"/>
          <w:b/>
          <w:color w:val="000000" w:themeColor="text1"/>
          <w:sz w:val="28"/>
          <w:szCs w:val="28"/>
          <w:highlight w:val="none"/>
          <w:lang w:val="en-US" w:eastAsia="zh-CN"/>
          <w14:textFill>
            <w14:solidFill>
              <w14:schemeClr w14:val="tx1"/>
            </w14:solidFill>
          </w14:textFill>
        </w:rPr>
        <w:t>基本</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情况</w:t>
      </w:r>
      <w:r>
        <w:rPr>
          <w:rFonts w:hint="eastAsia" w:asciiTheme="minorEastAsia" w:hAnsiTheme="minorEastAsia" w:eastAsiaTheme="minorEastAsia" w:cstheme="minorEastAsia"/>
          <w:b/>
          <w:color w:val="000000" w:themeColor="text1"/>
          <w:sz w:val="28"/>
          <w:szCs w:val="28"/>
          <w:highlight w:val="none"/>
          <w:lang w:val="en-US" w:eastAsia="zh-CN"/>
          <w14:textFill>
            <w14:solidFill>
              <w14:schemeClr w14:val="tx1"/>
            </w14:solidFill>
          </w14:textFill>
        </w:rPr>
        <w:t>表</w:t>
      </w:r>
    </w:p>
    <w:p w14:paraId="53FE8C7D">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b/>
          <w:color w:val="000000" w:themeColor="text1"/>
          <w:sz w:val="34"/>
          <w:szCs w:val="3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34"/>
          <w:szCs w:val="34"/>
          <w:highlight w:val="none"/>
          <w14:textFill>
            <w14:solidFill>
              <w14:schemeClr w14:val="tx1"/>
            </w14:solidFill>
          </w14:textFill>
        </w:rPr>
        <w:t>竞标人基本情况表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2"/>
        <w:gridCol w:w="1680"/>
        <w:gridCol w:w="1188"/>
        <w:gridCol w:w="1896"/>
        <w:gridCol w:w="1292"/>
        <w:gridCol w:w="1517"/>
      </w:tblGrid>
      <w:tr w14:paraId="4B6A0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2" w:hRule="atLeast"/>
          <w:jc w:val="center"/>
        </w:trPr>
        <w:tc>
          <w:tcPr>
            <w:tcW w:w="1832" w:type="dxa"/>
            <w:vAlign w:val="center"/>
          </w:tcPr>
          <w:p w14:paraId="0A75A677">
            <w:pPr>
              <w:keepNext w:val="0"/>
              <w:keepLines w:val="0"/>
              <w:pageBreakBefore w:val="0"/>
              <w:widowControl w:val="0"/>
              <w:kinsoku/>
              <w:wordWrap/>
              <w:overflowPunct/>
              <w:topLinePunct w:val="0"/>
              <w:autoSpaceDE/>
              <w:autoSpaceDN/>
              <w:bidi w:val="0"/>
              <w:adjustRightInd/>
              <w:snapToGrid/>
              <w:spacing w:line="400" w:lineRule="exact"/>
              <w:ind w:left="-113" w:right="-113"/>
              <w:jc w:val="center"/>
              <w:textAlignment w:val="auto"/>
              <w:rPr>
                <w:rFonts w:ascii="宋体" w:hAnsi="宋体" w:eastAsia="宋体"/>
                <w:color w:val="auto"/>
                <w:szCs w:val="21"/>
                <w:highlight w:val="none"/>
              </w:rPr>
            </w:pPr>
            <w:r>
              <w:rPr>
                <w:rFonts w:hint="eastAsia" w:ascii="宋体" w:hAnsi="宋体" w:eastAsia="宋体"/>
                <w:color w:val="auto"/>
                <w:szCs w:val="21"/>
                <w:highlight w:val="none"/>
              </w:rPr>
              <w:t>单位名称</w:t>
            </w:r>
          </w:p>
        </w:tc>
        <w:tc>
          <w:tcPr>
            <w:tcW w:w="7573" w:type="dxa"/>
            <w:gridSpan w:val="5"/>
            <w:vAlign w:val="center"/>
          </w:tcPr>
          <w:p w14:paraId="1CED01C8">
            <w:pPr>
              <w:keepNext w:val="0"/>
              <w:keepLines w:val="0"/>
              <w:pageBreakBefore w:val="0"/>
              <w:widowControl w:val="0"/>
              <w:kinsoku/>
              <w:wordWrap/>
              <w:overflowPunct/>
              <w:topLinePunct w:val="0"/>
              <w:autoSpaceDE/>
              <w:autoSpaceDN/>
              <w:bidi w:val="0"/>
              <w:adjustRightInd/>
              <w:snapToGrid/>
              <w:spacing w:line="400" w:lineRule="exact"/>
              <w:ind w:left="-113" w:right="-113"/>
              <w:jc w:val="center"/>
              <w:textAlignment w:val="auto"/>
              <w:rPr>
                <w:rFonts w:ascii="宋体" w:hAnsi="宋体" w:eastAsia="宋体"/>
                <w:color w:val="auto"/>
                <w:szCs w:val="21"/>
                <w:highlight w:val="none"/>
              </w:rPr>
            </w:pPr>
          </w:p>
        </w:tc>
      </w:tr>
      <w:tr w14:paraId="76D47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832" w:type="dxa"/>
            <w:vAlign w:val="center"/>
          </w:tcPr>
          <w:p w14:paraId="53F7F5AB">
            <w:pPr>
              <w:keepNext w:val="0"/>
              <w:keepLines w:val="0"/>
              <w:pageBreakBefore w:val="0"/>
              <w:widowControl w:val="0"/>
              <w:kinsoku/>
              <w:wordWrap/>
              <w:overflowPunct/>
              <w:topLinePunct w:val="0"/>
              <w:autoSpaceDE/>
              <w:autoSpaceDN/>
              <w:bidi w:val="0"/>
              <w:adjustRightInd/>
              <w:snapToGrid/>
              <w:spacing w:line="400" w:lineRule="exact"/>
              <w:ind w:left="-113" w:right="-113"/>
              <w:jc w:val="center"/>
              <w:textAlignment w:val="auto"/>
              <w:rPr>
                <w:rFonts w:ascii="宋体" w:hAnsi="宋体" w:eastAsia="宋体"/>
                <w:color w:val="auto"/>
                <w:szCs w:val="21"/>
                <w:highlight w:val="none"/>
              </w:rPr>
            </w:pPr>
            <w:r>
              <w:rPr>
                <w:rFonts w:hint="eastAsia" w:ascii="宋体" w:hAnsi="宋体" w:eastAsia="宋体"/>
                <w:color w:val="auto"/>
                <w:szCs w:val="21"/>
                <w:highlight w:val="none"/>
              </w:rPr>
              <w:t>统一社会信用代码</w:t>
            </w:r>
          </w:p>
        </w:tc>
        <w:tc>
          <w:tcPr>
            <w:tcW w:w="7573" w:type="dxa"/>
            <w:gridSpan w:val="5"/>
            <w:vAlign w:val="center"/>
          </w:tcPr>
          <w:p w14:paraId="6A987BDB">
            <w:pPr>
              <w:keepNext w:val="0"/>
              <w:keepLines w:val="0"/>
              <w:pageBreakBefore w:val="0"/>
              <w:widowControl w:val="0"/>
              <w:kinsoku/>
              <w:wordWrap/>
              <w:overflowPunct/>
              <w:topLinePunct w:val="0"/>
              <w:autoSpaceDE/>
              <w:autoSpaceDN/>
              <w:bidi w:val="0"/>
              <w:adjustRightInd/>
              <w:snapToGrid/>
              <w:spacing w:line="400" w:lineRule="exact"/>
              <w:ind w:left="-113" w:right="-113"/>
              <w:jc w:val="center"/>
              <w:textAlignment w:val="auto"/>
              <w:rPr>
                <w:rFonts w:ascii="宋体" w:hAnsi="宋体" w:eastAsia="宋体"/>
                <w:color w:val="auto"/>
                <w:szCs w:val="21"/>
                <w:highlight w:val="none"/>
              </w:rPr>
            </w:pPr>
          </w:p>
        </w:tc>
      </w:tr>
      <w:tr w14:paraId="2AB23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832" w:type="dxa"/>
            <w:vAlign w:val="center"/>
          </w:tcPr>
          <w:p w14:paraId="3996A3D5">
            <w:pPr>
              <w:keepNext w:val="0"/>
              <w:keepLines w:val="0"/>
              <w:pageBreakBefore w:val="0"/>
              <w:widowControl w:val="0"/>
              <w:kinsoku/>
              <w:wordWrap/>
              <w:overflowPunct/>
              <w:topLinePunct w:val="0"/>
              <w:autoSpaceDE/>
              <w:autoSpaceDN/>
              <w:bidi w:val="0"/>
              <w:adjustRightInd/>
              <w:snapToGrid/>
              <w:spacing w:line="400" w:lineRule="exact"/>
              <w:ind w:left="-113" w:right="-113"/>
              <w:jc w:val="center"/>
              <w:textAlignment w:val="auto"/>
              <w:rPr>
                <w:rFonts w:ascii="宋体" w:hAnsi="宋体" w:eastAsia="宋体"/>
                <w:color w:val="auto"/>
                <w:szCs w:val="21"/>
                <w:highlight w:val="none"/>
              </w:rPr>
            </w:pPr>
            <w:r>
              <w:rPr>
                <w:rFonts w:hint="eastAsia" w:ascii="宋体" w:hAnsi="宋体" w:eastAsia="宋体"/>
                <w:color w:val="auto"/>
                <w:szCs w:val="21"/>
                <w:highlight w:val="none"/>
              </w:rPr>
              <w:t>注册地区</w:t>
            </w:r>
          </w:p>
        </w:tc>
        <w:tc>
          <w:tcPr>
            <w:tcW w:w="7573" w:type="dxa"/>
            <w:gridSpan w:val="5"/>
            <w:vAlign w:val="center"/>
          </w:tcPr>
          <w:p w14:paraId="6317FF83">
            <w:pPr>
              <w:keepNext w:val="0"/>
              <w:keepLines w:val="0"/>
              <w:pageBreakBefore w:val="0"/>
              <w:widowControl w:val="0"/>
              <w:kinsoku/>
              <w:wordWrap/>
              <w:overflowPunct/>
              <w:topLinePunct w:val="0"/>
              <w:autoSpaceDE/>
              <w:autoSpaceDN/>
              <w:bidi w:val="0"/>
              <w:adjustRightInd/>
              <w:snapToGrid/>
              <w:spacing w:line="400" w:lineRule="exact"/>
              <w:ind w:left="-113" w:right="-113"/>
              <w:jc w:val="center"/>
              <w:textAlignment w:val="auto"/>
              <w:rPr>
                <w:rFonts w:ascii="宋体" w:hAnsi="宋体" w:eastAsia="宋体"/>
                <w:color w:val="auto"/>
                <w:szCs w:val="21"/>
                <w:highlight w:val="none"/>
              </w:rPr>
            </w:pPr>
          </w:p>
        </w:tc>
      </w:tr>
      <w:tr w14:paraId="6A8A3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832" w:type="dxa"/>
            <w:vAlign w:val="center"/>
          </w:tcPr>
          <w:p w14:paraId="432082B9">
            <w:pPr>
              <w:keepNext w:val="0"/>
              <w:keepLines w:val="0"/>
              <w:pageBreakBefore w:val="0"/>
              <w:widowControl w:val="0"/>
              <w:kinsoku/>
              <w:wordWrap/>
              <w:overflowPunct/>
              <w:topLinePunct w:val="0"/>
              <w:autoSpaceDE/>
              <w:autoSpaceDN/>
              <w:bidi w:val="0"/>
              <w:adjustRightInd/>
              <w:snapToGrid/>
              <w:spacing w:line="400" w:lineRule="exact"/>
              <w:ind w:left="-113" w:right="-113"/>
              <w:jc w:val="center"/>
              <w:textAlignment w:val="auto"/>
              <w:rPr>
                <w:rFonts w:ascii="宋体" w:hAnsi="宋体" w:eastAsia="宋体"/>
                <w:color w:val="auto"/>
                <w:szCs w:val="21"/>
                <w:highlight w:val="none"/>
              </w:rPr>
            </w:pPr>
            <w:r>
              <w:rPr>
                <w:rFonts w:hint="eastAsia" w:ascii="宋体" w:hAnsi="宋体" w:eastAsia="宋体"/>
                <w:color w:val="auto"/>
                <w:szCs w:val="21"/>
                <w:highlight w:val="none"/>
              </w:rPr>
              <w:t>邮政编码</w:t>
            </w:r>
          </w:p>
        </w:tc>
        <w:tc>
          <w:tcPr>
            <w:tcW w:w="1680" w:type="dxa"/>
            <w:vAlign w:val="center"/>
          </w:tcPr>
          <w:p w14:paraId="5143DE6E">
            <w:pPr>
              <w:keepNext w:val="0"/>
              <w:keepLines w:val="0"/>
              <w:pageBreakBefore w:val="0"/>
              <w:widowControl w:val="0"/>
              <w:kinsoku/>
              <w:wordWrap/>
              <w:overflowPunct/>
              <w:topLinePunct w:val="0"/>
              <w:autoSpaceDE/>
              <w:autoSpaceDN/>
              <w:bidi w:val="0"/>
              <w:adjustRightInd/>
              <w:snapToGrid/>
              <w:spacing w:line="400" w:lineRule="exact"/>
              <w:ind w:left="-113" w:right="-113"/>
              <w:jc w:val="center"/>
              <w:textAlignment w:val="auto"/>
              <w:rPr>
                <w:rFonts w:ascii="宋体" w:hAnsi="宋体" w:eastAsia="宋体"/>
                <w:color w:val="auto"/>
                <w:szCs w:val="21"/>
                <w:highlight w:val="none"/>
              </w:rPr>
            </w:pPr>
          </w:p>
        </w:tc>
        <w:tc>
          <w:tcPr>
            <w:tcW w:w="1188" w:type="dxa"/>
            <w:vAlign w:val="center"/>
          </w:tcPr>
          <w:p w14:paraId="33B8F907">
            <w:pPr>
              <w:keepNext w:val="0"/>
              <w:keepLines w:val="0"/>
              <w:pageBreakBefore w:val="0"/>
              <w:widowControl w:val="0"/>
              <w:kinsoku/>
              <w:wordWrap/>
              <w:overflowPunct/>
              <w:topLinePunct w:val="0"/>
              <w:autoSpaceDE/>
              <w:autoSpaceDN/>
              <w:bidi w:val="0"/>
              <w:adjustRightInd/>
              <w:snapToGrid/>
              <w:spacing w:line="400" w:lineRule="exact"/>
              <w:ind w:left="-113" w:right="-113"/>
              <w:jc w:val="center"/>
              <w:textAlignment w:val="auto"/>
              <w:rPr>
                <w:rFonts w:ascii="宋体" w:hAnsi="宋体" w:eastAsia="宋体"/>
                <w:color w:val="auto"/>
                <w:szCs w:val="21"/>
                <w:highlight w:val="none"/>
              </w:rPr>
            </w:pPr>
            <w:r>
              <w:rPr>
                <w:rFonts w:hint="eastAsia" w:ascii="宋体" w:hAnsi="宋体" w:eastAsia="宋体"/>
                <w:color w:val="auto"/>
                <w:szCs w:val="21"/>
                <w:highlight w:val="none"/>
              </w:rPr>
              <w:t>详细地址</w:t>
            </w:r>
          </w:p>
        </w:tc>
        <w:tc>
          <w:tcPr>
            <w:tcW w:w="1896" w:type="dxa"/>
            <w:vAlign w:val="center"/>
          </w:tcPr>
          <w:p w14:paraId="5A365DEE">
            <w:pPr>
              <w:keepNext w:val="0"/>
              <w:keepLines w:val="0"/>
              <w:pageBreakBefore w:val="0"/>
              <w:widowControl w:val="0"/>
              <w:kinsoku/>
              <w:wordWrap/>
              <w:overflowPunct/>
              <w:topLinePunct w:val="0"/>
              <w:autoSpaceDE/>
              <w:autoSpaceDN/>
              <w:bidi w:val="0"/>
              <w:adjustRightInd/>
              <w:snapToGrid/>
              <w:spacing w:line="400" w:lineRule="exact"/>
              <w:ind w:left="-113" w:right="-113"/>
              <w:jc w:val="center"/>
              <w:textAlignment w:val="auto"/>
              <w:rPr>
                <w:rFonts w:ascii="宋体" w:hAnsi="宋体" w:eastAsia="宋体"/>
                <w:color w:val="auto"/>
                <w:szCs w:val="21"/>
                <w:highlight w:val="none"/>
              </w:rPr>
            </w:pPr>
          </w:p>
        </w:tc>
        <w:tc>
          <w:tcPr>
            <w:tcW w:w="1292" w:type="dxa"/>
            <w:vAlign w:val="center"/>
          </w:tcPr>
          <w:p w14:paraId="72BE4BE0">
            <w:pPr>
              <w:keepNext w:val="0"/>
              <w:keepLines w:val="0"/>
              <w:pageBreakBefore w:val="0"/>
              <w:widowControl w:val="0"/>
              <w:kinsoku/>
              <w:wordWrap/>
              <w:overflowPunct/>
              <w:topLinePunct w:val="0"/>
              <w:autoSpaceDE/>
              <w:autoSpaceDN/>
              <w:bidi w:val="0"/>
              <w:adjustRightInd/>
              <w:snapToGrid/>
              <w:spacing w:line="400" w:lineRule="exact"/>
              <w:ind w:left="-113" w:right="-113"/>
              <w:jc w:val="center"/>
              <w:textAlignment w:val="auto"/>
              <w:rPr>
                <w:rFonts w:ascii="宋体" w:hAnsi="宋体" w:eastAsia="宋体"/>
                <w:color w:val="auto"/>
                <w:szCs w:val="21"/>
                <w:highlight w:val="none"/>
              </w:rPr>
            </w:pPr>
            <w:r>
              <w:rPr>
                <w:rFonts w:hint="eastAsia" w:ascii="宋体" w:hAnsi="宋体" w:eastAsia="宋体"/>
                <w:color w:val="auto"/>
                <w:szCs w:val="21"/>
                <w:highlight w:val="none"/>
              </w:rPr>
              <w:t>企业联系人</w:t>
            </w:r>
          </w:p>
        </w:tc>
        <w:tc>
          <w:tcPr>
            <w:tcW w:w="1517" w:type="dxa"/>
            <w:vAlign w:val="center"/>
          </w:tcPr>
          <w:p w14:paraId="0971B71B">
            <w:pPr>
              <w:keepNext w:val="0"/>
              <w:keepLines w:val="0"/>
              <w:pageBreakBefore w:val="0"/>
              <w:widowControl w:val="0"/>
              <w:kinsoku/>
              <w:wordWrap/>
              <w:overflowPunct/>
              <w:topLinePunct w:val="0"/>
              <w:autoSpaceDE/>
              <w:autoSpaceDN/>
              <w:bidi w:val="0"/>
              <w:adjustRightInd/>
              <w:snapToGrid/>
              <w:spacing w:line="400" w:lineRule="exact"/>
              <w:ind w:left="-113" w:right="-113"/>
              <w:jc w:val="center"/>
              <w:textAlignment w:val="auto"/>
              <w:rPr>
                <w:rFonts w:ascii="宋体" w:hAnsi="宋体" w:eastAsia="宋体"/>
                <w:color w:val="auto"/>
                <w:szCs w:val="21"/>
                <w:highlight w:val="none"/>
              </w:rPr>
            </w:pPr>
          </w:p>
        </w:tc>
      </w:tr>
      <w:tr w14:paraId="45BE4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2" w:type="dxa"/>
            <w:vAlign w:val="center"/>
          </w:tcPr>
          <w:p w14:paraId="5418D21F">
            <w:pPr>
              <w:keepNext w:val="0"/>
              <w:keepLines w:val="0"/>
              <w:pageBreakBefore w:val="0"/>
              <w:widowControl w:val="0"/>
              <w:kinsoku/>
              <w:wordWrap/>
              <w:overflowPunct/>
              <w:topLinePunct w:val="0"/>
              <w:autoSpaceDE/>
              <w:autoSpaceDN/>
              <w:bidi w:val="0"/>
              <w:adjustRightInd/>
              <w:snapToGrid/>
              <w:spacing w:line="400" w:lineRule="exact"/>
              <w:ind w:left="-113" w:right="-113"/>
              <w:jc w:val="center"/>
              <w:textAlignment w:val="auto"/>
              <w:rPr>
                <w:rFonts w:ascii="宋体" w:hAnsi="宋体" w:eastAsia="宋体"/>
                <w:color w:val="auto"/>
                <w:szCs w:val="21"/>
                <w:highlight w:val="none"/>
              </w:rPr>
            </w:pPr>
            <w:r>
              <w:rPr>
                <w:rFonts w:hint="eastAsia" w:ascii="宋体" w:hAnsi="宋体" w:eastAsia="宋体"/>
                <w:color w:val="auto"/>
                <w:szCs w:val="21"/>
                <w:highlight w:val="none"/>
              </w:rPr>
              <w:t>单位联系电话</w:t>
            </w:r>
          </w:p>
        </w:tc>
        <w:tc>
          <w:tcPr>
            <w:tcW w:w="1680" w:type="dxa"/>
            <w:vAlign w:val="center"/>
          </w:tcPr>
          <w:p w14:paraId="5741D371">
            <w:pPr>
              <w:keepNext w:val="0"/>
              <w:keepLines w:val="0"/>
              <w:pageBreakBefore w:val="0"/>
              <w:widowControl w:val="0"/>
              <w:kinsoku/>
              <w:wordWrap/>
              <w:overflowPunct/>
              <w:topLinePunct w:val="0"/>
              <w:autoSpaceDE/>
              <w:autoSpaceDN/>
              <w:bidi w:val="0"/>
              <w:adjustRightInd/>
              <w:snapToGrid/>
              <w:spacing w:line="400" w:lineRule="exact"/>
              <w:ind w:left="-113" w:right="-113"/>
              <w:jc w:val="center"/>
              <w:textAlignment w:val="auto"/>
              <w:rPr>
                <w:rFonts w:ascii="宋体" w:hAnsi="宋体" w:eastAsia="宋体"/>
                <w:color w:val="auto"/>
                <w:szCs w:val="21"/>
                <w:highlight w:val="none"/>
              </w:rPr>
            </w:pPr>
          </w:p>
        </w:tc>
        <w:tc>
          <w:tcPr>
            <w:tcW w:w="1188" w:type="dxa"/>
            <w:vAlign w:val="center"/>
          </w:tcPr>
          <w:p w14:paraId="13596A46">
            <w:pPr>
              <w:keepNext w:val="0"/>
              <w:keepLines w:val="0"/>
              <w:pageBreakBefore w:val="0"/>
              <w:widowControl w:val="0"/>
              <w:kinsoku/>
              <w:wordWrap/>
              <w:overflowPunct/>
              <w:topLinePunct w:val="0"/>
              <w:autoSpaceDE/>
              <w:autoSpaceDN/>
              <w:bidi w:val="0"/>
              <w:adjustRightInd/>
              <w:snapToGrid/>
              <w:spacing w:line="400" w:lineRule="exact"/>
              <w:ind w:left="-113" w:right="-113"/>
              <w:jc w:val="center"/>
              <w:textAlignment w:val="auto"/>
              <w:rPr>
                <w:rFonts w:ascii="宋体" w:hAnsi="宋体" w:eastAsia="宋体"/>
                <w:color w:val="auto"/>
                <w:szCs w:val="21"/>
                <w:highlight w:val="none"/>
              </w:rPr>
            </w:pPr>
            <w:r>
              <w:rPr>
                <w:rFonts w:hint="eastAsia" w:ascii="宋体" w:hAnsi="宋体" w:eastAsia="宋体"/>
                <w:color w:val="auto"/>
                <w:szCs w:val="21"/>
                <w:highlight w:val="none"/>
              </w:rPr>
              <w:t>法定代表人身份证号</w:t>
            </w:r>
          </w:p>
        </w:tc>
        <w:tc>
          <w:tcPr>
            <w:tcW w:w="1896" w:type="dxa"/>
            <w:vAlign w:val="center"/>
          </w:tcPr>
          <w:p w14:paraId="684EB933">
            <w:pPr>
              <w:keepNext w:val="0"/>
              <w:keepLines w:val="0"/>
              <w:pageBreakBefore w:val="0"/>
              <w:widowControl w:val="0"/>
              <w:kinsoku/>
              <w:wordWrap/>
              <w:overflowPunct/>
              <w:topLinePunct w:val="0"/>
              <w:autoSpaceDE/>
              <w:autoSpaceDN/>
              <w:bidi w:val="0"/>
              <w:adjustRightInd/>
              <w:snapToGrid/>
              <w:spacing w:line="400" w:lineRule="exact"/>
              <w:ind w:left="-113" w:right="-113"/>
              <w:jc w:val="center"/>
              <w:textAlignment w:val="auto"/>
              <w:rPr>
                <w:rFonts w:ascii="宋体" w:hAnsi="宋体" w:eastAsia="宋体"/>
                <w:color w:val="auto"/>
                <w:szCs w:val="21"/>
                <w:highlight w:val="none"/>
              </w:rPr>
            </w:pPr>
          </w:p>
        </w:tc>
        <w:tc>
          <w:tcPr>
            <w:tcW w:w="1292" w:type="dxa"/>
            <w:vAlign w:val="center"/>
          </w:tcPr>
          <w:p w14:paraId="2F23B517">
            <w:pPr>
              <w:keepNext w:val="0"/>
              <w:keepLines w:val="0"/>
              <w:pageBreakBefore w:val="0"/>
              <w:widowControl w:val="0"/>
              <w:kinsoku/>
              <w:wordWrap/>
              <w:overflowPunct/>
              <w:topLinePunct w:val="0"/>
              <w:autoSpaceDE/>
              <w:autoSpaceDN/>
              <w:bidi w:val="0"/>
              <w:adjustRightInd/>
              <w:snapToGrid/>
              <w:spacing w:line="400" w:lineRule="exact"/>
              <w:ind w:left="-113" w:right="-113"/>
              <w:jc w:val="center"/>
              <w:textAlignment w:val="auto"/>
              <w:rPr>
                <w:rFonts w:ascii="宋体" w:hAnsi="宋体" w:eastAsia="宋体"/>
                <w:color w:val="auto"/>
                <w:szCs w:val="21"/>
                <w:highlight w:val="none"/>
              </w:rPr>
            </w:pPr>
            <w:r>
              <w:rPr>
                <w:rFonts w:hint="eastAsia" w:ascii="宋体" w:hAnsi="宋体" w:eastAsia="宋体"/>
                <w:color w:val="auto"/>
                <w:szCs w:val="21"/>
                <w:highlight w:val="none"/>
              </w:rPr>
              <w:t>手机号码</w:t>
            </w:r>
          </w:p>
        </w:tc>
        <w:tc>
          <w:tcPr>
            <w:tcW w:w="1517" w:type="dxa"/>
            <w:vAlign w:val="center"/>
          </w:tcPr>
          <w:p w14:paraId="07E70BD9">
            <w:pPr>
              <w:keepNext w:val="0"/>
              <w:keepLines w:val="0"/>
              <w:pageBreakBefore w:val="0"/>
              <w:widowControl w:val="0"/>
              <w:kinsoku/>
              <w:wordWrap/>
              <w:overflowPunct/>
              <w:topLinePunct w:val="0"/>
              <w:autoSpaceDE/>
              <w:autoSpaceDN/>
              <w:bidi w:val="0"/>
              <w:adjustRightInd/>
              <w:snapToGrid/>
              <w:spacing w:line="400" w:lineRule="exact"/>
              <w:ind w:left="-113" w:right="-113"/>
              <w:jc w:val="center"/>
              <w:textAlignment w:val="auto"/>
              <w:rPr>
                <w:rFonts w:ascii="宋体" w:hAnsi="宋体" w:eastAsia="宋体"/>
                <w:color w:val="auto"/>
                <w:szCs w:val="21"/>
                <w:highlight w:val="none"/>
              </w:rPr>
            </w:pPr>
          </w:p>
        </w:tc>
      </w:tr>
      <w:tr w14:paraId="4E17C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2" w:type="dxa"/>
            <w:vAlign w:val="center"/>
          </w:tcPr>
          <w:p w14:paraId="3056611A">
            <w:pPr>
              <w:keepNext w:val="0"/>
              <w:keepLines w:val="0"/>
              <w:pageBreakBefore w:val="0"/>
              <w:widowControl w:val="0"/>
              <w:kinsoku/>
              <w:wordWrap/>
              <w:overflowPunct/>
              <w:topLinePunct w:val="0"/>
              <w:autoSpaceDE/>
              <w:autoSpaceDN/>
              <w:bidi w:val="0"/>
              <w:adjustRightInd/>
              <w:snapToGrid/>
              <w:spacing w:line="400" w:lineRule="exact"/>
              <w:ind w:left="-113" w:right="-113"/>
              <w:jc w:val="center"/>
              <w:textAlignment w:val="auto"/>
              <w:rPr>
                <w:rFonts w:ascii="宋体" w:hAnsi="宋体" w:eastAsia="宋体"/>
                <w:color w:val="auto"/>
                <w:szCs w:val="21"/>
                <w:highlight w:val="none"/>
              </w:rPr>
            </w:pPr>
            <w:r>
              <w:rPr>
                <w:rFonts w:hint="eastAsia" w:ascii="宋体" w:hAnsi="宋体" w:eastAsia="宋体"/>
                <w:color w:val="auto"/>
                <w:szCs w:val="21"/>
                <w:highlight w:val="none"/>
              </w:rPr>
              <w:t>传真号码</w:t>
            </w:r>
          </w:p>
        </w:tc>
        <w:tc>
          <w:tcPr>
            <w:tcW w:w="1680" w:type="dxa"/>
            <w:vAlign w:val="center"/>
          </w:tcPr>
          <w:p w14:paraId="7CD7E9EC">
            <w:pPr>
              <w:keepNext w:val="0"/>
              <w:keepLines w:val="0"/>
              <w:pageBreakBefore w:val="0"/>
              <w:widowControl w:val="0"/>
              <w:kinsoku/>
              <w:wordWrap/>
              <w:overflowPunct/>
              <w:topLinePunct w:val="0"/>
              <w:autoSpaceDE/>
              <w:autoSpaceDN/>
              <w:bidi w:val="0"/>
              <w:adjustRightInd/>
              <w:snapToGrid/>
              <w:spacing w:line="400" w:lineRule="exact"/>
              <w:ind w:left="-113" w:right="-113"/>
              <w:jc w:val="center"/>
              <w:textAlignment w:val="auto"/>
              <w:rPr>
                <w:rFonts w:ascii="宋体" w:hAnsi="宋体" w:eastAsia="宋体"/>
                <w:color w:val="auto"/>
                <w:szCs w:val="21"/>
                <w:highlight w:val="none"/>
              </w:rPr>
            </w:pPr>
          </w:p>
        </w:tc>
        <w:tc>
          <w:tcPr>
            <w:tcW w:w="1188" w:type="dxa"/>
            <w:vAlign w:val="center"/>
          </w:tcPr>
          <w:p w14:paraId="02360DE1">
            <w:pPr>
              <w:keepNext w:val="0"/>
              <w:keepLines w:val="0"/>
              <w:pageBreakBefore w:val="0"/>
              <w:widowControl w:val="0"/>
              <w:kinsoku/>
              <w:wordWrap/>
              <w:overflowPunct/>
              <w:topLinePunct w:val="0"/>
              <w:autoSpaceDE/>
              <w:autoSpaceDN/>
              <w:bidi w:val="0"/>
              <w:adjustRightInd/>
              <w:snapToGrid/>
              <w:spacing w:line="400" w:lineRule="exact"/>
              <w:ind w:left="-113" w:right="-113"/>
              <w:jc w:val="center"/>
              <w:textAlignment w:val="auto"/>
              <w:rPr>
                <w:rFonts w:ascii="宋体" w:hAnsi="宋体" w:eastAsia="宋体"/>
                <w:color w:val="auto"/>
                <w:szCs w:val="21"/>
                <w:highlight w:val="none"/>
              </w:rPr>
            </w:pPr>
            <w:r>
              <w:rPr>
                <w:rFonts w:hint="eastAsia" w:ascii="宋体" w:hAnsi="宋体" w:eastAsia="宋体"/>
                <w:color w:val="auto"/>
                <w:szCs w:val="21"/>
                <w:highlight w:val="none"/>
              </w:rPr>
              <w:t>基本账户开户银行</w:t>
            </w:r>
          </w:p>
        </w:tc>
        <w:tc>
          <w:tcPr>
            <w:tcW w:w="1896" w:type="dxa"/>
            <w:vAlign w:val="center"/>
          </w:tcPr>
          <w:p w14:paraId="6EBF300D">
            <w:pPr>
              <w:keepNext w:val="0"/>
              <w:keepLines w:val="0"/>
              <w:pageBreakBefore w:val="0"/>
              <w:widowControl w:val="0"/>
              <w:kinsoku/>
              <w:wordWrap/>
              <w:overflowPunct/>
              <w:topLinePunct w:val="0"/>
              <w:autoSpaceDE/>
              <w:autoSpaceDN/>
              <w:bidi w:val="0"/>
              <w:adjustRightInd/>
              <w:snapToGrid/>
              <w:spacing w:line="400" w:lineRule="exact"/>
              <w:ind w:left="-113" w:right="-113"/>
              <w:jc w:val="center"/>
              <w:textAlignment w:val="auto"/>
              <w:rPr>
                <w:rFonts w:ascii="宋体" w:hAnsi="宋体" w:eastAsia="宋体"/>
                <w:color w:val="auto"/>
                <w:szCs w:val="21"/>
                <w:highlight w:val="none"/>
              </w:rPr>
            </w:pPr>
          </w:p>
        </w:tc>
        <w:tc>
          <w:tcPr>
            <w:tcW w:w="1292" w:type="dxa"/>
            <w:vAlign w:val="center"/>
          </w:tcPr>
          <w:p w14:paraId="37A34F39">
            <w:pPr>
              <w:keepNext w:val="0"/>
              <w:keepLines w:val="0"/>
              <w:pageBreakBefore w:val="0"/>
              <w:widowControl w:val="0"/>
              <w:kinsoku/>
              <w:wordWrap/>
              <w:overflowPunct/>
              <w:topLinePunct w:val="0"/>
              <w:autoSpaceDE/>
              <w:autoSpaceDN/>
              <w:bidi w:val="0"/>
              <w:adjustRightInd/>
              <w:snapToGrid/>
              <w:spacing w:line="400" w:lineRule="exact"/>
              <w:ind w:left="-113" w:right="-113"/>
              <w:jc w:val="center"/>
              <w:textAlignment w:val="auto"/>
              <w:rPr>
                <w:rFonts w:ascii="宋体" w:hAnsi="宋体" w:eastAsia="宋体"/>
                <w:color w:val="auto"/>
                <w:szCs w:val="21"/>
                <w:highlight w:val="none"/>
              </w:rPr>
            </w:pPr>
            <w:r>
              <w:rPr>
                <w:rFonts w:hint="eastAsia" w:ascii="宋体" w:hAnsi="宋体" w:eastAsia="宋体"/>
                <w:color w:val="auto"/>
                <w:szCs w:val="21"/>
                <w:highlight w:val="none"/>
              </w:rPr>
              <w:t>基本账户开户账号</w:t>
            </w:r>
          </w:p>
        </w:tc>
        <w:tc>
          <w:tcPr>
            <w:tcW w:w="1517" w:type="dxa"/>
            <w:vAlign w:val="center"/>
          </w:tcPr>
          <w:p w14:paraId="0F2308DD">
            <w:pPr>
              <w:keepNext w:val="0"/>
              <w:keepLines w:val="0"/>
              <w:pageBreakBefore w:val="0"/>
              <w:widowControl w:val="0"/>
              <w:kinsoku/>
              <w:wordWrap/>
              <w:overflowPunct/>
              <w:topLinePunct w:val="0"/>
              <w:autoSpaceDE/>
              <w:autoSpaceDN/>
              <w:bidi w:val="0"/>
              <w:adjustRightInd/>
              <w:snapToGrid/>
              <w:spacing w:line="400" w:lineRule="exact"/>
              <w:ind w:left="-113" w:right="-113"/>
              <w:jc w:val="center"/>
              <w:textAlignment w:val="auto"/>
              <w:rPr>
                <w:rFonts w:ascii="宋体" w:hAnsi="宋体" w:eastAsia="宋体"/>
                <w:color w:val="auto"/>
                <w:szCs w:val="21"/>
                <w:highlight w:val="none"/>
              </w:rPr>
            </w:pPr>
          </w:p>
        </w:tc>
      </w:tr>
      <w:tr w14:paraId="080F3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832" w:type="dxa"/>
            <w:vAlign w:val="center"/>
          </w:tcPr>
          <w:p w14:paraId="004F533B">
            <w:pPr>
              <w:keepNext w:val="0"/>
              <w:keepLines w:val="0"/>
              <w:pageBreakBefore w:val="0"/>
              <w:widowControl w:val="0"/>
              <w:kinsoku/>
              <w:wordWrap/>
              <w:overflowPunct/>
              <w:topLinePunct w:val="0"/>
              <w:autoSpaceDE/>
              <w:autoSpaceDN/>
              <w:bidi w:val="0"/>
              <w:adjustRightInd/>
              <w:snapToGrid/>
              <w:spacing w:line="400" w:lineRule="exact"/>
              <w:ind w:left="-113" w:right="-113"/>
              <w:jc w:val="center"/>
              <w:textAlignment w:val="auto"/>
              <w:rPr>
                <w:rFonts w:ascii="宋体" w:hAnsi="宋体" w:eastAsia="宋体"/>
                <w:color w:val="auto"/>
                <w:szCs w:val="21"/>
                <w:highlight w:val="none"/>
              </w:rPr>
            </w:pPr>
            <w:r>
              <w:rPr>
                <w:rFonts w:hint="eastAsia" w:ascii="宋体" w:hAnsi="宋体" w:eastAsia="宋体"/>
                <w:color w:val="auto"/>
                <w:szCs w:val="21"/>
                <w:highlight w:val="none"/>
              </w:rPr>
              <w:t>企业性质</w:t>
            </w:r>
          </w:p>
        </w:tc>
        <w:tc>
          <w:tcPr>
            <w:tcW w:w="7573" w:type="dxa"/>
            <w:gridSpan w:val="5"/>
            <w:vAlign w:val="center"/>
          </w:tcPr>
          <w:p w14:paraId="492ABFDC">
            <w:pPr>
              <w:keepNext w:val="0"/>
              <w:keepLines w:val="0"/>
              <w:pageBreakBefore w:val="0"/>
              <w:widowControl w:val="0"/>
              <w:kinsoku/>
              <w:wordWrap/>
              <w:overflowPunct/>
              <w:topLinePunct w:val="0"/>
              <w:autoSpaceDE/>
              <w:autoSpaceDN/>
              <w:bidi w:val="0"/>
              <w:adjustRightInd/>
              <w:snapToGrid/>
              <w:spacing w:line="400" w:lineRule="exact"/>
              <w:ind w:left="-113" w:right="-113"/>
              <w:jc w:val="center"/>
              <w:textAlignment w:val="auto"/>
              <w:rPr>
                <w:rFonts w:ascii="宋体" w:hAnsi="宋体" w:eastAsia="宋体"/>
                <w:color w:val="auto"/>
                <w:szCs w:val="21"/>
                <w:highlight w:val="none"/>
              </w:rPr>
            </w:pPr>
          </w:p>
        </w:tc>
      </w:tr>
    </w:tbl>
    <w:p w14:paraId="527E5B84">
      <w:pPr>
        <w:keepNext w:val="0"/>
        <w:keepLines w:val="0"/>
        <w:pageBreakBefore w:val="0"/>
        <w:widowControl w:val="0"/>
        <w:kinsoku/>
        <w:wordWrap/>
        <w:overflowPunct/>
        <w:topLinePunct w:val="0"/>
        <w:autoSpaceDE w:val="0"/>
        <w:autoSpaceDN w:val="0"/>
        <w:bidi w:val="0"/>
        <w:adjustRightInd/>
        <w:snapToGrid/>
        <w:spacing w:line="600" w:lineRule="exact"/>
        <w:ind w:left="4335" w:leftChars="1950" w:hanging="240" w:hangingChars="100"/>
        <w:textAlignment w:val="auto"/>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供应商名称（电子签章）：</w:t>
      </w:r>
    </w:p>
    <w:p w14:paraId="5ABC36D6">
      <w:pPr>
        <w:keepNext w:val="0"/>
        <w:keepLines w:val="0"/>
        <w:pageBreakBefore w:val="0"/>
        <w:widowControl w:val="0"/>
        <w:kinsoku/>
        <w:wordWrap/>
        <w:overflowPunct/>
        <w:topLinePunct w:val="0"/>
        <w:autoSpaceDE w:val="0"/>
        <w:autoSpaceDN w:val="0"/>
        <w:bidi w:val="0"/>
        <w:adjustRightInd/>
        <w:snapToGrid/>
        <w:spacing w:line="600" w:lineRule="exact"/>
        <w:ind w:firstLine="6240" w:firstLineChars="26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日期： </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 年 </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 月   日</w:t>
      </w:r>
    </w:p>
    <w:p w14:paraId="34F1BE64">
      <w:pPr>
        <w:snapToGrid w:val="0"/>
        <w:spacing w:before="120" w:beforeLines="50" w:after="50"/>
        <w:ind w:firstLine="602" w:firstLineChars="200"/>
        <w:rPr>
          <w:rFonts w:hint="eastAsia" w:asciiTheme="minorEastAsia" w:hAnsiTheme="minorEastAsia" w:eastAsiaTheme="minorEastAsia" w:cstheme="minorEastAsia"/>
          <w:b/>
          <w:color w:val="000000" w:themeColor="text1"/>
          <w:sz w:val="30"/>
          <w:szCs w:val="30"/>
          <w:highlight w:val="none"/>
          <w14:textFill>
            <w14:solidFill>
              <w14:schemeClr w14:val="tx1"/>
            </w14:solidFill>
          </w14:textFill>
        </w:rPr>
      </w:pPr>
    </w:p>
    <w:p w14:paraId="75408A19">
      <w:pPr>
        <w:snapToGrid w:val="0"/>
        <w:spacing w:before="120" w:beforeLines="50" w:after="50"/>
        <w:ind w:firstLine="602" w:firstLineChars="200"/>
        <w:rPr>
          <w:rFonts w:hint="eastAsia" w:asciiTheme="minorEastAsia" w:hAnsiTheme="minorEastAsia" w:eastAsiaTheme="minorEastAsia" w:cstheme="minorEastAsia"/>
          <w:b/>
          <w:color w:val="000000" w:themeColor="text1"/>
          <w:sz w:val="30"/>
          <w:szCs w:val="30"/>
          <w:highlight w:val="none"/>
          <w14:textFill>
            <w14:solidFill>
              <w14:schemeClr w14:val="tx1"/>
            </w14:solidFill>
          </w14:textFill>
        </w:rPr>
      </w:pPr>
    </w:p>
    <w:p w14:paraId="2B1D8F39">
      <w:pPr>
        <w:numPr>
          <w:ilvl w:val="0"/>
          <w:numId w:val="0"/>
        </w:numPr>
        <w:spacing w:line="360" w:lineRule="auto"/>
        <w:jc w:val="left"/>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lang w:val="en-US" w:eastAsia="zh-CN"/>
          <w14:textFill>
            <w14:solidFill>
              <w14:schemeClr w14:val="tx1"/>
            </w14:solidFill>
          </w14:textFill>
        </w:rPr>
        <w:t>六、</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供应商类似的业绩证明文件</w:t>
      </w:r>
    </w:p>
    <w:p w14:paraId="5E7F6A93">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b/>
          <w:color w:val="000000" w:themeColor="text1"/>
          <w:sz w:val="34"/>
          <w:szCs w:val="3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34"/>
          <w:szCs w:val="34"/>
          <w:highlight w:val="none"/>
          <w14:textFill>
            <w14:solidFill>
              <w14:schemeClr w14:val="tx1"/>
            </w14:solidFill>
          </w14:textFill>
        </w:rPr>
        <w:t>项目业绩一览表</w:t>
      </w:r>
    </w:p>
    <w:tbl>
      <w:tblPr>
        <w:tblStyle w:val="26"/>
        <w:tblW w:w="946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84"/>
        <w:gridCol w:w="1843"/>
        <w:gridCol w:w="1482"/>
        <w:gridCol w:w="2904"/>
        <w:gridCol w:w="1856"/>
      </w:tblGrid>
      <w:tr w14:paraId="226949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69" w:hRule="atLeast"/>
          <w:jc w:val="center"/>
        </w:trPr>
        <w:tc>
          <w:tcPr>
            <w:tcW w:w="1384" w:type="dxa"/>
            <w:tcBorders>
              <w:top w:val="single" w:color="auto" w:sz="4" w:space="0"/>
              <w:left w:val="single" w:color="auto" w:sz="4" w:space="0"/>
              <w:bottom w:val="single" w:color="auto" w:sz="4" w:space="0"/>
              <w:right w:val="single" w:color="auto" w:sz="4" w:space="0"/>
            </w:tcBorders>
            <w:vAlign w:val="center"/>
          </w:tcPr>
          <w:p w14:paraId="23540611">
            <w:pPr>
              <w:keepNext w:val="0"/>
              <w:keepLines w:val="0"/>
              <w:pageBreakBefore w:val="0"/>
              <w:widowControl w:val="0"/>
              <w:kinsoku/>
              <w:wordWrap/>
              <w:overflowPunct/>
              <w:topLinePunct w:val="0"/>
              <w:autoSpaceDE/>
              <w:autoSpaceDN/>
              <w:bidi w:val="0"/>
              <w:adjustRightInd/>
              <w:snapToGrid w:val="0"/>
              <w:spacing w:line="360" w:lineRule="exact"/>
              <w:ind w:left="-42" w:leftChars="-20" w:right="-42" w:rightChars="-20"/>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采购人名称</w:t>
            </w:r>
          </w:p>
        </w:tc>
        <w:tc>
          <w:tcPr>
            <w:tcW w:w="1843" w:type="dxa"/>
            <w:tcBorders>
              <w:top w:val="single" w:color="auto" w:sz="4" w:space="0"/>
              <w:left w:val="single" w:color="auto" w:sz="4" w:space="0"/>
              <w:bottom w:val="single" w:color="auto" w:sz="4" w:space="0"/>
              <w:right w:val="single" w:color="auto" w:sz="4" w:space="0"/>
            </w:tcBorders>
            <w:vAlign w:val="center"/>
          </w:tcPr>
          <w:p w14:paraId="58D98375">
            <w:pPr>
              <w:keepNext w:val="0"/>
              <w:keepLines w:val="0"/>
              <w:pageBreakBefore w:val="0"/>
              <w:widowControl w:val="0"/>
              <w:kinsoku/>
              <w:wordWrap/>
              <w:overflowPunct/>
              <w:topLinePunct w:val="0"/>
              <w:autoSpaceDE/>
              <w:autoSpaceDN/>
              <w:bidi w:val="0"/>
              <w:adjustRightInd/>
              <w:snapToGrid w:val="0"/>
              <w:spacing w:line="360" w:lineRule="exact"/>
              <w:ind w:left="-42" w:leftChars="-20" w:right="-42" w:rightChars="-20"/>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项目名称</w:t>
            </w:r>
          </w:p>
        </w:tc>
        <w:tc>
          <w:tcPr>
            <w:tcW w:w="1482" w:type="dxa"/>
            <w:tcBorders>
              <w:top w:val="single" w:color="auto" w:sz="4" w:space="0"/>
              <w:left w:val="single" w:color="auto" w:sz="4" w:space="0"/>
              <w:bottom w:val="single" w:color="auto" w:sz="4" w:space="0"/>
              <w:right w:val="single" w:color="auto" w:sz="4" w:space="0"/>
            </w:tcBorders>
            <w:vAlign w:val="center"/>
          </w:tcPr>
          <w:p w14:paraId="78B4D7A7">
            <w:pPr>
              <w:keepNext w:val="0"/>
              <w:keepLines w:val="0"/>
              <w:pageBreakBefore w:val="0"/>
              <w:widowControl w:val="0"/>
              <w:kinsoku/>
              <w:wordWrap/>
              <w:overflowPunct/>
              <w:topLinePunct w:val="0"/>
              <w:autoSpaceDE/>
              <w:autoSpaceDN/>
              <w:bidi w:val="0"/>
              <w:adjustRightInd/>
              <w:snapToGrid w:val="0"/>
              <w:spacing w:line="360" w:lineRule="exact"/>
              <w:ind w:left="-42" w:leftChars="-20" w:right="-42" w:rightChars="-20"/>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合同金额</w:t>
            </w:r>
          </w:p>
          <w:p w14:paraId="000D2B56">
            <w:pPr>
              <w:keepNext w:val="0"/>
              <w:keepLines w:val="0"/>
              <w:pageBreakBefore w:val="0"/>
              <w:widowControl w:val="0"/>
              <w:kinsoku/>
              <w:wordWrap/>
              <w:overflowPunct/>
              <w:topLinePunct w:val="0"/>
              <w:autoSpaceDE/>
              <w:autoSpaceDN/>
              <w:bidi w:val="0"/>
              <w:adjustRightInd/>
              <w:snapToGrid w:val="0"/>
              <w:spacing w:line="360" w:lineRule="exact"/>
              <w:ind w:left="-42" w:leftChars="-20" w:right="-42" w:rightChars="-20"/>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（万元）</w:t>
            </w:r>
          </w:p>
        </w:tc>
        <w:tc>
          <w:tcPr>
            <w:tcW w:w="2904" w:type="dxa"/>
            <w:tcBorders>
              <w:top w:val="single" w:color="auto" w:sz="4" w:space="0"/>
              <w:left w:val="single" w:color="auto" w:sz="4" w:space="0"/>
              <w:bottom w:val="single" w:color="auto" w:sz="4" w:space="0"/>
              <w:right w:val="single" w:color="auto" w:sz="4" w:space="0"/>
            </w:tcBorders>
            <w:vAlign w:val="center"/>
          </w:tcPr>
          <w:p w14:paraId="4849FA5F">
            <w:pPr>
              <w:keepNext w:val="0"/>
              <w:keepLines w:val="0"/>
              <w:pageBreakBefore w:val="0"/>
              <w:widowControl w:val="0"/>
              <w:kinsoku/>
              <w:wordWrap/>
              <w:overflowPunct/>
              <w:topLinePunct w:val="0"/>
              <w:autoSpaceDE/>
              <w:autoSpaceDN/>
              <w:bidi w:val="0"/>
              <w:adjustRightInd/>
              <w:snapToGrid w:val="0"/>
              <w:spacing w:line="360" w:lineRule="exact"/>
              <w:ind w:left="-42" w:leftChars="-20" w:right="-42" w:rightChars="-20"/>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附件在响应文件中页码</w:t>
            </w:r>
          </w:p>
          <w:p w14:paraId="204BBD8E">
            <w:pPr>
              <w:keepNext w:val="0"/>
              <w:keepLines w:val="0"/>
              <w:pageBreakBefore w:val="0"/>
              <w:widowControl w:val="0"/>
              <w:kinsoku/>
              <w:wordWrap/>
              <w:overflowPunct/>
              <w:topLinePunct w:val="0"/>
              <w:autoSpaceDE/>
              <w:autoSpaceDN/>
              <w:bidi w:val="0"/>
              <w:adjustRightInd/>
              <w:snapToGrid w:val="0"/>
              <w:spacing w:line="360" w:lineRule="exact"/>
              <w:ind w:left="-42" w:leftChars="-20" w:right="-42" w:rightChars="-20"/>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856" w:type="dxa"/>
            <w:tcBorders>
              <w:top w:val="single" w:color="auto" w:sz="4" w:space="0"/>
              <w:left w:val="single" w:color="auto" w:sz="4" w:space="0"/>
              <w:bottom w:val="single" w:color="auto" w:sz="4" w:space="0"/>
              <w:right w:val="single" w:color="auto" w:sz="4" w:space="0"/>
            </w:tcBorders>
            <w:vAlign w:val="center"/>
          </w:tcPr>
          <w:p w14:paraId="23C195F3">
            <w:pPr>
              <w:keepNext w:val="0"/>
              <w:keepLines w:val="0"/>
              <w:pageBreakBefore w:val="0"/>
              <w:widowControl w:val="0"/>
              <w:kinsoku/>
              <w:wordWrap/>
              <w:overflowPunct/>
              <w:topLinePunct w:val="0"/>
              <w:autoSpaceDE/>
              <w:autoSpaceDN/>
              <w:bidi w:val="0"/>
              <w:adjustRightInd/>
              <w:snapToGrid w:val="0"/>
              <w:spacing w:line="360" w:lineRule="exact"/>
              <w:ind w:left="-42" w:leftChars="-20" w:right="-42" w:rightChars="-20"/>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采购人联系人及联系电话</w:t>
            </w:r>
          </w:p>
        </w:tc>
      </w:tr>
      <w:tr w14:paraId="11BEE4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7" w:hRule="atLeast"/>
          <w:jc w:val="center"/>
        </w:trPr>
        <w:tc>
          <w:tcPr>
            <w:tcW w:w="1384" w:type="dxa"/>
            <w:tcBorders>
              <w:top w:val="single" w:color="auto" w:sz="4" w:space="0"/>
              <w:left w:val="single" w:color="auto" w:sz="4" w:space="0"/>
              <w:bottom w:val="single" w:color="auto" w:sz="4" w:space="0"/>
              <w:right w:val="single" w:color="auto" w:sz="4" w:space="0"/>
            </w:tcBorders>
          </w:tcPr>
          <w:p w14:paraId="32C5A5F1">
            <w:pPr>
              <w:snapToGrid w:val="0"/>
              <w:spacing w:line="240" w:lineRule="exact"/>
              <w:jc w:val="left"/>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tcPr>
          <w:p w14:paraId="75A6DCBE">
            <w:pPr>
              <w:snapToGrid w:val="0"/>
              <w:spacing w:line="240" w:lineRule="exact"/>
              <w:jc w:val="left"/>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482" w:type="dxa"/>
            <w:tcBorders>
              <w:top w:val="single" w:color="auto" w:sz="4" w:space="0"/>
              <w:left w:val="single" w:color="auto" w:sz="4" w:space="0"/>
              <w:bottom w:val="single" w:color="auto" w:sz="4" w:space="0"/>
              <w:right w:val="single" w:color="auto" w:sz="4" w:space="0"/>
            </w:tcBorders>
          </w:tcPr>
          <w:p w14:paraId="751AC8E1">
            <w:pPr>
              <w:snapToGrid w:val="0"/>
              <w:spacing w:line="240" w:lineRule="exact"/>
              <w:jc w:val="left"/>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2904" w:type="dxa"/>
            <w:tcBorders>
              <w:top w:val="single" w:color="auto" w:sz="4" w:space="0"/>
              <w:left w:val="single" w:color="auto" w:sz="4" w:space="0"/>
              <w:bottom w:val="single" w:color="auto" w:sz="4" w:space="0"/>
              <w:right w:val="single" w:color="auto" w:sz="4" w:space="0"/>
            </w:tcBorders>
          </w:tcPr>
          <w:p w14:paraId="0D163895">
            <w:pPr>
              <w:snapToGrid w:val="0"/>
              <w:spacing w:line="240" w:lineRule="exact"/>
              <w:jc w:val="left"/>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856" w:type="dxa"/>
            <w:tcBorders>
              <w:top w:val="single" w:color="auto" w:sz="4" w:space="0"/>
              <w:left w:val="single" w:color="auto" w:sz="4" w:space="0"/>
              <w:bottom w:val="single" w:color="auto" w:sz="4" w:space="0"/>
              <w:right w:val="single" w:color="auto" w:sz="4" w:space="0"/>
            </w:tcBorders>
          </w:tcPr>
          <w:p w14:paraId="3680920D">
            <w:pPr>
              <w:snapToGrid w:val="0"/>
              <w:spacing w:line="240" w:lineRule="exact"/>
              <w:jc w:val="left"/>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r>
      <w:tr w14:paraId="75ECDC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7" w:hRule="atLeast"/>
          <w:jc w:val="center"/>
        </w:trPr>
        <w:tc>
          <w:tcPr>
            <w:tcW w:w="1384" w:type="dxa"/>
            <w:tcBorders>
              <w:top w:val="single" w:color="auto" w:sz="4" w:space="0"/>
              <w:left w:val="single" w:color="auto" w:sz="4" w:space="0"/>
              <w:bottom w:val="single" w:color="auto" w:sz="4" w:space="0"/>
              <w:right w:val="single" w:color="auto" w:sz="4" w:space="0"/>
            </w:tcBorders>
          </w:tcPr>
          <w:p w14:paraId="023BE414">
            <w:pPr>
              <w:snapToGrid w:val="0"/>
              <w:spacing w:before="50" w:after="120" w:afterLines="50" w:line="400" w:lineRule="exact"/>
              <w:jc w:val="left"/>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tcPr>
          <w:p w14:paraId="0C5CA902">
            <w:pPr>
              <w:snapToGrid w:val="0"/>
              <w:spacing w:before="50" w:after="120" w:afterLines="50" w:line="400" w:lineRule="exact"/>
              <w:jc w:val="left"/>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482" w:type="dxa"/>
            <w:tcBorders>
              <w:top w:val="single" w:color="auto" w:sz="4" w:space="0"/>
              <w:left w:val="single" w:color="auto" w:sz="4" w:space="0"/>
              <w:bottom w:val="single" w:color="auto" w:sz="4" w:space="0"/>
              <w:right w:val="single" w:color="auto" w:sz="4" w:space="0"/>
            </w:tcBorders>
          </w:tcPr>
          <w:p w14:paraId="5EA3A5FC">
            <w:pPr>
              <w:snapToGrid w:val="0"/>
              <w:spacing w:before="50" w:after="120" w:afterLines="50" w:line="400" w:lineRule="exact"/>
              <w:jc w:val="left"/>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2904" w:type="dxa"/>
            <w:tcBorders>
              <w:top w:val="single" w:color="auto" w:sz="4" w:space="0"/>
              <w:left w:val="single" w:color="auto" w:sz="4" w:space="0"/>
              <w:bottom w:val="single" w:color="auto" w:sz="4" w:space="0"/>
              <w:right w:val="single" w:color="auto" w:sz="4" w:space="0"/>
            </w:tcBorders>
          </w:tcPr>
          <w:p w14:paraId="66EEC872">
            <w:pPr>
              <w:snapToGrid w:val="0"/>
              <w:spacing w:before="50" w:after="120" w:afterLines="50" w:line="400" w:lineRule="exact"/>
              <w:jc w:val="left"/>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856" w:type="dxa"/>
            <w:tcBorders>
              <w:top w:val="single" w:color="auto" w:sz="4" w:space="0"/>
              <w:left w:val="single" w:color="auto" w:sz="4" w:space="0"/>
              <w:bottom w:val="single" w:color="auto" w:sz="4" w:space="0"/>
              <w:right w:val="single" w:color="auto" w:sz="4" w:space="0"/>
            </w:tcBorders>
          </w:tcPr>
          <w:p w14:paraId="36BC91E8">
            <w:pPr>
              <w:snapToGrid w:val="0"/>
              <w:spacing w:before="50" w:after="120" w:afterLines="50" w:line="400" w:lineRule="exact"/>
              <w:jc w:val="left"/>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r>
      <w:tr w14:paraId="63830B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7" w:hRule="atLeast"/>
          <w:jc w:val="center"/>
        </w:trPr>
        <w:tc>
          <w:tcPr>
            <w:tcW w:w="1384" w:type="dxa"/>
            <w:tcBorders>
              <w:top w:val="single" w:color="auto" w:sz="4" w:space="0"/>
              <w:left w:val="single" w:color="auto" w:sz="4" w:space="0"/>
              <w:bottom w:val="single" w:color="auto" w:sz="4" w:space="0"/>
              <w:right w:val="single" w:color="auto" w:sz="4" w:space="0"/>
            </w:tcBorders>
          </w:tcPr>
          <w:p w14:paraId="31BB8054">
            <w:pPr>
              <w:snapToGrid w:val="0"/>
              <w:spacing w:before="50" w:after="120" w:afterLines="50" w:line="400" w:lineRule="exact"/>
              <w:jc w:val="left"/>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tcPr>
          <w:p w14:paraId="691CE898">
            <w:pPr>
              <w:snapToGrid w:val="0"/>
              <w:spacing w:before="50" w:after="120" w:afterLines="50" w:line="400" w:lineRule="exact"/>
              <w:jc w:val="left"/>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482" w:type="dxa"/>
            <w:tcBorders>
              <w:top w:val="single" w:color="auto" w:sz="4" w:space="0"/>
              <w:left w:val="single" w:color="auto" w:sz="4" w:space="0"/>
              <w:bottom w:val="single" w:color="auto" w:sz="4" w:space="0"/>
              <w:right w:val="single" w:color="auto" w:sz="4" w:space="0"/>
            </w:tcBorders>
          </w:tcPr>
          <w:p w14:paraId="09556096">
            <w:pPr>
              <w:snapToGrid w:val="0"/>
              <w:spacing w:before="50" w:after="120" w:afterLines="50" w:line="400" w:lineRule="exact"/>
              <w:jc w:val="left"/>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2904" w:type="dxa"/>
            <w:tcBorders>
              <w:top w:val="single" w:color="auto" w:sz="4" w:space="0"/>
              <w:left w:val="single" w:color="auto" w:sz="4" w:space="0"/>
              <w:bottom w:val="single" w:color="auto" w:sz="4" w:space="0"/>
              <w:right w:val="single" w:color="auto" w:sz="4" w:space="0"/>
            </w:tcBorders>
          </w:tcPr>
          <w:p w14:paraId="5E3049DB">
            <w:pPr>
              <w:snapToGrid w:val="0"/>
              <w:spacing w:before="50" w:after="120" w:afterLines="50" w:line="400" w:lineRule="exact"/>
              <w:jc w:val="left"/>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856" w:type="dxa"/>
            <w:tcBorders>
              <w:top w:val="single" w:color="auto" w:sz="4" w:space="0"/>
              <w:left w:val="single" w:color="auto" w:sz="4" w:space="0"/>
              <w:bottom w:val="single" w:color="auto" w:sz="4" w:space="0"/>
              <w:right w:val="single" w:color="auto" w:sz="4" w:space="0"/>
            </w:tcBorders>
          </w:tcPr>
          <w:p w14:paraId="5D35E998">
            <w:pPr>
              <w:snapToGrid w:val="0"/>
              <w:spacing w:before="50" w:after="120" w:afterLines="50" w:line="400" w:lineRule="exact"/>
              <w:jc w:val="left"/>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r>
      <w:tr w14:paraId="597B70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7" w:hRule="atLeast"/>
          <w:jc w:val="center"/>
        </w:trPr>
        <w:tc>
          <w:tcPr>
            <w:tcW w:w="1384" w:type="dxa"/>
            <w:tcBorders>
              <w:top w:val="single" w:color="auto" w:sz="4" w:space="0"/>
              <w:left w:val="single" w:color="auto" w:sz="4" w:space="0"/>
              <w:bottom w:val="single" w:color="auto" w:sz="4" w:space="0"/>
              <w:right w:val="single" w:color="auto" w:sz="4" w:space="0"/>
            </w:tcBorders>
          </w:tcPr>
          <w:p w14:paraId="22931196">
            <w:pPr>
              <w:snapToGrid w:val="0"/>
              <w:spacing w:before="50" w:after="120" w:afterLines="50" w:line="400" w:lineRule="exact"/>
              <w:jc w:val="left"/>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tcPr>
          <w:p w14:paraId="6338C682">
            <w:pPr>
              <w:snapToGrid w:val="0"/>
              <w:spacing w:before="50" w:after="120" w:afterLines="50" w:line="400" w:lineRule="exact"/>
              <w:jc w:val="left"/>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482" w:type="dxa"/>
            <w:tcBorders>
              <w:top w:val="single" w:color="auto" w:sz="4" w:space="0"/>
              <w:left w:val="single" w:color="auto" w:sz="4" w:space="0"/>
              <w:bottom w:val="single" w:color="auto" w:sz="4" w:space="0"/>
              <w:right w:val="single" w:color="auto" w:sz="4" w:space="0"/>
            </w:tcBorders>
          </w:tcPr>
          <w:p w14:paraId="73CDA55D">
            <w:pPr>
              <w:snapToGrid w:val="0"/>
              <w:spacing w:before="50" w:after="120" w:afterLines="50" w:line="400" w:lineRule="exact"/>
              <w:jc w:val="left"/>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2904" w:type="dxa"/>
            <w:tcBorders>
              <w:top w:val="single" w:color="auto" w:sz="4" w:space="0"/>
              <w:left w:val="single" w:color="auto" w:sz="4" w:space="0"/>
              <w:bottom w:val="single" w:color="auto" w:sz="4" w:space="0"/>
              <w:right w:val="single" w:color="auto" w:sz="4" w:space="0"/>
            </w:tcBorders>
          </w:tcPr>
          <w:p w14:paraId="05BEFC0B">
            <w:pPr>
              <w:snapToGrid w:val="0"/>
              <w:spacing w:before="50" w:after="120" w:afterLines="50" w:line="400" w:lineRule="exact"/>
              <w:jc w:val="left"/>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856" w:type="dxa"/>
            <w:tcBorders>
              <w:top w:val="single" w:color="auto" w:sz="4" w:space="0"/>
              <w:left w:val="single" w:color="auto" w:sz="4" w:space="0"/>
              <w:bottom w:val="single" w:color="auto" w:sz="4" w:space="0"/>
              <w:right w:val="single" w:color="auto" w:sz="4" w:space="0"/>
            </w:tcBorders>
          </w:tcPr>
          <w:p w14:paraId="3544C85E">
            <w:pPr>
              <w:snapToGrid w:val="0"/>
              <w:spacing w:before="50" w:after="120" w:afterLines="50" w:line="400" w:lineRule="exact"/>
              <w:jc w:val="left"/>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r>
    </w:tbl>
    <w:p w14:paraId="5CDE03C9">
      <w:pPr>
        <w:keepNext w:val="0"/>
        <w:keepLines w:val="0"/>
        <w:pageBreakBefore w:val="0"/>
        <w:widowControl w:val="0"/>
        <w:kinsoku/>
        <w:wordWrap/>
        <w:overflowPunct/>
        <w:topLinePunct w:val="0"/>
        <w:autoSpaceDE w:val="0"/>
        <w:autoSpaceDN w:val="0"/>
        <w:bidi w:val="0"/>
        <w:adjustRightInd/>
        <w:snapToGrid/>
        <w:spacing w:line="400" w:lineRule="exact"/>
        <w:ind w:firstLine="460" w:firstLineChars="200"/>
        <w:textAlignment w:val="auto"/>
        <w:rPr>
          <w:rFonts w:hint="eastAsia" w:asciiTheme="minorEastAsia" w:hAnsiTheme="minorEastAsia" w:eastAsiaTheme="minorEastAsia" w:cstheme="minorEastAsia"/>
          <w:color w:val="000000" w:themeColor="text1"/>
          <w:sz w:val="23"/>
          <w:szCs w:val="2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注：</w:t>
      </w:r>
      <w:r>
        <w:rPr>
          <w:rFonts w:hint="eastAsia" w:asciiTheme="minorEastAsia" w:hAnsiTheme="minorEastAsia" w:eastAsiaTheme="minorEastAsia" w:cstheme="minorEastAsia"/>
          <w:color w:val="000000" w:themeColor="text1"/>
          <w:sz w:val="23"/>
          <w:szCs w:val="23"/>
          <w:highlight w:val="none"/>
          <w:lang w:val="en-US" w:eastAsia="zh-CN"/>
          <w14:textFill>
            <w14:solidFill>
              <w14:schemeClr w14:val="tx1"/>
            </w14:solidFill>
          </w14:textFill>
        </w:rPr>
        <w:t>1.</w:t>
      </w:r>
      <w:r>
        <w:rPr>
          <w:rFonts w:hint="eastAsia" w:asciiTheme="minorEastAsia" w:hAnsiTheme="minorEastAsia" w:eastAsiaTheme="minorEastAsia" w:cstheme="minorEastAsia"/>
          <w:b/>
          <w:color w:val="000000" w:themeColor="text1"/>
          <w:sz w:val="23"/>
          <w:szCs w:val="23"/>
          <w:highlight w:val="none"/>
          <w14:textFill>
            <w14:solidFill>
              <w14:schemeClr w14:val="tx1"/>
            </w14:solidFill>
          </w14:textFill>
        </w:rPr>
        <w:t>根据评分办法提供项目合同复印件等相关材料扫描件，格式自拟</w:t>
      </w:r>
      <w:r>
        <w:rPr>
          <w:rFonts w:hint="eastAsia" w:asciiTheme="minorEastAsia" w:hAnsiTheme="minorEastAsia" w:eastAsiaTheme="minorEastAsia" w:cstheme="minorEastAsia"/>
          <w:b/>
          <w:color w:val="000000" w:themeColor="text1"/>
          <w:sz w:val="23"/>
          <w:szCs w:val="23"/>
          <w:highlight w:val="none"/>
          <w:lang w:eastAsia="zh-CN"/>
          <w14:textFill>
            <w14:solidFill>
              <w14:schemeClr w14:val="tx1"/>
            </w14:solidFill>
          </w14:textFill>
        </w:rPr>
        <w:t>；</w:t>
      </w:r>
    </w:p>
    <w:p w14:paraId="7CAC3017">
      <w:pPr>
        <w:pStyle w:val="16"/>
        <w:keepNext w:val="0"/>
        <w:keepLines w:val="0"/>
        <w:pageBreakBefore w:val="0"/>
        <w:widowControl w:val="0"/>
        <w:kinsoku/>
        <w:wordWrap/>
        <w:overflowPunct/>
        <w:topLinePunct w:val="0"/>
        <w:bidi w:val="0"/>
        <w:adjustRightInd/>
        <w:snapToGrid/>
        <w:spacing w:line="400" w:lineRule="exact"/>
        <w:ind w:firstLine="460" w:firstLineChars="200"/>
        <w:contextualSpacing/>
        <w:textAlignment w:val="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供应商可按上述格式自行编制，并注明所在供应商商务技术文件页码。</w:t>
      </w:r>
    </w:p>
    <w:p w14:paraId="74B10061">
      <w:pPr>
        <w:snapToGrid w:val="0"/>
        <w:spacing w:line="360" w:lineRule="auto"/>
        <w:ind w:left="4410" w:leftChars="2100" w:firstLine="6480" w:firstLineChars="2700"/>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供应商名称（电子签章）：</w:t>
      </w:r>
    </w:p>
    <w:p w14:paraId="7744A097">
      <w:pPr>
        <w:spacing w:line="500" w:lineRule="exact"/>
        <w:jc w:val="center"/>
        <w:rPr>
          <w:rFonts w:hint="eastAsia" w:asciiTheme="minorEastAsia" w:hAnsiTheme="minorEastAsia" w:eastAsiaTheme="minorEastAsia" w:cstheme="minorEastAsia"/>
          <w:color w:val="000000" w:themeColor="text1"/>
          <w:sz w:val="32"/>
          <w:szCs w:val="32"/>
          <w:highlight w:val="none"/>
          <w14:textFill>
            <w14:solidFill>
              <w14:schemeClr w14:val="tx1"/>
            </w14:solidFill>
          </w14:textFill>
        </w:rPr>
        <w:sectPr>
          <w:pgSz w:w="11910" w:h="16840"/>
          <w:pgMar w:top="1077" w:right="1304" w:bottom="1077" w:left="1417" w:header="720" w:footer="850" w:gutter="0"/>
          <w:pgBorders>
            <w:top w:val="none" w:sz="0" w:space="0"/>
            <w:left w:val="none" w:sz="0" w:space="0"/>
            <w:bottom w:val="none" w:sz="0" w:space="0"/>
            <w:right w:val="none" w:sz="0" w:space="0"/>
          </w:pgBorders>
          <w:pgNumType w:fmt="decimal"/>
          <w:cols w:space="720" w:num="1"/>
        </w:sectPr>
      </w:pP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                                                     日期</w:t>
      </w: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 xml:space="preserve">年 </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月</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日</w:t>
      </w:r>
    </w:p>
    <w:p w14:paraId="1216B296">
      <w:pPr>
        <w:spacing w:line="360" w:lineRule="auto"/>
        <w:jc w:val="left"/>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七、</w:t>
      </w:r>
      <w:r>
        <w:rPr>
          <w:rFonts w:hint="eastAsia" w:asciiTheme="minorEastAsia" w:hAnsiTheme="minorEastAsia" w:eastAsiaTheme="minorEastAsia" w:cstheme="minorEastAsia"/>
          <w:b/>
          <w:color w:val="000000" w:themeColor="text1"/>
          <w:sz w:val="28"/>
          <w:szCs w:val="28"/>
          <w:highlight w:val="none"/>
          <w:lang w:val="en-US" w:eastAsia="zh-CN"/>
          <w14:textFill>
            <w14:solidFill>
              <w14:schemeClr w14:val="tx1"/>
            </w14:solidFill>
          </w14:textFill>
        </w:rPr>
        <w:t>技术</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需求偏离表</w:t>
      </w:r>
    </w:p>
    <w:p w14:paraId="535C2FF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inorEastAsia" w:hAnsiTheme="minorEastAsia" w:eastAsiaTheme="minorEastAsia" w:cstheme="minorEastAsia"/>
          <w:b/>
          <w:bCs/>
          <w:color w:val="000000" w:themeColor="text1"/>
          <w:sz w:val="36"/>
          <w:szCs w:val="36"/>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36"/>
          <w:szCs w:val="36"/>
          <w:highlight w:val="none"/>
          <w:lang w:val="en-US" w:eastAsia="zh-CN"/>
          <w14:textFill>
            <w14:solidFill>
              <w14:schemeClr w14:val="tx1"/>
            </w14:solidFill>
          </w14:textFill>
        </w:rPr>
        <w:t>技术</w:t>
      </w:r>
      <w:r>
        <w:rPr>
          <w:rFonts w:hint="eastAsia" w:asciiTheme="minorEastAsia" w:hAnsiTheme="minorEastAsia" w:eastAsiaTheme="minorEastAsia" w:cstheme="minorEastAsia"/>
          <w:b/>
          <w:bCs/>
          <w:color w:val="000000" w:themeColor="text1"/>
          <w:sz w:val="36"/>
          <w:szCs w:val="36"/>
          <w:highlight w:val="none"/>
          <w14:textFill>
            <w14:solidFill>
              <w14:schemeClr w14:val="tx1"/>
            </w14:solidFill>
          </w14:textFill>
        </w:rPr>
        <w:t>需求偏离表</w:t>
      </w:r>
    </w:p>
    <w:p w14:paraId="718A44D2">
      <w:pPr>
        <w:pStyle w:val="16"/>
        <w:keepNext w:val="0"/>
        <w:keepLines w:val="0"/>
        <w:pageBreakBefore w:val="0"/>
        <w:widowControl w:val="0"/>
        <w:kinsoku/>
        <w:wordWrap/>
        <w:overflowPunct/>
        <w:topLinePunct w:val="0"/>
        <w:autoSpaceDE/>
        <w:autoSpaceDN/>
        <w:bidi w:val="0"/>
        <w:adjustRightInd/>
        <w:snapToGrid/>
        <w:spacing w:line="500" w:lineRule="exact"/>
        <w:contextualSpacing/>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xml:space="preserve">所竞分标：              </w:t>
      </w:r>
    </w:p>
    <w:tbl>
      <w:tblPr>
        <w:tblStyle w:val="26"/>
        <w:tblW w:w="91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293"/>
        <w:gridCol w:w="834"/>
        <w:gridCol w:w="1787"/>
        <w:gridCol w:w="1291"/>
        <w:gridCol w:w="745"/>
        <w:gridCol w:w="1300"/>
        <w:gridCol w:w="1241"/>
      </w:tblGrid>
      <w:tr w14:paraId="2330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4" w:hRule="atLeast"/>
          <w:jc w:val="center"/>
        </w:trPr>
        <w:tc>
          <w:tcPr>
            <w:tcW w:w="671" w:type="dxa"/>
            <w:vMerge w:val="restart"/>
            <w:tcBorders>
              <w:top w:val="single" w:color="auto" w:sz="4" w:space="0"/>
              <w:left w:val="single" w:color="auto" w:sz="4" w:space="0"/>
              <w:bottom w:val="single" w:color="auto" w:sz="4" w:space="0"/>
              <w:right w:val="single" w:color="auto" w:sz="4" w:space="0"/>
            </w:tcBorders>
            <w:vAlign w:val="center"/>
          </w:tcPr>
          <w:p w14:paraId="7B25ABE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项号</w:t>
            </w:r>
          </w:p>
        </w:tc>
        <w:tc>
          <w:tcPr>
            <w:tcW w:w="3914" w:type="dxa"/>
            <w:gridSpan w:val="3"/>
            <w:tcBorders>
              <w:top w:val="single" w:color="auto" w:sz="4" w:space="0"/>
              <w:left w:val="single" w:color="auto" w:sz="4" w:space="0"/>
              <w:bottom w:val="single" w:color="auto" w:sz="4" w:space="0"/>
              <w:right w:val="single" w:color="auto" w:sz="4" w:space="0"/>
            </w:tcBorders>
            <w:vAlign w:val="center"/>
          </w:tcPr>
          <w:p w14:paraId="57071A6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竞争性磋商采购文件需求</w:t>
            </w:r>
          </w:p>
        </w:tc>
        <w:tc>
          <w:tcPr>
            <w:tcW w:w="3336" w:type="dxa"/>
            <w:gridSpan w:val="3"/>
            <w:tcBorders>
              <w:top w:val="single" w:color="auto" w:sz="4" w:space="0"/>
              <w:left w:val="single" w:color="auto" w:sz="4" w:space="0"/>
              <w:bottom w:val="single" w:color="auto" w:sz="4" w:space="0"/>
              <w:right w:val="single" w:color="auto" w:sz="4" w:space="0"/>
            </w:tcBorders>
            <w:vAlign w:val="center"/>
          </w:tcPr>
          <w:p w14:paraId="3017C4E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响应文件承诺</w:t>
            </w:r>
          </w:p>
        </w:tc>
        <w:tc>
          <w:tcPr>
            <w:tcW w:w="1241" w:type="dxa"/>
            <w:vMerge w:val="restart"/>
            <w:tcBorders>
              <w:top w:val="single" w:color="auto" w:sz="4" w:space="0"/>
              <w:left w:val="single" w:color="auto" w:sz="4" w:space="0"/>
              <w:bottom w:val="single" w:color="auto" w:sz="4" w:space="0"/>
              <w:right w:val="single" w:color="auto" w:sz="4" w:space="0"/>
            </w:tcBorders>
            <w:vAlign w:val="center"/>
          </w:tcPr>
          <w:p w14:paraId="7207B339">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偏离说明</w:t>
            </w:r>
          </w:p>
        </w:tc>
      </w:tr>
      <w:tr w14:paraId="4FB6E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671" w:type="dxa"/>
            <w:vMerge w:val="continue"/>
            <w:tcBorders>
              <w:top w:val="single" w:color="auto" w:sz="4" w:space="0"/>
              <w:left w:val="single" w:color="auto" w:sz="4" w:space="0"/>
              <w:bottom w:val="single" w:color="auto" w:sz="4" w:space="0"/>
              <w:right w:val="single" w:color="auto" w:sz="4" w:space="0"/>
            </w:tcBorders>
            <w:vAlign w:val="center"/>
          </w:tcPr>
          <w:p w14:paraId="70403F4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293" w:type="dxa"/>
            <w:tcBorders>
              <w:top w:val="single" w:color="auto" w:sz="4" w:space="0"/>
              <w:left w:val="single" w:color="auto" w:sz="4" w:space="0"/>
              <w:bottom w:val="single" w:color="auto" w:sz="4" w:space="0"/>
              <w:right w:val="single" w:color="auto" w:sz="4" w:space="0"/>
            </w:tcBorders>
            <w:vAlign w:val="center"/>
          </w:tcPr>
          <w:p w14:paraId="219263C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服务名称</w:t>
            </w:r>
          </w:p>
        </w:tc>
        <w:tc>
          <w:tcPr>
            <w:tcW w:w="834" w:type="dxa"/>
            <w:tcBorders>
              <w:top w:val="single" w:color="auto" w:sz="4" w:space="0"/>
              <w:left w:val="single" w:color="auto" w:sz="4" w:space="0"/>
              <w:bottom w:val="single" w:color="auto" w:sz="4" w:space="0"/>
              <w:right w:val="single" w:color="auto" w:sz="4" w:space="0"/>
            </w:tcBorders>
            <w:vAlign w:val="center"/>
          </w:tcPr>
          <w:p w14:paraId="61AF4AD7">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数量</w:t>
            </w:r>
          </w:p>
        </w:tc>
        <w:tc>
          <w:tcPr>
            <w:tcW w:w="1787" w:type="dxa"/>
            <w:tcBorders>
              <w:top w:val="single" w:color="auto" w:sz="4" w:space="0"/>
              <w:left w:val="single" w:color="auto" w:sz="4" w:space="0"/>
              <w:bottom w:val="single" w:color="auto" w:sz="4" w:space="0"/>
              <w:right w:val="single" w:color="auto" w:sz="4" w:space="0"/>
            </w:tcBorders>
            <w:vAlign w:val="center"/>
          </w:tcPr>
          <w:p w14:paraId="3268127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服务参数要求</w:t>
            </w:r>
          </w:p>
        </w:tc>
        <w:tc>
          <w:tcPr>
            <w:tcW w:w="1291" w:type="dxa"/>
            <w:tcBorders>
              <w:top w:val="single" w:color="auto" w:sz="4" w:space="0"/>
              <w:left w:val="single" w:color="auto" w:sz="4" w:space="0"/>
              <w:bottom w:val="single" w:color="auto" w:sz="4" w:space="0"/>
              <w:right w:val="single" w:color="auto" w:sz="4" w:space="0"/>
            </w:tcBorders>
            <w:vAlign w:val="center"/>
          </w:tcPr>
          <w:p w14:paraId="539818B9">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服务名称</w:t>
            </w:r>
          </w:p>
        </w:tc>
        <w:tc>
          <w:tcPr>
            <w:tcW w:w="745" w:type="dxa"/>
            <w:tcBorders>
              <w:top w:val="single" w:color="auto" w:sz="4" w:space="0"/>
              <w:left w:val="single" w:color="auto" w:sz="4" w:space="0"/>
              <w:bottom w:val="single" w:color="auto" w:sz="4" w:space="0"/>
              <w:right w:val="single" w:color="auto" w:sz="4" w:space="0"/>
            </w:tcBorders>
            <w:vAlign w:val="center"/>
          </w:tcPr>
          <w:p w14:paraId="0F755AD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数量</w:t>
            </w:r>
          </w:p>
        </w:tc>
        <w:tc>
          <w:tcPr>
            <w:tcW w:w="1300" w:type="dxa"/>
            <w:tcBorders>
              <w:top w:val="single" w:color="auto" w:sz="4" w:space="0"/>
              <w:left w:val="single" w:color="auto" w:sz="4" w:space="0"/>
              <w:bottom w:val="single" w:color="auto" w:sz="4" w:space="0"/>
              <w:right w:val="single" w:color="auto" w:sz="4" w:space="0"/>
            </w:tcBorders>
            <w:vAlign w:val="center"/>
          </w:tcPr>
          <w:p w14:paraId="754982D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服务参数</w:t>
            </w:r>
          </w:p>
        </w:tc>
        <w:tc>
          <w:tcPr>
            <w:tcW w:w="1241" w:type="dxa"/>
            <w:vMerge w:val="continue"/>
            <w:tcBorders>
              <w:top w:val="single" w:color="auto" w:sz="4" w:space="0"/>
              <w:left w:val="single" w:color="auto" w:sz="4" w:space="0"/>
              <w:bottom w:val="single" w:color="auto" w:sz="4" w:space="0"/>
              <w:right w:val="single" w:color="auto" w:sz="4" w:space="0"/>
            </w:tcBorders>
            <w:vAlign w:val="center"/>
          </w:tcPr>
          <w:p w14:paraId="2F8E2E1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r>
      <w:tr w14:paraId="74826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 w:hRule="atLeast"/>
          <w:jc w:val="center"/>
        </w:trPr>
        <w:tc>
          <w:tcPr>
            <w:tcW w:w="671" w:type="dxa"/>
            <w:tcBorders>
              <w:top w:val="single" w:color="auto" w:sz="4" w:space="0"/>
              <w:left w:val="single" w:color="auto" w:sz="4" w:space="0"/>
              <w:bottom w:val="single" w:color="auto" w:sz="4" w:space="0"/>
              <w:right w:val="single" w:color="auto" w:sz="4" w:space="0"/>
            </w:tcBorders>
            <w:vAlign w:val="center"/>
          </w:tcPr>
          <w:p w14:paraId="25D28BF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w:t>
            </w:r>
          </w:p>
        </w:tc>
        <w:tc>
          <w:tcPr>
            <w:tcW w:w="1293" w:type="dxa"/>
            <w:tcBorders>
              <w:top w:val="single" w:color="auto" w:sz="4" w:space="0"/>
              <w:left w:val="single" w:color="auto" w:sz="4" w:space="0"/>
              <w:bottom w:val="single" w:color="auto" w:sz="4" w:space="0"/>
              <w:right w:val="single" w:color="auto" w:sz="4" w:space="0"/>
            </w:tcBorders>
            <w:vAlign w:val="center"/>
          </w:tcPr>
          <w:p w14:paraId="5F24C475">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tc>
        <w:tc>
          <w:tcPr>
            <w:tcW w:w="834" w:type="dxa"/>
            <w:tcBorders>
              <w:top w:val="single" w:color="auto" w:sz="4" w:space="0"/>
              <w:left w:val="single" w:color="auto" w:sz="4" w:space="0"/>
              <w:bottom w:val="single" w:color="auto" w:sz="4" w:space="0"/>
              <w:right w:val="single" w:color="auto" w:sz="4" w:space="0"/>
            </w:tcBorders>
            <w:vAlign w:val="center"/>
          </w:tcPr>
          <w:p w14:paraId="24803720">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tc>
        <w:tc>
          <w:tcPr>
            <w:tcW w:w="1787" w:type="dxa"/>
            <w:tcBorders>
              <w:top w:val="single" w:color="auto" w:sz="4" w:space="0"/>
              <w:left w:val="single" w:color="auto" w:sz="4" w:space="0"/>
              <w:bottom w:val="single" w:color="auto" w:sz="4" w:space="0"/>
              <w:right w:val="single" w:color="auto" w:sz="4" w:space="0"/>
            </w:tcBorders>
            <w:vAlign w:val="center"/>
          </w:tcPr>
          <w:p w14:paraId="08C00253">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  ……</w:t>
            </w:r>
          </w:p>
          <w:p w14:paraId="16FDDED5">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  ……</w:t>
            </w:r>
          </w:p>
          <w:p w14:paraId="70E98AF8">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  ……</w:t>
            </w:r>
          </w:p>
          <w:p w14:paraId="53038067">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tc>
        <w:tc>
          <w:tcPr>
            <w:tcW w:w="1291" w:type="dxa"/>
            <w:tcBorders>
              <w:top w:val="single" w:color="auto" w:sz="4" w:space="0"/>
              <w:left w:val="single" w:color="auto" w:sz="4" w:space="0"/>
              <w:bottom w:val="single" w:color="auto" w:sz="4" w:space="0"/>
              <w:right w:val="single" w:color="auto" w:sz="4" w:space="0"/>
            </w:tcBorders>
            <w:vAlign w:val="center"/>
          </w:tcPr>
          <w:p w14:paraId="152AEFEA">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tc>
        <w:tc>
          <w:tcPr>
            <w:tcW w:w="745" w:type="dxa"/>
            <w:tcBorders>
              <w:top w:val="single" w:color="auto" w:sz="4" w:space="0"/>
              <w:left w:val="single" w:color="auto" w:sz="4" w:space="0"/>
              <w:bottom w:val="single" w:color="auto" w:sz="4" w:space="0"/>
              <w:right w:val="single" w:color="auto" w:sz="4" w:space="0"/>
            </w:tcBorders>
            <w:vAlign w:val="center"/>
          </w:tcPr>
          <w:p w14:paraId="25B08C2D">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tc>
        <w:tc>
          <w:tcPr>
            <w:tcW w:w="1300" w:type="dxa"/>
            <w:tcBorders>
              <w:top w:val="single" w:color="auto" w:sz="4" w:space="0"/>
              <w:left w:val="single" w:color="auto" w:sz="4" w:space="0"/>
              <w:bottom w:val="single" w:color="auto" w:sz="4" w:space="0"/>
              <w:right w:val="single" w:color="auto" w:sz="4" w:space="0"/>
            </w:tcBorders>
            <w:vAlign w:val="center"/>
          </w:tcPr>
          <w:p w14:paraId="183757CA">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  ……</w:t>
            </w:r>
          </w:p>
          <w:p w14:paraId="7E167D2E">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  ……</w:t>
            </w:r>
          </w:p>
          <w:p w14:paraId="3512E39F">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  ……</w:t>
            </w:r>
          </w:p>
          <w:p w14:paraId="2B9E5CD3">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tc>
        <w:tc>
          <w:tcPr>
            <w:tcW w:w="1241" w:type="dxa"/>
            <w:tcBorders>
              <w:top w:val="single" w:color="auto" w:sz="4" w:space="0"/>
              <w:left w:val="single" w:color="auto" w:sz="4" w:space="0"/>
              <w:bottom w:val="single" w:color="auto" w:sz="4" w:space="0"/>
              <w:right w:val="single" w:color="auto" w:sz="4" w:space="0"/>
            </w:tcBorders>
            <w:vAlign w:val="center"/>
          </w:tcPr>
          <w:p w14:paraId="1CF65A95">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r>
      <w:tr w14:paraId="6C7A9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jc w:val="center"/>
        </w:trPr>
        <w:tc>
          <w:tcPr>
            <w:tcW w:w="671" w:type="dxa"/>
            <w:tcBorders>
              <w:top w:val="single" w:color="auto" w:sz="4" w:space="0"/>
              <w:left w:val="single" w:color="auto" w:sz="4" w:space="0"/>
              <w:bottom w:val="single" w:color="auto" w:sz="4" w:space="0"/>
              <w:right w:val="single" w:color="auto" w:sz="4" w:space="0"/>
            </w:tcBorders>
            <w:vAlign w:val="center"/>
          </w:tcPr>
          <w:p w14:paraId="581CE181">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w:t>
            </w:r>
          </w:p>
        </w:tc>
        <w:tc>
          <w:tcPr>
            <w:tcW w:w="1293" w:type="dxa"/>
            <w:tcBorders>
              <w:top w:val="single" w:color="auto" w:sz="4" w:space="0"/>
              <w:left w:val="single" w:color="auto" w:sz="4" w:space="0"/>
              <w:bottom w:val="single" w:color="auto" w:sz="4" w:space="0"/>
              <w:right w:val="single" w:color="auto" w:sz="4" w:space="0"/>
            </w:tcBorders>
            <w:vAlign w:val="center"/>
          </w:tcPr>
          <w:p w14:paraId="794F0452">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tc>
        <w:tc>
          <w:tcPr>
            <w:tcW w:w="834" w:type="dxa"/>
            <w:tcBorders>
              <w:top w:val="single" w:color="auto" w:sz="4" w:space="0"/>
              <w:left w:val="single" w:color="auto" w:sz="4" w:space="0"/>
              <w:bottom w:val="single" w:color="auto" w:sz="4" w:space="0"/>
              <w:right w:val="single" w:color="auto" w:sz="4" w:space="0"/>
            </w:tcBorders>
            <w:vAlign w:val="center"/>
          </w:tcPr>
          <w:p w14:paraId="7157B444">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tc>
        <w:tc>
          <w:tcPr>
            <w:tcW w:w="1787" w:type="dxa"/>
            <w:tcBorders>
              <w:top w:val="single" w:color="auto" w:sz="4" w:space="0"/>
              <w:left w:val="single" w:color="auto" w:sz="4" w:space="0"/>
              <w:bottom w:val="single" w:color="auto" w:sz="4" w:space="0"/>
              <w:right w:val="single" w:color="auto" w:sz="4" w:space="0"/>
            </w:tcBorders>
            <w:vAlign w:val="center"/>
          </w:tcPr>
          <w:p w14:paraId="375FBCE6">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  ……</w:t>
            </w:r>
          </w:p>
          <w:p w14:paraId="1C82F03E">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  ……</w:t>
            </w:r>
          </w:p>
          <w:p w14:paraId="41294DFD">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  ……</w:t>
            </w:r>
          </w:p>
          <w:p w14:paraId="6B247F3D">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tc>
        <w:tc>
          <w:tcPr>
            <w:tcW w:w="1291" w:type="dxa"/>
            <w:tcBorders>
              <w:top w:val="single" w:color="auto" w:sz="4" w:space="0"/>
              <w:left w:val="single" w:color="auto" w:sz="4" w:space="0"/>
              <w:bottom w:val="single" w:color="auto" w:sz="4" w:space="0"/>
              <w:right w:val="single" w:color="auto" w:sz="4" w:space="0"/>
            </w:tcBorders>
            <w:vAlign w:val="center"/>
          </w:tcPr>
          <w:p w14:paraId="5B70B897">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tc>
        <w:tc>
          <w:tcPr>
            <w:tcW w:w="745" w:type="dxa"/>
            <w:tcBorders>
              <w:top w:val="single" w:color="auto" w:sz="4" w:space="0"/>
              <w:left w:val="single" w:color="auto" w:sz="4" w:space="0"/>
              <w:bottom w:val="single" w:color="auto" w:sz="4" w:space="0"/>
              <w:right w:val="single" w:color="auto" w:sz="4" w:space="0"/>
            </w:tcBorders>
            <w:vAlign w:val="center"/>
          </w:tcPr>
          <w:p w14:paraId="5C9F61EF">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tc>
        <w:tc>
          <w:tcPr>
            <w:tcW w:w="1300" w:type="dxa"/>
            <w:tcBorders>
              <w:top w:val="single" w:color="auto" w:sz="4" w:space="0"/>
              <w:left w:val="single" w:color="auto" w:sz="4" w:space="0"/>
              <w:bottom w:val="single" w:color="auto" w:sz="4" w:space="0"/>
              <w:right w:val="single" w:color="auto" w:sz="4" w:space="0"/>
            </w:tcBorders>
            <w:vAlign w:val="center"/>
          </w:tcPr>
          <w:p w14:paraId="7B144C80">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  ……</w:t>
            </w:r>
          </w:p>
          <w:p w14:paraId="7A832023">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  ……</w:t>
            </w:r>
          </w:p>
          <w:p w14:paraId="2B2B25F5">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  ……</w:t>
            </w:r>
          </w:p>
          <w:p w14:paraId="335EF120">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tc>
        <w:tc>
          <w:tcPr>
            <w:tcW w:w="1241" w:type="dxa"/>
            <w:tcBorders>
              <w:top w:val="single" w:color="auto" w:sz="4" w:space="0"/>
              <w:left w:val="single" w:color="auto" w:sz="4" w:space="0"/>
              <w:bottom w:val="single" w:color="auto" w:sz="4" w:space="0"/>
              <w:right w:val="single" w:color="auto" w:sz="4" w:space="0"/>
            </w:tcBorders>
            <w:vAlign w:val="center"/>
          </w:tcPr>
          <w:p w14:paraId="0362B0C3">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r>
      <w:tr w14:paraId="4E99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671" w:type="dxa"/>
            <w:tcBorders>
              <w:top w:val="single" w:color="auto" w:sz="4" w:space="0"/>
              <w:left w:val="single" w:color="auto" w:sz="4" w:space="0"/>
              <w:bottom w:val="single" w:color="auto" w:sz="4" w:space="0"/>
              <w:right w:val="single" w:color="auto" w:sz="4" w:space="0"/>
            </w:tcBorders>
            <w:vAlign w:val="center"/>
          </w:tcPr>
          <w:p w14:paraId="01582F2B">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tc>
        <w:tc>
          <w:tcPr>
            <w:tcW w:w="1293" w:type="dxa"/>
            <w:tcBorders>
              <w:top w:val="single" w:color="auto" w:sz="4" w:space="0"/>
              <w:left w:val="single" w:color="auto" w:sz="4" w:space="0"/>
              <w:bottom w:val="single" w:color="auto" w:sz="4" w:space="0"/>
              <w:right w:val="single" w:color="auto" w:sz="4" w:space="0"/>
            </w:tcBorders>
            <w:vAlign w:val="center"/>
          </w:tcPr>
          <w:p w14:paraId="6F846687">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834" w:type="dxa"/>
            <w:tcBorders>
              <w:top w:val="single" w:color="auto" w:sz="4" w:space="0"/>
              <w:left w:val="single" w:color="auto" w:sz="4" w:space="0"/>
              <w:bottom w:val="single" w:color="auto" w:sz="4" w:space="0"/>
              <w:right w:val="single" w:color="auto" w:sz="4" w:space="0"/>
            </w:tcBorders>
            <w:vAlign w:val="center"/>
          </w:tcPr>
          <w:p w14:paraId="5DCC8961">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787" w:type="dxa"/>
            <w:tcBorders>
              <w:top w:val="single" w:color="auto" w:sz="4" w:space="0"/>
              <w:left w:val="single" w:color="auto" w:sz="4" w:space="0"/>
              <w:bottom w:val="single" w:color="auto" w:sz="4" w:space="0"/>
              <w:right w:val="single" w:color="auto" w:sz="4" w:space="0"/>
            </w:tcBorders>
            <w:vAlign w:val="center"/>
          </w:tcPr>
          <w:p w14:paraId="58AA1395">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291" w:type="dxa"/>
            <w:tcBorders>
              <w:top w:val="single" w:color="auto" w:sz="4" w:space="0"/>
              <w:left w:val="single" w:color="auto" w:sz="4" w:space="0"/>
              <w:bottom w:val="single" w:color="auto" w:sz="4" w:space="0"/>
              <w:right w:val="single" w:color="auto" w:sz="4" w:space="0"/>
            </w:tcBorders>
            <w:vAlign w:val="center"/>
          </w:tcPr>
          <w:p w14:paraId="3DDB686B">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745" w:type="dxa"/>
            <w:tcBorders>
              <w:top w:val="single" w:color="auto" w:sz="4" w:space="0"/>
              <w:left w:val="single" w:color="auto" w:sz="4" w:space="0"/>
              <w:bottom w:val="single" w:color="auto" w:sz="4" w:space="0"/>
              <w:right w:val="single" w:color="auto" w:sz="4" w:space="0"/>
            </w:tcBorders>
            <w:vAlign w:val="center"/>
          </w:tcPr>
          <w:p w14:paraId="18928CFC">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300" w:type="dxa"/>
            <w:tcBorders>
              <w:top w:val="single" w:color="auto" w:sz="4" w:space="0"/>
              <w:left w:val="single" w:color="auto" w:sz="4" w:space="0"/>
              <w:bottom w:val="single" w:color="auto" w:sz="4" w:space="0"/>
              <w:right w:val="single" w:color="auto" w:sz="4" w:space="0"/>
            </w:tcBorders>
            <w:vAlign w:val="center"/>
          </w:tcPr>
          <w:p w14:paraId="7A66828B">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241" w:type="dxa"/>
            <w:tcBorders>
              <w:top w:val="single" w:color="auto" w:sz="4" w:space="0"/>
              <w:left w:val="single" w:color="auto" w:sz="4" w:space="0"/>
              <w:bottom w:val="single" w:color="auto" w:sz="4" w:space="0"/>
              <w:right w:val="single" w:color="auto" w:sz="4" w:space="0"/>
            </w:tcBorders>
            <w:vAlign w:val="center"/>
          </w:tcPr>
          <w:p w14:paraId="1DFAD3AC">
            <w:pPr>
              <w:keepNext w:val="0"/>
              <w:keepLines w:val="0"/>
              <w:pageBreakBefore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r>
    </w:tbl>
    <w:p w14:paraId="04E96811">
      <w:pPr>
        <w:pStyle w:val="12"/>
        <w:keepNext w:val="0"/>
        <w:keepLines w:val="0"/>
        <w:pageBreakBefore w:val="0"/>
        <w:widowControl w:val="0"/>
        <w:kinsoku/>
        <w:wordWrap/>
        <w:overflowPunct/>
        <w:topLinePunct w:val="0"/>
        <w:autoSpaceDE/>
        <w:autoSpaceDN/>
        <w:bidi w:val="0"/>
        <w:adjustRightInd/>
        <w:snapToGrid/>
        <w:spacing w:after="0" w:line="400" w:lineRule="exact"/>
        <w:ind w:firstLine="420" w:firstLineChars="200"/>
        <w:contextualSpacing/>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注：</w:t>
      </w:r>
    </w:p>
    <w:p w14:paraId="079B9431">
      <w:pPr>
        <w:pStyle w:val="12"/>
        <w:keepNext w:val="0"/>
        <w:keepLines w:val="0"/>
        <w:pageBreakBefore w:val="0"/>
        <w:widowControl w:val="0"/>
        <w:kinsoku/>
        <w:wordWrap/>
        <w:overflowPunct/>
        <w:topLinePunct w:val="0"/>
        <w:autoSpaceDE/>
        <w:autoSpaceDN/>
        <w:bidi w:val="0"/>
        <w:adjustRightInd/>
        <w:snapToGrid/>
        <w:spacing w:after="0" w:line="400" w:lineRule="exact"/>
        <w:ind w:firstLine="420" w:firstLineChars="200"/>
        <w:contextualSpacing/>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1.说明：应对照磋商文件“第二章”中“服务需求一览表”的技术服务要求条款逐条作出明确响应，并作出偏离说明。</w:t>
      </w:r>
    </w:p>
    <w:p w14:paraId="5E9DB13D">
      <w:pPr>
        <w:pStyle w:val="14"/>
        <w:keepNext w:val="0"/>
        <w:keepLines w:val="0"/>
        <w:pageBreakBefore w:val="0"/>
        <w:widowControl w:val="0"/>
        <w:kinsoku/>
        <w:wordWrap/>
        <w:overflowPunct/>
        <w:topLinePunct w:val="0"/>
        <w:autoSpaceDE/>
        <w:autoSpaceDN/>
        <w:bidi w:val="0"/>
        <w:adjustRightInd/>
        <w:snapToGrid/>
        <w:spacing w:line="400" w:lineRule="exact"/>
        <w:ind w:firstLine="420" w:firstLineChars="200"/>
        <w:contextualSpacing/>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p>
    <w:p w14:paraId="5F186CED">
      <w:pPr>
        <w:pStyle w:val="14"/>
        <w:keepNext w:val="0"/>
        <w:keepLines w:val="0"/>
        <w:pageBreakBefore w:val="0"/>
        <w:widowControl w:val="0"/>
        <w:kinsoku/>
        <w:wordWrap/>
        <w:overflowPunct/>
        <w:topLinePunct w:val="0"/>
        <w:autoSpaceDE/>
        <w:autoSpaceDN/>
        <w:bidi w:val="0"/>
        <w:adjustRightInd/>
        <w:snapToGrid/>
        <w:spacing w:line="400" w:lineRule="exact"/>
        <w:ind w:firstLine="420" w:firstLineChars="200"/>
        <w:contextualSpacing/>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3.表格内容均需按要求填写并盖章，不得留空，否则按竞标无效处理。</w:t>
      </w:r>
    </w:p>
    <w:p w14:paraId="4B1293E8">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200"/>
        <w:contextualSpacing/>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4.如果采购需求为小于、小于等于、大于或大于等于某个数值标准时，响应文件承诺不得直接复制采购需求，响应文件承诺内容应当写明竞标服务具体参数或商务响应承诺的具体数值。如该采购需求属于不能明确具体数值的，采购人应在此采购需求的数值后标注◆号，对标注◆号的采购需求不适用上述“竞标无效”条款</w:t>
      </w:r>
      <w:r>
        <w:rPr>
          <w:rFonts w:hint="eastAsia" w:asciiTheme="minorEastAsia" w:hAnsiTheme="minorEastAsia" w:eastAsiaTheme="minorEastAsia" w:cstheme="minorEastAsia"/>
          <w:color w:val="auto"/>
          <w:sz w:val="21"/>
          <w:szCs w:val="21"/>
          <w:highlight w:val="none"/>
          <w:lang w:eastAsia="zh-CN"/>
        </w:rPr>
        <w:t>。</w:t>
      </w:r>
    </w:p>
    <w:p w14:paraId="45D4ADB6">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200"/>
        <w:contextualSpacing/>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如技术偏离表中的竞标响应与佐证材料不一致的，以佐证材料为准。</w:t>
      </w:r>
    </w:p>
    <w:p w14:paraId="1D46DB41">
      <w:pPr>
        <w:snapToGrid w:val="0"/>
        <w:spacing w:line="360" w:lineRule="auto"/>
        <w:ind w:firstLine="602" w:firstLineChars="200"/>
        <w:rPr>
          <w:rFonts w:hint="eastAsia" w:asciiTheme="minorEastAsia" w:hAnsiTheme="minorEastAsia" w:eastAsiaTheme="minorEastAsia" w:cstheme="minorEastAsia"/>
          <w:b/>
          <w:color w:val="000000" w:themeColor="text1"/>
          <w:sz w:val="30"/>
          <w:szCs w:val="30"/>
          <w:highlight w:val="none"/>
          <w14:textFill>
            <w14:solidFill>
              <w14:schemeClr w14:val="tx1"/>
            </w14:solidFill>
          </w14:textFill>
        </w:rPr>
      </w:pPr>
    </w:p>
    <w:p w14:paraId="1A85AC7D">
      <w:pPr>
        <w:pStyle w:val="10"/>
        <w:rPr>
          <w:rFonts w:hint="eastAsia" w:asciiTheme="minorEastAsia" w:hAnsiTheme="minorEastAsia" w:eastAsiaTheme="minorEastAsia" w:cstheme="minorEastAsia"/>
          <w:b/>
          <w:color w:val="000000" w:themeColor="text1"/>
          <w:sz w:val="30"/>
          <w:szCs w:val="30"/>
          <w:highlight w:val="none"/>
          <w14:textFill>
            <w14:solidFill>
              <w14:schemeClr w14:val="tx1"/>
            </w14:solidFill>
          </w14:textFill>
        </w:rPr>
      </w:pPr>
    </w:p>
    <w:p w14:paraId="501E85F6">
      <w:pPr>
        <w:rPr>
          <w:rFonts w:hint="eastAsia"/>
        </w:rPr>
      </w:pPr>
    </w:p>
    <w:p w14:paraId="0673C9A4">
      <w:pPr>
        <w:keepNext w:val="0"/>
        <w:keepLines w:val="0"/>
        <w:pageBreakBefore w:val="0"/>
        <w:widowControl w:val="0"/>
        <w:kinsoku/>
        <w:wordWrap/>
        <w:overflowPunct/>
        <w:topLinePunct w:val="0"/>
        <w:autoSpaceDE w:val="0"/>
        <w:autoSpaceDN w:val="0"/>
        <w:bidi w:val="0"/>
        <w:adjustRightInd/>
        <w:snapToGrid/>
        <w:spacing w:line="600" w:lineRule="exact"/>
        <w:ind w:firstLine="3600" w:firstLineChars="1500"/>
        <w:textAlignment w:val="auto"/>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供应商名称（电子签章）：</w:t>
      </w:r>
    </w:p>
    <w:p w14:paraId="451BA5C8">
      <w:pPr>
        <w:keepNext w:val="0"/>
        <w:keepLines w:val="0"/>
        <w:pageBreakBefore w:val="0"/>
        <w:widowControl w:val="0"/>
        <w:kinsoku/>
        <w:wordWrap/>
        <w:overflowPunct/>
        <w:topLinePunct w:val="0"/>
        <w:autoSpaceDE w:val="0"/>
        <w:autoSpaceDN w:val="0"/>
        <w:bidi w:val="0"/>
        <w:adjustRightInd/>
        <w:snapToGrid/>
        <w:spacing w:line="600" w:lineRule="exact"/>
        <w:ind w:firstLine="5760" w:firstLineChars="24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日期：  </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年 </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 月   日</w:t>
      </w:r>
    </w:p>
    <w:p w14:paraId="407A8FFD">
      <w:pPr>
        <w:adjustRightInd w:val="0"/>
        <w:snapToGrid w:val="0"/>
        <w:spacing w:line="520" w:lineRule="exact"/>
        <w:jc w:val="center"/>
        <w:rPr>
          <w:rFonts w:hint="eastAsia" w:asciiTheme="minorEastAsia" w:hAnsiTheme="minorEastAsia" w:eastAsiaTheme="minorEastAsia" w:cstheme="minorEastAsia"/>
          <w:bCs/>
          <w:color w:val="000000" w:themeColor="text1"/>
          <w:sz w:val="44"/>
          <w:szCs w:val="44"/>
          <w:highlight w:val="none"/>
          <w14:textFill>
            <w14:solidFill>
              <w14:schemeClr w14:val="tx1"/>
            </w14:solidFill>
          </w14:textFill>
        </w:rPr>
      </w:pPr>
    </w:p>
    <w:p w14:paraId="3D54FED4">
      <w:pPr>
        <w:spacing w:line="360" w:lineRule="auto"/>
        <w:jc w:val="left"/>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74361053">
      <w:pPr>
        <w:spacing w:line="360" w:lineRule="auto"/>
        <w:jc w:val="left"/>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6C77926E">
      <w:pPr>
        <w:spacing w:line="360" w:lineRule="auto"/>
        <w:jc w:val="left"/>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八、服务方案</w:t>
      </w:r>
    </w:p>
    <w:p w14:paraId="77F63BB9">
      <w:pPr>
        <w:autoSpaceDE w:val="0"/>
        <w:autoSpaceDN w:val="0"/>
        <w:spacing w:line="360" w:lineRule="auto"/>
        <w:jc w:val="center"/>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（由供应商根据采购需求及采购文件要求或评分办法编制）</w:t>
      </w:r>
    </w:p>
    <w:p w14:paraId="537720AD">
      <w:pPr>
        <w:keepNext w:val="0"/>
        <w:keepLines w:val="0"/>
        <w:pageBreakBefore w:val="0"/>
        <w:widowControl w:val="0"/>
        <w:kinsoku/>
        <w:wordWrap/>
        <w:overflowPunct/>
        <w:topLinePunct w:val="0"/>
        <w:autoSpaceDE w:val="0"/>
        <w:autoSpaceDN w:val="0"/>
        <w:bidi w:val="0"/>
        <w:adjustRightInd/>
        <w:snapToGrid/>
        <w:spacing w:line="600" w:lineRule="exact"/>
        <w:ind w:left="4335" w:leftChars="1950" w:hanging="240" w:hangingChars="100"/>
        <w:textAlignment w:val="auto"/>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p>
    <w:p w14:paraId="5539138B">
      <w:pPr>
        <w:keepNext w:val="0"/>
        <w:keepLines w:val="0"/>
        <w:pageBreakBefore w:val="0"/>
        <w:widowControl w:val="0"/>
        <w:kinsoku/>
        <w:wordWrap/>
        <w:overflowPunct/>
        <w:topLinePunct w:val="0"/>
        <w:autoSpaceDE w:val="0"/>
        <w:autoSpaceDN w:val="0"/>
        <w:bidi w:val="0"/>
        <w:adjustRightInd/>
        <w:snapToGrid/>
        <w:spacing w:line="600" w:lineRule="exact"/>
        <w:ind w:left="4335" w:leftChars="1950" w:hanging="240" w:hangingChars="100"/>
        <w:textAlignment w:val="auto"/>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供应商名称（电子签章）：</w:t>
      </w:r>
    </w:p>
    <w:p w14:paraId="5688CF4C">
      <w:pPr>
        <w:keepNext w:val="0"/>
        <w:keepLines w:val="0"/>
        <w:pageBreakBefore w:val="0"/>
        <w:widowControl w:val="0"/>
        <w:kinsoku/>
        <w:wordWrap/>
        <w:overflowPunct/>
        <w:topLinePunct w:val="0"/>
        <w:autoSpaceDE w:val="0"/>
        <w:autoSpaceDN w:val="0"/>
        <w:bidi w:val="0"/>
        <w:adjustRightInd/>
        <w:snapToGrid/>
        <w:spacing w:line="600" w:lineRule="exact"/>
        <w:ind w:firstLine="6240" w:firstLineChars="26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日期： </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 年  月  日</w:t>
      </w:r>
    </w:p>
    <w:p w14:paraId="442A80FA">
      <w:pPr>
        <w:pStyle w:val="19"/>
        <w:rPr>
          <w:rFonts w:hint="eastAsia" w:asciiTheme="minorEastAsia" w:hAnsiTheme="minorEastAsia" w:eastAsiaTheme="minorEastAsia" w:cstheme="minorEastAsia"/>
          <w:color w:val="000000" w:themeColor="text1"/>
          <w:highlight w:val="none"/>
          <w14:textFill>
            <w14:solidFill>
              <w14:schemeClr w14:val="tx1"/>
            </w14:solidFill>
          </w14:textFill>
        </w:rPr>
      </w:pPr>
    </w:p>
    <w:p w14:paraId="40C007D2">
      <w:pPr>
        <w:spacing w:line="360" w:lineRule="auto"/>
        <w:jc w:val="left"/>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九、项目实施人员一览表</w:t>
      </w:r>
    </w:p>
    <w:p w14:paraId="3B88D0D3">
      <w:pPr>
        <w:spacing w:line="360" w:lineRule="auto"/>
        <w:jc w:val="cente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（由供应商根据采购需求及采购文件要求或评分办法编制）</w:t>
      </w:r>
    </w:p>
    <w:p w14:paraId="21559C1E">
      <w:pPr>
        <w:pStyle w:val="16"/>
        <w:keepLines w:val="0"/>
        <w:pageBreakBefore w:val="0"/>
        <w:widowControl w:val="0"/>
        <w:kinsoku/>
        <w:wordWrap/>
        <w:overflowPunct/>
        <w:topLinePunct w:val="0"/>
        <w:bidi w:val="0"/>
        <w:adjustRightInd/>
        <w:snapToGrid/>
        <w:spacing w:line="400" w:lineRule="exact"/>
        <w:ind w:firstLine="480" w:firstLineChars="200"/>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响应分标：</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分标</w:t>
      </w:r>
    </w:p>
    <w:p w14:paraId="621ACBCD">
      <w:pPr>
        <w:keepNext/>
        <w:keepLines w:val="0"/>
        <w:pageBreakBefore w:val="0"/>
        <w:widowControl w:val="0"/>
        <w:kinsoku/>
        <w:wordWrap/>
        <w:overflowPunct/>
        <w:topLinePunct w:val="0"/>
        <w:autoSpaceDE w:val="0"/>
        <w:autoSpaceDN w:val="0"/>
        <w:bidi w:val="0"/>
        <w:adjustRightInd/>
        <w:snapToGrid/>
        <w:spacing w:line="400" w:lineRule="exact"/>
        <w:ind w:firstLine="477"/>
        <w:textAlignment w:val="auto"/>
        <w:rPr>
          <w:rFonts w:hint="eastAsia" w:asciiTheme="minorEastAsia" w:hAnsiTheme="minorEastAsia" w:eastAsiaTheme="minorEastAsia" w:cs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highlight w:val="none"/>
          <w14:textFill>
            <w14:solidFill>
              <w14:schemeClr w14:val="tx1"/>
            </w14:solidFill>
          </w14:textFill>
        </w:rPr>
        <w:t>附表A：本项目的项目负责人情况表</w:t>
      </w:r>
    </w:p>
    <w:tbl>
      <w:tblPr>
        <w:tblStyle w:val="26"/>
        <w:tblW w:w="9262" w:type="dxa"/>
        <w:jc w:val="center"/>
        <w:tblLayout w:type="fixed"/>
        <w:tblCellMar>
          <w:top w:w="0" w:type="dxa"/>
          <w:left w:w="108" w:type="dxa"/>
          <w:bottom w:w="0" w:type="dxa"/>
          <w:right w:w="108" w:type="dxa"/>
        </w:tblCellMar>
      </w:tblPr>
      <w:tblGrid>
        <w:gridCol w:w="1810"/>
        <w:gridCol w:w="1538"/>
        <w:gridCol w:w="1260"/>
        <w:gridCol w:w="4654"/>
      </w:tblGrid>
      <w:tr w14:paraId="245F83BC">
        <w:tblPrEx>
          <w:tblCellMar>
            <w:top w:w="0" w:type="dxa"/>
            <w:left w:w="108" w:type="dxa"/>
            <w:bottom w:w="0" w:type="dxa"/>
            <w:right w:w="108" w:type="dxa"/>
          </w:tblCellMar>
        </w:tblPrEx>
        <w:trPr>
          <w:trHeight w:val="604" w:hRule="atLeast"/>
          <w:jc w:val="center"/>
        </w:trPr>
        <w:tc>
          <w:tcPr>
            <w:tcW w:w="1810" w:type="dxa"/>
            <w:tcBorders>
              <w:top w:val="single" w:color="auto" w:sz="6" w:space="0"/>
              <w:left w:val="single" w:color="auto" w:sz="6" w:space="0"/>
              <w:bottom w:val="single" w:color="auto" w:sz="6" w:space="0"/>
              <w:right w:val="single" w:color="auto" w:sz="6" w:space="0"/>
            </w:tcBorders>
            <w:shd w:val="clear" w:color="auto" w:fill="auto"/>
            <w:vAlign w:val="center"/>
          </w:tcPr>
          <w:p w14:paraId="03268128">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姓名</w:t>
            </w:r>
          </w:p>
        </w:tc>
        <w:tc>
          <w:tcPr>
            <w:tcW w:w="1538" w:type="dxa"/>
            <w:tcBorders>
              <w:top w:val="single" w:color="auto" w:sz="6" w:space="0"/>
              <w:left w:val="single" w:color="auto" w:sz="6" w:space="0"/>
              <w:bottom w:val="single" w:color="auto" w:sz="6" w:space="0"/>
              <w:right w:val="single" w:color="auto" w:sz="4" w:space="0"/>
            </w:tcBorders>
            <w:shd w:val="clear" w:color="auto" w:fill="B3B3B3"/>
            <w:vAlign w:val="center"/>
          </w:tcPr>
          <w:p w14:paraId="0C4D06D7">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vAlign w:val="center"/>
          </w:tcPr>
          <w:p w14:paraId="3D8B5732">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页码</w:t>
            </w:r>
          </w:p>
        </w:tc>
        <w:tc>
          <w:tcPr>
            <w:tcW w:w="4654" w:type="dxa"/>
            <w:tcBorders>
              <w:top w:val="single" w:color="auto" w:sz="6" w:space="0"/>
              <w:left w:val="single" w:color="auto" w:sz="6" w:space="0"/>
              <w:bottom w:val="single" w:color="auto" w:sz="6" w:space="0"/>
              <w:right w:val="single" w:color="auto" w:sz="6" w:space="0"/>
            </w:tcBorders>
            <w:vAlign w:val="center"/>
          </w:tcPr>
          <w:p w14:paraId="529FB79A">
            <w:pPr>
              <w:keepNext w:val="0"/>
              <w:keepLines w:val="0"/>
              <w:pageBreakBefore w:val="0"/>
              <w:widowControl w:val="0"/>
              <w:kinsoku/>
              <w:wordWrap/>
              <w:overflowPunct/>
              <w:topLinePunct w:val="0"/>
              <w:autoSpaceDE w:val="0"/>
              <w:autoSpaceDN w:val="0"/>
              <w:bidi w:val="0"/>
              <w:adjustRightInd/>
              <w:snapToGrid/>
              <w:spacing w:line="360" w:lineRule="exact"/>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响应截止时间前</w:t>
            </w:r>
            <w:r>
              <w:rPr>
                <w:rFonts w:hint="eastAsia" w:asciiTheme="minorEastAsia" w:hAnsiTheme="minorEastAsia" w:eastAsiaTheme="minorEastAsia" w:cstheme="minorEastAsia"/>
                <w:color w:val="000000" w:themeColor="text1"/>
                <w:sz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年业绩及承担的主要工作情况，曾担任项目负责人的项目应列明细</w:t>
            </w:r>
          </w:p>
        </w:tc>
      </w:tr>
      <w:tr w14:paraId="06D9C953">
        <w:tblPrEx>
          <w:tblCellMar>
            <w:top w:w="0" w:type="dxa"/>
            <w:left w:w="108" w:type="dxa"/>
            <w:bottom w:w="0" w:type="dxa"/>
            <w:right w:w="108" w:type="dxa"/>
          </w:tblCellMar>
        </w:tblPrEx>
        <w:trPr>
          <w:cantSplit/>
          <w:trHeight w:val="345" w:hRule="atLeast"/>
          <w:jc w:val="center"/>
        </w:trPr>
        <w:tc>
          <w:tcPr>
            <w:tcW w:w="1810" w:type="dxa"/>
            <w:tcBorders>
              <w:top w:val="single" w:color="auto" w:sz="6" w:space="0"/>
              <w:left w:val="single" w:color="auto" w:sz="6" w:space="0"/>
              <w:bottom w:val="single" w:color="auto" w:sz="6" w:space="0"/>
              <w:right w:val="single" w:color="auto" w:sz="6" w:space="0"/>
            </w:tcBorders>
            <w:shd w:val="clear" w:color="auto" w:fill="auto"/>
            <w:vAlign w:val="center"/>
          </w:tcPr>
          <w:p w14:paraId="6B6A0B44">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性别</w:t>
            </w:r>
          </w:p>
        </w:tc>
        <w:tc>
          <w:tcPr>
            <w:tcW w:w="1538" w:type="dxa"/>
            <w:tcBorders>
              <w:top w:val="single" w:color="auto" w:sz="6" w:space="0"/>
              <w:left w:val="single" w:color="auto" w:sz="6" w:space="0"/>
              <w:bottom w:val="single" w:color="auto" w:sz="6" w:space="0"/>
              <w:right w:val="single" w:color="auto" w:sz="4" w:space="0"/>
            </w:tcBorders>
            <w:shd w:val="clear" w:color="auto" w:fill="auto"/>
            <w:vAlign w:val="center"/>
          </w:tcPr>
          <w:p w14:paraId="32F92CD8">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552CFE91">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4654" w:type="dxa"/>
            <w:vMerge w:val="restart"/>
            <w:tcBorders>
              <w:top w:val="single" w:color="auto" w:sz="6" w:space="0"/>
              <w:left w:val="single" w:color="auto" w:sz="6" w:space="0"/>
              <w:bottom w:val="single" w:color="auto" w:sz="6" w:space="0"/>
              <w:right w:val="single" w:color="auto" w:sz="6" w:space="0"/>
            </w:tcBorders>
            <w:vAlign w:val="center"/>
          </w:tcPr>
          <w:p w14:paraId="2EB8D9E9">
            <w:pPr>
              <w:autoSpaceDE w:val="0"/>
              <w:autoSpaceDN w:val="0"/>
              <w:spacing w:line="360" w:lineRule="auto"/>
              <w:jc w:val="center"/>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r>
      <w:tr w14:paraId="63817B36">
        <w:tblPrEx>
          <w:tblCellMar>
            <w:top w:w="0" w:type="dxa"/>
            <w:left w:w="108" w:type="dxa"/>
            <w:bottom w:w="0" w:type="dxa"/>
            <w:right w:w="108" w:type="dxa"/>
          </w:tblCellMar>
        </w:tblPrEx>
        <w:trPr>
          <w:cantSplit/>
          <w:trHeight w:val="337" w:hRule="atLeast"/>
          <w:jc w:val="center"/>
        </w:trPr>
        <w:tc>
          <w:tcPr>
            <w:tcW w:w="1810" w:type="dxa"/>
            <w:tcBorders>
              <w:top w:val="single" w:color="auto" w:sz="6" w:space="0"/>
              <w:left w:val="single" w:color="auto" w:sz="6" w:space="0"/>
              <w:bottom w:val="single" w:color="auto" w:sz="6" w:space="0"/>
              <w:right w:val="single" w:color="auto" w:sz="6" w:space="0"/>
            </w:tcBorders>
            <w:shd w:val="clear" w:color="auto" w:fill="auto"/>
            <w:vAlign w:val="center"/>
          </w:tcPr>
          <w:p w14:paraId="110B950C">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年龄</w:t>
            </w:r>
          </w:p>
        </w:tc>
        <w:tc>
          <w:tcPr>
            <w:tcW w:w="1538" w:type="dxa"/>
            <w:tcBorders>
              <w:top w:val="single" w:color="auto" w:sz="6" w:space="0"/>
              <w:left w:val="single" w:color="auto" w:sz="6" w:space="0"/>
              <w:bottom w:val="single" w:color="auto" w:sz="6" w:space="0"/>
              <w:right w:val="single" w:color="auto" w:sz="4" w:space="0"/>
            </w:tcBorders>
            <w:shd w:val="clear" w:color="auto" w:fill="auto"/>
            <w:vAlign w:val="center"/>
          </w:tcPr>
          <w:p w14:paraId="6D11577E">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510D11FA">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4654" w:type="dxa"/>
            <w:vMerge w:val="continue"/>
            <w:tcBorders>
              <w:top w:val="single" w:color="auto" w:sz="6" w:space="0"/>
              <w:left w:val="single" w:color="auto" w:sz="6" w:space="0"/>
              <w:bottom w:val="single" w:color="auto" w:sz="6" w:space="0"/>
              <w:right w:val="single" w:color="auto" w:sz="6" w:space="0"/>
            </w:tcBorders>
            <w:vAlign w:val="center"/>
          </w:tcPr>
          <w:p w14:paraId="5EE8F188">
            <w:pPr>
              <w:autoSpaceDE w:val="0"/>
              <w:autoSpaceDN w:val="0"/>
              <w:spacing w:line="360" w:lineRule="auto"/>
              <w:jc w:val="center"/>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r>
      <w:tr w14:paraId="404787A0">
        <w:tblPrEx>
          <w:tblCellMar>
            <w:top w:w="0" w:type="dxa"/>
            <w:left w:w="108" w:type="dxa"/>
            <w:bottom w:w="0" w:type="dxa"/>
            <w:right w:w="108" w:type="dxa"/>
          </w:tblCellMar>
        </w:tblPrEx>
        <w:trPr>
          <w:cantSplit/>
          <w:trHeight w:val="345" w:hRule="atLeast"/>
          <w:jc w:val="center"/>
        </w:trPr>
        <w:tc>
          <w:tcPr>
            <w:tcW w:w="1810" w:type="dxa"/>
            <w:tcBorders>
              <w:top w:val="single" w:color="auto" w:sz="6" w:space="0"/>
              <w:left w:val="single" w:color="auto" w:sz="6" w:space="0"/>
              <w:bottom w:val="single" w:color="auto" w:sz="6" w:space="0"/>
              <w:right w:val="single" w:color="auto" w:sz="6" w:space="0"/>
            </w:tcBorders>
            <w:vAlign w:val="center"/>
          </w:tcPr>
          <w:p w14:paraId="6305FBBE">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职称</w:t>
            </w:r>
          </w:p>
        </w:tc>
        <w:tc>
          <w:tcPr>
            <w:tcW w:w="1538" w:type="dxa"/>
            <w:tcBorders>
              <w:top w:val="single" w:color="auto" w:sz="6" w:space="0"/>
              <w:left w:val="single" w:color="auto" w:sz="6" w:space="0"/>
              <w:bottom w:val="single" w:color="auto" w:sz="6" w:space="0"/>
              <w:right w:val="single" w:color="auto" w:sz="4" w:space="0"/>
            </w:tcBorders>
            <w:vAlign w:val="center"/>
          </w:tcPr>
          <w:p w14:paraId="7F28E13F">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vAlign w:val="center"/>
          </w:tcPr>
          <w:p w14:paraId="32B39FFD">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4654" w:type="dxa"/>
            <w:vMerge w:val="continue"/>
            <w:tcBorders>
              <w:top w:val="single" w:color="auto" w:sz="6" w:space="0"/>
              <w:left w:val="single" w:color="auto" w:sz="6" w:space="0"/>
              <w:bottom w:val="single" w:color="auto" w:sz="6" w:space="0"/>
              <w:right w:val="single" w:color="auto" w:sz="6" w:space="0"/>
            </w:tcBorders>
            <w:vAlign w:val="center"/>
          </w:tcPr>
          <w:p w14:paraId="6E8BA95A">
            <w:pPr>
              <w:autoSpaceDE w:val="0"/>
              <w:autoSpaceDN w:val="0"/>
              <w:spacing w:line="360" w:lineRule="auto"/>
              <w:jc w:val="center"/>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r>
      <w:tr w14:paraId="1B52AE0E">
        <w:tblPrEx>
          <w:tblCellMar>
            <w:top w:w="0" w:type="dxa"/>
            <w:left w:w="108" w:type="dxa"/>
            <w:bottom w:w="0" w:type="dxa"/>
            <w:right w:w="108" w:type="dxa"/>
          </w:tblCellMar>
        </w:tblPrEx>
        <w:trPr>
          <w:cantSplit/>
          <w:trHeight w:val="345" w:hRule="atLeast"/>
          <w:jc w:val="center"/>
        </w:trPr>
        <w:tc>
          <w:tcPr>
            <w:tcW w:w="1810" w:type="dxa"/>
            <w:tcBorders>
              <w:top w:val="single" w:color="auto" w:sz="6" w:space="0"/>
              <w:left w:val="single" w:color="auto" w:sz="6" w:space="0"/>
              <w:bottom w:val="single" w:color="auto" w:sz="6" w:space="0"/>
              <w:right w:val="single" w:color="auto" w:sz="6" w:space="0"/>
            </w:tcBorders>
            <w:vAlign w:val="center"/>
          </w:tcPr>
          <w:p w14:paraId="68B1724E">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毕业时间</w:t>
            </w:r>
          </w:p>
        </w:tc>
        <w:tc>
          <w:tcPr>
            <w:tcW w:w="1538" w:type="dxa"/>
            <w:tcBorders>
              <w:top w:val="single" w:color="auto" w:sz="6" w:space="0"/>
              <w:left w:val="single" w:color="auto" w:sz="6" w:space="0"/>
              <w:bottom w:val="single" w:color="auto" w:sz="6" w:space="0"/>
              <w:right w:val="single" w:color="auto" w:sz="4" w:space="0"/>
            </w:tcBorders>
            <w:vAlign w:val="center"/>
          </w:tcPr>
          <w:p w14:paraId="3BB77CAA">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vAlign w:val="center"/>
          </w:tcPr>
          <w:p w14:paraId="55AD3230">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4654" w:type="dxa"/>
            <w:vMerge w:val="continue"/>
            <w:tcBorders>
              <w:top w:val="single" w:color="auto" w:sz="6" w:space="0"/>
              <w:left w:val="single" w:color="auto" w:sz="6" w:space="0"/>
              <w:bottom w:val="single" w:color="auto" w:sz="6" w:space="0"/>
              <w:right w:val="single" w:color="auto" w:sz="6" w:space="0"/>
            </w:tcBorders>
            <w:vAlign w:val="center"/>
          </w:tcPr>
          <w:p w14:paraId="7EB0267C">
            <w:pPr>
              <w:autoSpaceDE w:val="0"/>
              <w:autoSpaceDN w:val="0"/>
              <w:spacing w:line="360" w:lineRule="auto"/>
              <w:jc w:val="center"/>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r>
      <w:tr w14:paraId="420C2159">
        <w:tblPrEx>
          <w:tblCellMar>
            <w:top w:w="0" w:type="dxa"/>
            <w:left w:w="108" w:type="dxa"/>
            <w:bottom w:w="0" w:type="dxa"/>
            <w:right w:w="108" w:type="dxa"/>
          </w:tblCellMar>
        </w:tblPrEx>
        <w:trPr>
          <w:cantSplit/>
          <w:trHeight w:val="422" w:hRule="atLeast"/>
          <w:jc w:val="center"/>
        </w:trPr>
        <w:tc>
          <w:tcPr>
            <w:tcW w:w="1810" w:type="dxa"/>
            <w:tcBorders>
              <w:top w:val="single" w:color="auto" w:sz="6" w:space="0"/>
              <w:left w:val="single" w:color="auto" w:sz="6" w:space="0"/>
              <w:bottom w:val="single" w:color="auto" w:sz="6" w:space="0"/>
              <w:right w:val="single" w:color="auto" w:sz="6" w:space="0"/>
            </w:tcBorders>
            <w:vAlign w:val="center"/>
          </w:tcPr>
          <w:p w14:paraId="6A929B6C">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所学专业</w:t>
            </w:r>
          </w:p>
        </w:tc>
        <w:tc>
          <w:tcPr>
            <w:tcW w:w="1538" w:type="dxa"/>
            <w:tcBorders>
              <w:top w:val="single" w:color="auto" w:sz="6" w:space="0"/>
              <w:left w:val="single" w:color="auto" w:sz="6" w:space="0"/>
              <w:bottom w:val="single" w:color="auto" w:sz="6" w:space="0"/>
              <w:right w:val="single" w:color="auto" w:sz="4" w:space="0"/>
            </w:tcBorders>
            <w:vAlign w:val="center"/>
          </w:tcPr>
          <w:p w14:paraId="6AEC60CB">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vAlign w:val="center"/>
          </w:tcPr>
          <w:p w14:paraId="4BD767C8">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4654" w:type="dxa"/>
            <w:vMerge w:val="continue"/>
            <w:tcBorders>
              <w:top w:val="single" w:color="auto" w:sz="6" w:space="0"/>
              <w:left w:val="single" w:color="auto" w:sz="6" w:space="0"/>
              <w:bottom w:val="single" w:color="auto" w:sz="6" w:space="0"/>
              <w:right w:val="single" w:color="auto" w:sz="6" w:space="0"/>
            </w:tcBorders>
            <w:vAlign w:val="center"/>
          </w:tcPr>
          <w:p w14:paraId="4E67FF27">
            <w:pPr>
              <w:autoSpaceDE w:val="0"/>
              <w:autoSpaceDN w:val="0"/>
              <w:spacing w:line="360" w:lineRule="auto"/>
              <w:jc w:val="center"/>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r>
      <w:tr w14:paraId="76FFD089">
        <w:tblPrEx>
          <w:tblCellMar>
            <w:top w:w="0" w:type="dxa"/>
            <w:left w:w="108" w:type="dxa"/>
            <w:bottom w:w="0" w:type="dxa"/>
            <w:right w:w="108" w:type="dxa"/>
          </w:tblCellMar>
        </w:tblPrEx>
        <w:trPr>
          <w:cantSplit/>
          <w:trHeight w:val="416" w:hRule="atLeast"/>
          <w:jc w:val="center"/>
        </w:trPr>
        <w:tc>
          <w:tcPr>
            <w:tcW w:w="1810" w:type="dxa"/>
            <w:tcBorders>
              <w:top w:val="single" w:color="auto" w:sz="6" w:space="0"/>
              <w:left w:val="single" w:color="auto" w:sz="6" w:space="0"/>
              <w:bottom w:val="single" w:color="auto" w:sz="6" w:space="0"/>
              <w:right w:val="single" w:color="auto" w:sz="6" w:space="0"/>
            </w:tcBorders>
            <w:vAlign w:val="center"/>
          </w:tcPr>
          <w:p w14:paraId="6A22B34E">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学历</w:t>
            </w:r>
          </w:p>
        </w:tc>
        <w:tc>
          <w:tcPr>
            <w:tcW w:w="1538" w:type="dxa"/>
            <w:tcBorders>
              <w:top w:val="single" w:color="auto" w:sz="6" w:space="0"/>
              <w:left w:val="single" w:color="auto" w:sz="6" w:space="0"/>
              <w:bottom w:val="single" w:color="auto" w:sz="6" w:space="0"/>
              <w:right w:val="single" w:color="auto" w:sz="4" w:space="0"/>
            </w:tcBorders>
            <w:vAlign w:val="center"/>
          </w:tcPr>
          <w:p w14:paraId="146AB844">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vAlign w:val="center"/>
          </w:tcPr>
          <w:p w14:paraId="73AA9AC7">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4654" w:type="dxa"/>
            <w:vMerge w:val="continue"/>
            <w:tcBorders>
              <w:top w:val="single" w:color="auto" w:sz="6" w:space="0"/>
              <w:left w:val="single" w:color="auto" w:sz="6" w:space="0"/>
              <w:bottom w:val="single" w:color="auto" w:sz="6" w:space="0"/>
              <w:right w:val="single" w:color="auto" w:sz="6" w:space="0"/>
            </w:tcBorders>
            <w:vAlign w:val="center"/>
          </w:tcPr>
          <w:p w14:paraId="35B962AE">
            <w:pPr>
              <w:autoSpaceDE w:val="0"/>
              <w:autoSpaceDN w:val="0"/>
              <w:spacing w:line="360" w:lineRule="auto"/>
              <w:jc w:val="center"/>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r>
      <w:tr w14:paraId="609CEE0E">
        <w:tblPrEx>
          <w:tblCellMar>
            <w:top w:w="0" w:type="dxa"/>
            <w:left w:w="108" w:type="dxa"/>
            <w:bottom w:w="0" w:type="dxa"/>
            <w:right w:w="108" w:type="dxa"/>
          </w:tblCellMar>
        </w:tblPrEx>
        <w:trPr>
          <w:cantSplit/>
          <w:trHeight w:val="356" w:hRule="atLeast"/>
          <w:jc w:val="center"/>
        </w:trPr>
        <w:tc>
          <w:tcPr>
            <w:tcW w:w="1810" w:type="dxa"/>
            <w:tcBorders>
              <w:top w:val="single" w:color="auto" w:sz="6" w:space="0"/>
              <w:left w:val="single" w:color="auto" w:sz="6" w:space="0"/>
              <w:bottom w:val="single" w:color="auto" w:sz="6" w:space="0"/>
              <w:right w:val="single" w:color="auto" w:sz="6" w:space="0"/>
            </w:tcBorders>
            <w:vAlign w:val="center"/>
          </w:tcPr>
          <w:p w14:paraId="2BA1AC00">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资质证书编号</w:t>
            </w:r>
          </w:p>
        </w:tc>
        <w:tc>
          <w:tcPr>
            <w:tcW w:w="1538" w:type="dxa"/>
            <w:tcBorders>
              <w:top w:val="single" w:color="auto" w:sz="6" w:space="0"/>
              <w:left w:val="single" w:color="auto" w:sz="6" w:space="0"/>
              <w:bottom w:val="single" w:color="auto" w:sz="6" w:space="0"/>
              <w:right w:val="single" w:color="auto" w:sz="4" w:space="0"/>
            </w:tcBorders>
            <w:vAlign w:val="center"/>
          </w:tcPr>
          <w:p w14:paraId="7C28B270">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vAlign w:val="center"/>
          </w:tcPr>
          <w:p w14:paraId="01F617B3">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4654" w:type="dxa"/>
            <w:vMerge w:val="continue"/>
            <w:tcBorders>
              <w:top w:val="single" w:color="auto" w:sz="6" w:space="0"/>
              <w:left w:val="single" w:color="auto" w:sz="6" w:space="0"/>
              <w:bottom w:val="single" w:color="auto" w:sz="6" w:space="0"/>
              <w:right w:val="single" w:color="auto" w:sz="6" w:space="0"/>
            </w:tcBorders>
            <w:vAlign w:val="center"/>
          </w:tcPr>
          <w:p w14:paraId="09B61E6A">
            <w:pPr>
              <w:autoSpaceDE w:val="0"/>
              <w:autoSpaceDN w:val="0"/>
              <w:spacing w:line="360" w:lineRule="auto"/>
              <w:jc w:val="center"/>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r>
      <w:tr w14:paraId="5D0BCF44">
        <w:tblPrEx>
          <w:tblCellMar>
            <w:top w:w="0" w:type="dxa"/>
            <w:left w:w="108" w:type="dxa"/>
            <w:bottom w:w="0" w:type="dxa"/>
            <w:right w:w="108" w:type="dxa"/>
          </w:tblCellMar>
        </w:tblPrEx>
        <w:trPr>
          <w:cantSplit/>
          <w:trHeight w:val="177" w:hRule="atLeast"/>
          <w:jc w:val="center"/>
        </w:trPr>
        <w:tc>
          <w:tcPr>
            <w:tcW w:w="1810" w:type="dxa"/>
            <w:tcBorders>
              <w:top w:val="single" w:color="auto" w:sz="6" w:space="0"/>
              <w:left w:val="single" w:color="auto" w:sz="6" w:space="0"/>
              <w:bottom w:val="single" w:color="auto" w:sz="6" w:space="0"/>
              <w:right w:val="single" w:color="auto" w:sz="6" w:space="0"/>
            </w:tcBorders>
            <w:vAlign w:val="center"/>
          </w:tcPr>
          <w:p w14:paraId="20FECECF">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其他资质情况</w:t>
            </w:r>
          </w:p>
        </w:tc>
        <w:tc>
          <w:tcPr>
            <w:tcW w:w="1538" w:type="dxa"/>
            <w:tcBorders>
              <w:top w:val="single" w:color="auto" w:sz="6" w:space="0"/>
              <w:left w:val="single" w:color="auto" w:sz="6" w:space="0"/>
              <w:bottom w:val="single" w:color="auto" w:sz="6" w:space="0"/>
              <w:right w:val="single" w:color="auto" w:sz="4" w:space="0"/>
            </w:tcBorders>
            <w:vAlign w:val="center"/>
          </w:tcPr>
          <w:p w14:paraId="272C32BD">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vAlign w:val="center"/>
          </w:tcPr>
          <w:p w14:paraId="188131F3">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4654" w:type="dxa"/>
            <w:vMerge w:val="continue"/>
            <w:tcBorders>
              <w:top w:val="single" w:color="auto" w:sz="6" w:space="0"/>
              <w:left w:val="single" w:color="auto" w:sz="6" w:space="0"/>
              <w:bottom w:val="single" w:color="auto" w:sz="6" w:space="0"/>
              <w:right w:val="single" w:color="auto" w:sz="6" w:space="0"/>
            </w:tcBorders>
            <w:vAlign w:val="center"/>
          </w:tcPr>
          <w:p w14:paraId="46E7E71B">
            <w:pPr>
              <w:autoSpaceDE w:val="0"/>
              <w:autoSpaceDN w:val="0"/>
              <w:spacing w:line="360" w:lineRule="auto"/>
              <w:jc w:val="center"/>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r>
      <w:tr w14:paraId="0DD1718F">
        <w:tblPrEx>
          <w:tblCellMar>
            <w:top w:w="0" w:type="dxa"/>
            <w:left w:w="108" w:type="dxa"/>
            <w:bottom w:w="0" w:type="dxa"/>
            <w:right w:w="108" w:type="dxa"/>
          </w:tblCellMar>
        </w:tblPrEx>
        <w:trPr>
          <w:cantSplit/>
          <w:trHeight w:val="169" w:hRule="atLeast"/>
          <w:jc w:val="center"/>
        </w:trPr>
        <w:tc>
          <w:tcPr>
            <w:tcW w:w="1810" w:type="dxa"/>
            <w:tcBorders>
              <w:top w:val="single" w:color="auto" w:sz="6" w:space="0"/>
              <w:left w:val="single" w:color="auto" w:sz="6" w:space="0"/>
              <w:bottom w:val="single" w:color="auto" w:sz="6" w:space="0"/>
              <w:right w:val="single" w:color="auto" w:sz="6" w:space="0"/>
            </w:tcBorders>
            <w:shd w:val="clear" w:color="auto" w:fill="auto"/>
            <w:vAlign w:val="center"/>
          </w:tcPr>
          <w:p w14:paraId="1DFE5262">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联系电话</w:t>
            </w:r>
          </w:p>
        </w:tc>
        <w:tc>
          <w:tcPr>
            <w:tcW w:w="1538" w:type="dxa"/>
            <w:tcBorders>
              <w:top w:val="single" w:color="auto" w:sz="6" w:space="0"/>
              <w:left w:val="single" w:color="auto" w:sz="6" w:space="0"/>
              <w:bottom w:val="single" w:color="auto" w:sz="6" w:space="0"/>
              <w:right w:val="single" w:color="auto" w:sz="4" w:space="0"/>
            </w:tcBorders>
            <w:shd w:val="clear" w:color="auto" w:fill="auto"/>
            <w:vAlign w:val="center"/>
          </w:tcPr>
          <w:p w14:paraId="1ADEF5A8">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3E3746B9">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4654" w:type="dxa"/>
            <w:vMerge w:val="continue"/>
            <w:tcBorders>
              <w:top w:val="single" w:color="auto" w:sz="6" w:space="0"/>
              <w:left w:val="single" w:color="auto" w:sz="6" w:space="0"/>
              <w:bottom w:val="single" w:color="auto" w:sz="6" w:space="0"/>
              <w:right w:val="single" w:color="auto" w:sz="6" w:space="0"/>
            </w:tcBorders>
            <w:vAlign w:val="center"/>
          </w:tcPr>
          <w:p w14:paraId="1703F411">
            <w:pPr>
              <w:autoSpaceDE w:val="0"/>
              <w:autoSpaceDN w:val="0"/>
              <w:spacing w:line="360" w:lineRule="auto"/>
              <w:jc w:val="center"/>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r>
    </w:tbl>
    <w:p w14:paraId="14DF0F99">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Theme="minorEastAsia" w:hAnsiTheme="minorEastAsia" w:eastAsiaTheme="minorEastAsia" w:cs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highlight w:val="none"/>
          <w14:textFill>
            <w14:solidFill>
              <w14:schemeClr w14:val="tx1"/>
            </w14:solidFill>
          </w14:textFill>
        </w:rPr>
        <w:t>注：须随表提交相应的证书复印件并注明所在响应技术文件页码。</w:t>
      </w:r>
    </w:p>
    <w:p w14:paraId="0B973973">
      <w:pPr>
        <w:autoSpaceDE w:val="0"/>
        <w:autoSpaceDN w:val="0"/>
        <w:spacing w:line="360" w:lineRule="auto"/>
        <w:rPr>
          <w:rFonts w:hint="eastAsia" w:asciiTheme="minorEastAsia" w:hAnsiTheme="minorEastAsia" w:eastAsiaTheme="minorEastAsia" w:cstheme="minorEastAsia"/>
          <w:b/>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stheme="minorEastAsia"/>
          <w:b/>
          <w:color w:val="000000" w:themeColor="text1"/>
          <w:sz w:val="24"/>
          <w:highlight w:val="none"/>
          <w:lang w:val="en-US" w:eastAsia="zh-CN"/>
          <w14:textFill>
            <w14:solidFill>
              <w14:schemeClr w14:val="tx1"/>
            </w14:solidFill>
          </w14:textFill>
        </w:rPr>
        <w:t xml:space="preserve"> </w:t>
      </w:r>
    </w:p>
    <w:p w14:paraId="2C1E4F55">
      <w:pPr>
        <w:autoSpaceDE w:val="0"/>
        <w:autoSpaceDN w:val="0"/>
        <w:spacing w:line="360" w:lineRule="auto"/>
        <w:ind w:firstLine="482" w:firstLineChars="200"/>
        <w:rPr>
          <w:rFonts w:hint="eastAsia" w:asciiTheme="minorEastAsia" w:hAnsiTheme="minorEastAsia" w:eastAsiaTheme="minorEastAsia" w:cs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highlight w:val="none"/>
          <w14:textFill>
            <w14:solidFill>
              <w14:schemeClr w14:val="tx1"/>
            </w14:solidFill>
          </w14:textFill>
        </w:rPr>
        <w:t>附表B：本项目的项目小组人员情况表</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（按此格式自制）</w:t>
      </w:r>
    </w:p>
    <w:tbl>
      <w:tblPr>
        <w:tblStyle w:val="26"/>
        <w:tblW w:w="9169" w:type="dxa"/>
        <w:jc w:val="center"/>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609"/>
      </w:tblGrid>
      <w:tr w14:paraId="241C2014">
        <w:tblPrEx>
          <w:tblCellMar>
            <w:top w:w="0" w:type="dxa"/>
            <w:left w:w="108" w:type="dxa"/>
            <w:bottom w:w="0" w:type="dxa"/>
            <w:right w:w="108" w:type="dxa"/>
          </w:tblCellMar>
        </w:tblPrEx>
        <w:trPr>
          <w:jc w:val="center"/>
        </w:trPr>
        <w:tc>
          <w:tcPr>
            <w:tcW w:w="420" w:type="dxa"/>
            <w:tcBorders>
              <w:top w:val="single" w:color="auto" w:sz="6" w:space="0"/>
              <w:left w:val="single" w:color="auto" w:sz="6" w:space="0"/>
              <w:bottom w:val="single" w:color="auto" w:sz="6" w:space="0"/>
              <w:right w:val="single" w:color="auto" w:sz="6" w:space="0"/>
            </w:tcBorders>
            <w:vAlign w:val="center"/>
          </w:tcPr>
          <w:p w14:paraId="2AA527D0">
            <w:pPr>
              <w:keepNext w:val="0"/>
              <w:keepLines w:val="0"/>
              <w:pageBreakBefore w:val="0"/>
              <w:widowControl w:val="0"/>
              <w:kinsoku/>
              <w:wordWrap/>
              <w:overflowPunct/>
              <w:topLinePunct w:val="0"/>
              <w:autoSpaceDE w:val="0"/>
              <w:autoSpaceDN w:val="0"/>
              <w:bidi w:val="0"/>
              <w:adjustRightInd/>
              <w:snapToGrid/>
              <w:spacing w:line="360" w:lineRule="exact"/>
              <w:ind w:left="-42" w:leftChars="-20" w:right="-42" w:rightChars="-20"/>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6195058C">
            <w:pPr>
              <w:keepNext w:val="0"/>
              <w:keepLines w:val="0"/>
              <w:pageBreakBefore w:val="0"/>
              <w:widowControl w:val="0"/>
              <w:kinsoku/>
              <w:wordWrap/>
              <w:overflowPunct/>
              <w:topLinePunct w:val="0"/>
              <w:autoSpaceDE w:val="0"/>
              <w:autoSpaceDN w:val="0"/>
              <w:bidi w:val="0"/>
              <w:adjustRightInd/>
              <w:snapToGrid/>
              <w:spacing w:line="360" w:lineRule="exact"/>
              <w:ind w:left="-42" w:leftChars="-20" w:right="-42" w:rightChars="-20"/>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20C11284">
            <w:pPr>
              <w:keepNext w:val="0"/>
              <w:keepLines w:val="0"/>
              <w:pageBreakBefore w:val="0"/>
              <w:widowControl w:val="0"/>
              <w:kinsoku/>
              <w:wordWrap/>
              <w:overflowPunct/>
              <w:topLinePunct w:val="0"/>
              <w:autoSpaceDE w:val="0"/>
              <w:autoSpaceDN w:val="0"/>
              <w:bidi w:val="0"/>
              <w:adjustRightInd/>
              <w:snapToGrid/>
              <w:spacing w:line="360" w:lineRule="exact"/>
              <w:ind w:left="-42" w:leftChars="-20" w:right="-42" w:rightChars="-20"/>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3947CC3B">
            <w:pPr>
              <w:keepNext w:val="0"/>
              <w:keepLines w:val="0"/>
              <w:pageBreakBefore w:val="0"/>
              <w:widowControl w:val="0"/>
              <w:kinsoku/>
              <w:wordWrap/>
              <w:overflowPunct/>
              <w:topLinePunct w:val="0"/>
              <w:autoSpaceDE w:val="0"/>
              <w:autoSpaceDN w:val="0"/>
              <w:bidi w:val="0"/>
              <w:adjustRightInd/>
              <w:snapToGrid/>
              <w:spacing w:line="360" w:lineRule="exact"/>
              <w:ind w:left="-42" w:leftChars="-20" w:right="-42" w:rightChars="-20"/>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7FC35AB5">
            <w:pPr>
              <w:keepNext w:val="0"/>
              <w:keepLines w:val="0"/>
              <w:pageBreakBefore w:val="0"/>
              <w:widowControl w:val="0"/>
              <w:kinsoku/>
              <w:wordWrap/>
              <w:overflowPunct/>
              <w:topLinePunct w:val="0"/>
              <w:autoSpaceDE w:val="0"/>
              <w:autoSpaceDN w:val="0"/>
              <w:bidi w:val="0"/>
              <w:adjustRightInd/>
              <w:snapToGrid/>
              <w:spacing w:line="360" w:lineRule="exact"/>
              <w:ind w:left="-42" w:leftChars="-20" w:right="-42" w:rightChars="-20"/>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学历</w:t>
            </w:r>
          </w:p>
          <w:p w14:paraId="531B7A31">
            <w:pPr>
              <w:keepNext w:val="0"/>
              <w:keepLines w:val="0"/>
              <w:pageBreakBefore w:val="0"/>
              <w:widowControl w:val="0"/>
              <w:kinsoku/>
              <w:wordWrap/>
              <w:overflowPunct/>
              <w:topLinePunct w:val="0"/>
              <w:autoSpaceDE w:val="0"/>
              <w:autoSpaceDN w:val="0"/>
              <w:bidi w:val="0"/>
              <w:adjustRightInd/>
              <w:snapToGrid/>
              <w:spacing w:line="360" w:lineRule="exact"/>
              <w:ind w:left="-42" w:leftChars="-20" w:right="-42" w:rightChars="-20"/>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7ACFC18C">
            <w:pPr>
              <w:keepNext w:val="0"/>
              <w:keepLines w:val="0"/>
              <w:pageBreakBefore w:val="0"/>
              <w:widowControl w:val="0"/>
              <w:kinsoku/>
              <w:wordWrap/>
              <w:overflowPunct/>
              <w:topLinePunct w:val="0"/>
              <w:autoSpaceDE w:val="0"/>
              <w:autoSpaceDN w:val="0"/>
              <w:bidi w:val="0"/>
              <w:adjustRightInd/>
              <w:snapToGrid/>
              <w:spacing w:line="360" w:lineRule="exact"/>
              <w:ind w:left="-42" w:leftChars="-20" w:right="-42" w:rightChars="-20"/>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专业</w:t>
            </w:r>
          </w:p>
          <w:p w14:paraId="7BF47A9B">
            <w:pPr>
              <w:keepNext w:val="0"/>
              <w:keepLines w:val="0"/>
              <w:pageBreakBefore w:val="0"/>
              <w:widowControl w:val="0"/>
              <w:kinsoku/>
              <w:wordWrap/>
              <w:overflowPunct/>
              <w:topLinePunct w:val="0"/>
              <w:autoSpaceDE w:val="0"/>
              <w:autoSpaceDN w:val="0"/>
              <w:bidi w:val="0"/>
              <w:adjustRightInd/>
              <w:snapToGrid/>
              <w:spacing w:line="360" w:lineRule="exact"/>
              <w:ind w:left="-42" w:leftChars="-20" w:right="-42" w:rightChars="-20"/>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2BB740C8">
            <w:pPr>
              <w:keepNext w:val="0"/>
              <w:keepLines w:val="0"/>
              <w:pageBreakBefore w:val="0"/>
              <w:widowControl w:val="0"/>
              <w:kinsoku/>
              <w:wordWrap/>
              <w:overflowPunct/>
              <w:topLinePunct w:val="0"/>
              <w:autoSpaceDE w:val="0"/>
              <w:autoSpaceDN w:val="0"/>
              <w:bidi w:val="0"/>
              <w:adjustRightInd/>
              <w:snapToGrid/>
              <w:spacing w:line="360" w:lineRule="exact"/>
              <w:ind w:left="-42" w:leftChars="-20" w:right="-42" w:rightChars="-20"/>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职称</w:t>
            </w:r>
          </w:p>
          <w:p w14:paraId="5D1F3BF4">
            <w:pPr>
              <w:keepNext w:val="0"/>
              <w:keepLines w:val="0"/>
              <w:pageBreakBefore w:val="0"/>
              <w:widowControl w:val="0"/>
              <w:kinsoku/>
              <w:wordWrap/>
              <w:overflowPunct/>
              <w:topLinePunct w:val="0"/>
              <w:autoSpaceDE w:val="0"/>
              <w:autoSpaceDN w:val="0"/>
              <w:bidi w:val="0"/>
              <w:adjustRightInd/>
              <w:snapToGrid/>
              <w:spacing w:line="360" w:lineRule="exact"/>
              <w:ind w:left="-42" w:leftChars="-20" w:right="-42" w:rightChars="-20"/>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0DAA54DE">
            <w:pPr>
              <w:keepNext w:val="0"/>
              <w:keepLines w:val="0"/>
              <w:pageBreakBefore w:val="0"/>
              <w:widowControl w:val="0"/>
              <w:kinsoku/>
              <w:wordWrap/>
              <w:overflowPunct/>
              <w:topLinePunct w:val="0"/>
              <w:autoSpaceDE w:val="0"/>
              <w:autoSpaceDN w:val="0"/>
              <w:bidi w:val="0"/>
              <w:adjustRightInd/>
              <w:snapToGrid/>
              <w:spacing w:line="360" w:lineRule="exact"/>
              <w:ind w:left="-42" w:leftChars="-20" w:right="-42" w:rightChars="-20"/>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41612FDC">
            <w:pPr>
              <w:keepNext w:val="0"/>
              <w:keepLines w:val="0"/>
              <w:pageBreakBefore w:val="0"/>
              <w:widowControl w:val="0"/>
              <w:kinsoku/>
              <w:wordWrap/>
              <w:overflowPunct/>
              <w:topLinePunct w:val="0"/>
              <w:autoSpaceDE w:val="0"/>
              <w:autoSpaceDN w:val="0"/>
              <w:bidi w:val="0"/>
              <w:adjustRightInd/>
              <w:snapToGrid/>
              <w:spacing w:line="360" w:lineRule="exact"/>
              <w:ind w:left="-42" w:leftChars="-20" w:right="-42" w:rightChars="-20"/>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项目经历</w:t>
            </w:r>
          </w:p>
        </w:tc>
        <w:tc>
          <w:tcPr>
            <w:tcW w:w="1609" w:type="dxa"/>
            <w:tcBorders>
              <w:top w:val="single" w:color="auto" w:sz="6" w:space="0"/>
              <w:left w:val="single" w:color="auto" w:sz="6" w:space="0"/>
              <w:bottom w:val="single" w:color="auto" w:sz="6" w:space="0"/>
              <w:right w:val="single" w:color="auto" w:sz="6" w:space="0"/>
            </w:tcBorders>
            <w:vAlign w:val="center"/>
          </w:tcPr>
          <w:p w14:paraId="3CD704F5">
            <w:pPr>
              <w:keepNext w:val="0"/>
              <w:keepLines w:val="0"/>
              <w:pageBreakBefore w:val="0"/>
              <w:widowControl w:val="0"/>
              <w:kinsoku/>
              <w:wordWrap/>
              <w:overflowPunct/>
              <w:topLinePunct w:val="0"/>
              <w:autoSpaceDE w:val="0"/>
              <w:autoSpaceDN w:val="0"/>
              <w:bidi w:val="0"/>
              <w:adjustRightInd/>
              <w:snapToGrid/>
              <w:spacing w:line="360" w:lineRule="exact"/>
              <w:ind w:left="-42" w:leftChars="-20" w:right="-42" w:rightChars="-20"/>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参与本项目的到位情况</w:t>
            </w:r>
          </w:p>
        </w:tc>
      </w:tr>
      <w:tr w14:paraId="6E23C91D">
        <w:tblPrEx>
          <w:tblCellMar>
            <w:top w:w="0" w:type="dxa"/>
            <w:left w:w="108" w:type="dxa"/>
            <w:bottom w:w="0" w:type="dxa"/>
            <w:right w:w="108" w:type="dxa"/>
          </w:tblCellMar>
        </w:tblPrEx>
        <w:trPr>
          <w:trHeight w:val="479" w:hRule="atLeast"/>
          <w:jc w:val="center"/>
        </w:trPr>
        <w:tc>
          <w:tcPr>
            <w:tcW w:w="420" w:type="dxa"/>
            <w:tcBorders>
              <w:top w:val="single" w:color="auto" w:sz="6" w:space="0"/>
              <w:left w:val="single" w:color="auto" w:sz="6" w:space="0"/>
              <w:bottom w:val="single" w:color="auto" w:sz="6" w:space="0"/>
              <w:right w:val="single" w:color="auto" w:sz="6" w:space="0"/>
            </w:tcBorders>
          </w:tcPr>
          <w:p w14:paraId="327F8141">
            <w:pPr>
              <w:keepNext w:val="0"/>
              <w:keepLines w:val="0"/>
              <w:pageBreakBefore w:val="0"/>
              <w:widowControl w:val="0"/>
              <w:kinsoku/>
              <w:wordWrap/>
              <w:overflowPunct/>
              <w:topLinePunct w:val="0"/>
              <w:autoSpaceDE w:val="0"/>
              <w:autoSpaceDN w:val="0"/>
              <w:bidi w:val="0"/>
              <w:adjustRightInd/>
              <w:snapToGrid/>
              <w:spacing w:line="400" w:lineRule="exact"/>
              <w:ind w:left="-42" w:leftChars="-20" w:right="-42" w:rightChars="-20"/>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787" w:type="dxa"/>
            <w:tcBorders>
              <w:top w:val="single" w:color="auto" w:sz="6" w:space="0"/>
              <w:left w:val="single" w:color="auto" w:sz="6" w:space="0"/>
              <w:bottom w:val="single" w:color="auto" w:sz="6" w:space="0"/>
              <w:right w:val="single" w:color="auto" w:sz="6" w:space="0"/>
            </w:tcBorders>
          </w:tcPr>
          <w:p w14:paraId="0BCB20FB">
            <w:pPr>
              <w:keepNext w:val="0"/>
              <w:keepLines w:val="0"/>
              <w:pageBreakBefore w:val="0"/>
              <w:widowControl w:val="0"/>
              <w:kinsoku/>
              <w:wordWrap/>
              <w:overflowPunct/>
              <w:topLinePunct w:val="0"/>
              <w:autoSpaceDE w:val="0"/>
              <w:autoSpaceDN w:val="0"/>
              <w:bidi w:val="0"/>
              <w:adjustRightInd/>
              <w:snapToGrid/>
              <w:spacing w:line="400" w:lineRule="exact"/>
              <w:ind w:left="-42" w:leftChars="-20" w:right="-42" w:rightChars="-20"/>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412" w:type="dxa"/>
            <w:tcBorders>
              <w:top w:val="single" w:color="auto" w:sz="6" w:space="0"/>
              <w:left w:val="single" w:color="auto" w:sz="6" w:space="0"/>
              <w:bottom w:val="single" w:color="auto" w:sz="6" w:space="0"/>
              <w:right w:val="single" w:color="auto" w:sz="6" w:space="0"/>
            </w:tcBorders>
          </w:tcPr>
          <w:p w14:paraId="30D26DD0">
            <w:pPr>
              <w:keepNext w:val="0"/>
              <w:keepLines w:val="0"/>
              <w:pageBreakBefore w:val="0"/>
              <w:widowControl w:val="0"/>
              <w:kinsoku/>
              <w:wordWrap/>
              <w:overflowPunct/>
              <w:topLinePunct w:val="0"/>
              <w:autoSpaceDE w:val="0"/>
              <w:autoSpaceDN w:val="0"/>
              <w:bidi w:val="0"/>
              <w:adjustRightInd/>
              <w:snapToGrid/>
              <w:spacing w:line="400" w:lineRule="exact"/>
              <w:ind w:left="-42" w:leftChars="-20" w:right="-42" w:rightChars="-20"/>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586" w:type="dxa"/>
            <w:tcBorders>
              <w:top w:val="single" w:color="auto" w:sz="6" w:space="0"/>
              <w:left w:val="single" w:color="auto" w:sz="6" w:space="0"/>
              <w:bottom w:val="single" w:color="auto" w:sz="6" w:space="0"/>
              <w:right w:val="single" w:color="auto" w:sz="6" w:space="0"/>
            </w:tcBorders>
          </w:tcPr>
          <w:p w14:paraId="7739E548">
            <w:pPr>
              <w:keepNext w:val="0"/>
              <w:keepLines w:val="0"/>
              <w:pageBreakBefore w:val="0"/>
              <w:widowControl w:val="0"/>
              <w:kinsoku/>
              <w:wordWrap/>
              <w:overflowPunct/>
              <w:topLinePunct w:val="0"/>
              <w:autoSpaceDE w:val="0"/>
              <w:autoSpaceDN w:val="0"/>
              <w:bidi w:val="0"/>
              <w:adjustRightInd/>
              <w:snapToGrid/>
              <w:spacing w:line="400" w:lineRule="exact"/>
              <w:ind w:left="-42" w:leftChars="-20" w:right="-42" w:rightChars="-20"/>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035" w:type="dxa"/>
            <w:tcBorders>
              <w:top w:val="single" w:color="auto" w:sz="6" w:space="0"/>
              <w:left w:val="single" w:color="auto" w:sz="6" w:space="0"/>
              <w:bottom w:val="single" w:color="auto" w:sz="6" w:space="0"/>
              <w:right w:val="single" w:color="auto" w:sz="6" w:space="0"/>
            </w:tcBorders>
          </w:tcPr>
          <w:p w14:paraId="69DDCDBA">
            <w:pPr>
              <w:keepNext w:val="0"/>
              <w:keepLines w:val="0"/>
              <w:pageBreakBefore w:val="0"/>
              <w:widowControl w:val="0"/>
              <w:kinsoku/>
              <w:wordWrap/>
              <w:overflowPunct/>
              <w:topLinePunct w:val="0"/>
              <w:autoSpaceDE w:val="0"/>
              <w:autoSpaceDN w:val="0"/>
              <w:bidi w:val="0"/>
              <w:adjustRightInd/>
              <w:snapToGrid/>
              <w:spacing w:line="400" w:lineRule="exact"/>
              <w:ind w:left="-42" w:leftChars="-20" w:right="-42" w:rightChars="-20"/>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0CC477D8">
            <w:pPr>
              <w:keepNext w:val="0"/>
              <w:keepLines w:val="0"/>
              <w:pageBreakBefore w:val="0"/>
              <w:widowControl w:val="0"/>
              <w:kinsoku/>
              <w:wordWrap/>
              <w:overflowPunct/>
              <w:topLinePunct w:val="0"/>
              <w:autoSpaceDE w:val="0"/>
              <w:autoSpaceDN w:val="0"/>
              <w:bidi w:val="0"/>
              <w:adjustRightInd/>
              <w:snapToGrid/>
              <w:spacing w:line="400" w:lineRule="exact"/>
              <w:ind w:left="-42" w:leftChars="-20" w:right="-42" w:rightChars="-20"/>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68150ACC">
            <w:pPr>
              <w:keepNext w:val="0"/>
              <w:keepLines w:val="0"/>
              <w:pageBreakBefore w:val="0"/>
              <w:widowControl w:val="0"/>
              <w:kinsoku/>
              <w:wordWrap/>
              <w:overflowPunct/>
              <w:topLinePunct w:val="0"/>
              <w:autoSpaceDE w:val="0"/>
              <w:autoSpaceDN w:val="0"/>
              <w:bidi w:val="0"/>
              <w:adjustRightInd/>
              <w:snapToGrid/>
              <w:spacing w:line="400" w:lineRule="exact"/>
              <w:ind w:left="-42" w:leftChars="-20" w:right="-42" w:rightChars="-20"/>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260" w:type="dxa"/>
            <w:tcBorders>
              <w:top w:val="single" w:color="auto" w:sz="6" w:space="0"/>
              <w:left w:val="single" w:color="auto" w:sz="6" w:space="0"/>
              <w:bottom w:val="single" w:color="auto" w:sz="6" w:space="0"/>
              <w:right w:val="single" w:color="auto" w:sz="6" w:space="0"/>
            </w:tcBorders>
          </w:tcPr>
          <w:p w14:paraId="4548633D">
            <w:pPr>
              <w:keepNext w:val="0"/>
              <w:keepLines w:val="0"/>
              <w:pageBreakBefore w:val="0"/>
              <w:widowControl w:val="0"/>
              <w:kinsoku/>
              <w:wordWrap/>
              <w:overflowPunct/>
              <w:topLinePunct w:val="0"/>
              <w:autoSpaceDE w:val="0"/>
              <w:autoSpaceDN w:val="0"/>
              <w:bidi w:val="0"/>
              <w:adjustRightInd/>
              <w:snapToGrid/>
              <w:spacing w:line="400" w:lineRule="exact"/>
              <w:ind w:left="-42" w:leftChars="-20" w:right="-42" w:rightChars="-20"/>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tcPr>
          <w:p w14:paraId="1FF43E24">
            <w:pPr>
              <w:keepNext w:val="0"/>
              <w:keepLines w:val="0"/>
              <w:pageBreakBefore w:val="0"/>
              <w:widowControl w:val="0"/>
              <w:kinsoku/>
              <w:wordWrap/>
              <w:overflowPunct/>
              <w:topLinePunct w:val="0"/>
              <w:autoSpaceDE w:val="0"/>
              <w:autoSpaceDN w:val="0"/>
              <w:bidi w:val="0"/>
              <w:adjustRightInd/>
              <w:snapToGrid/>
              <w:spacing w:line="400" w:lineRule="exact"/>
              <w:ind w:left="-42" w:leftChars="-20" w:right="-42" w:rightChars="-20"/>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609" w:type="dxa"/>
            <w:tcBorders>
              <w:top w:val="single" w:color="auto" w:sz="6" w:space="0"/>
              <w:left w:val="single" w:color="auto" w:sz="6" w:space="0"/>
              <w:bottom w:val="single" w:color="auto" w:sz="6" w:space="0"/>
              <w:right w:val="single" w:color="auto" w:sz="6" w:space="0"/>
            </w:tcBorders>
          </w:tcPr>
          <w:p w14:paraId="0B019721">
            <w:pPr>
              <w:keepNext w:val="0"/>
              <w:keepLines w:val="0"/>
              <w:pageBreakBefore w:val="0"/>
              <w:widowControl w:val="0"/>
              <w:kinsoku/>
              <w:wordWrap/>
              <w:overflowPunct/>
              <w:topLinePunct w:val="0"/>
              <w:autoSpaceDE w:val="0"/>
              <w:autoSpaceDN w:val="0"/>
              <w:bidi w:val="0"/>
              <w:adjustRightInd/>
              <w:snapToGrid/>
              <w:spacing w:line="400" w:lineRule="exact"/>
              <w:ind w:left="-42" w:leftChars="-20" w:right="-42" w:rightChars="-20"/>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r>
      <w:tr w14:paraId="291DA982">
        <w:tblPrEx>
          <w:tblCellMar>
            <w:top w:w="0" w:type="dxa"/>
            <w:left w:w="108" w:type="dxa"/>
            <w:bottom w:w="0" w:type="dxa"/>
            <w:right w:w="108" w:type="dxa"/>
          </w:tblCellMar>
        </w:tblPrEx>
        <w:trPr>
          <w:trHeight w:val="473" w:hRule="atLeast"/>
          <w:jc w:val="center"/>
        </w:trPr>
        <w:tc>
          <w:tcPr>
            <w:tcW w:w="420" w:type="dxa"/>
            <w:tcBorders>
              <w:top w:val="single" w:color="auto" w:sz="6" w:space="0"/>
              <w:left w:val="single" w:color="auto" w:sz="6" w:space="0"/>
              <w:bottom w:val="single" w:color="auto" w:sz="6" w:space="0"/>
              <w:right w:val="single" w:color="auto" w:sz="6" w:space="0"/>
            </w:tcBorders>
          </w:tcPr>
          <w:p w14:paraId="1D1EB551">
            <w:pPr>
              <w:keepNext w:val="0"/>
              <w:keepLines w:val="0"/>
              <w:pageBreakBefore w:val="0"/>
              <w:widowControl w:val="0"/>
              <w:kinsoku/>
              <w:wordWrap/>
              <w:overflowPunct/>
              <w:topLinePunct w:val="0"/>
              <w:autoSpaceDE w:val="0"/>
              <w:autoSpaceDN w:val="0"/>
              <w:bidi w:val="0"/>
              <w:adjustRightInd/>
              <w:snapToGrid/>
              <w:spacing w:line="400" w:lineRule="exact"/>
              <w:ind w:left="-42" w:leftChars="-20" w:right="-42" w:rightChars="-20"/>
              <w:jc w:val="center"/>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787" w:type="dxa"/>
            <w:tcBorders>
              <w:top w:val="single" w:color="auto" w:sz="6" w:space="0"/>
              <w:left w:val="single" w:color="auto" w:sz="6" w:space="0"/>
              <w:bottom w:val="single" w:color="auto" w:sz="6" w:space="0"/>
              <w:right w:val="single" w:color="auto" w:sz="6" w:space="0"/>
            </w:tcBorders>
          </w:tcPr>
          <w:p w14:paraId="2998743D">
            <w:pPr>
              <w:keepNext w:val="0"/>
              <w:keepLines w:val="0"/>
              <w:pageBreakBefore w:val="0"/>
              <w:widowControl w:val="0"/>
              <w:kinsoku/>
              <w:wordWrap/>
              <w:overflowPunct/>
              <w:topLinePunct w:val="0"/>
              <w:autoSpaceDE w:val="0"/>
              <w:autoSpaceDN w:val="0"/>
              <w:bidi w:val="0"/>
              <w:adjustRightInd/>
              <w:snapToGrid/>
              <w:spacing w:line="400" w:lineRule="exact"/>
              <w:ind w:left="-42" w:leftChars="-20" w:right="-42" w:rightChars="-20"/>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412" w:type="dxa"/>
            <w:tcBorders>
              <w:top w:val="single" w:color="auto" w:sz="6" w:space="0"/>
              <w:left w:val="single" w:color="auto" w:sz="6" w:space="0"/>
              <w:bottom w:val="single" w:color="auto" w:sz="6" w:space="0"/>
              <w:right w:val="single" w:color="auto" w:sz="6" w:space="0"/>
            </w:tcBorders>
          </w:tcPr>
          <w:p w14:paraId="5C48C876">
            <w:pPr>
              <w:keepNext w:val="0"/>
              <w:keepLines w:val="0"/>
              <w:pageBreakBefore w:val="0"/>
              <w:widowControl w:val="0"/>
              <w:kinsoku/>
              <w:wordWrap/>
              <w:overflowPunct/>
              <w:topLinePunct w:val="0"/>
              <w:autoSpaceDE w:val="0"/>
              <w:autoSpaceDN w:val="0"/>
              <w:bidi w:val="0"/>
              <w:adjustRightInd/>
              <w:snapToGrid/>
              <w:spacing w:line="400" w:lineRule="exact"/>
              <w:ind w:left="-42" w:leftChars="-20" w:right="-42" w:rightChars="-20"/>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586" w:type="dxa"/>
            <w:tcBorders>
              <w:top w:val="single" w:color="auto" w:sz="6" w:space="0"/>
              <w:left w:val="single" w:color="auto" w:sz="6" w:space="0"/>
              <w:bottom w:val="single" w:color="auto" w:sz="6" w:space="0"/>
              <w:right w:val="single" w:color="auto" w:sz="6" w:space="0"/>
            </w:tcBorders>
          </w:tcPr>
          <w:p w14:paraId="1519FD5D">
            <w:pPr>
              <w:keepNext w:val="0"/>
              <w:keepLines w:val="0"/>
              <w:pageBreakBefore w:val="0"/>
              <w:widowControl w:val="0"/>
              <w:kinsoku/>
              <w:wordWrap/>
              <w:overflowPunct/>
              <w:topLinePunct w:val="0"/>
              <w:autoSpaceDE w:val="0"/>
              <w:autoSpaceDN w:val="0"/>
              <w:bidi w:val="0"/>
              <w:adjustRightInd/>
              <w:snapToGrid/>
              <w:spacing w:line="400" w:lineRule="exact"/>
              <w:ind w:left="-42" w:leftChars="-20" w:right="-42" w:rightChars="-20"/>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035" w:type="dxa"/>
            <w:tcBorders>
              <w:top w:val="single" w:color="auto" w:sz="6" w:space="0"/>
              <w:left w:val="single" w:color="auto" w:sz="6" w:space="0"/>
              <w:bottom w:val="single" w:color="auto" w:sz="6" w:space="0"/>
              <w:right w:val="single" w:color="auto" w:sz="6" w:space="0"/>
            </w:tcBorders>
          </w:tcPr>
          <w:p w14:paraId="4C43E700">
            <w:pPr>
              <w:keepNext w:val="0"/>
              <w:keepLines w:val="0"/>
              <w:pageBreakBefore w:val="0"/>
              <w:widowControl w:val="0"/>
              <w:kinsoku/>
              <w:wordWrap/>
              <w:overflowPunct/>
              <w:topLinePunct w:val="0"/>
              <w:autoSpaceDE w:val="0"/>
              <w:autoSpaceDN w:val="0"/>
              <w:bidi w:val="0"/>
              <w:adjustRightInd/>
              <w:snapToGrid/>
              <w:spacing w:line="400" w:lineRule="exact"/>
              <w:ind w:left="-42" w:leftChars="-20" w:right="-42" w:rightChars="-20"/>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351B13C3">
            <w:pPr>
              <w:keepNext w:val="0"/>
              <w:keepLines w:val="0"/>
              <w:pageBreakBefore w:val="0"/>
              <w:widowControl w:val="0"/>
              <w:kinsoku/>
              <w:wordWrap/>
              <w:overflowPunct/>
              <w:topLinePunct w:val="0"/>
              <w:autoSpaceDE w:val="0"/>
              <w:autoSpaceDN w:val="0"/>
              <w:bidi w:val="0"/>
              <w:adjustRightInd/>
              <w:snapToGrid/>
              <w:spacing w:line="400" w:lineRule="exact"/>
              <w:ind w:left="-42" w:leftChars="-20" w:right="-42" w:rightChars="-20"/>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6884118A">
            <w:pPr>
              <w:keepNext w:val="0"/>
              <w:keepLines w:val="0"/>
              <w:pageBreakBefore w:val="0"/>
              <w:widowControl w:val="0"/>
              <w:kinsoku/>
              <w:wordWrap/>
              <w:overflowPunct/>
              <w:topLinePunct w:val="0"/>
              <w:autoSpaceDE w:val="0"/>
              <w:autoSpaceDN w:val="0"/>
              <w:bidi w:val="0"/>
              <w:adjustRightInd/>
              <w:snapToGrid/>
              <w:spacing w:line="400" w:lineRule="exact"/>
              <w:ind w:left="-42" w:leftChars="-20" w:right="-42" w:rightChars="-20"/>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260" w:type="dxa"/>
            <w:tcBorders>
              <w:top w:val="single" w:color="auto" w:sz="6" w:space="0"/>
              <w:left w:val="single" w:color="auto" w:sz="6" w:space="0"/>
              <w:bottom w:val="single" w:color="auto" w:sz="6" w:space="0"/>
              <w:right w:val="single" w:color="auto" w:sz="6" w:space="0"/>
            </w:tcBorders>
          </w:tcPr>
          <w:p w14:paraId="7A73B437">
            <w:pPr>
              <w:keepNext w:val="0"/>
              <w:keepLines w:val="0"/>
              <w:pageBreakBefore w:val="0"/>
              <w:widowControl w:val="0"/>
              <w:kinsoku/>
              <w:wordWrap/>
              <w:overflowPunct/>
              <w:topLinePunct w:val="0"/>
              <w:autoSpaceDE w:val="0"/>
              <w:autoSpaceDN w:val="0"/>
              <w:bidi w:val="0"/>
              <w:adjustRightInd/>
              <w:snapToGrid/>
              <w:spacing w:line="400" w:lineRule="exact"/>
              <w:ind w:left="-42" w:leftChars="-20" w:right="-42" w:rightChars="-20"/>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tcPr>
          <w:p w14:paraId="3E9C25E6">
            <w:pPr>
              <w:keepNext w:val="0"/>
              <w:keepLines w:val="0"/>
              <w:pageBreakBefore w:val="0"/>
              <w:widowControl w:val="0"/>
              <w:kinsoku/>
              <w:wordWrap/>
              <w:overflowPunct/>
              <w:topLinePunct w:val="0"/>
              <w:autoSpaceDE w:val="0"/>
              <w:autoSpaceDN w:val="0"/>
              <w:bidi w:val="0"/>
              <w:adjustRightInd/>
              <w:snapToGrid/>
              <w:spacing w:line="400" w:lineRule="exact"/>
              <w:ind w:left="-42" w:leftChars="-20" w:right="-42" w:rightChars="-20"/>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c>
          <w:tcPr>
            <w:tcW w:w="1609" w:type="dxa"/>
            <w:tcBorders>
              <w:top w:val="single" w:color="auto" w:sz="6" w:space="0"/>
              <w:left w:val="single" w:color="auto" w:sz="6" w:space="0"/>
              <w:bottom w:val="single" w:color="auto" w:sz="6" w:space="0"/>
              <w:right w:val="single" w:color="auto" w:sz="6" w:space="0"/>
            </w:tcBorders>
          </w:tcPr>
          <w:p w14:paraId="275032FB">
            <w:pPr>
              <w:keepNext w:val="0"/>
              <w:keepLines w:val="0"/>
              <w:pageBreakBefore w:val="0"/>
              <w:widowControl w:val="0"/>
              <w:kinsoku/>
              <w:wordWrap/>
              <w:overflowPunct/>
              <w:topLinePunct w:val="0"/>
              <w:autoSpaceDE w:val="0"/>
              <w:autoSpaceDN w:val="0"/>
              <w:bidi w:val="0"/>
              <w:adjustRightInd/>
              <w:snapToGrid/>
              <w:spacing w:line="400" w:lineRule="exact"/>
              <w:ind w:left="-42" w:leftChars="-20" w:right="-42" w:rightChars="-20"/>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tc>
      </w:tr>
    </w:tbl>
    <w:p w14:paraId="36B3CB0C">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highlight w:val="none"/>
          <w14:textFill>
            <w14:solidFill>
              <w14:schemeClr w14:val="tx1"/>
            </w14:solidFill>
          </w14:textFill>
        </w:rPr>
        <w:t>注：供应商可按上述格式自行编制（根据评分办法提供）。</w:t>
      </w:r>
    </w:p>
    <w:p w14:paraId="015D2EFB">
      <w:pPr>
        <w:snapToGrid w:val="0"/>
        <w:spacing w:line="360" w:lineRule="auto"/>
        <w:ind w:firstLine="602" w:firstLineChars="200"/>
        <w:rPr>
          <w:rFonts w:hint="eastAsia" w:asciiTheme="minorEastAsia" w:hAnsiTheme="minorEastAsia" w:eastAsiaTheme="minorEastAsia" w:cstheme="minorEastAsia"/>
          <w:b/>
          <w:color w:val="000000" w:themeColor="text1"/>
          <w:sz w:val="30"/>
          <w:szCs w:val="30"/>
          <w:highlight w:val="none"/>
          <w14:textFill>
            <w14:solidFill>
              <w14:schemeClr w14:val="tx1"/>
            </w14:solidFill>
          </w14:textFill>
        </w:rPr>
      </w:pPr>
    </w:p>
    <w:p w14:paraId="26E92FBF">
      <w:pPr>
        <w:keepNext w:val="0"/>
        <w:keepLines w:val="0"/>
        <w:pageBreakBefore w:val="0"/>
        <w:widowControl w:val="0"/>
        <w:kinsoku/>
        <w:wordWrap/>
        <w:overflowPunct/>
        <w:topLinePunct w:val="0"/>
        <w:autoSpaceDE w:val="0"/>
        <w:autoSpaceDN w:val="0"/>
        <w:bidi w:val="0"/>
        <w:adjustRightInd/>
        <w:snapToGrid/>
        <w:spacing w:line="600" w:lineRule="exact"/>
        <w:ind w:left="4335" w:leftChars="1950" w:hanging="240" w:hangingChars="100"/>
        <w:textAlignment w:val="auto"/>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供应商名称（电子签章）：</w:t>
      </w:r>
    </w:p>
    <w:p w14:paraId="722DEC4C">
      <w:pPr>
        <w:keepNext w:val="0"/>
        <w:keepLines w:val="0"/>
        <w:pageBreakBefore w:val="0"/>
        <w:widowControl w:val="0"/>
        <w:kinsoku/>
        <w:wordWrap/>
        <w:overflowPunct/>
        <w:topLinePunct w:val="0"/>
        <w:autoSpaceDE w:val="0"/>
        <w:autoSpaceDN w:val="0"/>
        <w:bidi w:val="0"/>
        <w:adjustRightInd/>
        <w:snapToGrid/>
        <w:spacing w:line="600" w:lineRule="exact"/>
        <w:ind w:firstLine="6240" w:firstLineChars="2600"/>
        <w:textAlignment w:val="auto"/>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日期： </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 年 </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 月   日</w:t>
      </w:r>
    </w:p>
    <w:p w14:paraId="473A1677">
      <w:pPr>
        <w:pStyle w:val="19"/>
        <w:ind w:firstLine="5670"/>
        <w:rPr>
          <w:rFonts w:hint="eastAsia" w:asciiTheme="minorEastAsia" w:hAnsiTheme="minorEastAsia" w:eastAsiaTheme="minorEastAsia" w:cstheme="minorEastAsia"/>
          <w:color w:val="000000" w:themeColor="text1"/>
          <w:highlight w:val="none"/>
          <w:lang w:val="zh-CN"/>
          <w14:textFill>
            <w14:solidFill>
              <w14:schemeClr w14:val="tx1"/>
            </w14:solidFill>
          </w14:textFill>
        </w:rPr>
      </w:pPr>
    </w:p>
    <w:p w14:paraId="6C36C8BD">
      <w:pPr>
        <w:pStyle w:val="19"/>
        <w:ind w:firstLine="5670"/>
        <w:rPr>
          <w:rFonts w:hint="eastAsia" w:asciiTheme="minorEastAsia" w:hAnsiTheme="minorEastAsia" w:eastAsiaTheme="minorEastAsia" w:cstheme="minorEastAsia"/>
          <w:color w:val="000000" w:themeColor="text1"/>
          <w:highlight w:val="none"/>
          <w:lang w:val="zh-CN"/>
          <w14:textFill>
            <w14:solidFill>
              <w14:schemeClr w14:val="tx1"/>
            </w14:solidFill>
          </w14:textFill>
        </w:rPr>
      </w:pPr>
    </w:p>
    <w:p w14:paraId="147E20F8">
      <w:pPr>
        <w:spacing w:line="360" w:lineRule="auto"/>
        <w:jc w:val="left"/>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十、服务需求、商务条款要求提供的其他材料</w:t>
      </w:r>
    </w:p>
    <w:p w14:paraId="3A28DC4A">
      <w:pPr>
        <w:keepNext w:val="0"/>
        <w:keepLines w:val="0"/>
        <w:pageBreakBefore w:val="0"/>
        <w:widowControl w:val="0"/>
        <w:kinsoku/>
        <w:wordWrap/>
        <w:overflowPunct/>
        <w:topLinePunct w:val="0"/>
        <w:autoSpaceDE w:val="0"/>
        <w:autoSpaceDN w:val="0"/>
        <w:bidi w:val="0"/>
        <w:adjustRightInd/>
        <w:snapToGrid/>
        <w:spacing w:line="600" w:lineRule="exact"/>
        <w:ind w:left="4335" w:leftChars="1950" w:hanging="240" w:hangingChars="100"/>
        <w:textAlignment w:val="auto"/>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供应商名称（电子签章）：</w:t>
      </w:r>
    </w:p>
    <w:p w14:paraId="6680317C">
      <w:pPr>
        <w:keepNext w:val="0"/>
        <w:keepLines w:val="0"/>
        <w:pageBreakBefore w:val="0"/>
        <w:widowControl w:val="0"/>
        <w:kinsoku/>
        <w:wordWrap/>
        <w:overflowPunct/>
        <w:topLinePunct w:val="0"/>
        <w:autoSpaceDE w:val="0"/>
        <w:autoSpaceDN w:val="0"/>
        <w:bidi w:val="0"/>
        <w:adjustRightInd/>
        <w:snapToGrid/>
        <w:spacing w:line="600" w:lineRule="exact"/>
        <w:ind w:left="4334" w:leftChars="2064" w:firstLine="1920" w:firstLineChars="800"/>
        <w:textAlignment w:val="auto"/>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日期：</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  年 </w:t>
      </w:r>
      <w:r>
        <w:rPr>
          <w:rFonts w:hint="eastAsia" w:asciiTheme="minorEastAsia" w:hAnsiTheme="minorEastAsia" w:eastAsiaTheme="minorEastAsia" w:cstheme="minorEastAsia"/>
          <w:color w:val="000000" w:themeColor="text1"/>
          <w:kern w:val="0"/>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t xml:space="preserve"> 月   日</w:t>
      </w:r>
    </w:p>
    <w:p w14:paraId="3B125CC0">
      <w:pPr>
        <w:keepNext w:val="0"/>
        <w:keepLines w:val="0"/>
        <w:pageBreakBefore w:val="0"/>
        <w:widowControl w:val="0"/>
        <w:kinsoku/>
        <w:wordWrap/>
        <w:overflowPunct/>
        <w:topLinePunct w:val="0"/>
        <w:autoSpaceDE w:val="0"/>
        <w:autoSpaceDN w:val="0"/>
        <w:bidi w:val="0"/>
        <w:adjustRightInd/>
        <w:snapToGrid/>
        <w:spacing w:line="600" w:lineRule="exact"/>
        <w:ind w:firstLine="6505" w:firstLineChars="2700"/>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sectPr>
          <w:pgSz w:w="11910" w:h="16840"/>
          <w:pgMar w:top="1077" w:right="1304" w:bottom="1077" w:left="1417" w:header="720" w:footer="794" w:gutter="0"/>
          <w:pgBorders>
            <w:top w:val="none" w:sz="0" w:space="0"/>
            <w:left w:val="none" w:sz="0" w:space="0"/>
            <w:bottom w:val="none" w:sz="0" w:space="0"/>
            <w:right w:val="none" w:sz="0" w:space="0"/>
          </w:pgBorders>
          <w:pgNumType w:fmt="decimal"/>
          <w:cols w:space="720" w:num="1"/>
        </w:sectPr>
      </w:pPr>
    </w:p>
    <w:p w14:paraId="65B9B6BD">
      <w:pPr>
        <w:pStyle w:val="3"/>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bookmarkStart w:id="53" w:name="_Toc87345244"/>
      <w:bookmarkEnd w:id="53"/>
      <w:bookmarkStart w:id="54" w:name="_Toc80205941"/>
      <w:bookmarkEnd w:id="54"/>
      <w:r>
        <w:rPr>
          <w:rFonts w:hint="eastAsia" w:asciiTheme="minorEastAsia" w:hAnsiTheme="minorEastAsia" w:eastAsiaTheme="minorEastAsia" w:cstheme="minorEastAsia"/>
          <w:color w:val="000000" w:themeColor="text1"/>
          <w:highlight w:val="none"/>
          <w14:textFill>
            <w14:solidFill>
              <w14:schemeClr w14:val="tx1"/>
            </w14:solidFill>
          </w14:textFill>
        </w:rPr>
        <w:t>第四节 报价文件格式</w:t>
      </w:r>
    </w:p>
    <w:p w14:paraId="79D29197">
      <w:pPr>
        <w:snapToGrid w:val="0"/>
        <w:spacing w:before="120" w:beforeLines="50" w:after="50"/>
        <w:jc w:val="cente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全流程电子文件</w:t>
      </w:r>
    </w:p>
    <w:p w14:paraId="26DCB967">
      <w:pPr>
        <w:snapToGrid w:val="0"/>
        <w:spacing w:before="120" w:beforeLines="50" w:after="50"/>
        <w:rPr>
          <w:rFonts w:hint="eastAsia" w:asciiTheme="minorEastAsia" w:hAnsiTheme="minorEastAsia" w:eastAsiaTheme="minorEastAsia" w:cstheme="minorEastAsia"/>
          <w:color w:val="000000" w:themeColor="text1"/>
          <w:sz w:val="24"/>
          <w:szCs w:val="20"/>
          <w:highlight w:val="none"/>
          <w14:textFill>
            <w14:solidFill>
              <w14:schemeClr w14:val="tx1"/>
            </w14:solidFill>
          </w14:textFill>
        </w:rPr>
      </w:pPr>
    </w:p>
    <w:p w14:paraId="2676A02F">
      <w:pPr>
        <w:snapToGrid w:val="0"/>
        <w:spacing w:before="120" w:beforeLines="50" w:after="50"/>
        <w:rPr>
          <w:rFonts w:hint="eastAsia" w:asciiTheme="minorEastAsia" w:hAnsiTheme="minorEastAsia" w:eastAsiaTheme="minorEastAsia" w:cstheme="minorEastAsia"/>
          <w:color w:val="000000" w:themeColor="text1"/>
          <w:sz w:val="24"/>
          <w:szCs w:val="20"/>
          <w:highlight w:val="none"/>
          <w14:textFill>
            <w14:solidFill>
              <w14:schemeClr w14:val="tx1"/>
            </w14:solidFill>
          </w14:textFill>
        </w:rPr>
      </w:pPr>
    </w:p>
    <w:p w14:paraId="1865DCDE">
      <w:pPr>
        <w:pStyle w:val="100"/>
        <w:rPr>
          <w:rFonts w:hint="eastAsia"/>
          <w:color w:val="000000" w:themeColor="text1"/>
          <w:highlight w:val="none"/>
          <w14:textFill>
            <w14:solidFill>
              <w14:schemeClr w14:val="tx1"/>
            </w14:solidFill>
          </w14:textFill>
        </w:rPr>
      </w:pPr>
    </w:p>
    <w:p w14:paraId="25206D36">
      <w:pPr>
        <w:snapToGrid w:val="0"/>
        <w:spacing w:before="120" w:beforeLines="50" w:after="50"/>
        <w:rPr>
          <w:rFonts w:hint="eastAsia" w:asciiTheme="minorEastAsia" w:hAnsiTheme="minorEastAsia" w:eastAsiaTheme="minorEastAsia" w:cstheme="minorEastAsia"/>
          <w:color w:val="000000" w:themeColor="text1"/>
          <w:sz w:val="24"/>
          <w:szCs w:val="20"/>
          <w:highlight w:val="none"/>
          <w14:textFill>
            <w14:solidFill>
              <w14:schemeClr w14:val="tx1"/>
            </w14:solidFill>
          </w14:textFill>
        </w:rPr>
      </w:pPr>
    </w:p>
    <w:p w14:paraId="692B9C8C">
      <w:pPr>
        <w:snapToGrid w:val="0"/>
        <w:spacing w:before="120" w:beforeLines="50" w:after="50"/>
        <w:jc w:val="center"/>
        <w:rPr>
          <w:rFonts w:hint="eastAsia" w:asciiTheme="minorEastAsia" w:hAnsiTheme="minorEastAsia" w:eastAsiaTheme="minorEastAsia" w:cstheme="minorEastAsia"/>
          <w:b/>
          <w:bCs w:val="0"/>
          <w:color w:val="000000" w:themeColor="text1"/>
          <w:sz w:val="50"/>
          <w:szCs w:val="50"/>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50"/>
          <w:szCs w:val="50"/>
          <w:highlight w:val="none"/>
          <w14:textFill>
            <w14:solidFill>
              <w14:schemeClr w14:val="tx1"/>
            </w14:solidFill>
          </w14:textFill>
        </w:rPr>
        <w:t>报 价 文 件（封面）</w:t>
      </w:r>
    </w:p>
    <w:p w14:paraId="2E6E8950">
      <w:pPr>
        <w:snapToGrid w:val="0"/>
        <w:spacing w:before="120" w:beforeLines="50" w:after="50"/>
        <w:rPr>
          <w:rFonts w:hint="eastAsia" w:asciiTheme="minorEastAsia" w:hAnsiTheme="minorEastAsia" w:eastAsiaTheme="minorEastAsia" w:cstheme="minorEastAsia"/>
          <w:bCs/>
          <w:color w:val="000000" w:themeColor="text1"/>
          <w:sz w:val="24"/>
          <w:szCs w:val="20"/>
          <w:highlight w:val="none"/>
          <w14:textFill>
            <w14:solidFill>
              <w14:schemeClr w14:val="tx1"/>
            </w14:solidFill>
          </w14:textFill>
        </w:rPr>
      </w:pPr>
    </w:p>
    <w:p w14:paraId="345915EC">
      <w:pPr>
        <w:snapToGrid w:val="0"/>
        <w:spacing w:before="120" w:beforeLines="50" w:after="50"/>
        <w:rPr>
          <w:rFonts w:hint="eastAsia" w:asciiTheme="minorEastAsia" w:hAnsiTheme="minorEastAsia" w:eastAsiaTheme="minorEastAsia" w:cstheme="minorEastAsia"/>
          <w:bCs/>
          <w:color w:val="000000" w:themeColor="text1"/>
          <w:sz w:val="24"/>
          <w:szCs w:val="20"/>
          <w:highlight w:val="none"/>
          <w14:textFill>
            <w14:solidFill>
              <w14:schemeClr w14:val="tx1"/>
            </w14:solidFill>
          </w14:textFill>
        </w:rPr>
      </w:pPr>
    </w:p>
    <w:p w14:paraId="1F5B95F1">
      <w:pPr>
        <w:pStyle w:val="100"/>
        <w:rPr>
          <w:rFonts w:hint="eastAsia" w:asciiTheme="minorEastAsia" w:hAnsiTheme="minorEastAsia" w:eastAsiaTheme="minorEastAsia" w:cstheme="minorEastAsia"/>
          <w:bCs/>
          <w:color w:val="000000" w:themeColor="text1"/>
          <w:sz w:val="24"/>
          <w:szCs w:val="20"/>
          <w:highlight w:val="none"/>
          <w14:textFill>
            <w14:solidFill>
              <w14:schemeClr w14:val="tx1"/>
            </w14:solidFill>
          </w14:textFill>
        </w:rPr>
      </w:pPr>
    </w:p>
    <w:p w14:paraId="207797C0">
      <w:pPr>
        <w:pStyle w:val="100"/>
        <w:rPr>
          <w:rFonts w:hint="eastAsia" w:asciiTheme="minorEastAsia" w:hAnsiTheme="minorEastAsia" w:eastAsiaTheme="minorEastAsia" w:cstheme="minorEastAsia"/>
          <w:bCs/>
          <w:color w:val="000000" w:themeColor="text1"/>
          <w:sz w:val="24"/>
          <w:szCs w:val="20"/>
          <w:highlight w:val="none"/>
          <w14:textFill>
            <w14:solidFill>
              <w14:schemeClr w14:val="tx1"/>
            </w14:solidFill>
          </w14:textFill>
        </w:rPr>
      </w:pPr>
    </w:p>
    <w:p w14:paraId="49C51CAD">
      <w:pPr>
        <w:pStyle w:val="100"/>
        <w:rPr>
          <w:rFonts w:hint="eastAsia" w:asciiTheme="minorEastAsia" w:hAnsiTheme="minorEastAsia" w:eastAsiaTheme="minorEastAsia" w:cstheme="minorEastAsia"/>
          <w:bCs/>
          <w:color w:val="000000" w:themeColor="text1"/>
          <w:sz w:val="24"/>
          <w:szCs w:val="20"/>
          <w:highlight w:val="none"/>
          <w14:textFill>
            <w14:solidFill>
              <w14:schemeClr w14:val="tx1"/>
            </w14:solidFill>
          </w14:textFill>
        </w:rPr>
      </w:pPr>
    </w:p>
    <w:p w14:paraId="2ADDE462">
      <w:pPr>
        <w:snapToGrid w:val="0"/>
        <w:spacing w:before="120" w:beforeLines="50" w:after="50"/>
        <w:rPr>
          <w:rFonts w:hint="eastAsia" w:asciiTheme="minorEastAsia" w:hAnsiTheme="minorEastAsia" w:eastAsiaTheme="minorEastAsia" w:cstheme="minorEastAsia"/>
          <w:bCs/>
          <w:color w:val="000000" w:themeColor="text1"/>
          <w:sz w:val="24"/>
          <w:szCs w:val="20"/>
          <w:highlight w:val="none"/>
          <w14:textFill>
            <w14:solidFill>
              <w14:schemeClr w14:val="tx1"/>
            </w14:solidFill>
          </w14:textFill>
        </w:rPr>
      </w:pPr>
    </w:p>
    <w:p w14:paraId="1C8BFCD9">
      <w:pPr>
        <w:snapToGrid w:val="0"/>
        <w:spacing w:before="120" w:beforeLines="50" w:after="50"/>
        <w:rPr>
          <w:rFonts w:hint="eastAsia" w:asciiTheme="minorEastAsia" w:hAnsiTheme="minorEastAsia" w:eastAsiaTheme="minorEastAsia" w:cstheme="minorEastAsia"/>
          <w:bCs/>
          <w:color w:val="000000" w:themeColor="text1"/>
          <w:sz w:val="24"/>
          <w:szCs w:val="20"/>
          <w:highlight w:val="none"/>
          <w14:textFill>
            <w14:solidFill>
              <w14:schemeClr w14:val="tx1"/>
            </w14:solidFill>
          </w14:textFill>
        </w:rPr>
      </w:pPr>
    </w:p>
    <w:p w14:paraId="28993292">
      <w:pPr>
        <w:snapToGrid w:val="0"/>
        <w:spacing w:before="120" w:beforeLines="50" w:after="50"/>
        <w:rPr>
          <w:rFonts w:hint="eastAsia" w:asciiTheme="minorEastAsia" w:hAnsiTheme="minorEastAsia" w:eastAsiaTheme="minorEastAsia" w:cstheme="minorEastAsia"/>
          <w:bCs/>
          <w:color w:val="000000" w:themeColor="text1"/>
          <w:sz w:val="24"/>
          <w:szCs w:val="20"/>
          <w:highlight w:val="none"/>
          <w14:textFill>
            <w14:solidFill>
              <w14:schemeClr w14:val="tx1"/>
            </w14:solidFill>
          </w14:textFill>
        </w:rPr>
      </w:pPr>
    </w:p>
    <w:p w14:paraId="71FBB68A">
      <w:pPr>
        <w:snapToGrid w:val="0"/>
        <w:spacing w:before="120" w:beforeLines="50" w:after="50"/>
        <w:ind w:firstLine="640" w:firstLineChars="200"/>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t>项目名称：</w:t>
      </w:r>
    </w:p>
    <w:p w14:paraId="71268147">
      <w:pPr>
        <w:snapToGrid w:val="0"/>
        <w:spacing w:before="120" w:beforeLines="50" w:after="50"/>
        <w:ind w:firstLine="720" w:firstLineChars="225"/>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p>
    <w:p w14:paraId="0392CA8C">
      <w:pPr>
        <w:snapToGrid w:val="0"/>
        <w:spacing w:before="120" w:beforeLines="50" w:after="50"/>
        <w:ind w:firstLine="640" w:firstLineChars="200"/>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t>项目编号：</w:t>
      </w:r>
    </w:p>
    <w:p w14:paraId="04D7B806">
      <w:pPr>
        <w:snapToGrid w:val="0"/>
        <w:spacing w:before="120" w:beforeLines="50" w:after="50"/>
        <w:ind w:firstLine="720" w:firstLineChars="225"/>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p>
    <w:p w14:paraId="41F002C2">
      <w:pPr>
        <w:snapToGrid w:val="0"/>
        <w:spacing w:before="120" w:beforeLines="50" w:after="50"/>
        <w:ind w:firstLine="640" w:firstLineChars="200"/>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t>所竞分标（如有则填写，无分标时填写“无”或者留空）：</w:t>
      </w:r>
    </w:p>
    <w:p w14:paraId="6C6E400F">
      <w:pPr>
        <w:snapToGrid w:val="0"/>
        <w:spacing w:before="120" w:beforeLines="50" w:after="50"/>
        <w:ind w:firstLine="720" w:firstLineChars="225"/>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p>
    <w:p w14:paraId="774CCF21">
      <w:pPr>
        <w:pStyle w:val="10"/>
        <w:snapToGrid w:val="0"/>
        <w:spacing w:before="50" w:after="120"/>
        <w:ind w:firstLine="640" w:firstLineChars="200"/>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t>供应商名称：</w:t>
      </w:r>
    </w:p>
    <w:p w14:paraId="1F6FED89">
      <w:pPr>
        <w:pStyle w:val="10"/>
        <w:snapToGrid w:val="0"/>
        <w:spacing w:before="50" w:after="120"/>
        <w:ind w:firstLine="720" w:firstLineChars="225"/>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p>
    <w:p w14:paraId="07E42BB4">
      <w:pPr>
        <w:pStyle w:val="10"/>
        <w:snapToGrid w:val="0"/>
        <w:spacing w:before="50" w:after="120"/>
        <w:ind w:firstLine="720" w:firstLineChars="225"/>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p>
    <w:p w14:paraId="41482124">
      <w:pPr>
        <w:pStyle w:val="10"/>
        <w:snapToGrid w:val="0"/>
        <w:spacing w:before="50" w:after="120"/>
        <w:ind w:firstLine="1280" w:firstLineChars="400"/>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pPr>
    </w:p>
    <w:p w14:paraId="0B8DB755">
      <w:pPr>
        <w:snapToGrid w:val="0"/>
        <w:spacing w:before="120" w:beforeLines="50" w:after="50"/>
        <w:jc w:val="center"/>
        <w:rPr>
          <w:rFonts w:hint="eastAsia" w:asciiTheme="minorEastAsia" w:hAnsiTheme="minorEastAsia" w:eastAsiaTheme="minorEastAsia" w:cstheme="minorEastAsia"/>
          <w:color w:val="000000" w:themeColor="text1"/>
          <w:sz w:val="32"/>
          <w:szCs w:val="32"/>
          <w:highlight w:val="none"/>
          <w14:textFill>
            <w14:solidFill>
              <w14:schemeClr w14:val="tx1"/>
            </w14:solidFill>
          </w14:textFill>
        </w:rPr>
      </w:pPr>
      <w:r>
        <w:rPr>
          <w:rFonts w:hint="eastAsia" w:asciiTheme="minorEastAsia" w:hAnsiTheme="minorEastAsia" w:eastAsiaTheme="minorEastAsia" w:cstheme="minorEastAsia"/>
          <w:color w:val="000000" w:themeColor="text1"/>
          <w:sz w:val="32"/>
          <w:szCs w:val="32"/>
          <w:highlight w:val="none"/>
          <w14:textFill>
            <w14:solidFill>
              <w14:schemeClr w14:val="tx1"/>
            </w14:solidFill>
          </w14:textFill>
        </w:rPr>
        <w:t>年    月    日</w:t>
      </w:r>
    </w:p>
    <w:p w14:paraId="261370E6">
      <w:pPr>
        <w:snapToGrid w:val="0"/>
        <w:spacing w:before="120" w:beforeLines="50" w:after="50" w:line="400" w:lineRule="exact"/>
        <w:jc w:val="center"/>
        <w:rPr>
          <w:rFonts w:hint="eastAsia" w:asciiTheme="minorEastAsia" w:hAnsiTheme="minorEastAsia" w:eastAsiaTheme="minorEastAsia" w:cstheme="minorEastAsia"/>
          <w:b/>
          <w:bCs/>
          <w:color w:val="000000" w:themeColor="text1"/>
          <w:sz w:val="34"/>
          <w:szCs w:val="3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br w:type="page"/>
      </w:r>
      <w:r>
        <w:rPr>
          <w:rFonts w:hint="eastAsia" w:asciiTheme="minorEastAsia" w:hAnsiTheme="minorEastAsia" w:eastAsiaTheme="minorEastAsia" w:cstheme="minorEastAsia"/>
          <w:b/>
          <w:bCs/>
          <w:color w:val="000000" w:themeColor="text1"/>
          <w:sz w:val="34"/>
          <w:szCs w:val="34"/>
          <w:highlight w:val="none"/>
          <w14:textFill>
            <w14:solidFill>
              <w14:schemeClr w14:val="tx1"/>
            </w14:solidFill>
          </w14:textFill>
        </w:rPr>
        <w:t>报价文件目录</w:t>
      </w:r>
    </w:p>
    <w:p w14:paraId="0A7513E0">
      <w:pPr>
        <w:rPr>
          <w:rFonts w:hint="eastAsia" w:asciiTheme="minorEastAsia" w:hAnsiTheme="minorEastAsia" w:eastAsiaTheme="minorEastAsia" w:cstheme="minorEastAsia"/>
          <w:color w:val="000000" w:themeColor="text1"/>
          <w:highlight w:val="none"/>
          <w14:textFill>
            <w14:solidFill>
              <w14:schemeClr w14:val="tx1"/>
            </w14:solidFill>
          </w14:textFill>
        </w:rPr>
      </w:pPr>
    </w:p>
    <w:p w14:paraId="737AF332">
      <w:pPr>
        <w:keepNext w:val="0"/>
        <w:keepLines w:val="0"/>
        <w:pageBreakBefore w:val="0"/>
        <w:widowControl w:val="0"/>
        <w:kinsoku/>
        <w:wordWrap/>
        <w:overflowPunct/>
        <w:topLinePunct w:val="0"/>
        <w:autoSpaceDE/>
        <w:autoSpaceDN/>
        <w:bidi w:val="0"/>
        <w:adjustRightInd/>
        <w:snapToGrid/>
        <w:spacing w:line="600" w:lineRule="exact"/>
        <w:ind w:firstLine="520" w:firstLineChars="200"/>
        <w:textAlignment w:val="auto"/>
        <w:rPr>
          <w:rFonts w:hint="eastAsia" w:asciiTheme="minorEastAsia" w:hAnsiTheme="minorEastAsia" w:eastAsiaTheme="minorEastAsia" w:cstheme="minorEastAsia"/>
          <w:color w:val="000000" w:themeColor="text1"/>
          <w:kern w:val="0"/>
          <w:sz w:val="26"/>
          <w:szCs w:val="26"/>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6"/>
          <w:szCs w:val="26"/>
          <w:highlight w:val="none"/>
          <w14:textFill>
            <w14:solidFill>
              <w14:schemeClr w14:val="tx1"/>
            </w14:solidFill>
          </w14:textFill>
        </w:rPr>
        <w:t>一、响应函…………………………………………………………………（页码）</w:t>
      </w:r>
    </w:p>
    <w:p w14:paraId="6132A5F0">
      <w:pPr>
        <w:keepNext w:val="0"/>
        <w:keepLines w:val="0"/>
        <w:pageBreakBefore w:val="0"/>
        <w:widowControl w:val="0"/>
        <w:kinsoku/>
        <w:wordWrap/>
        <w:overflowPunct/>
        <w:topLinePunct w:val="0"/>
        <w:autoSpaceDE/>
        <w:autoSpaceDN/>
        <w:bidi w:val="0"/>
        <w:adjustRightInd/>
        <w:snapToGrid/>
        <w:spacing w:line="600" w:lineRule="exact"/>
        <w:ind w:firstLine="520" w:firstLineChars="200"/>
        <w:textAlignment w:val="auto"/>
        <w:rPr>
          <w:rFonts w:hint="eastAsia" w:asciiTheme="minorEastAsia" w:hAnsiTheme="minorEastAsia" w:eastAsiaTheme="minorEastAsia" w:cstheme="minorEastAsia"/>
          <w:color w:val="000000" w:themeColor="text1"/>
          <w:kern w:val="0"/>
          <w:sz w:val="26"/>
          <w:szCs w:val="26"/>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6"/>
          <w:szCs w:val="26"/>
          <w:highlight w:val="none"/>
          <w14:textFill>
            <w14:solidFill>
              <w14:schemeClr w14:val="tx1"/>
            </w14:solidFill>
          </w14:textFill>
        </w:rPr>
        <w:t>二、响应报价表……………………………………………………………（页码）</w:t>
      </w:r>
    </w:p>
    <w:p w14:paraId="556EE8C6">
      <w:pPr>
        <w:keepNext w:val="0"/>
        <w:keepLines w:val="0"/>
        <w:pageBreakBefore w:val="0"/>
        <w:widowControl w:val="0"/>
        <w:kinsoku/>
        <w:wordWrap/>
        <w:overflowPunct/>
        <w:topLinePunct w:val="0"/>
        <w:autoSpaceDE/>
        <w:autoSpaceDN/>
        <w:bidi w:val="0"/>
        <w:adjustRightInd/>
        <w:snapToGrid/>
        <w:spacing w:line="600" w:lineRule="exact"/>
        <w:ind w:firstLine="520" w:firstLineChars="200"/>
        <w:textAlignment w:val="auto"/>
        <w:rPr>
          <w:rFonts w:hint="eastAsia" w:asciiTheme="minorEastAsia" w:hAnsiTheme="minorEastAsia" w:eastAsiaTheme="minorEastAsia" w:cstheme="minorEastAsia"/>
          <w:color w:val="000000" w:themeColor="text1"/>
          <w:kern w:val="0"/>
          <w:sz w:val="26"/>
          <w:szCs w:val="26"/>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6"/>
          <w:szCs w:val="26"/>
          <w:highlight w:val="none"/>
          <w14:textFill>
            <w14:solidFill>
              <w14:schemeClr w14:val="tx1"/>
            </w14:solidFill>
          </w14:textFill>
        </w:rPr>
        <w:t>三、供应商认为需要提供的其他有关资料………………………………（页码）</w:t>
      </w:r>
    </w:p>
    <w:p w14:paraId="7152687E">
      <w:pPr>
        <w:snapToGrid w:val="0"/>
        <w:spacing w:before="120" w:beforeLines="50" w:after="50" w:line="360" w:lineRule="auto"/>
        <w:ind w:left="142" w:firstLine="640" w:firstLineChars="200"/>
        <w:jc w:val="left"/>
        <w:rPr>
          <w:rFonts w:hint="eastAsia" w:asciiTheme="minorEastAsia" w:hAnsiTheme="minorEastAsia" w:eastAsiaTheme="minorEastAsia" w:cstheme="minorEastAsia"/>
          <w:color w:val="000000" w:themeColor="text1"/>
          <w:sz w:val="32"/>
          <w:szCs w:val="32"/>
          <w:highlight w:val="none"/>
          <w14:textFill>
            <w14:solidFill>
              <w14:schemeClr w14:val="tx1"/>
            </w14:solidFill>
          </w14:textFill>
        </w:rPr>
      </w:pPr>
    </w:p>
    <w:p w14:paraId="1B109FD0">
      <w:pPr>
        <w:snapToGrid w:val="0"/>
        <w:spacing w:before="120" w:beforeLines="50" w:after="50" w:line="360" w:lineRule="auto"/>
        <w:jc w:val="left"/>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br w:type="page"/>
      </w: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一、响应函</w:t>
      </w:r>
    </w:p>
    <w:p w14:paraId="1393F377">
      <w:pPr>
        <w:pStyle w:val="16"/>
        <w:keepNext w:val="0"/>
        <w:keepLines w:val="0"/>
        <w:pageBreakBefore w:val="0"/>
        <w:widowControl w:val="0"/>
        <w:kinsoku/>
        <w:wordWrap/>
        <w:overflowPunct/>
        <w:topLinePunct w:val="0"/>
        <w:autoSpaceDE/>
        <w:autoSpaceDN/>
        <w:bidi w:val="0"/>
        <w:adjustRightInd/>
        <w:snapToGrid/>
        <w:spacing w:after="0" w:afterLines="100" w:line="500" w:lineRule="exact"/>
        <w:jc w:val="center"/>
        <w:textAlignment w:val="auto"/>
        <w:rPr>
          <w:rFonts w:hint="eastAsia" w:asciiTheme="minorEastAsia" w:hAnsiTheme="minorEastAsia" w:eastAsiaTheme="minorEastAsia" w:cstheme="minorEastAsia"/>
          <w:b/>
          <w:bCs/>
          <w:color w:val="000000" w:themeColor="text1"/>
          <w:sz w:val="38"/>
          <w:szCs w:val="3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38"/>
          <w:szCs w:val="38"/>
          <w:highlight w:val="none"/>
          <w14:textFill>
            <w14:solidFill>
              <w14:schemeClr w14:val="tx1"/>
            </w14:solidFill>
          </w14:textFill>
        </w:rPr>
        <w:t>响应函</w:t>
      </w:r>
    </w:p>
    <w:p w14:paraId="24B8BB24">
      <w:pPr>
        <w:pStyle w:val="16"/>
        <w:spacing w:line="400" w:lineRule="exact"/>
        <w:rPr>
          <w:rFonts w:hint="eastAsia" w:asciiTheme="minorEastAsia" w:hAnsiTheme="minorEastAsia" w:eastAsiaTheme="minorEastAsia" w:cstheme="minorEastAsia"/>
          <w:color w:val="000000" w:themeColor="text1"/>
          <w:sz w:val="22"/>
          <w:szCs w:val="22"/>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致：</w:t>
      </w:r>
      <w:r>
        <w:rPr>
          <w:rFonts w:hint="eastAsia" w:asciiTheme="minorEastAsia" w:hAnsiTheme="minorEastAsia" w:eastAsiaTheme="minorEastAsia" w:cstheme="minorEastAsia"/>
          <w:color w:val="000000" w:themeColor="text1"/>
          <w:sz w:val="22"/>
          <w:szCs w:val="22"/>
          <w:highlight w:val="none"/>
          <w:u w:val="single"/>
          <w14:textFill>
            <w14:solidFill>
              <w14:schemeClr w14:val="tx1"/>
            </w14:solidFill>
          </w14:textFill>
        </w:rPr>
        <w:t>（采购代理机构名称）</w:t>
      </w:r>
    </w:p>
    <w:p w14:paraId="62739C82">
      <w:pPr>
        <w:pStyle w:val="16"/>
        <w:spacing w:line="400" w:lineRule="exact"/>
        <w:ind w:firstLine="440" w:firstLineChars="200"/>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我方已仔细阅读了贵方组织的项目（项目编号：</w:t>
      </w:r>
      <w:r>
        <w:rPr>
          <w:rFonts w:hint="eastAsia" w:asciiTheme="minorEastAsia" w:hAnsiTheme="minorEastAsia" w:eastAsiaTheme="minorEastAsia" w:cstheme="minorEastAsia"/>
          <w:color w:val="000000" w:themeColor="text1"/>
          <w:sz w:val="22"/>
          <w:szCs w:val="22"/>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 xml:space="preserve">）的竞争性磋商采购文件的全部内容，现正式递交下述文件参加贵方组织的本次政府采购活动： </w:t>
      </w:r>
    </w:p>
    <w:p w14:paraId="650390B3">
      <w:pPr>
        <w:pStyle w:val="16"/>
        <w:spacing w:line="400" w:lineRule="exact"/>
        <w:ind w:firstLine="440" w:firstLineChars="200"/>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一、首次报价文件电子版</w:t>
      </w:r>
      <w:r>
        <w:rPr>
          <w:rFonts w:hint="eastAsia" w:asciiTheme="minorEastAsia" w:hAnsiTheme="minorEastAsia" w:eastAsiaTheme="minorEastAsia" w:cstheme="minorEastAsia"/>
          <w:color w:val="000000" w:themeColor="text1"/>
          <w:sz w:val="22"/>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2"/>
          <w:szCs w:val="22"/>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2"/>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份（包含按“第三章 供应商须知”提交的全部文件）；</w:t>
      </w:r>
    </w:p>
    <w:p w14:paraId="17F6654B">
      <w:pPr>
        <w:pStyle w:val="16"/>
        <w:spacing w:line="400" w:lineRule="exact"/>
        <w:ind w:firstLine="440" w:firstLineChars="200"/>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二、资格证明文件电子版</w:t>
      </w:r>
      <w:r>
        <w:rPr>
          <w:rFonts w:hint="eastAsia" w:asciiTheme="minorEastAsia" w:hAnsiTheme="minorEastAsia" w:eastAsiaTheme="minorEastAsia" w:cstheme="minorEastAsia"/>
          <w:color w:val="000000" w:themeColor="text1"/>
          <w:sz w:val="22"/>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2"/>
          <w:szCs w:val="22"/>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份（包含按“第三章供应商须知”提交的全部文件）；</w:t>
      </w:r>
    </w:p>
    <w:p w14:paraId="46994589">
      <w:pPr>
        <w:pStyle w:val="16"/>
        <w:spacing w:line="400" w:lineRule="exact"/>
        <w:ind w:firstLine="440" w:firstLineChars="200"/>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三、</w:t>
      </w:r>
      <w:r>
        <w:rPr>
          <w:rFonts w:hint="eastAsia"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t>商务</w:t>
      </w: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技术文件电子版</w:t>
      </w:r>
      <w:r>
        <w:rPr>
          <w:rFonts w:hint="eastAsia" w:asciiTheme="minorEastAsia" w:hAnsiTheme="minorEastAsia" w:eastAsiaTheme="minorEastAsia" w:cstheme="minorEastAsia"/>
          <w:color w:val="000000" w:themeColor="text1"/>
          <w:sz w:val="22"/>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2"/>
          <w:szCs w:val="22"/>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份（包含按“第三章 供应商须知”提交的全部文件）；（商务技术文件合并成册）</w:t>
      </w:r>
    </w:p>
    <w:p w14:paraId="0421046A">
      <w:pPr>
        <w:pStyle w:val="16"/>
        <w:spacing w:line="400" w:lineRule="exact"/>
        <w:ind w:firstLine="440" w:firstLineChars="200"/>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据此函，签字人兹宣布：</w:t>
      </w:r>
    </w:p>
    <w:p w14:paraId="3CC77503">
      <w:pPr>
        <w:spacing w:line="440" w:lineRule="exact"/>
        <w:ind w:firstLine="440" w:firstLineChars="20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lang w:eastAsia="zh-CN"/>
          <w14:textFill>
            <w14:solidFill>
              <w14:schemeClr w14:val="tx1"/>
            </w14:solidFill>
          </w14:textFill>
        </w:rPr>
        <w:t>1.我方愿意以（大写）人民币</w:t>
      </w:r>
      <w:r>
        <w:rPr>
          <w:rFonts w:hint="eastAsia" w:ascii="宋体" w:hAnsi="宋体" w:cs="宋体"/>
          <w:color w:val="000000" w:themeColor="text1"/>
          <w:sz w:val="22"/>
          <w:szCs w:val="22"/>
          <w:highlight w:val="none"/>
          <w:u w:val="single"/>
          <w:lang w:eastAsia="zh-CN"/>
          <w14:textFill>
            <w14:solidFill>
              <w14:schemeClr w14:val="tx1"/>
            </w14:solidFill>
          </w14:textFill>
        </w:rPr>
        <w:t xml:space="preserve">              </w:t>
      </w:r>
      <w:r>
        <w:rPr>
          <w:rFonts w:hint="eastAsia" w:ascii="宋体" w:hAnsi="宋体" w:cs="宋体"/>
          <w:color w:val="000000" w:themeColor="text1"/>
          <w:sz w:val="22"/>
          <w:szCs w:val="22"/>
          <w:highlight w:val="none"/>
          <w:lang w:eastAsia="zh-CN"/>
          <w14:textFill>
            <w14:solidFill>
              <w14:schemeClr w14:val="tx1"/>
            </w14:solidFill>
          </w14:textFill>
        </w:rPr>
        <w:t>（￥</w:t>
      </w:r>
      <w:r>
        <w:rPr>
          <w:rFonts w:hint="eastAsia" w:ascii="宋体" w:hAnsi="宋体" w:cs="宋体"/>
          <w:color w:val="000000" w:themeColor="text1"/>
          <w:sz w:val="22"/>
          <w:szCs w:val="22"/>
          <w:highlight w:val="none"/>
          <w:u w:val="single"/>
          <w:lang w:eastAsia="zh-CN"/>
          <w14:textFill>
            <w14:solidFill>
              <w14:schemeClr w14:val="tx1"/>
            </w14:solidFill>
          </w14:textFill>
        </w:rPr>
        <w:t xml:space="preserve">          </w:t>
      </w:r>
      <w:r>
        <w:rPr>
          <w:rFonts w:hint="eastAsia" w:ascii="宋体" w:hAnsi="宋体" w:cs="宋体"/>
          <w:color w:val="000000" w:themeColor="text1"/>
          <w:sz w:val="22"/>
          <w:szCs w:val="22"/>
          <w:highlight w:val="none"/>
          <w:lang w:eastAsia="zh-CN"/>
          <w14:textFill>
            <w14:solidFill>
              <w14:schemeClr w14:val="tx1"/>
            </w14:solidFill>
          </w14:textFill>
        </w:rPr>
        <w:t>元）的竞标总报价</w:t>
      </w:r>
      <w:r>
        <w:rPr>
          <w:rFonts w:hint="eastAsia" w:ascii="宋体" w:hAnsi="宋体" w:eastAsia="宋体" w:cs="宋体"/>
          <w:color w:val="000000" w:themeColor="text1"/>
          <w:sz w:val="22"/>
          <w:szCs w:val="22"/>
          <w:highlight w:val="none"/>
          <w14:textFill>
            <w14:solidFill>
              <w14:schemeClr w14:val="tx1"/>
            </w14:solidFill>
          </w14:textFill>
        </w:rPr>
        <w:t>，</w:t>
      </w:r>
      <w:r>
        <w:rPr>
          <w:rFonts w:hint="eastAsia" w:ascii="宋体" w:hAnsi="宋体" w:eastAsia="宋体" w:cs="宋体"/>
          <w:color w:val="000000" w:themeColor="text1"/>
          <w:sz w:val="22"/>
          <w:szCs w:val="22"/>
          <w:highlight w:val="none"/>
          <w:lang w:val="en-US" w:eastAsia="zh-CN"/>
          <w14:textFill>
            <w14:solidFill>
              <w14:schemeClr w14:val="tx1"/>
            </w14:solidFill>
          </w14:textFill>
        </w:rPr>
        <w:t>检测服务期</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2"/>
          <w:szCs w:val="22"/>
          <w:highlight w:val="none"/>
          <w14:textFill>
            <w14:solidFill>
              <w14:schemeClr w14:val="tx1"/>
            </w14:solidFill>
          </w14:textFill>
        </w:rPr>
        <w:t>（无分标时填写），提供本项目</w:t>
      </w:r>
      <w:r>
        <w:rPr>
          <w:rFonts w:hint="eastAsia" w:ascii="宋体" w:hAnsi="宋体" w:cs="宋体"/>
          <w:color w:val="000000" w:themeColor="text1"/>
          <w:sz w:val="22"/>
          <w:szCs w:val="22"/>
          <w:highlight w:val="none"/>
          <w:lang w:val="en-US" w:eastAsia="zh-CN"/>
          <w14:textFill>
            <w14:solidFill>
              <w14:schemeClr w14:val="tx1"/>
            </w14:solidFill>
          </w14:textFill>
        </w:rPr>
        <w:t>采购</w:t>
      </w:r>
      <w:r>
        <w:rPr>
          <w:rFonts w:hint="eastAsia" w:ascii="宋体" w:hAnsi="宋体" w:eastAsia="宋体" w:cs="宋体"/>
          <w:color w:val="000000" w:themeColor="text1"/>
          <w:sz w:val="22"/>
          <w:szCs w:val="22"/>
          <w:highlight w:val="none"/>
          <w14:textFill>
            <w14:solidFill>
              <w14:schemeClr w14:val="tx1"/>
            </w14:solidFill>
          </w14:textFill>
        </w:rPr>
        <w:t>文件第二章“服务需求”中的相应的采购内容。</w:t>
      </w:r>
    </w:p>
    <w:p w14:paraId="68E73FCE">
      <w:pPr>
        <w:spacing w:line="440" w:lineRule="exact"/>
        <w:ind w:firstLine="440" w:firstLineChars="20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其中（有分标时填写）：</w:t>
      </w:r>
    </w:p>
    <w:p w14:paraId="2AE34CE0">
      <w:pPr>
        <w:spacing w:line="440" w:lineRule="exact"/>
        <w:ind w:firstLine="440" w:firstLineChars="200"/>
        <w:rPr>
          <w:rFonts w:hint="eastAsia" w:ascii="宋体" w:hAnsi="宋体" w:eastAsia="宋体" w:cs="宋体"/>
          <w:color w:val="000000" w:themeColor="text1"/>
          <w:sz w:val="22"/>
          <w:szCs w:val="22"/>
          <w:highlight w:val="none"/>
          <w:u w:val="single"/>
          <w14:textFill>
            <w14:solidFill>
              <w14:schemeClr w14:val="tx1"/>
            </w14:solidFill>
          </w14:textFill>
        </w:rPr>
      </w:pPr>
      <w:r>
        <w:rPr>
          <w:rFonts w:hint="eastAsia" w:ascii="宋体" w:hAnsi="Courier New"/>
          <w:color w:val="000000" w:themeColor="text1"/>
          <w:kern w:val="0"/>
          <w:sz w:val="22"/>
          <w:szCs w:val="22"/>
          <w:highlight w:val="none"/>
          <w:u w:val="single"/>
          <w14:textFill>
            <w14:solidFill>
              <w14:schemeClr w14:val="tx1"/>
            </w14:solidFill>
          </w14:textFill>
        </w:rPr>
        <w:t xml:space="preserve"> </w:t>
      </w:r>
      <w:r>
        <w:rPr>
          <w:rFonts w:hint="eastAsia" w:ascii="宋体" w:hAnsi="宋体" w:eastAsia="宋体" w:cs="宋体"/>
          <w:color w:val="000000" w:themeColor="text1"/>
          <w:sz w:val="22"/>
          <w:szCs w:val="22"/>
          <w:highlight w:val="none"/>
          <w:u w:val="single"/>
          <w14:textFill>
            <w14:solidFill>
              <w14:schemeClr w14:val="tx1"/>
            </w14:solidFill>
          </w14:textFill>
        </w:rPr>
        <w:t xml:space="preserve">   </w:t>
      </w:r>
      <w:r>
        <w:rPr>
          <w:rFonts w:hint="eastAsia" w:ascii="宋体" w:hAnsi="宋体" w:eastAsia="宋体" w:cs="宋体"/>
          <w:color w:val="000000" w:themeColor="text1"/>
          <w:sz w:val="22"/>
          <w:szCs w:val="22"/>
          <w:highlight w:val="none"/>
          <w14:textFill>
            <w14:solidFill>
              <w14:schemeClr w14:val="tx1"/>
            </w14:solidFill>
          </w14:textFill>
        </w:rPr>
        <w:t>分标报价为（大写）人民币</w:t>
      </w:r>
      <w:r>
        <w:rPr>
          <w:rFonts w:hint="eastAsia" w:ascii="宋体" w:hAnsi="宋体" w:eastAsia="宋体" w:cs="宋体"/>
          <w:color w:val="000000" w:themeColor="text1"/>
          <w:sz w:val="22"/>
          <w:szCs w:val="22"/>
          <w:highlight w:val="none"/>
          <w:u w:val="single"/>
          <w14:textFill>
            <w14:solidFill>
              <w14:schemeClr w14:val="tx1"/>
            </w14:solidFill>
          </w14:textFill>
        </w:rPr>
        <w:t xml:space="preserve">   </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2"/>
          <w:szCs w:val="22"/>
          <w:highlight w:val="none"/>
          <w:u w:val="single"/>
          <w14:textFill>
            <w14:solidFill>
              <w14:schemeClr w14:val="tx1"/>
            </w14:solidFill>
          </w14:textFill>
        </w:rPr>
        <w:t xml:space="preserve"> </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2"/>
          <w:szCs w:val="22"/>
          <w:highlight w:val="none"/>
          <w:u w:val="single"/>
          <w14:textFill>
            <w14:solidFill>
              <w14:schemeClr w14:val="tx1"/>
            </w14:solidFill>
          </w14:textFill>
        </w:rPr>
        <w:t xml:space="preserve"> </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2"/>
          <w:szCs w:val="22"/>
          <w:highlight w:val="none"/>
          <w:u w:val="single"/>
          <w14:textFill>
            <w14:solidFill>
              <w14:schemeClr w14:val="tx1"/>
            </w14:solidFill>
          </w14:textFill>
        </w:rPr>
        <w:t xml:space="preserve">   </w:t>
      </w:r>
      <w:r>
        <w:rPr>
          <w:rFonts w:hint="eastAsia" w:ascii="宋体" w:hAnsi="宋体" w:cs="宋体"/>
          <w:color w:val="000000" w:themeColor="text1"/>
          <w:sz w:val="22"/>
          <w:szCs w:val="22"/>
          <w:highlight w:val="none"/>
          <w:u w:val="single"/>
          <w:lang w:eastAsia="zh-CN"/>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w:t>
      </w:r>
      <w:r>
        <w:rPr>
          <w:rFonts w:hint="eastAsia" w:ascii="宋体" w:hAnsi="宋体" w:eastAsia="宋体" w:cs="宋体"/>
          <w:color w:val="000000" w:themeColor="text1"/>
          <w:sz w:val="22"/>
          <w:szCs w:val="22"/>
          <w:highlight w:val="none"/>
          <w:u w:val="single"/>
          <w14:textFill>
            <w14:solidFill>
              <w14:schemeClr w14:val="tx1"/>
            </w14:solidFill>
          </w14:textFill>
        </w:rPr>
        <w:t xml:space="preserve">        </w:t>
      </w:r>
      <w:r>
        <w:rPr>
          <w:rFonts w:hint="eastAsia" w:ascii="宋体" w:hAnsi="宋体" w:eastAsia="宋体" w:cs="宋体"/>
          <w:color w:val="000000" w:themeColor="text1"/>
          <w:sz w:val="22"/>
          <w:szCs w:val="22"/>
          <w:highlight w:val="none"/>
          <w14:textFill>
            <w14:solidFill>
              <w14:schemeClr w14:val="tx1"/>
            </w14:solidFill>
          </w14:textFill>
        </w:rPr>
        <w:t>元</w:t>
      </w:r>
      <w:r>
        <w:rPr>
          <w:rFonts w:hint="eastAsia" w:ascii="宋体" w:hAnsi="宋体" w:eastAsia="宋体" w:cs="宋体"/>
          <w:color w:val="000000" w:themeColor="text1"/>
          <w:sz w:val="22"/>
          <w:szCs w:val="22"/>
          <w:highlight w:val="none"/>
          <w:lang w:eastAsia="zh-CN"/>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w:t>
      </w:r>
      <w:r>
        <w:rPr>
          <w:rFonts w:hint="eastAsia" w:ascii="宋体" w:hAnsi="宋体" w:eastAsia="宋体" w:cs="宋体"/>
          <w:color w:val="000000" w:themeColor="text1"/>
          <w:sz w:val="22"/>
          <w:szCs w:val="22"/>
          <w:highlight w:val="none"/>
          <w:lang w:val="en-US" w:eastAsia="zh-CN"/>
          <w14:textFill>
            <w14:solidFill>
              <w14:schemeClr w14:val="tx1"/>
            </w14:solidFill>
          </w14:textFill>
        </w:rPr>
        <w:t>检测服务期</w:t>
      </w:r>
      <w:r>
        <w:rPr>
          <w:rFonts w:hint="eastAsia" w:ascii="宋体" w:hAnsi="宋体" w:eastAsia="宋体" w:cs="宋体"/>
          <w:color w:val="000000" w:themeColor="text1"/>
          <w:sz w:val="22"/>
          <w:szCs w:val="22"/>
          <w:highlight w:val="none"/>
          <w14:textFill>
            <w14:solidFill>
              <w14:schemeClr w14:val="tx1"/>
            </w14:solidFill>
          </w14:textFill>
        </w:rPr>
        <w:t>：</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2"/>
          <w:szCs w:val="22"/>
          <w:highlight w:val="none"/>
          <w14:textFill>
            <w14:solidFill>
              <w14:schemeClr w14:val="tx1"/>
            </w14:solidFill>
          </w14:textFill>
        </w:rPr>
        <w:t>；</w:t>
      </w:r>
    </w:p>
    <w:p w14:paraId="6EEFB7B9">
      <w:pPr>
        <w:spacing w:line="440" w:lineRule="exact"/>
        <w:ind w:firstLine="440" w:firstLineChars="200"/>
        <w:rPr>
          <w:rFonts w:hint="eastAsia" w:ascii="宋体" w:hAnsi="宋体" w:eastAsia="宋体" w:cs="宋体"/>
          <w:color w:val="000000" w:themeColor="text1"/>
          <w:sz w:val="22"/>
          <w:szCs w:val="22"/>
          <w:highlight w:val="none"/>
          <w:u w:val="single"/>
          <w14:textFill>
            <w14:solidFill>
              <w14:schemeClr w14:val="tx1"/>
            </w14:solidFill>
          </w14:textFill>
        </w:rPr>
      </w:pPr>
      <w:r>
        <w:rPr>
          <w:rFonts w:hint="eastAsia" w:ascii="宋体" w:hAnsi="Courier New" w:eastAsia="宋体" w:cs="Times New Roman"/>
          <w:color w:val="000000" w:themeColor="text1"/>
          <w:kern w:val="0"/>
          <w:sz w:val="22"/>
          <w:szCs w:val="22"/>
          <w:highlight w:val="none"/>
          <w:u w:val="single"/>
          <w14:textFill>
            <w14:solidFill>
              <w14:schemeClr w14:val="tx1"/>
            </w14:solidFill>
          </w14:textFill>
        </w:rPr>
        <w:t xml:space="preserve"> </w:t>
      </w:r>
      <w:r>
        <w:rPr>
          <w:rFonts w:hint="eastAsia" w:ascii="宋体" w:hAnsi="宋体" w:eastAsia="宋体" w:cs="宋体"/>
          <w:color w:val="000000" w:themeColor="text1"/>
          <w:sz w:val="22"/>
          <w:szCs w:val="22"/>
          <w:highlight w:val="none"/>
          <w:u w:val="single"/>
          <w14:textFill>
            <w14:solidFill>
              <w14:schemeClr w14:val="tx1"/>
            </w14:solidFill>
          </w14:textFill>
        </w:rPr>
        <w:t xml:space="preserve">   </w:t>
      </w:r>
      <w:r>
        <w:rPr>
          <w:rFonts w:hint="eastAsia" w:ascii="宋体" w:hAnsi="宋体" w:eastAsia="宋体" w:cs="宋体"/>
          <w:color w:val="000000" w:themeColor="text1"/>
          <w:sz w:val="22"/>
          <w:szCs w:val="22"/>
          <w:highlight w:val="none"/>
          <w14:textFill>
            <w14:solidFill>
              <w14:schemeClr w14:val="tx1"/>
            </w14:solidFill>
          </w14:textFill>
        </w:rPr>
        <w:t>分标报价为（大写）人民币</w:t>
      </w:r>
      <w:r>
        <w:rPr>
          <w:rFonts w:hint="eastAsia" w:ascii="宋体" w:hAnsi="宋体" w:eastAsia="宋体" w:cs="宋体"/>
          <w:color w:val="000000" w:themeColor="text1"/>
          <w:sz w:val="22"/>
          <w:szCs w:val="22"/>
          <w:highlight w:val="none"/>
          <w:u w:val="single"/>
          <w14:textFill>
            <w14:solidFill>
              <w14:schemeClr w14:val="tx1"/>
            </w14:solidFill>
          </w14:textFill>
        </w:rPr>
        <w:t xml:space="preserve">   </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2"/>
          <w:szCs w:val="22"/>
          <w:highlight w:val="none"/>
          <w:u w:val="single"/>
          <w14:textFill>
            <w14:solidFill>
              <w14:schemeClr w14:val="tx1"/>
            </w14:solidFill>
          </w14:textFill>
        </w:rPr>
        <w:t xml:space="preserve">     </w:t>
      </w:r>
      <w:r>
        <w:rPr>
          <w:rFonts w:hint="eastAsia" w:ascii="宋体" w:hAnsi="宋体" w:cs="宋体"/>
          <w:color w:val="000000" w:themeColor="text1"/>
          <w:sz w:val="22"/>
          <w:szCs w:val="22"/>
          <w:highlight w:val="none"/>
          <w:u w:val="single"/>
          <w:lang w:eastAsia="zh-CN"/>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w:t>
      </w:r>
      <w:r>
        <w:rPr>
          <w:rFonts w:hint="eastAsia" w:ascii="宋体" w:hAnsi="宋体" w:eastAsia="宋体" w:cs="宋体"/>
          <w:color w:val="000000" w:themeColor="text1"/>
          <w:sz w:val="22"/>
          <w:szCs w:val="22"/>
          <w:highlight w:val="none"/>
          <w:u w:val="single"/>
          <w14:textFill>
            <w14:solidFill>
              <w14:schemeClr w14:val="tx1"/>
            </w14:solidFill>
          </w14:textFill>
        </w:rPr>
        <w:t xml:space="preserve">        </w:t>
      </w:r>
      <w:r>
        <w:rPr>
          <w:rFonts w:hint="eastAsia" w:ascii="宋体" w:hAnsi="宋体" w:eastAsia="宋体" w:cs="宋体"/>
          <w:color w:val="000000" w:themeColor="text1"/>
          <w:sz w:val="22"/>
          <w:szCs w:val="22"/>
          <w:highlight w:val="none"/>
          <w14:textFill>
            <w14:solidFill>
              <w14:schemeClr w14:val="tx1"/>
            </w14:solidFill>
          </w14:textFill>
        </w:rPr>
        <w:t>元</w:t>
      </w:r>
      <w:r>
        <w:rPr>
          <w:rFonts w:hint="eastAsia" w:ascii="宋体" w:hAnsi="宋体" w:eastAsia="宋体" w:cs="宋体"/>
          <w:color w:val="000000" w:themeColor="text1"/>
          <w:sz w:val="22"/>
          <w:szCs w:val="22"/>
          <w:highlight w:val="none"/>
          <w:lang w:eastAsia="zh-CN"/>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w:t>
      </w:r>
      <w:r>
        <w:rPr>
          <w:rFonts w:hint="eastAsia" w:ascii="宋体" w:hAnsi="宋体" w:eastAsia="宋体" w:cs="宋体"/>
          <w:color w:val="000000" w:themeColor="text1"/>
          <w:sz w:val="22"/>
          <w:szCs w:val="22"/>
          <w:highlight w:val="none"/>
          <w:lang w:val="en-US" w:eastAsia="zh-CN"/>
          <w14:textFill>
            <w14:solidFill>
              <w14:schemeClr w14:val="tx1"/>
            </w14:solidFill>
          </w14:textFill>
        </w:rPr>
        <w:t>检测服务期</w:t>
      </w:r>
      <w:r>
        <w:rPr>
          <w:rFonts w:hint="eastAsia" w:ascii="宋体" w:hAnsi="宋体" w:eastAsia="宋体" w:cs="宋体"/>
          <w:color w:val="000000" w:themeColor="text1"/>
          <w:sz w:val="22"/>
          <w:szCs w:val="22"/>
          <w:highlight w:val="none"/>
          <w14:textFill>
            <w14:solidFill>
              <w14:schemeClr w14:val="tx1"/>
            </w14:solidFill>
          </w14:textFill>
        </w:rPr>
        <w:t>：</w:t>
      </w:r>
      <w:r>
        <w:rPr>
          <w:rFonts w:hint="eastAsia" w:ascii="宋体" w:hAnsi="宋体" w:eastAsia="宋体" w:cs="宋体"/>
          <w:color w:val="000000" w:themeColor="text1"/>
          <w:sz w:val="22"/>
          <w:szCs w:val="22"/>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2"/>
          <w:szCs w:val="22"/>
          <w:highlight w:val="none"/>
          <w14:textFill>
            <w14:solidFill>
              <w14:schemeClr w14:val="tx1"/>
            </w14:solidFill>
          </w14:textFill>
        </w:rPr>
        <w:t>；</w:t>
      </w:r>
    </w:p>
    <w:p w14:paraId="69FD37B7">
      <w:pPr>
        <w:pStyle w:val="16"/>
        <w:spacing w:line="400" w:lineRule="exact"/>
        <w:ind w:firstLine="482"/>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2.我方同意自本项目竞争性磋商采购文件采购公告规定的递交响应文件截止时间起遵循本响应函，并承诺在“第三章 供应商须知”规定的响应有效期内不修改、撤销响应文件。</w:t>
      </w:r>
    </w:p>
    <w:p w14:paraId="39135181">
      <w:pPr>
        <w:pStyle w:val="16"/>
        <w:spacing w:line="400" w:lineRule="exact"/>
        <w:ind w:firstLine="482"/>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3.我方在此声明，所递交的响应文件及有关资料内容完整、真实和准确。</w:t>
      </w:r>
    </w:p>
    <w:p w14:paraId="5BB103C2">
      <w:pPr>
        <w:pStyle w:val="16"/>
        <w:spacing w:line="400" w:lineRule="exact"/>
        <w:ind w:firstLine="482"/>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4.如本项目采购内容涉及须符合国家强制规定的，我方承诺我方本次竞标均符合国家有关强制规定。</w:t>
      </w:r>
    </w:p>
    <w:p w14:paraId="4FC55E96">
      <w:pPr>
        <w:pStyle w:val="16"/>
        <w:spacing w:line="400" w:lineRule="exact"/>
        <w:ind w:firstLine="482"/>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5.我方承诺未被列入失信被执行人、重大税收违法失信主体、政府采购严重违法失信行为记录名单，并已经具备《中华人民共和国政府采购法》中规定的参加政府采购活动的供应商应当具备的条件：</w:t>
      </w:r>
    </w:p>
    <w:p w14:paraId="0599404E">
      <w:pPr>
        <w:pStyle w:val="16"/>
        <w:numPr>
          <w:ilvl w:val="0"/>
          <w:numId w:val="0"/>
        </w:numPr>
        <w:tabs>
          <w:tab w:val="left" w:pos="945"/>
        </w:tabs>
        <w:spacing w:line="400" w:lineRule="exact"/>
        <w:ind w:left="420" w:leftChars="0"/>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2"/>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具有独立承担民事责任的能力；</w:t>
      </w:r>
    </w:p>
    <w:p w14:paraId="28A919BB">
      <w:pPr>
        <w:pStyle w:val="16"/>
        <w:numPr>
          <w:ilvl w:val="0"/>
          <w:numId w:val="0"/>
        </w:numPr>
        <w:tabs>
          <w:tab w:val="left" w:pos="945"/>
        </w:tabs>
        <w:spacing w:line="400" w:lineRule="exact"/>
        <w:ind w:left="420" w:leftChars="0"/>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2"/>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具有良好的商业信誉和健全的财务会计制度；</w:t>
      </w:r>
    </w:p>
    <w:p w14:paraId="4D12AF51">
      <w:pPr>
        <w:pStyle w:val="16"/>
        <w:numPr>
          <w:ilvl w:val="0"/>
          <w:numId w:val="0"/>
        </w:numPr>
        <w:tabs>
          <w:tab w:val="left" w:pos="945"/>
        </w:tabs>
        <w:spacing w:line="400" w:lineRule="exact"/>
        <w:ind w:left="420" w:leftChars="0"/>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2"/>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具有履行合同所必需的设备和专业技术能力；</w:t>
      </w:r>
    </w:p>
    <w:p w14:paraId="0E0FC8D8">
      <w:pPr>
        <w:pStyle w:val="16"/>
        <w:numPr>
          <w:ilvl w:val="0"/>
          <w:numId w:val="0"/>
        </w:numPr>
        <w:tabs>
          <w:tab w:val="left" w:pos="945"/>
        </w:tabs>
        <w:spacing w:line="400" w:lineRule="exact"/>
        <w:ind w:left="420" w:leftChars="0"/>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2"/>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有依法缴纳税收和社会保障资金的良好记录；</w:t>
      </w:r>
    </w:p>
    <w:p w14:paraId="5BCC245A">
      <w:pPr>
        <w:pStyle w:val="16"/>
        <w:numPr>
          <w:ilvl w:val="0"/>
          <w:numId w:val="0"/>
        </w:numPr>
        <w:tabs>
          <w:tab w:val="left" w:pos="945"/>
        </w:tabs>
        <w:spacing w:line="400" w:lineRule="exact"/>
        <w:ind w:left="420" w:leftChars="0"/>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2"/>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参加政府采购活动前三年内，在经营活动中没有重大违法记录；</w:t>
      </w:r>
    </w:p>
    <w:p w14:paraId="7ED482CA">
      <w:pPr>
        <w:pStyle w:val="16"/>
        <w:numPr>
          <w:ilvl w:val="0"/>
          <w:numId w:val="0"/>
        </w:numPr>
        <w:tabs>
          <w:tab w:val="left" w:pos="945"/>
        </w:tabs>
        <w:spacing w:line="400" w:lineRule="exact"/>
        <w:ind w:left="420" w:leftChars="0"/>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2"/>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法律、行政法规规定的其他条件。</w:t>
      </w:r>
    </w:p>
    <w:p w14:paraId="7A407EAE">
      <w:pPr>
        <w:pStyle w:val="16"/>
        <w:spacing w:line="400" w:lineRule="exact"/>
        <w:ind w:firstLine="482"/>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6.如我方成交，我方承诺在收到成交通知书后，在成交通知书规定的期限内，根据竞争性磋商采购文件、我方的响应文件及有关澄清承诺书的要求按第六章“合同文本”与采购人订立书面合同，并按照合同约定承担完成合同的责任和义务。</w:t>
      </w:r>
    </w:p>
    <w:p w14:paraId="13ABBBDC">
      <w:pPr>
        <w:pStyle w:val="16"/>
        <w:spacing w:line="400" w:lineRule="exact"/>
        <w:ind w:firstLine="482"/>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7.我方已详细审核竞争性磋商采购文件，我方知道必须放弃提出含糊不清或误解问题的权利。</w:t>
      </w:r>
    </w:p>
    <w:p w14:paraId="1D0D9097">
      <w:pPr>
        <w:pStyle w:val="16"/>
        <w:spacing w:line="400" w:lineRule="exact"/>
        <w:ind w:firstLine="482"/>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8.我方承诺满足竞争性磋商采购文件第六章“合同文本”的条款，承担完成合同的责任和义务。</w:t>
      </w:r>
    </w:p>
    <w:p w14:paraId="6CEB5CB8">
      <w:pPr>
        <w:pStyle w:val="16"/>
        <w:spacing w:line="400" w:lineRule="exact"/>
        <w:ind w:firstLine="482"/>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9.我方同意应贵方要求提供与</w:t>
      </w:r>
      <w:r>
        <w:rPr>
          <w:rFonts w:hint="eastAsia" w:asciiTheme="minorEastAsia" w:hAnsiTheme="minorEastAsia" w:eastAsiaTheme="minorEastAsia" w:cstheme="minorEastAsia"/>
          <w:color w:val="000000" w:themeColor="text1"/>
          <w:sz w:val="22"/>
          <w:szCs w:val="22"/>
          <w:highlight w:val="none"/>
          <w:lang w:eastAsia="zh-CN"/>
          <w14:textFill>
            <w14:solidFill>
              <w14:schemeClr w14:val="tx1"/>
            </w14:solidFill>
          </w14:textFill>
        </w:rPr>
        <w:t>本次</w:t>
      </w: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竞标有关的任何数据或资料。若贵方需要，我方愿意提供我方作出的一切承诺的证明材料。</w:t>
      </w:r>
    </w:p>
    <w:p w14:paraId="54A1B4E0">
      <w:pPr>
        <w:pStyle w:val="16"/>
        <w:spacing w:line="400" w:lineRule="exact"/>
        <w:ind w:firstLine="482"/>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10.我方完全理解贵方不一定接受响应报价最低的竞标人为成交供应商的行为。</w:t>
      </w:r>
    </w:p>
    <w:p w14:paraId="020A3410">
      <w:pPr>
        <w:pStyle w:val="16"/>
        <w:spacing w:line="400" w:lineRule="exact"/>
        <w:ind w:firstLine="482"/>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11.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0DA74D35">
      <w:pPr>
        <w:pStyle w:val="16"/>
        <w:numPr>
          <w:ilvl w:val="0"/>
          <w:numId w:val="0"/>
        </w:numPr>
        <w:tabs>
          <w:tab w:val="left" w:pos="945"/>
        </w:tabs>
        <w:spacing w:line="400" w:lineRule="exact"/>
        <w:ind w:left="420" w:leftChars="0"/>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2"/>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提供虚假材料谋取</w:t>
      </w:r>
      <w:r>
        <w:rPr>
          <w:rFonts w:hint="eastAsia" w:asciiTheme="minorEastAsia" w:hAnsiTheme="minorEastAsia" w:eastAsiaTheme="minorEastAsia" w:cstheme="minorEastAsia"/>
          <w:color w:val="000000" w:themeColor="text1"/>
          <w:sz w:val="22"/>
          <w:szCs w:val="22"/>
          <w:highlight w:val="none"/>
          <w:lang w:eastAsia="zh-CN"/>
          <w14:textFill>
            <w14:solidFill>
              <w14:schemeClr w14:val="tx1"/>
            </w14:solidFill>
          </w14:textFill>
        </w:rPr>
        <w:t>成交</w:t>
      </w: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、成交的；</w:t>
      </w:r>
    </w:p>
    <w:p w14:paraId="6C973461">
      <w:pPr>
        <w:pStyle w:val="16"/>
        <w:numPr>
          <w:ilvl w:val="0"/>
          <w:numId w:val="0"/>
        </w:numPr>
        <w:tabs>
          <w:tab w:val="left" w:pos="945"/>
        </w:tabs>
        <w:spacing w:line="400" w:lineRule="exact"/>
        <w:ind w:left="420" w:leftChars="0"/>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2"/>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采取不正当手段诋毁、排挤其他供应商的；</w:t>
      </w:r>
    </w:p>
    <w:p w14:paraId="50869A9F">
      <w:pPr>
        <w:pStyle w:val="16"/>
        <w:numPr>
          <w:ilvl w:val="0"/>
          <w:numId w:val="0"/>
        </w:numPr>
        <w:tabs>
          <w:tab w:val="left" w:pos="945"/>
        </w:tabs>
        <w:spacing w:line="400" w:lineRule="exact"/>
        <w:ind w:left="420" w:leftChars="0"/>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2"/>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与采购人、其他供应商或者采购代理机构恶意串通的；</w:t>
      </w:r>
    </w:p>
    <w:p w14:paraId="7DD5A847">
      <w:pPr>
        <w:pStyle w:val="16"/>
        <w:numPr>
          <w:ilvl w:val="0"/>
          <w:numId w:val="0"/>
        </w:numPr>
        <w:tabs>
          <w:tab w:val="left" w:pos="945"/>
        </w:tabs>
        <w:spacing w:line="400" w:lineRule="exact"/>
        <w:ind w:left="420" w:leftChars="0"/>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2"/>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向采购人、采购代理机构行贿或者提供其他不正当利益的；</w:t>
      </w:r>
    </w:p>
    <w:p w14:paraId="02B0FE34">
      <w:pPr>
        <w:pStyle w:val="16"/>
        <w:numPr>
          <w:ilvl w:val="0"/>
          <w:numId w:val="0"/>
        </w:numPr>
        <w:tabs>
          <w:tab w:val="left" w:pos="945"/>
        </w:tabs>
        <w:spacing w:line="400" w:lineRule="exact"/>
        <w:ind w:left="420" w:leftChars="0"/>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2"/>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在采购过程中与采购人进行协商</w:t>
      </w:r>
      <w:r>
        <w:rPr>
          <w:rFonts w:hint="eastAsia"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t>磋商</w:t>
      </w: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的；</w:t>
      </w:r>
    </w:p>
    <w:p w14:paraId="19967306">
      <w:pPr>
        <w:pStyle w:val="16"/>
        <w:numPr>
          <w:ilvl w:val="0"/>
          <w:numId w:val="0"/>
        </w:numPr>
        <w:tabs>
          <w:tab w:val="left" w:pos="945"/>
        </w:tabs>
        <w:spacing w:line="400" w:lineRule="exact"/>
        <w:ind w:left="420" w:leftChars="0"/>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2"/>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拒绝有关部门监督检查或提供虚假情况的。</w:t>
      </w:r>
    </w:p>
    <w:p w14:paraId="16CE4C1C">
      <w:pPr>
        <w:pStyle w:val="16"/>
        <w:spacing w:line="400" w:lineRule="exact"/>
        <w:ind w:firstLine="420"/>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 xml:space="preserve">12.与本磋商有关的一切正式往来信函请寄： </w:t>
      </w:r>
    </w:p>
    <w:p w14:paraId="6E9D5D33">
      <w:pPr>
        <w:pStyle w:val="16"/>
        <w:spacing w:line="400" w:lineRule="exact"/>
        <w:ind w:firstLine="420"/>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地</w:t>
      </w:r>
      <w:r>
        <w:rPr>
          <w:rFonts w:hint="eastAsia"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 xml:space="preserve">址：                                                         </w:t>
      </w:r>
    </w:p>
    <w:p w14:paraId="2CC3D412">
      <w:pPr>
        <w:pStyle w:val="16"/>
        <w:spacing w:line="400" w:lineRule="exact"/>
        <w:ind w:firstLine="420"/>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电</w:t>
      </w:r>
      <w:r>
        <w:rPr>
          <w:rFonts w:hint="eastAsia"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话：                                      　　　　　　　　　</w:t>
      </w:r>
    </w:p>
    <w:p w14:paraId="0FDD9C32">
      <w:pPr>
        <w:pStyle w:val="16"/>
        <w:spacing w:line="400" w:lineRule="exact"/>
        <w:ind w:firstLine="420"/>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传</w:t>
      </w:r>
      <w:r>
        <w:rPr>
          <w:rFonts w:hint="eastAsia"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真：　　　　　　　　　　　　　　　　　　　　　　　　　　　　</w:t>
      </w:r>
    </w:p>
    <w:p w14:paraId="2AA6BDD9">
      <w:pPr>
        <w:pStyle w:val="16"/>
        <w:spacing w:line="400" w:lineRule="exact"/>
        <w:ind w:firstLine="420"/>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 xml:space="preserve">邮政编码：                                                    </w:t>
      </w:r>
    </w:p>
    <w:p w14:paraId="77FBDF0B">
      <w:pPr>
        <w:pStyle w:val="16"/>
        <w:spacing w:line="400" w:lineRule="exact"/>
        <w:ind w:firstLine="420"/>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 xml:space="preserve">开户名称：                                                    </w:t>
      </w:r>
    </w:p>
    <w:p w14:paraId="7CB7675F">
      <w:pPr>
        <w:pStyle w:val="16"/>
        <w:spacing w:line="400" w:lineRule="exact"/>
        <w:ind w:firstLine="420"/>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 xml:space="preserve">开户银行：                                                    </w:t>
      </w:r>
    </w:p>
    <w:p w14:paraId="18976C95">
      <w:pPr>
        <w:pStyle w:val="16"/>
        <w:spacing w:line="400" w:lineRule="exact"/>
        <w:ind w:firstLine="420"/>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 xml:space="preserve">银行账号：                                                    </w:t>
      </w:r>
    </w:p>
    <w:p w14:paraId="2CBEE095">
      <w:pPr>
        <w:pStyle w:val="15"/>
        <w:tabs>
          <w:tab w:val="left" w:pos="939"/>
        </w:tabs>
        <w:spacing w:line="400" w:lineRule="exact"/>
        <w:ind w:left="141" w:leftChars="67" w:firstLine="330" w:firstLineChars="150"/>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特此承诺。</w:t>
      </w:r>
    </w:p>
    <w:p w14:paraId="4BCE4D46">
      <w:pPr>
        <w:spacing w:line="360" w:lineRule="auto"/>
        <w:contextualSpacing/>
        <w:jc w:val="left"/>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p>
    <w:p w14:paraId="4DD7AEB8">
      <w:pPr>
        <w:autoSpaceDE w:val="0"/>
        <w:autoSpaceDN w:val="0"/>
        <w:spacing w:line="360" w:lineRule="auto"/>
        <w:ind w:left="4315" w:leftChars="1950" w:hanging="220" w:hangingChars="100"/>
        <w:rPr>
          <w:rFonts w:hint="eastAsia" w:asciiTheme="minorEastAsia" w:hAnsiTheme="minorEastAsia" w:eastAsiaTheme="minorEastAsia" w:cstheme="minorEastAsia"/>
          <w:color w:val="000000" w:themeColor="text1"/>
          <w:kern w:val="0"/>
          <w:sz w:val="22"/>
          <w:szCs w:val="22"/>
          <w:highlight w:val="none"/>
          <w14:textFill>
            <w14:solidFill>
              <w14:schemeClr w14:val="tx1"/>
            </w14:solidFill>
          </w14:textFill>
        </w:rPr>
      </w:pPr>
    </w:p>
    <w:p w14:paraId="6960A3FB">
      <w:pPr>
        <w:keepNext w:val="0"/>
        <w:keepLines w:val="0"/>
        <w:pageBreakBefore w:val="0"/>
        <w:widowControl w:val="0"/>
        <w:kinsoku/>
        <w:wordWrap/>
        <w:overflowPunct/>
        <w:topLinePunct w:val="0"/>
        <w:autoSpaceDE w:val="0"/>
        <w:autoSpaceDN w:val="0"/>
        <w:bidi w:val="0"/>
        <w:adjustRightInd/>
        <w:snapToGrid/>
        <w:spacing w:line="600" w:lineRule="exact"/>
        <w:ind w:firstLine="3740" w:firstLineChars="1700"/>
        <w:textAlignment w:val="auto"/>
        <w:rPr>
          <w:rFonts w:hint="eastAsia" w:asciiTheme="minorEastAsia" w:hAnsiTheme="minorEastAsia" w:eastAsiaTheme="minorEastAsia" w:cstheme="minorEastAsia"/>
          <w:color w:val="000000" w:themeColor="text1"/>
          <w:kern w:val="0"/>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2"/>
          <w:szCs w:val="22"/>
          <w:highlight w:val="none"/>
          <w14:textFill>
            <w14:solidFill>
              <w14:schemeClr w14:val="tx1"/>
            </w14:solidFill>
          </w14:textFill>
        </w:rPr>
        <w:t>供应商名称（电子签章）：</w:t>
      </w:r>
    </w:p>
    <w:p w14:paraId="72345647">
      <w:pPr>
        <w:keepNext w:val="0"/>
        <w:keepLines w:val="0"/>
        <w:pageBreakBefore w:val="0"/>
        <w:widowControl w:val="0"/>
        <w:kinsoku/>
        <w:wordWrap/>
        <w:overflowPunct/>
        <w:topLinePunct w:val="0"/>
        <w:autoSpaceDE w:val="0"/>
        <w:autoSpaceDN w:val="0"/>
        <w:bidi w:val="0"/>
        <w:adjustRightInd/>
        <w:snapToGrid/>
        <w:spacing w:line="600" w:lineRule="exact"/>
        <w:ind w:firstLine="5720" w:firstLineChars="2600"/>
        <w:textAlignment w:val="auto"/>
        <w:rPr>
          <w:rFonts w:hint="eastAsia" w:asciiTheme="minorEastAsia" w:hAnsiTheme="minorEastAsia" w:eastAsiaTheme="minorEastAsia" w:cstheme="minorEastAsia"/>
          <w:color w:val="000000" w:themeColor="text1"/>
          <w:kern w:val="0"/>
          <w:sz w:val="22"/>
          <w:szCs w:val="22"/>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kern w:val="0"/>
          <w:sz w:val="22"/>
          <w:szCs w:val="22"/>
          <w:highlight w:val="none"/>
          <w:lang w:val="zh-CN"/>
          <w14:textFill>
            <w14:solidFill>
              <w14:schemeClr w14:val="tx1"/>
            </w14:solidFill>
          </w14:textFill>
        </w:rPr>
        <w:t xml:space="preserve">日期： </w:t>
      </w:r>
      <w:r>
        <w:rPr>
          <w:rFonts w:hint="eastAsia" w:asciiTheme="minorEastAsia" w:hAnsiTheme="minorEastAsia" w:eastAsiaTheme="minorEastAsia" w:cstheme="minorEastAsia"/>
          <w:color w:val="000000" w:themeColor="text1"/>
          <w:kern w:val="0"/>
          <w:sz w:val="22"/>
          <w:szCs w:val="2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2"/>
          <w:szCs w:val="22"/>
          <w:highlight w:val="none"/>
          <w:lang w:val="zh-CN"/>
          <w14:textFill>
            <w14:solidFill>
              <w14:schemeClr w14:val="tx1"/>
            </w14:solidFill>
          </w14:textFill>
        </w:rPr>
        <w:t xml:space="preserve"> 年</w:t>
      </w:r>
      <w:r>
        <w:rPr>
          <w:rFonts w:hint="eastAsia" w:asciiTheme="minorEastAsia" w:hAnsiTheme="minorEastAsia" w:eastAsiaTheme="minorEastAsia" w:cstheme="minorEastAsia"/>
          <w:color w:val="000000" w:themeColor="text1"/>
          <w:kern w:val="0"/>
          <w:sz w:val="22"/>
          <w:szCs w:val="2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2"/>
          <w:szCs w:val="22"/>
          <w:highlight w:val="none"/>
          <w:lang w:val="zh-CN"/>
          <w14:textFill>
            <w14:solidFill>
              <w14:schemeClr w14:val="tx1"/>
            </w14:solidFill>
          </w14:textFill>
        </w:rPr>
        <w:t xml:space="preserve">  月   日</w:t>
      </w:r>
    </w:p>
    <w:p w14:paraId="6FE6E532">
      <w:pPr>
        <w:autoSpaceDE w:val="0"/>
        <w:autoSpaceDN w:val="0"/>
        <w:spacing w:line="360" w:lineRule="auto"/>
        <w:ind w:firstLine="6480" w:firstLineChars="2700"/>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pPr>
    </w:p>
    <w:p w14:paraId="74F3F10B">
      <w:pPr>
        <w:autoSpaceDE w:val="0"/>
        <w:autoSpaceDN w:val="0"/>
        <w:spacing w:line="360" w:lineRule="auto"/>
        <w:ind w:firstLine="6480" w:firstLineChars="2700"/>
        <w:rPr>
          <w:rFonts w:hint="eastAsia" w:asciiTheme="minorEastAsia" w:hAnsiTheme="minorEastAsia" w:eastAsiaTheme="minorEastAsia" w:cstheme="minorEastAsia"/>
          <w:color w:val="000000" w:themeColor="text1"/>
          <w:kern w:val="0"/>
          <w:sz w:val="24"/>
          <w:highlight w:val="none"/>
          <w:lang w:val="zh-CN"/>
          <w14:textFill>
            <w14:solidFill>
              <w14:schemeClr w14:val="tx1"/>
            </w14:solidFill>
          </w14:textFill>
        </w:rPr>
      </w:pPr>
    </w:p>
    <w:p w14:paraId="4CA99B6B">
      <w:pPr>
        <w:pStyle w:val="19"/>
        <w:rPr>
          <w:rFonts w:hint="eastAsia" w:asciiTheme="minorEastAsia" w:hAnsiTheme="minorEastAsia" w:eastAsiaTheme="minorEastAsia" w:cstheme="minorEastAsia"/>
          <w:color w:val="000000" w:themeColor="text1"/>
          <w:highlight w:val="none"/>
          <w:lang w:val="zh-CN"/>
          <w14:textFill>
            <w14:solidFill>
              <w14:schemeClr w14:val="tx1"/>
            </w14:solidFill>
          </w14:textFill>
        </w:rPr>
      </w:pPr>
    </w:p>
    <w:p w14:paraId="0587ADA4">
      <w:pPr>
        <w:pStyle w:val="19"/>
        <w:rPr>
          <w:rFonts w:hint="eastAsia" w:asciiTheme="minorEastAsia" w:hAnsiTheme="minorEastAsia" w:eastAsiaTheme="minorEastAsia" w:cstheme="minorEastAsia"/>
          <w:color w:val="000000" w:themeColor="text1"/>
          <w:highlight w:val="none"/>
          <w:lang w:val="zh-CN"/>
          <w14:textFill>
            <w14:solidFill>
              <w14:schemeClr w14:val="tx1"/>
            </w14:solidFill>
          </w14:textFill>
        </w:rPr>
      </w:pPr>
    </w:p>
    <w:p w14:paraId="57B234EB">
      <w:pPr>
        <w:pStyle w:val="19"/>
        <w:rPr>
          <w:rFonts w:hint="eastAsia" w:asciiTheme="minorEastAsia" w:hAnsiTheme="minorEastAsia" w:eastAsiaTheme="minorEastAsia" w:cstheme="minorEastAsia"/>
          <w:color w:val="000000" w:themeColor="text1"/>
          <w:highlight w:val="none"/>
          <w:lang w:val="zh-CN"/>
          <w14:textFill>
            <w14:solidFill>
              <w14:schemeClr w14:val="tx1"/>
            </w14:solidFill>
          </w14:textFill>
        </w:rPr>
      </w:pPr>
    </w:p>
    <w:p w14:paraId="4CA93617">
      <w:pPr>
        <w:pStyle w:val="19"/>
        <w:rPr>
          <w:rFonts w:hint="eastAsia" w:asciiTheme="minorEastAsia" w:hAnsiTheme="minorEastAsia" w:eastAsiaTheme="minorEastAsia" w:cstheme="minorEastAsia"/>
          <w:color w:val="000000" w:themeColor="text1"/>
          <w:highlight w:val="none"/>
          <w:lang w:val="zh-CN"/>
          <w14:textFill>
            <w14:solidFill>
              <w14:schemeClr w14:val="tx1"/>
            </w14:solidFill>
          </w14:textFill>
        </w:rPr>
      </w:pPr>
    </w:p>
    <w:p w14:paraId="2BB79D22">
      <w:pPr>
        <w:pStyle w:val="19"/>
        <w:rPr>
          <w:rFonts w:hint="eastAsia" w:asciiTheme="minorEastAsia" w:hAnsiTheme="minorEastAsia" w:eastAsiaTheme="minorEastAsia" w:cstheme="minorEastAsia"/>
          <w:color w:val="000000" w:themeColor="text1"/>
          <w:highlight w:val="none"/>
          <w:lang w:val="zh-CN"/>
          <w14:textFill>
            <w14:solidFill>
              <w14:schemeClr w14:val="tx1"/>
            </w14:solidFill>
          </w14:textFill>
        </w:rPr>
      </w:pPr>
    </w:p>
    <w:p w14:paraId="107D97A1">
      <w:pPr>
        <w:pStyle w:val="19"/>
        <w:rPr>
          <w:rFonts w:hint="eastAsia" w:asciiTheme="minorEastAsia" w:hAnsiTheme="minorEastAsia" w:eastAsiaTheme="minorEastAsia" w:cstheme="minorEastAsia"/>
          <w:color w:val="000000" w:themeColor="text1"/>
          <w:highlight w:val="none"/>
          <w:lang w:val="zh-CN"/>
          <w14:textFill>
            <w14:solidFill>
              <w14:schemeClr w14:val="tx1"/>
            </w14:solidFill>
          </w14:textFill>
        </w:rPr>
      </w:pPr>
    </w:p>
    <w:p w14:paraId="10693779">
      <w:pPr>
        <w:rPr>
          <w:rFonts w:hint="eastAsia"/>
          <w:color w:val="000000" w:themeColor="text1"/>
          <w:highlight w:val="none"/>
          <w:lang w:val="zh-CN"/>
          <w14:textFill>
            <w14:solidFill>
              <w14:schemeClr w14:val="tx1"/>
            </w14:solidFill>
          </w14:textFill>
        </w:rPr>
      </w:pPr>
    </w:p>
    <w:p w14:paraId="3050C8B4">
      <w:pPr>
        <w:rPr>
          <w:rFonts w:hint="eastAsia"/>
          <w:color w:val="000000" w:themeColor="text1"/>
          <w:highlight w:val="none"/>
          <w:lang w:val="zh-CN"/>
          <w14:textFill>
            <w14:solidFill>
              <w14:schemeClr w14:val="tx1"/>
            </w14:solidFill>
          </w14:textFill>
        </w:rPr>
      </w:pPr>
    </w:p>
    <w:p w14:paraId="17E7322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二</w:t>
      </w: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、响应报价表</w:t>
      </w:r>
    </w:p>
    <w:p w14:paraId="5380EF0D">
      <w:pPr>
        <w:spacing w:line="520" w:lineRule="exact"/>
        <w:jc w:val="center"/>
        <w:rPr>
          <w:rFonts w:hint="eastAsia" w:asciiTheme="minorEastAsia" w:hAnsiTheme="minorEastAsia" w:eastAsiaTheme="minorEastAsia" w:cstheme="minorEastAsia"/>
          <w:b/>
          <w:bCs/>
          <w:color w:val="000000" w:themeColor="text1"/>
          <w:sz w:val="36"/>
          <w:szCs w:val="36"/>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36"/>
          <w:szCs w:val="36"/>
          <w:highlight w:val="none"/>
          <w14:textFill>
            <w14:solidFill>
              <w14:schemeClr w14:val="tx1"/>
            </w14:solidFill>
          </w14:textFill>
        </w:rPr>
        <w:t>响应报价表</w:t>
      </w:r>
    </w:p>
    <w:p w14:paraId="56330431">
      <w:pPr>
        <w:snapToGrid w:val="0"/>
        <w:spacing w:before="50" w:after="50" w:line="360" w:lineRule="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p w14:paraId="0D8BE9A4">
      <w:pPr>
        <w:snapToGrid w:val="0"/>
        <w:spacing w:before="50" w:after="50" w:line="360" w:lineRule="auto"/>
        <w:ind w:firstLine="440" w:firstLineChars="200"/>
        <w:rPr>
          <w:rFonts w:hint="eastAsia" w:asciiTheme="minorEastAsia" w:hAnsiTheme="minorEastAsia" w:eastAsiaTheme="minorEastAsia" w:cstheme="minorEastAsia"/>
          <w:color w:val="000000" w:themeColor="text1"/>
          <w:sz w:val="22"/>
          <w:szCs w:val="22"/>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项目名称：</w:t>
      </w:r>
      <w:r>
        <w:rPr>
          <w:rFonts w:hint="eastAsia" w:asciiTheme="minorEastAsia" w:hAnsiTheme="minorEastAsia" w:eastAsiaTheme="minorEastAsia" w:cstheme="minorEastAsia"/>
          <w:color w:val="000000" w:themeColor="text1"/>
          <w:sz w:val="22"/>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2"/>
          <w:szCs w:val="22"/>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项目编号：</w:t>
      </w:r>
      <w:r>
        <w:rPr>
          <w:rFonts w:hint="eastAsia" w:asciiTheme="minorEastAsia" w:hAnsiTheme="minorEastAsia" w:eastAsiaTheme="minorEastAsia" w:cstheme="minorEastAsia"/>
          <w:color w:val="000000" w:themeColor="text1"/>
          <w:sz w:val="22"/>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2"/>
          <w:szCs w:val="22"/>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2"/>
          <w:szCs w:val="22"/>
          <w:highlight w:val="none"/>
          <w:u w:val="single"/>
          <w14:textFill>
            <w14:solidFill>
              <w14:schemeClr w14:val="tx1"/>
            </w14:solidFill>
          </w14:textFill>
        </w:rPr>
        <w:t xml:space="preserve"> </w:t>
      </w:r>
    </w:p>
    <w:p w14:paraId="6E844BCC">
      <w:pPr>
        <w:snapToGrid w:val="0"/>
        <w:spacing w:before="50" w:after="50" w:line="360" w:lineRule="auto"/>
        <w:ind w:firstLine="440" w:firstLineChars="200"/>
        <w:rPr>
          <w:rFonts w:hint="default" w:asciiTheme="minorEastAsia" w:hAnsiTheme="minorEastAsia" w:eastAsiaTheme="minorEastAsia" w:cstheme="minorEastAsia"/>
          <w:color w:val="000000" w:themeColor="text1"/>
          <w:sz w:val="22"/>
          <w:szCs w:val="22"/>
          <w:highlight w:val="none"/>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供应商名称：</w:t>
      </w:r>
      <w:r>
        <w:rPr>
          <w:rFonts w:hint="eastAsia" w:asciiTheme="minorEastAsia" w:hAnsiTheme="minorEastAsia" w:eastAsiaTheme="minorEastAsia" w:cstheme="minorEastAsia"/>
          <w:color w:val="000000" w:themeColor="text1"/>
          <w:sz w:val="22"/>
          <w:szCs w:val="22"/>
          <w:highlight w:val="none"/>
          <w:u w:val="single"/>
          <w:lang w:val="en-US" w:eastAsia="zh-CN"/>
          <w14:textFill>
            <w14:solidFill>
              <w14:schemeClr w14:val="tx1"/>
            </w14:solidFill>
          </w14:textFill>
        </w:rPr>
        <w:t xml:space="preserve">                                 </w:t>
      </w:r>
    </w:p>
    <w:tbl>
      <w:tblPr>
        <w:tblStyle w:val="26"/>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1149"/>
        <w:gridCol w:w="1882"/>
        <w:gridCol w:w="984"/>
        <w:gridCol w:w="1325"/>
        <w:gridCol w:w="2078"/>
        <w:gridCol w:w="873"/>
      </w:tblGrid>
      <w:tr w14:paraId="136AD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jc w:val="center"/>
        </w:trPr>
        <w:tc>
          <w:tcPr>
            <w:tcW w:w="655" w:type="dxa"/>
            <w:tcBorders>
              <w:top w:val="single" w:color="auto" w:sz="4" w:space="0"/>
              <w:left w:val="single" w:color="auto" w:sz="4" w:space="0"/>
              <w:bottom w:val="single" w:color="auto" w:sz="4" w:space="0"/>
              <w:right w:val="single" w:color="auto" w:sz="4" w:space="0"/>
            </w:tcBorders>
            <w:vAlign w:val="center"/>
          </w:tcPr>
          <w:p w14:paraId="435AAF9A">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序号</w:t>
            </w:r>
          </w:p>
        </w:tc>
        <w:tc>
          <w:tcPr>
            <w:tcW w:w="1149" w:type="dxa"/>
            <w:tcBorders>
              <w:top w:val="single" w:color="auto" w:sz="4" w:space="0"/>
              <w:left w:val="single" w:color="auto" w:sz="4" w:space="0"/>
              <w:bottom w:val="single" w:color="auto" w:sz="4" w:space="0"/>
              <w:right w:val="single" w:color="auto" w:sz="4" w:space="0"/>
            </w:tcBorders>
            <w:vAlign w:val="center"/>
          </w:tcPr>
          <w:p w14:paraId="05F03FB2">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t>服务</w:t>
            </w: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名称</w:t>
            </w:r>
          </w:p>
        </w:tc>
        <w:tc>
          <w:tcPr>
            <w:tcW w:w="1882" w:type="dxa"/>
            <w:tcBorders>
              <w:top w:val="single" w:color="auto" w:sz="4" w:space="0"/>
              <w:left w:val="single" w:color="auto" w:sz="4" w:space="0"/>
              <w:bottom w:val="single" w:color="auto" w:sz="4" w:space="0"/>
              <w:right w:val="single" w:color="auto" w:sz="4" w:space="0"/>
            </w:tcBorders>
            <w:vAlign w:val="center"/>
          </w:tcPr>
          <w:p w14:paraId="2A01E47C">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default"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服务内容</w:t>
            </w:r>
            <w:r>
              <w:rPr>
                <w:rFonts w:hint="eastAsia"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t>及要求</w:t>
            </w:r>
          </w:p>
        </w:tc>
        <w:tc>
          <w:tcPr>
            <w:tcW w:w="984" w:type="dxa"/>
            <w:tcBorders>
              <w:top w:val="single" w:color="auto" w:sz="4" w:space="0"/>
              <w:left w:val="single" w:color="auto" w:sz="4" w:space="0"/>
              <w:bottom w:val="single" w:color="auto" w:sz="4" w:space="0"/>
              <w:right w:val="single" w:color="auto" w:sz="4" w:space="0"/>
            </w:tcBorders>
            <w:vAlign w:val="center"/>
          </w:tcPr>
          <w:p w14:paraId="559561DE">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数量</w:t>
            </w:r>
            <w:r>
              <w:rPr>
                <w:rFonts w:ascii="宋体" w:hAnsi="宋体"/>
                <w:color w:val="000000" w:themeColor="text1"/>
                <w:sz w:val="22"/>
                <w:szCs w:val="22"/>
                <w:highlight w:val="none"/>
                <w14:textFill>
                  <w14:solidFill>
                    <w14:schemeClr w14:val="tx1"/>
                  </w14:solidFill>
                </w14:textFill>
              </w:rPr>
              <w:t>①</w:t>
            </w:r>
          </w:p>
        </w:tc>
        <w:tc>
          <w:tcPr>
            <w:tcW w:w="1325" w:type="dxa"/>
            <w:tcBorders>
              <w:top w:val="single" w:color="auto" w:sz="4" w:space="0"/>
              <w:left w:val="single" w:color="auto" w:sz="4" w:space="0"/>
              <w:bottom w:val="single" w:color="auto" w:sz="4" w:space="0"/>
              <w:right w:val="single" w:color="auto" w:sz="4" w:space="0"/>
            </w:tcBorders>
            <w:vAlign w:val="center"/>
          </w:tcPr>
          <w:p w14:paraId="5F3EE050">
            <w:pPr>
              <w:keepNext w:val="0"/>
              <w:keepLines w:val="0"/>
              <w:pageBreakBefore w:val="0"/>
              <w:widowControl w:val="0"/>
              <w:kinsoku/>
              <w:overflowPunct/>
              <w:topLinePunct w:val="0"/>
              <w:autoSpaceDE/>
              <w:autoSpaceDN/>
              <w:bidi w:val="0"/>
              <w:adjustRightInd/>
              <w:snapToGrid/>
              <w:spacing w:line="400" w:lineRule="exact"/>
              <w:jc w:val="center"/>
              <w:textAlignment w:val="auto"/>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单价</w:t>
            </w:r>
            <w:r>
              <w:rPr>
                <w:rFonts w:hint="eastAsia" w:ascii="宋体" w:hAnsi="宋体"/>
                <w:color w:val="000000" w:themeColor="text1"/>
                <w:sz w:val="22"/>
                <w:szCs w:val="22"/>
                <w:highlight w:val="none"/>
                <w:lang w:eastAsia="zh-CN"/>
                <w14:textFill>
                  <w14:solidFill>
                    <w14:schemeClr w14:val="tx1"/>
                  </w14:solidFill>
                </w14:textFill>
              </w:rPr>
              <w:t>（</w:t>
            </w:r>
            <w:r>
              <w:rPr>
                <w:rFonts w:hint="eastAsia" w:ascii="宋体" w:hAnsi="宋体"/>
                <w:color w:val="000000" w:themeColor="text1"/>
                <w:sz w:val="22"/>
                <w:szCs w:val="22"/>
                <w:highlight w:val="none"/>
                <w14:textFill>
                  <w14:solidFill>
                    <w14:schemeClr w14:val="tx1"/>
                  </w14:solidFill>
                </w14:textFill>
              </w:rPr>
              <w:t>元</w:t>
            </w:r>
            <w:r>
              <w:rPr>
                <w:rFonts w:hint="eastAsia" w:ascii="宋体" w:hAnsi="宋体"/>
                <w:color w:val="000000" w:themeColor="text1"/>
                <w:sz w:val="22"/>
                <w:szCs w:val="22"/>
                <w:highlight w:val="none"/>
                <w:lang w:eastAsia="zh-CN"/>
                <w14:textFill>
                  <w14:solidFill>
                    <w14:schemeClr w14:val="tx1"/>
                  </w14:solidFill>
                </w14:textFill>
              </w:rPr>
              <w:t>）</w:t>
            </w:r>
          </w:p>
          <w:p w14:paraId="01FB7775">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ascii="宋体" w:hAnsi="宋体"/>
                <w:color w:val="000000" w:themeColor="text1"/>
                <w:sz w:val="22"/>
                <w:szCs w:val="22"/>
                <w:highlight w:val="none"/>
                <w14:textFill>
                  <w14:solidFill>
                    <w14:schemeClr w14:val="tx1"/>
                  </w14:solidFill>
                </w14:textFill>
              </w:rPr>
              <w:t>②</w:t>
            </w:r>
          </w:p>
        </w:tc>
        <w:tc>
          <w:tcPr>
            <w:tcW w:w="2078" w:type="dxa"/>
            <w:tcBorders>
              <w:top w:val="single" w:color="auto" w:sz="4" w:space="0"/>
              <w:left w:val="single" w:color="auto" w:sz="4" w:space="0"/>
              <w:bottom w:val="single" w:color="auto" w:sz="4" w:space="0"/>
              <w:right w:val="single" w:color="auto" w:sz="4" w:space="0"/>
            </w:tcBorders>
            <w:vAlign w:val="center"/>
          </w:tcPr>
          <w:p w14:paraId="392B9954">
            <w:pPr>
              <w:keepNext w:val="0"/>
              <w:keepLines w:val="0"/>
              <w:pageBreakBefore w:val="0"/>
              <w:widowControl w:val="0"/>
              <w:kinsoku/>
              <w:overflowPunct/>
              <w:topLinePunct w:val="0"/>
              <w:autoSpaceDE/>
              <w:autoSpaceDN/>
              <w:bidi w:val="0"/>
              <w:adjustRightInd/>
              <w:snapToGrid/>
              <w:spacing w:line="400" w:lineRule="exact"/>
              <w:jc w:val="center"/>
              <w:textAlignment w:val="auto"/>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单项合价（元）</w:t>
            </w:r>
          </w:p>
          <w:p w14:paraId="522308BD">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pPr>
            <w:r>
              <w:rPr>
                <w:rFonts w:ascii="宋体" w:hAnsi="宋体"/>
                <w:color w:val="000000" w:themeColor="text1"/>
                <w:sz w:val="22"/>
                <w:szCs w:val="22"/>
                <w:highlight w:val="none"/>
                <w14:textFill>
                  <w14:solidFill>
                    <w14:schemeClr w14:val="tx1"/>
                  </w14:solidFill>
                </w14:textFill>
              </w:rPr>
              <w:t>③</w:t>
            </w:r>
            <w:r>
              <w:rPr>
                <w:rFonts w:hint="eastAsia" w:ascii="宋体" w:hAnsi="宋体"/>
                <w:color w:val="000000" w:themeColor="text1"/>
                <w:sz w:val="22"/>
                <w:szCs w:val="22"/>
                <w:highlight w:val="none"/>
                <w14:textFill>
                  <w14:solidFill>
                    <w14:schemeClr w14:val="tx1"/>
                  </w14:solidFill>
                </w14:textFill>
              </w:rPr>
              <w:t>＝</w:t>
            </w:r>
            <w:r>
              <w:rPr>
                <w:rFonts w:ascii="宋体" w:hAnsi="宋体"/>
                <w:color w:val="000000" w:themeColor="text1"/>
                <w:sz w:val="22"/>
                <w:szCs w:val="22"/>
                <w:highlight w:val="none"/>
                <w14:textFill>
                  <w14:solidFill>
                    <w14:schemeClr w14:val="tx1"/>
                  </w14:solidFill>
                </w14:textFill>
              </w:rPr>
              <w:t>①×②</w:t>
            </w:r>
            <w:r>
              <w:rPr>
                <w:rFonts w:hint="eastAsia" w:ascii="宋体" w:hAnsi="宋体"/>
                <w:color w:val="000000" w:themeColor="text1"/>
                <w:sz w:val="22"/>
                <w:szCs w:val="22"/>
                <w:highlight w:val="none"/>
                <w14:textFill>
                  <w14:solidFill>
                    <w14:schemeClr w14:val="tx1"/>
                  </w14:solidFill>
                </w14:textFill>
              </w:rPr>
              <w:t>/费率</w:t>
            </w:r>
          </w:p>
        </w:tc>
        <w:tc>
          <w:tcPr>
            <w:tcW w:w="873" w:type="dxa"/>
            <w:tcBorders>
              <w:top w:val="single" w:color="auto" w:sz="4" w:space="0"/>
              <w:left w:val="single" w:color="auto" w:sz="4" w:space="0"/>
              <w:bottom w:val="single" w:color="auto" w:sz="4" w:space="0"/>
              <w:right w:val="single" w:color="auto" w:sz="4" w:space="0"/>
            </w:tcBorders>
            <w:vAlign w:val="center"/>
          </w:tcPr>
          <w:p w14:paraId="4170CAE8">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备注</w:t>
            </w:r>
          </w:p>
        </w:tc>
      </w:tr>
      <w:tr w14:paraId="6A8F8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8" w:hRule="atLeast"/>
          <w:jc w:val="center"/>
        </w:trPr>
        <w:tc>
          <w:tcPr>
            <w:tcW w:w="655" w:type="dxa"/>
            <w:tcBorders>
              <w:top w:val="single" w:color="auto" w:sz="4" w:space="0"/>
              <w:left w:val="single" w:color="auto" w:sz="4" w:space="0"/>
              <w:bottom w:val="single" w:color="auto" w:sz="4" w:space="0"/>
              <w:right w:val="single" w:color="auto" w:sz="4" w:space="0"/>
            </w:tcBorders>
            <w:vAlign w:val="center"/>
          </w:tcPr>
          <w:p w14:paraId="0BBCDAF5">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1</w:t>
            </w:r>
          </w:p>
        </w:tc>
        <w:tc>
          <w:tcPr>
            <w:tcW w:w="1149" w:type="dxa"/>
            <w:tcBorders>
              <w:top w:val="single" w:color="auto" w:sz="4" w:space="0"/>
              <w:left w:val="single" w:color="auto" w:sz="4" w:space="0"/>
              <w:bottom w:val="single" w:color="auto" w:sz="4" w:space="0"/>
              <w:right w:val="single" w:color="auto" w:sz="4" w:space="0"/>
            </w:tcBorders>
            <w:vAlign w:val="center"/>
          </w:tcPr>
          <w:p w14:paraId="613EC454">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p>
        </w:tc>
        <w:tc>
          <w:tcPr>
            <w:tcW w:w="1882" w:type="dxa"/>
            <w:tcBorders>
              <w:top w:val="single" w:color="auto" w:sz="4" w:space="0"/>
              <w:left w:val="single" w:color="auto" w:sz="4" w:space="0"/>
              <w:bottom w:val="single" w:color="auto" w:sz="4" w:space="0"/>
              <w:right w:val="single" w:color="auto" w:sz="4" w:space="0"/>
            </w:tcBorders>
            <w:vAlign w:val="center"/>
          </w:tcPr>
          <w:p w14:paraId="5EEAD223">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p>
        </w:tc>
        <w:tc>
          <w:tcPr>
            <w:tcW w:w="984" w:type="dxa"/>
            <w:tcBorders>
              <w:top w:val="single" w:color="auto" w:sz="4" w:space="0"/>
              <w:left w:val="single" w:color="auto" w:sz="4" w:space="0"/>
              <w:bottom w:val="single" w:color="auto" w:sz="4" w:space="0"/>
              <w:right w:val="single" w:color="auto" w:sz="4" w:space="0"/>
            </w:tcBorders>
            <w:vAlign w:val="center"/>
          </w:tcPr>
          <w:p w14:paraId="6920A397">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pPr>
          </w:p>
        </w:tc>
        <w:tc>
          <w:tcPr>
            <w:tcW w:w="1325" w:type="dxa"/>
            <w:tcBorders>
              <w:top w:val="single" w:color="auto" w:sz="4" w:space="0"/>
              <w:left w:val="single" w:color="auto" w:sz="4" w:space="0"/>
              <w:bottom w:val="single" w:color="auto" w:sz="4" w:space="0"/>
              <w:right w:val="single" w:color="auto" w:sz="4" w:space="0"/>
            </w:tcBorders>
            <w:vAlign w:val="center"/>
          </w:tcPr>
          <w:p w14:paraId="2E637762">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p>
        </w:tc>
        <w:tc>
          <w:tcPr>
            <w:tcW w:w="2078" w:type="dxa"/>
            <w:tcBorders>
              <w:top w:val="single" w:color="auto" w:sz="4" w:space="0"/>
              <w:left w:val="single" w:color="auto" w:sz="4" w:space="0"/>
              <w:bottom w:val="single" w:color="auto" w:sz="4" w:space="0"/>
              <w:right w:val="single" w:color="auto" w:sz="4" w:space="0"/>
            </w:tcBorders>
            <w:vAlign w:val="center"/>
          </w:tcPr>
          <w:p w14:paraId="0BAD8DFF">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p>
        </w:tc>
        <w:tc>
          <w:tcPr>
            <w:tcW w:w="873" w:type="dxa"/>
            <w:tcBorders>
              <w:top w:val="single" w:color="auto" w:sz="4" w:space="0"/>
              <w:left w:val="single" w:color="auto" w:sz="4" w:space="0"/>
              <w:bottom w:val="single" w:color="auto" w:sz="4" w:space="0"/>
              <w:right w:val="single" w:color="auto" w:sz="4" w:space="0"/>
            </w:tcBorders>
            <w:vAlign w:val="center"/>
          </w:tcPr>
          <w:p w14:paraId="646FFE3D">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p>
        </w:tc>
      </w:tr>
      <w:tr w14:paraId="08FCE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8" w:hRule="atLeast"/>
          <w:jc w:val="center"/>
        </w:trPr>
        <w:tc>
          <w:tcPr>
            <w:tcW w:w="655" w:type="dxa"/>
            <w:tcBorders>
              <w:top w:val="single" w:color="auto" w:sz="4" w:space="0"/>
              <w:left w:val="single" w:color="auto" w:sz="4" w:space="0"/>
              <w:bottom w:val="single" w:color="auto" w:sz="4" w:space="0"/>
              <w:right w:val="single" w:color="auto" w:sz="4" w:space="0"/>
            </w:tcBorders>
            <w:vAlign w:val="center"/>
          </w:tcPr>
          <w:p w14:paraId="60B283AE">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t>2</w:t>
            </w:r>
          </w:p>
        </w:tc>
        <w:tc>
          <w:tcPr>
            <w:tcW w:w="1149" w:type="dxa"/>
            <w:tcBorders>
              <w:top w:val="single" w:color="auto" w:sz="4" w:space="0"/>
              <w:left w:val="single" w:color="auto" w:sz="4" w:space="0"/>
              <w:bottom w:val="single" w:color="auto" w:sz="4" w:space="0"/>
              <w:right w:val="single" w:color="auto" w:sz="4" w:space="0"/>
            </w:tcBorders>
            <w:vAlign w:val="center"/>
          </w:tcPr>
          <w:p w14:paraId="01BB98AF">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p>
        </w:tc>
        <w:tc>
          <w:tcPr>
            <w:tcW w:w="1882" w:type="dxa"/>
            <w:tcBorders>
              <w:top w:val="single" w:color="auto" w:sz="4" w:space="0"/>
              <w:left w:val="single" w:color="auto" w:sz="4" w:space="0"/>
              <w:bottom w:val="single" w:color="auto" w:sz="4" w:space="0"/>
              <w:right w:val="single" w:color="auto" w:sz="4" w:space="0"/>
            </w:tcBorders>
            <w:vAlign w:val="center"/>
          </w:tcPr>
          <w:p w14:paraId="680AB2DD">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p>
        </w:tc>
        <w:tc>
          <w:tcPr>
            <w:tcW w:w="984" w:type="dxa"/>
            <w:tcBorders>
              <w:top w:val="single" w:color="auto" w:sz="4" w:space="0"/>
              <w:left w:val="single" w:color="auto" w:sz="4" w:space="0"/>
              <w:bottom w:val="single" w:color="auto" w:sz="4" w:space="0"/>
              <w:right w:val="single" w:color="auto" w:sz="4" w:space="0"/>
            </w:tcBorders>
            <w:vAlign w:val="center"/>
          </w:tcPr>
          <w:p w14:paraId="08BCA676">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pPr>
          </w:p>
        </w:tc>
        <w:tc>
          <w:tcPr>
            <w:tcW w:w="1325" w:type="dxa"/>
            <w:tcBorders>
              <w:top w:val="single" w:color="auto" w:sz="4" w:space="0"/>
              <w:left w:val="single" w:color="auto" w:sz="4" w:space="0"/>
              <w:bottom w:val="single" w:color="auto" w:sz="4" w:space="0"/>
              <w:right w:val="single" w:color="auto" w:sz="4" w:space="0"/>
            </w:tcBorders>
            <w:vAlign w:val="center"/>
          </w:tcPr>
          <w:p w14:paraId="0F643C08">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p>
        </w:tc>
        <w:tc>
          <w:tcPr>
            <w:tcW w:w="2078" w:type="dxa"/>
            <w:tcBorders>
              <w:top w:val="single" w:color="auto" w:sz="4" w:space="0"/>
              <w:left w:val="single" w:color="auto" w:sz="4" w:space="0"/>
              <w:bottom w:val="single" w:color="auto" w:sz="4" w:space="0"/>
              <w:right w:val="single" w:color="auto" w:sz="4" w:space="0"/>
            </w:tcBorders>
            <w:vAlign w:val="center"/>
          </w:tcPr>
          <w:p w14:paraId="65B6DA95">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p>
        </w:tc>
        <w:tc>
          <w:tcPr>
            <w:tcW w:w="873" w:type="dxa"/>
            <w:tcBorders>
              <w:top w:val="single" w:color="auto" w:sz="4" w:space="0"/>
              <w:left w:val="single" w:color="auto" w:sz="4" w:space="0"/>
              <w:bottom w:val="single" w:color="auto" w:sz="4" w:space="0"/>
              <w:right w:val="single" w:color="auto" w:sz="4" w:space="0"/>
            </w:tcBorders>
            <w:vAlign w:val="center"/>
          </w:tcPr>
          <w:p w14:paraId="5519A92C">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p>
        </w:tc>
      </w:tr>
      <w:tr w14:paraId="6EE0B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8" w:hRule="atLeast"/>
          <w:jc w:val="center"/>
        </w:trPr>
        <w:tc>
          <w:tcPr>
            <w:tcW w:w="655" w:type="dxa"/>
            <w:tcBorders>
              <w:top w:val="single" w:color="auto" w:sz="4" w:space="0"/>
              <w:left w:val="single" w:color="auto" w:sz="4" w:space="0"/>
              <w:bottom w:val="single" w:color="auto" w:sz="4" w:space="0"/>
              <w:right w:val="single" w:color="auto" w:sz="4" w:space="0"/>
            </w:tcBorders>
            <w:vAlign w:val="center"/>
          </w:tcPr>
          <w:p w14:paraId="6B1E3875">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default"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t>...</w:t>
            </w:r>
          </w:p>
        </w:tc>
        <w:tc>
          <w:tcPr>
            <w:tcW w:w="1149" w:type="dxa"/>
            <w:tcBorders>
              <w:top w:val="single" w:color="auto" w:sz="4" w:space="0"/>
              <w:left w:val="single" w:color="auto" w:sz="4" w:space="0"/>
              <w:bottom w:val="single" w:color="auto" w:sz="4" w:space="0"/>
              <w:right w:val="single" w:color="auto" w:sz="4" w:space="0"/>
            </w:tcBorders>
            <w:vAlign w:val="center"/>
          </w:tcPr>
          <w:p w14:paraId="3E0B0245">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p>
        </w:tc>
        <w:tc>
          <w:tcPr>
            <w:tcW w:w="1882" w:type="dxa"/>
            <w:tcBorders>
              <w:top w:val="single" w:color="auto" w:sz="4" w:space="0"/>
              <w:left w:val="single" w:color="auto" w:sz="4" w:space="0"/>
              <w:bottom w:val="single" w:color="auto" w:sz="4" w:space="0"/>
              <w:right w:val="single" w:color="auto" w:sz="4" w:space="0"/>
            </w:tcBorders>
            <w:vAlign w:val="center"/>
          </w:tcPr>
          <w:p w14:paraId="30CBAE3E">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p>
        </w:tc>
        <w:tc>
          <w:tcPr>
            <w:tcW w:w="984" w:type="dxa"/>
            <w:tcBorders>
              <w:top w:val="single" w:color="auto" w:sz="4" w:space="0"/>
              <w:left w:val="single" w:color="auto" w:sz="4" w:space="0"/>
              <w:bottom w:val="single" w:color="auto" w:sz="4" w:space="0"/>
              <w:right w:val="single" w:color="auto" w:sz="4" w:space="0"/>
            </w:tcBorders>
            <w:vAlign w:val="center"/>
          </w:tcPr>
          <w:p w14:paraId="01710E8E">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pPr>
          </w:p>
        </w:tc>
        <w:tc>
          <w:tcPr>
            <w:tcW w:w="1325" w:type="dxa"/>
            <w:tcBorders>
              <w:top w:val="single" w:color="auto" w:sz="4" w:space="0"/>
              <w:left w:val="single" w:color="auto" w:sz="4" w:space="0"/>
              <w:bottom w:val="single" w:color="auto" w:sz="4" w:space="0"/>
              <w:right w:val="single" w:color="auto" w:sz="4" w:space="0"/>
            </w:tcBorders>
            <w:vAlign w:val="center"/>
          </w:tcPr>
          <w:p w14:paraId="48D8177B">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p>
        </w:tc>
        <w:tc>
          <w:tcPr>
            <w:tcW w:w="2078" w:type="dxa"/>
            <w:tcBorders>
              <w:top w:val="single" w:color="auto" w:sz="4" w:space="0"/>
              <w:left w:val="single" w:color="auto" w:sz="4" w:space="0"/>
              <w:bottom w:val="single" w:color="auto" w:sz="4" w:space="0"/>
              <w:right w:val="single" w:color="auto" w:sz="4" w:space="0"/>
            </w:tcBorders>
            <w:vAlign w:val="center"/>
          </w:tcPr>
          <w:p w14:paraId="6C096A6E">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p>
        </w:tc>
        <w:tc>
          <w:tcPr>
            <w:tcW w:w="873" w:type="dxa"/>
            <w:tcBorders>
              <w:top w:val="single" w:color="auto" w:sz="4" w:space="0"/>
              <w:left w:val="single" w:color="auto" w:sz="4" w:space="0"/>
              <w:bottom w:val="single" w:color="auto" w:sz="4" w:space="0"/>
              <w:right w:val="single" w:color="auto" w:sz="4" w:space="0"/>
            </w:tcBorders>
            <w:vAlign w:val="center"/>
          </w:tcPr>
          <w:p w14:paraId="68F69912">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p>
        </w:tc>
      </w:tr>
      <w:tr w14:paraId="1E3A5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 w:hRule="atLeast"/>
          <w:jc w:val="center"/>
        </w:trPr>
        <w:tc>
          <w:tcPr>
            <w:tcW w:w="8946" w:type="dxa"/>
            <w:gridSpan w:val="7"/>
            <w:tcBorders>
              <w:top w:val="single" w:color="auto" w:sz="4" w:space="0"/>
              <w:left w:val="single" w:color="auto" w:sz="4" w:space="0"/>
              <w:bottom w:val="single" w:color="auto" w:sz="4" w:space="0"/>
              <w:right w:val="single" w:color="auto" w:sz="4" w:space="0"/>
            </w:tcBorders>
            <w:vAlign w:val="center"/>
          </w:tcPr>
          <w:p w14:paraId="53010E0F">
            <w:pPr>
              <w:jc w:val="left"/>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报价合计（包含税费等所有费用）：（大写）人民币</w:t>
            </w:r>
            <w:r>
              <w:rPr>
                <w:rFonts w:ascii="宋体" w:hAnsi="宋体"/>
                <w:color w:val="000000" w:themeColor="text1"/>
                <w:sz w:val="22"/>
                <w:szCs w:val="22"/>
                <w:highlight w:val="none"/>
                <w14:textFill>
                  <w14:solidFill>
                    <w14:schemeClr w14:val="tx1"/>
                  </w14:solidFill>
                </w14:textFill>
              </w:rPr>
              <w:t xml:space="preserve">                 </w:t>
            </w:r>
            <w:r>
              <w:rPr>
                <w:rFonts w:hint="eastAsia" w:ascii="宋体" w:hAnsi="宋体"/>
                <w:color w:val="000000" w:themeColor="text1"/>
                <w:sz w:val="22"/>
                <w:szCs w:val="22"/>
                <w:highlight w:val="none"/>
                <w14:textFill>
                  <w14:solidFill>
                    <w14:schemeClr w14:val="tx1"/>
                  </w14:solidFill>
                </w14:textFill>
              </w:rPr>
              <w:t>（￥</w:t>
            </w:r>
            <w:r>
              <w:rPr>
                <w:rFonts w:ascii="宋体" w:hAnsi="宋体"/>
                <w:color w:val="000000" w:themeColor="text1"/>
                <w:sz w:val="22"/>
                <w:szCs w:val="22"/>
                <w:highlight w:val="none"/>
                <w14:textFill>
                  <w14:solidFill>
                    <w14:schemeClr w14:val="tx1"/>
                  </w14:solidFill>
                </w14:textFill>
              </w:rPr>
              <w:t xml:space="preserve">         </w:t>
            </w:r>
            <w:r>
              <w:rPr>
                <w:rFonts w:hint="eastAsia" w:ascii="宋体" w:hAnsi="宋体"/>
                <w:color w:val="000000" w:themeColor="text1"/>
                <w:sz w:val="22"/>
                <w:szCs w:val="22"/>
                <w:highlight w:val="none"/>
                <w14:textFill>
                  <w14:solidFill>
                    <w14:schemeClr w14:val="tx1"/>
                  </w14:solidFill>
                </w14:textFill>
              </w:rPr>
              <w:t>元）</w:t>
            </w:r>
          </w:p>
        </w:tc>
      </w:tr>
      <w:tr w14:paraId="43E75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 w:hRule="atLeast"/>
          <w:jc w:val="center"/>
        </w:trPr>
        <w:tc>
          <w:tcPr>
            <w:tcW w:w="8946" w:type="dxa"/>
            <w:gridSpan w:val="7"/>
            <w:tcBorders>
              <w:top w:val="single" w:color="auto" w:sz="4" w:space="0"/>
              <w:left w:val="single" w:color="auto" w:sz="4" w:space="0"/>
              <w:bottom w:val="single" w:color="auto" w:sz="4" w:space="0"/>
              <w:right w:val="single" w:color="auto" w:sz="4" w:space="0"/>
            </w:tcBorders>
            <w:vAlign w:val="center"/>
          </w:tcPr>
          <w:p w14:paraId="1B7BD844">
            <w:pPr>
              <w:jc w:val="left"/>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u w:val="single"/>
                <w14:textFill>
                  <w14:solidFill>
                    <w14:schemeClr w14:val="tx1"/>
                  </w14:solidFill>
                </w14:textFill>
              </w:rPr>
              <w:t>　　</w:t>
            </w:r>
            <w:r>
              <w:rPr>
                <w:rFonts w:hint="eastAsia" w:ascii="宋体" w:hAnsi="宋体"/>
                <w:color w:val="000000" w:themeColor="text1"/>
                <w:sz w:val="22"/>
                <w:szCs w:val="22"/>
                <w:highlight w:val="none"/>
                <w14:textFill>
                  <w14:solidFill>
                    <w14:schemeClr w14:val="tx1"/>
                  </w14:solidFill>
                </w14:textFill>
              </w:rPr>
              <w:t>分标（此处有分标时填写具体分标号，无分标时填写</w:t>
            </w:r>
            <w:r>
              <w:rPr>
                <w:rFonts w:ascii="宋体" w:hAnsi="宋体"/>
                <w:color w:val="000000" w:themeColor="text1"/>
                <w:sz w:val="22"/>
                <w:szCs w:val="22"/>
                <w:highlight w:val="none"/>
                <w14:textFill>
                  <w14:solidFill>
                    <w14:schemeClr w14:val="tx1"/>
                  </w14:solidFill>
                </w14:textFill>
              </w:rPr>
              <w:t>“</w:t>
            </w:r>
            <w:r>
              <w:rPr>
                <w:rFonts w:hint="eastAsia" w:ascii="宋体" w:hAnsi="宋体"/>
                <w:color w:val="000000" w:themeColor="text1"/>
                <w:sz w:val="22"/>
                <w:szCs w:val="22"/>
                <w:highlight w:val="none"/>
                <w14:textFill>
                  <w14:solidFill>
                    <w14:schemeClr w14:val="tx1"/>
                  </w14:solidFill>
                </w14:textFill>
              </w:rPr>
              <w:t>无</w:t>
            </w:r>
            <w:r>
              <w:rPr>
                <w:rFonts w:ascii="宋体" w:hAnsi="宋体"/>
                <w:color w:val="000000" w:themeColor="text1"/>
                <w:sz w:val="22"/>
                <w:szCs w:val="22"/>
                <w:highlight w:val="none"/>
                <w14:textFill>
                  <w14:solidFill>
                    <w14:schemeClr w14:val="tx1"/>
                  </w14:solidFill>
                </w14:textFill>
              </w:rPr>
              <w:t>”</w:t>
            </w:r>
            <w:r>
              <w:rPr>
                <w:rFonts w:hint="eastAsia" w:ascii="宋体" w:hAnsi="宋体"/>
                <w:color w:val="000000" w:themeColor="text1"/>
                <w:sz w:val="22"/>
                <w:szCs w:val="22"/>
                <w:highlight w:val="none"/>
                <w14:textFill>
                  <w14:solidFill>
                    <w14:schemeClr w14:val="tx1"/>
                  </w14:solidFill>
                </w14:textFill>
              </w:rPr>
              <w:t>）</w:t>
            </w:r>
          </w:p>
        </w:tc>
      </w:tr>
      <w:tr w14:paraId="13C24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 w:hRule="atLeast"/>
          <w:jc w:val="center"/>
        </w:trPr>
        <w:tc>
          <w:tcPr>
            <w:tcW w:w="8946" w:type="dxa"/>
            <w:gridSpan w:val="7"/>
            <w:tcBorders>
              <w:top w:val="single" w:color="auto" w:sz="4" w:space="0"/>
              <w:left w:val="single" w:color="auto" w:sz="4" w:space="0"/>
              <w:bottom w:val="single" w:color="auto" w:sz="4" w:space="0"/>
              <w:right w:val="single" w:color="auto" w:sz="4" w:space="0"/>
            </w:tcBorders>
            <w:vAlign w:val="center"/>
          </w:tcPr>
          <w:p w14:paraId="400C7603">
            <w:pPr>
              <w:jc w:val="left"/>
              <w:rPr>
                <w:rFonts w:hint="eastAsia" w:eastAsia="宋体" w:asciiTheme="minorEastAsia" w:hAnsiTheme="minorEastAsia" w:cstheme="minorEastAsia"/>
                <w:color w:val="000000" w:themeColor="text1"/>
                <w:sz w:val="22"/>
                <w:szCs w:val="22"/>
                <w:highlight w:val="none"/>
                <w:lang w:eastAsia="zh-CN"/>
                <w14:textFill>
                  <w14:solidFill>
                    <w14:schemeClr w14:val="tx1"/>
                  </w14:solidFill>
                </w14:textFill>
              </w:rPr>
            </w:pPr>
            <w:r>
              <w:rPr>
                <w:rFonts w:hint="eastAsia" w:ascii="宋体" w:hAnsi="宋体"/>
                <w:szCs w:val="22"/>
              </w:rPr>
              <w:t>服务期限</w:t>
            </w:r>
            <w:r>
              <w:rPr>
                <w:rFonts w:hint="eastAsia" w:ascii="宋体" w:hAnsi="宋体"/>
                <w:szCs w:val="22"/>
                <w:lang w:eastAsia="zh-CN"/>
              </w:rPr>
              <w:t>：</w:t>
            </w:r>
          </w:p>
        </w:tc>
      </w:tr>
      <w:tr w14:paraId="20D0F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8946" w:type="dxa"/>
            <w:gridSpan w:val="7"/>
            <w:tcBorders>
              <w:top w:val="single" w:color="auto" w:sz="4" w:space="0"/>
              <w:left w:val="single" w:color="auto" w:sz="4" w:space="0"/>
              <w:bottom w:val="single" w:color="auto" w:sz="4" w:space="0"/>
              <w:right w:val="single" w:color="auto" w:sz="4" w:space="0"/>
            </w:tcBorders>
            <w:vAlign w:val="center"/>
          </w:tcPr>
          <w:p w14:paraId="6B1FF7B0">
            <w:pPr>
              <w:jc w:val="left"/>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验收标准：</w:t>
            </w:r>
          </w:p>
        </w:tc>
      </w:tr>
    </w:tbl>
    <w:p w14:paraId="5EE7BDE7">
      <w:pPr>
        <w:keepNext w:val="0"/>
        <w:keepLines w:val="0"/>
        <w:pageBreakBefore w:val="0"/>
        <w:widowControl w:val="0"/>
        <w:kinsoku/>
        <w:wordWrap/>
        <w:overflowPunct/>
        <w:topLinePunct w:val="0"/>
        <w:autoSpaceDE/>
        <w:autoSpaceDN/>
        <w:bidi w:val="0"/>
        <w:adjustRightInd/>
        <w:snapToGrid w:val="0"/>
        <w:spacing w:line="400" w:lineRule="exact"/>
        <w:ind w:firstLine="440" w:firstLineChars="200"/>
        <w:jc w:val="left"/>
        <w:textAlignment w:val="auto"/>
        <w:rPr>
          <w:rFonts w:hint="eastAsia" w:asciiTheme="minorEastAsia" w:hAnsiTheme="minorEastAsia" w:eastAsiaTheme="minorEastAsia" w:cstheme="minorEastAsia"/>
          <w:color w:val="000000" w:themeColor="text1"/>
          <w:kern w:val="0"/>
          <w:sz w:val="22"/>
          <w:szCs w:val="22"/>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kern w:val="0"/>
          <w:sz w:val="22"/>
          <w:szCs w:val="22"/>
          <w:highlight w:val="none"/>
          <w:lang w:val="zh-CN"/>
          <w14:textFill>
            <w14:solidFill>
              <w14:schemeClr w14:val="tx1"/>
            </w14:solidFill>
          </w14:textFill>
        </w:rPr>
        <w:t xml:space="preserve">注： </w:t>
      </w:r>
    </w:p>
    <w:p w14:paraId="41890AA9">
      <w:pPr>
        <w:keepNext w:val="0"/>
        <w:keepLines w:val="0"/>
        <w:pageBreakBefore w:val="0"/>
        <w:widowControl w:val="0"/>
        <w:kinsoku/>
        <w:wordWrap/>
        <w:overflowPunct/>
        <w:topLinePunct w:val="0"/>
        <w:autoSpaceDE/>
        <w:autoSpaceDN/>
        <w:bidi w:val="0"/>
        <w:adjustRightInd/>
        <w:snapToGrid w:val="0"/>
        <w:spacing w:line="400" w:lineRule="exact"/>
        <w:ind w:firstLine="440" w:firstLineChars="200"/>
        <w:jc w:val="left"/>
        <w:textAlignment w:val="auto"/>
        <w:rPr>
          <w:rFonts w:hint="eastAsia" w:asciiTheme="minorEastAsia" w:hAnsiTheme="minorEastAsia" w:eastAsiaTheme="minorEastAsia" w:cstheme="minorEastAsia"/>
          <w:color w:val="000000" w:themeColor="text1"/>
          <w:kern w:val="0"/>
          <w:sz w:val="22"/>
          <w:szCs w:val="22"/>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kern w:val="0"/>
          <w:sz w:val="22"/>
          <w:szCs w:val="22"/>
          <w:highlight w:val="none"/>
          <w:lang w:val="zh-CN"/>
          <w14:textFill>
            <w14:solidFill>
              <w14:schemeClr w14:val="tx1"/>
            </w14:solidFill>
          </w14:textFill>
        </w:rPr>
        <w:t>1.供应商需按本表格式填写，不得自行更改，也不得留空， 如有多分标，按分标分别提供响应报价表</w:t>
      </w:r>
      <w:r>
        <w:rPr>
          <w:rFonts w:hint="eastAsia" w:asciiTheme="minorEastAsia" w:hAnsiTheme="minorEastAsia" w:eastAsiaTheme="minorEastAsia" w:cstheme="minorEastAsia"/>
          <w:b w:val="0"/>
          <w:bCs/>
          <w:color w:val="000000" w:themeColor="text1"/>
          <w:kern w:val="0"/>
          <w:sz w:val="22"/>
          <w:szCs w:val="22"/>
          <w:highlight w:val="none"/>
          <w:lang w:val="zh-CN"/>
          <w14:textFill>
            <w14:solidFill>
              <w14:schemeClr w14:val="tx1"/>
            </w14:solidFill>
          </w14:textFill>
        </w:rPr>
        <w:t>。</w:t>
      </w:r>
    </w:p>
    <w:p w14:paraId="3D759886">
      <w:pPr>
        <w:keepNext w:val="0"/>
        <w:keepLines w:val="0"/>
        <w:pageBreakBefore w:val="0"/>
        <w:widowControl w:val="0"/>
        <w:kinsoku/>
        <w:wordWrap/>
        <w:overflowPunct/>
        <w:topLinePunct w:val="0"/>
        <w:autoSpaceDE/>
        <w:autoSpaceDN/>
        <w:bidi w:val="0"/>
        <w:adjustRightInd/>
        <w:snapToGrid w:val="0"/>
        <w:spacing w:line="400" w:lineRule="exact"/>
        <w:ind w:firstLine="440" w:firstLineChars="200"/>
        <w:jc w:val="left"/>
        <w:textAlignment w:val="auto"/>
        <w:rPr>
          <w:rFonts w:hint="eastAsia" w:asciiTheme="minorEastAsia" w:hAnsiTheme="minorEastAsia" w:eastAsiaTheme="minorEastAsia" w:cstheme="minorEastAsia"/>
          <w:b/>
          <w:color w:val="000000" w:themeColor="text1"/>
          <w:kern w:val="0"/>
          <w:sz w:val="22"/>
          <w:szCs w:val="22"/>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kern w:val="0"/>
          <w:sz w:val="22"/>
          <w:szCs w:val="22"/>
          <w:highlight w:val="none"/>
          <w:lang w:val="zh-CN"/>
          <w14:textFill>
            <w14:solidFill>
              <w14:schemeClr w14:val="tx1"/>
            </w14:solidFill>
          </w14:textFill>
        </w:rPr>
        <w:t>2.如为联合体响应的，“供应商名称”处必须列明联合体各方名称，并标注联合体牵头人名称，</w:t>
      </w:r>
      <w:r>
        <w:rPr>
          <w:rFonts w:hint="eastAsia" w:asciiTheme="minorEastAsia" w:hAnsiTheme="minorEastAsia" w:eastAsiaTheme="minorEastAsia" w:cstheme="minorEastAsia"/>
          <w:b/>
          <w:color w:val="000000" w:themeColor="text1"/>
          <w:kern w:val="0"/>
          <w:sz w:val="22"/>
          <w:szCs w:val="22"/>
          <w:highlight w:val="none"/>
          <w:lang w:val="zh-CN"/>
          <w14:textFill>
            <w14:solidFill>
              <w14:schemeClr w14:val="tx1"/>
            </w14:solidFill>
          </w14:textFill>
        </w:rPr>
        <w:t>且盖章处须加盖联合体各方公章，否则其响应作无效响应处理。</w:t>
      </w:r>
    </w:p>
    <w:p w14:paraId="5FD913AA">
      <w:pPr>
        <w:keepNext w:val="0"/>
        <w:keepLines w:val="0"/>
        <w:pageBreakBefore w:val="0"/>
        <w:widowControl w:val="0"/>
        <w:kinsoku/>
        <w:wordWrap/>
        <w:overflowPunct/>
        <w:topLinePunct w:val="0"/>
        <w:autoSpaceDE/>
        <w:autoSpaceDN/>
        <w:bidi w:val="0"/>
        <w:adjustRightInd/>
        <w:snapToGrid w:val="0"/>
        <w:spacing w:line="400" w:lineRule="exact"/>
        <w:ind w:firstLine="440" w:firstLineChars="200"/>
        <w:jc w:val="left"/>
        <w:textAlignment w:val="auto"/>
        <w:rPr>
          <w:rFonts w:hint="eastAsia" w:asciiTheme="minorEastAsia" w:hAnsiTheme="minorEastAsia" w:eastAsiaTheme="minorEastAsia" w:cstheme="minorEastAsia"/>
          <w:b/>
          <w:color w:val="000000" w:themeColor="text1"/>
          <w:kern w:val="0"/>
          <w:sz w:val="22"/>
          <w:szCs w:val="22"/>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kern w:val="0"/>
          <w:sz w:val="22"/>
          <w:szCs w:val="22"/>
          <w:highlight w:val="none"/>
          <w:lang w:val="zh-CN"/>
          <w14:textFill>
            <w14:solidFill>
              <w14:schemeClr w14:val="tx1"/>
            </w14:solidFill>
          </w14:textFill>
        </w:rPr>
        <w:t>3.以上表格要求细分项目及报价，在“具体服务内容”一栏中，填写具体服务范围、服务时间、服务标准，</w:t>
      </w:r>
      <w:r>
        <w:rPr>
          <w:rFonts w:hint="eastAsia" w:asciiTheme="minorEastAsia" w:hAnsiTheme="minorEastAsia" w:eastAsiaTheme="minorEastAsia" w:cstheme="minorEastAsia"/>
          <w:b/>
          <w:color w:val="000000" w:themeColor="text1"/>
          <w:kern w:val="0"/>
          <w:sz w:val="22"/>
          <w:szCs w:val="22"/>
          <w:highlight w:val="none"/>
          <w:lang w:val="zh-CN"/>
          <w14:textFill>
            <w14:solidFill>
              <w14:schemeClr w14:val="tx1"/>
            </w14:solidFill>
          </w14:textFill>
        </w:rPr>
        <w:t>否则其响应作无效响应处理。</w:t>
      </w:r>
    </w:p>
    <w:p w14:paraId="3DD8A5A9">
      <w:pPr>
        <w:keepNext w:val="0"/>
        <w:keepLines w:val="0"/>
        <w:pageBreakBefore w:val="0"/>
        <w:widowControl w:val="0"/>
        <w:kinsoku/>
        <w:wordWrap/>
        <w:overflowPunct/>
        <w:topLinePunct w:val="0"/>
        <w:autoSpaceDE/>
        <w:autoSpaceDN/>
        <w:bidi w:val="0"/>
        <w:adjustRightInd/>
        <w:snapToGrid w:val="0"/>
        <w:spacing w:line="400" w:lineRule="exact"/>
        <w:ind w:firstLine="440" w:firstLineChars="200"/>
        <w:jc w:val="left"/>
        <w:textAlignment w:val="auto"/>
        <w:rPr>
          <w:rFonts w:hint="eastAsia" w:asciiTheme="minorEastAsia" w:hAnsiTheme="minorEastAsia" w:eastAsiaTheme="minorEastAsia" w:cstheme="minorEastAsia"/>
          <w:color w:val="000000" w:themeColor="text1"/>
          <w:kern w:val="0"/>
          <w:sz w:val="22"/>
          <w:szCs w:val="22"/>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kern w:val="0"/>
          <w:sz w:val="22"/>
          <w:szCs w:val="22"/>
          <w:highlight w:val="none"/>
          <w:lang w:val="zh-CN"/>
          <w14:textFill>
            <w14:solidFill>
              <w14:schemeClr w14:val="tx1"/>
            </w14:solidFill>
          </w14:textFill>
        </w:rPr>
        <w:t>4.特别提示：采购机构将对项目名称和项目编号，成交供应商名称、地址和成交金额，主要成交标的的名称、规格型号、数量、单价、服务要求、具体服务范围、服务时间、服务标准等予以公示。</w:t>
      </w:r>
    </w:p>
    <w:p w14:paraId="46D59886">
      <w:pPr>
        <w:keepNext w:val="0"/>
        <w:keepLines w:val="0"/>
        <w:pageBreakBefore w:val="0"/>
        <w:widowControl w:val="0"/>
        <w:kinsoku/>
        <w:wordWrap/>
        <w:overflowPunct/>
        <w:topLinePunct w:val="0"/>
        <w:autoSpaceDE/>
        <w:autoSpaceDN/>
        <w:bidi w:val="0"/>
        <w:adjustRightInd/>
        <w:snapToGrid w:val="0"/>
        <w:spacing w:line="400" w:lineRule="exact"/>
        <w:ind w:firstLine="440" w:firstLineChars="200"/>
        <w:jc w:val="left"/>
        <w:textAlignment w:val="auto"/>
        <w:rPr>
          <w:rFonts w:hint="eastAsia" w:asciiTheme="minorEastAsia" w:hAnsiTheme="minorEastAsia" w:eastAsiaTheme="minorEastAsia" w:cstheme="minorEastAsia"/>
          <w:color w:val="000000" w:themeColor="text1"/>
          <w:kern w:val="0"/>
          <w:sz w:val="22"/>
          <w:szCs w:val="22"/>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kern w:val="0"/>
          <w:sz w:val="22"/>
          <w:szCs w:val="22"/>
          <w:highlight w:val="none"/>
          <w:lang w:val="zh-CN"/>
          <w14:textFill>
            <w14:solidFill>
              <w14:schemeClr w14:val="tx1"/>
            </w14:solidFill>
          </w14:textFill>
        </w:rPr>
        <w:t>5.符合采购文件中列明的可享受中小企业扶持政策的供应商，请填写中小企业声明函。注：供应商提供的中小企业声明函内容不实的，属于提供虚假材料谋取成交（</w:t>
      </w:r>
      <w:r>
        <w:rPr>
          <w:rFonts w:hint="eastAsia" w:asciiTheme="minorEastAsia" w:hAnsiTheme="minorEastAsia" w:eastAsiaTheme="minorEastAsia" w:cstheme="minorEastAsia"/>
          <w:color w:val="000000" w:themeColor="text1"/>
          <w:kern w:val="0"/>
          <w:sz w:val="22"/>
          <w:szCs w:val="22"/>
          <w:highlight w:val="none"/>
          <w:lang w:val="en-US" w:eastAsia="zh-CN"/>
          <w14:textFill>
            <w14:solidFill>
              <w14:schemeClr w14:val="tx1"/>
            </w14:solidFill>
          </w14:textFill>
        </w:rPr>
        <w:t>中标</w:t>
      </w:r>
      <w:r>
        <w:rPr>
          <w:rFonts w:hint="eastAsia" w:asciiTheme="minorEastAsia" w:hAnsiTheme="minorEastAsia" w:eastAsiaTheme="minorEastAsia" w:cstheme="minorEastAsia"/>
          <w:color w:val="000000" w:themeColor="text1"/>
          <w:kern w:val="0"/>
          <w:sz w:val="22"/>
          <w:szCs w:val="22"/>
          <w:highlight w:val="none"/>
          <w:lang w:val="zh-CN"/>
          <w14:textFill>
            <w14:solidFill>
              <w14:schemeClr w14:val="tx1"/>
            </w14:solidFill>
          </w14:textFill>
        </w:rPr>
        <w:t>），</w:t>
      </w:r>
      <w:r>
        <w:rPr>
          <w:rFonts w:hint="eastAsia" w:asciiTheme="minorEastAsia" w:hAnsiTheme="minorEastAsia" w:eastAsiaTheme="minorEastAsia" w:cstheme="minorEastAsia"/>
          <w:color w:val="000000" w:themeColor="text1"/>
          <w:kern w:val="0"/>
          <w:sz w:val="22"/>
          <w:szCs w:val="22"/>
          <w:highlight w:val="none"/>
          <w:lang w:val="en-US" w:eastAsia="zh-CN"/>
          <w14:textFill>
            <w14:solidFill>
              <w14:schemeClr w14:val="tx1"/>
            </w14:solidFill>
          </w14:textFill>
        </w:rPr>
        <w:t>将</w:t>
      </w:r>
      <w:r>
        <w:rPr>
          <w:rFonts w:hint="eastAsia" w:asciiTheme="minorEastAsia" w:hAnsiTheme="minorEastAsia" w:eastAsiaTheme="minorEastAsia" w:cstheme="minorEastAsia"/>
          <w:color w:val="000000" w:themeColor="text1"/>
          <w:kern w:val="0"/>
          <w:sz w:val="22"/>
          <w:szCs w:val="22"/>
          <w:highlight w:val="none"/>
          <w:lang w:val="zh-CN"/>
          <w14:textFill>
            <w14:solidFill>
              <w14:schemeClr w14:val="tx1"/>
            </w14:solidFill>
          </w14:textFill>
        </w:rPr>
        <w:t>依照《中华人民共和国政府采购法》等国家有关规定追究相应责任。</w:t>
      </w:r>
    </w:p>
    <w:p w14:paraId="376BF533">
      <w:pPr>
        <w:autoSpaceDE w:val="0"/>
        <w:autoSpaceDN w:val="0"/>
        <w:spacing w:line="360" w:lineRule="auto"/>
        <w:ind w:left="4315" w:leftChars="1950" w:hanging="220" w:hangingChars="100"/>
        <w:rPr>
          <w:rFonts w:hint="eastAsia" w:asciiTheme="minorEastAsia" w:hAnsiTheme="minorEastAsia" w:eastAsiaTheme="minorEastAsia" w:cstheme="minorEastAsia"/>
          <w:color w:val="000000" w:themeColor="text1"/>
          <w:kern w:val="0"/>
          <w:sz w:val="22"/>
          <w:szCs w:val="22"/>
          <w:highlight w:val="none"/>
          <w14:textFill>
            <w14:solidFill>
              <w14:schemeClr w14:val="tx1"/>
            </w14:solidFill>
          </w14:textFill>
        </w:rPr>
      </w:pPr>
    </w:p>
    <w:p w14:paraId="32FE8752">
      <w:pPr>
        <w:keepNext w:val="0"/>
        <w:keepLines w:val="0"/>
        <w:pageBreakBefore w:val="0"/>
        <w:widowControl w:val="0"/>
        <w:kinsoku/>
        <w:wordWrap/>
        <w:overflowPunct/>
        <w:topLinePunct w:val="0"/>
        <w:autoSpaceDE w:val="0"/>
        <w:autoSpaceDN w:val="0"/>
        <w:bidi w:val="0"/>
        <w:adjustRightInd/>
        <w:snapToGrid/>
        <w:spacing w:line="560" w:lineRule="exact"/>
        <w:ind w:left="4315" w:leftChars="1950" w:hanging="220" w:hangingChars="100"/>
        <w:textAlignment w:val="auto"/>
        <w:rPr>
          <w:rFonts w:hint="eastAsia" w:asciiTheme="minorEastAsia" w:hAnsiTheme="minorEastAsia" w:eastAsiaTheme="minorEastAsia" w:cstheme="minorEastAsia"/>
          <w:color w:val="000000" w:themeColor="text1"/>
          <w:kern w:val="0"/>
          <w:sz w:val="22"/>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2"/>
          <w:szCs w:val="22"/>
          <w:highlight w:val="none"/>
          <w14:textFill>
            <w14:solidFill>
              <w14:schemeClr w14:val="tx1"/>
            </w14:solidFill>
          </w14:textFill>
        </w:rPr>
        <w:t>供应商名称（电子签章）：</w:t>
      </w:r>
    </w:p>
    <w:p w14:paraId="7C850FD4">
      <w:pPr>
        <w:pStyle w:val="16"/>
        <w:keepNext w:val="0"/>
        <w:keepLines w:val="0"/>
        <w:pageBreakBefore w:val="0"/>
        <w:widowControl w:val="0"/>
        <w:kinsoku/>
        <w:wordWrap/>
        <w:overflowPunct/>
        <w:topLinePunct w:val="0"/>
        <w:bidi w:val="0"/>
        <w:adjustRightInd/>
        <w:snapToGrid/>
        <w:spacing w:line="560" w:lineRule="exact"/>
        <w:ind w:firstLine="6270" w:firstLineChars="2850"/>
        <w:textAlignment w:val="auto"/>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sectPr>
          <w:pgSz w:w="11910" w:h="16840"/>
          <w:pgMar w:top="1077" w:right="1304" w:bottom="1077" w:left="1417" w:header="720" w:footer="850" w:gutter="0"/>
          <w:pgBorders>
            <w:top w:val="none" w:sz="0" w:space="0"/>
            <w:left w:val="none" w:sz="0" w:space="0"/>
            <w:bottom w:val="none" w:sz="0" w:space="0"/>
            <w:right w:val="none" w:sz="0" w:space="0"/>
          </w:pgBorders>
          <w:pgNumType w:fmt="decimal"/>
          <w:cols w:space="720" w:num="1"/>
        </w:sectPr>
      </w:pPr>
      <w:bookmarkStart w:id="55" w:name="_Toc35611516"/>
      <w:bookmarkStart w:id="56" w:name="_Toc44229899"/>
      <w:bookmarkStart w:id="57" w:name="_Toc35611438"/>
      <w:bookmarkStart w:id="58" w:name="_Toc31723070"/>
      <w:bookmarkStart w:id="59" w:name="_Toc31728084"/>
      <w:r>
        <w:rPr>
          <w:rFonts w:hint="eastAsia" w:asciiTheme="minorEastAsia" w:hAnsiTheme="minorEastAsia" w:eastAsiaTheme="minorEastAsia" w:cstheme="minorEastAsia"/>
          <w:color w:val="000000" w:themeColor="text1"/>
          <w:sz w:val="22"/>
          <w:szCs w:val="22"/>
          <w:highlight w:val="none"/>
          <w:lang w:val="zh-CN"/>
          <w14:textFill>
            <w14:solidFill>
              <w14:schemeClr w14:val="tx1"/>
            </w14:solidFill>
          </w14:textFill>
        </w:rPr>
        <w:t xml:space="preserve">日期：  </w:t>
      </w:r>
      <w:r>
        <w:rPr>
          <w:rFonts w:hint="eastAsia"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2"/>
          <w:szCs w:val="22"/>
          <w:highlight w:val="none"/>
          <w:lang w:val="zh-CN"/>
          <w14:textFill>
            <w14:solidFill>
              <w14:schemeClr w14:val="tx1"/>
            </w14:solidFill>
          </w14:textFill>
        </w:rPr>
        <w:t xml:space="preserve">年 </w:t>
      </w:r>
      <w:r>
        <w:rPr>
          <w:rFonts w:hint="eastAsia" w:asciiTheme="minorEastAsia" w:hAnsiTheme="minorEastAsia" w:eastAsiaTheme="minorEastAsia" w:cstheme="minorEastAsia"/>
          <w:color w:val="000000" w:themeColor="text1"/>
          <w:sz w:val="22"/>
          <w:szCs w:val="2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2"/>
          <w:szCs w:val="22"/>
          <w:highlight w:val="none"/>
          <w:lang w:val="zh-CN"/>
          <w14:textFill>
            <w14:solidFill>
              <w14:schemeClr w14:val="tx1"/>
            </w14:solidFill>
          </w14:textFill>
        </w:rPr>
        <w:t xml:space="preserve"> 月   日</w:t>
      </w:r>
    </w:p>
    <w:bookmarkEnd w:id="55"/>
    <w:bookmarkEnd w:id="56"/>
    <w:bookmarkEnd w:id="57"/>
    <w:bookmarkEnd w:id="58"/>
    <w:bookmarkEnd w:id="59"/>
    <w:p w14:paraId="7DD9673B">
      <w:pPr>
        <w:keepNext/>
        <w:keepLines/>
        <w:pageBreakBefore w:val="0"/>
        <w:widowControl w:val="0"/>
        <w:kinsoku/>
        <w:wordWrap/>
        <w:overflowPunct/>
        <w:topLinePunct w:val="0"/>
        <w:autoSpaceDE/>
        <w:autoSpaceDN/>
        <w:bidi w:val="0"/>
        <w:adjustRightInd/>
        <w:snapToGrid/>
        <w:spacing w:line="700" w:lineRule="exact"/>
        <w:jc w:val="center"/>
        <w:textAlignment w:val="auto"/>
        <w:outlineLvl w:val="1"/>
        <w:rPr>
          <w:rFonts w:ascii="宋体" w:hAnsi="宋体"/>
          <w:bCs/>
          <w:color w:val="000000" w:themeColor="text1"/>
          <w:sz w:val="32"/>
          <w:szCs w:val="32"/>
          <w:highlight w:val="none"/>
          <w14:textFill>
            <w14:solidFill>
              <w14:schemeClr w14:val="tx1"/>
            </w14:solidFill>
          </w14:textFill>
        </w:rPr>
      </w:pPr>
      <w:bookmarkStart w:id="60" w:name="_Toc87345246"/>
      <w:bookmarkEnd w:id="60"/>
      <w:bookmarkStart w:id="61" w:name="_Toc87345245"/>
      <w:bookmarkEnd w:id="61"/>
      <w:bookmarkStart w:id="62" w:name="_Toc80205942"/>
      <w:bookmarkEnd w:id="62"/>
      <w:bookmarkStart w:id="63" w:name="_Toc130201404"/>
      <w:r>
        <w:rPr>
          <w:rFonts w:hint="eastAsia" w:ascii="宋体" w:hAnsi="宋体"/>
          <w:b/>
          <w:bCs/>
          <w:color w:val="000000" w:themeColor="text1"/>
          <w:sz w:val="32"/>
          <w:szCs w:val="32"/>
          <w:highlight w:val="none"/>
          <w14:textFill>
            <w14:solidFill>
              <w14:schemeClr w14:val="tx1"/>
            </w14:solidFill>
          </w14:textFill>
        </w:rPr>
        <w:t>第五节 其他文书、文件格式</w:t>
      </w:r>
      <w:bookmarkEnd w:id="63"/>
    </w:p>
    <w:p w14:paraId="1C04E435">
      <w:pPr>
        <w:keepNext w:val="0"/>
        <w:keepLines w:val="0"/>
        <w:pageBreakBefore w:val="0"/>
        <w:widowControl w:val="0"/>
        <w:kinsoku/>
        <w:wordWrap/>
        <w:overflowPunct/>
        <w:topLinePunct w:val="0"/>
        <w:autoSpaceDE/>
        <w:autoSpaceDN/>
        <w:bidi w:val="0"/>
        <w:adjustRightInd/>
        <w:snapToGrid/>
        <w:spacing w:before="375" w:beforeLines="120" w:after="251" w:afterLines="80" w:line="600" w:lineRule="exact"/>
        <w:ind w:left="0" w:leftChars="0" w:firstLine="0" w:firstLineChars="0"/>
        <w:jc w:val="center"/>
        <w:textAlignment w:val="auto"/>
        <w:rPr>
          <w:rFonts w:hint="eastAsia" w:asciiTheme="minorEastAsia" w:hAnsiTheme="minorEastAsia" w:eastAsiaTheme="minorEastAsia" w:cstheme="minorEastAsia"/>
          <w:b/>
          <w:bCs/>
          <w:color w:val="000000" w:themeColor="text1"/>
          <w:sz w:val="36"/>
          <w:szCs w:val="36"/>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36"/>
          <w:szCs w:val="36"/>
          <w:highlight w:val="none"/>
          <w14:textFill>
            <w14:solidFill>
              <w14:schemeClr w14:val="tx1"/>
            </w14:solidFill>
          </w14:textFill>
        </w:rPr>
        <w:t>中小企业声明函（服务）</w:t>
      </w:r>
    </w:p>
    <w:p w14:paraId="4EB0E564">
      <w:pPr>
        <w:pStyle w:val="13"/>
        <w:spacing w:after="0" w:line="460" w:lineRule="exact"/>
        <w:ind w:right="142" w:firstLine="460" w:firstLineChars="200"/>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本公司（联合体）郑重声明，根据《政府采购促进中小企业发展管理办法》（财库﹝2020﹞46号）的规定，本公司（联合体）参加</w:t>
      </w:r>
      <w:r>
        <w:rPr>
          <w:rFonts w:hint="eastAsia" w:asciiTheme="minorEastAsia" w:hAnsiTheme="minorEastAsia" w:eastAsiaTheme="minorEastAsia" w:cstheme="minorEastAsia"/>
          <w:color w:val="000000" w:themeColor="text1"/>
          <w:sz w:val="23"/>
          <w:szCs w:val="23"/>
          <w:highlight w:val="none"/>
          <w:u w:val="single"/>
          <w14:textFill>
            <w14:solidFill>
              <w14:schemeClr w14:val="tx1"/>
            </w14:solidFill>
          </w14:textFill>
        </w:rPr>
        <w:t>（单位名称）</w:t>
      </w: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3"/>
          <w:szCs w:val="23"/>
          <w:highlight w:val="none"/>
          <w:u w:val="single"/>
          <w14:textFill>
            <w14:solidFill>
              <w14:schemeClr w14:val="tx1"/>
            </w14:solidFill>
          </w14:textFill>
        </w:rPr>
        <w:t>（项目名称）</w:t>
      </w: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采购活动，服务全部由符合政策要求的中小企业承接。相关企业（含联合体中的中小企业、签订分包意向协议的中小企业）的具体情况如下：</w:t>
      </w:r>
    </w:p>
    <w:p w14:paraId="77757A83">
      <w:pPr>
        <w:tabs>
          <w:tab w:val="left" w:pos="1384"/>
          <w:tab w:val="left" w:pos="4562"/>
          <w:tab w:val="left" w:pos="6803"/>
        </w:tabs>
        <w:spacing w:line="460" w:lineRule="exact"/>
        <w:ind w:right="142" w:firstLine="657" w:firstLineChars="286"/>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1.</w:t>
      </w:r>
      <w:r>
        <w:rPr>
          <w:rFonts w:hint="eastAsia" w:asciiTheme="minorEastAsia" w:hAnsiTheme="minorEastAsia" w:eastAsiaTheme="minorEastAsia" w:cstheme="minorEastAsia"/>
          <w:color w:val="000000" w:themeColor="text1"/>
          <w:sz w:val="23"/>
          <w:szCs w:val="23"/>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3"/>
          <w:szCs w:val="23"/>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；承接企业为</w:t>
      </w:r>
      <w:r>
        <w:rPr>
          <w:rFonts w:hint="eastAsia" w:asciiTheme="minorEastAsia" w:hAnsiTheme="minorEastAsia" w:eastAsiaTheme="minorEastAsia" w:cstheme="minorEastAsia"/>
          <w:color w:val="000000" w:themeColor="text1"/>
          <w:sz w:val="23"/>
          <w:szCs w:val="23"/>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，从业人员人，营业收入为万元，资产总额为万元，属于</w:t>
      </w:r>
      <w:r>
        <w:rPr>
          <w:rFonts w:hint="eastAsia" w:asciiTheme="minorEastAsia" w:hAnsiTheme="minorEastAsia" w:eastAsiaTheme="minorEastAsia" w:cstheme="minorEastAsia"/>
          <w:color w:val="000000" w:themeColor="text1"/>
          <w:sz w:val="23"/>
          <w:szCs w:val="23"/>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w:t>
      </w:r>
    </w:p>
    <w:p w14:paraId="79262E60">
      <w:pPr>
        <w:tabs>
          <w:tab w:val="left" w:pos="1065"/>
          <w:tab w:val="left" w:pos="4262"/>
          <w:tab w:val="left" w:pos="6477"/>
        </w:tabs>
        <w:spacing w:line="460" w:lineRule="exact"/>
        <w:ind w:right="84" w:firstLine="657" w:firstLineChars="286"/>
        <w:rPr>
          <w:rFonts w:hint="eastAsia" w:asciiTheme="minorEastAsia" w:hAnsiTheme="minorEastAsia" w:eastAsiaTheme="minorEastAsia" w:cstheme="minorEastAsia"/>
          <w:color w:val="000000" w:themeColor="text1"/>
          <w:sz w:val="23"/>
          <w:szCs w:val="23"/>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2.</w:t>
      </w:r>
      <w:r>
        <w:rPr>
          <w:rFonts w:hint="eastAsia" w:asciiTheme="minorEastAsia" w:hAnsiTheme="minorEastAsia" w:eastAsiaTheme="minorEastAsia" w:cstheme="minorEastAsia"/>
          <w:color w:val="000000" w:themeColor="text1"/>
          <w:sz w:val="23"/>
          <w:szCs w:val="23"/>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3"/>
          <w:szCs w:val="23"/>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；承接企业为</w:t>
      </w:r>
      <w:r>
        <w:rPr>
          <w:rFonts w:hint="eastAsia" w:asciiTheme="minorEastAsia" w:hAnsiTheme="minorEastAsia" w:eastAsiaTheme="minorEastAsia" w:cstheme="minorEastAsia"/>
          <w:color w:val="000000" w:themeColor="text1"/>
          <w:sz w:val="23"/>
          <w:szCs w:val="23"/>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，从业人员人，营业收入为万元，资产总额为万元，属于</w:t>
      </w:r>
      <w:r>
        <w:rPr>
          <w:rFonts w:hint="eastAsia" w:asciiTheme="minorEastAsia" w:hAnsiTheme="minorEastAsia" w:eastAsiaTheme="minorEastAsia" w:cstheme="minorEastAsia"/>
          <w:color w:val="000000" w:themeColor="text1"/>
          <w:sz w:val="23"/>
          <w:szCs w:val="23"/>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w:t>
      </w:r>
    </w:p>
    <w:p w14:paraId="00A5E93B">
      <w:pPr>
        <w:pStyle w:val="13"/>
        <w:spacing w:after="0" w:line="460" w:lineRule="exact"/>
        <w:ind w:left="765" w:right="142" w:hanging="5"/>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 xml:space="preserve">…… </w:t>
      </w:r>
    </w:p>
    <w:p w14:paraId="3DC27A6B">
      <w:pPr>
        <w:pStyle w:val="13"/>
        <w:spacing w:after="0" w:line="460" w:lineRule="exact"/>
        <w:ind w:right="142" w:firstLine="460" w:firstLineChars="200"/>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以上企业，不属于大企业的分支机构，不存在控股股东为大企业的情形，也不存在与大企业的负责人为同一人的情形。</w:t>
      </w:r>
    </w:p>
    <w:p w14:paraId="08B09328">
      <w:pPr>
        <w:pStyle w:val="13"/>
        <w:spacing w:after="0" w:line="460" w:lineRule="exact"/>
        <w:ind w:left="-426" w:right="142" w:firstLine="567"/>
        <w:contextualSpacing/>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本企业对上述声明内容的真实性负责。如有虚假，将依法承担相应责任。</w:t>
      </w:r>
    </w:p>
    <w:p w14:paraId="78841ED1">
      <w:pPr>
        <w:pStyle w:val="13"/>
        <w:spacing w:after="0" w:line="460" w:lineRule="exact"/>
        <w:ind w:left="3960" w:right="1808"/>
        <w:contextualSpacing/>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p>
    <w:p w14:paraId="7B20253B">
      <w:pPr>
        <w:autoSpaceDE w:val="0"/>
        <w:autoSpaceDN w:val="0"/>
        <w:spacing w:line="460" w:lineRule="exact"/>
        <w:ind w:left="4325" w:leftChars="1950" w:hanging="230" w:hangingChars="100"/>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3"/>
          <w:szCs w:val="23"/>
          <w:highlight w:val="none"/>
          <w14:textFill>
            <w14:solidFill>
              <w14:schemeClr w14:val="tx1"/>
            </w14:solidFill>
          </w14:textFill>
        </w:rPr>
        <w:t>供应商名称（电子签章）：</w:t>
      </w:r>
    </w:p>
    <w:p w14:paraId="317059E1">
      <w:pPr>
        <w:autoSpaceDE w:val="0"/>
        <w:autoSpaceDN w:val="0"/>
        <w:spacing w:line="460" w:lineRule="exact"/>
        <w:ind w:firstLine="5980" w:firstLineChars="2600"/>
        <w:rPr>
          <w:rFonts w:hint="eastAsia" w:asciiTheme="minorEastAsia" w:hAnsiTheme="minorEastAsia" w:eastAsiaTheme="minorEastAsia" w:cstheme="minorEastAsia"/>
          <w:color w:val="000000" w:themeColor="text1"/>
          <w:kern w:val="0"/>
          <w:sz w:val="23"/>
          <w:szCs w:val="23"/>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kern w:val="0"/>
          <w:sz w:val="23"/>
          <w:szCs w:val="23"/>
          <w:highlight w:val="none"/>
          <w:lang w:val="zh-CN"/>
          <w14:textFill>
            <w14:solidFill>
              <w14:schemeClr w14:val="tx1"/>
            </w14:solidFill>
          </w14:textFill>
        </w:rPr>
        <w:t xml:space="preserve">日期： </w:t>
      </w:r>
      <w:r>
        <w:rPr>
          <w:rFonts w:hint="eastAsia" w:asciiTheme="minorEastAsia" w:hAnsiTheme="minorEastAsia" w:eastAsiaTheme="minorEastAsia" w:cstheme="minorEastAsia"/>
          <w:color w:val="000000" w:themeColor="text1"/>
          <w:kern w:val="0"/>
          <w:sz w:val="23"/>
          <w:szCs w:val="23"/>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3"/>
          <w:szCs w:val="23"/>
          <w:highlight w:val="none"/>
          <w:lang w:val="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3"/>
          <w:szCs w:val="23"/>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3"/>
          <w:szCs w:val="23"/>
          <w:highlight w:val="none"/>
          <w:lang w:val="zh-CN"/>
          <w14:textFill>
            <w14:solidFill>
              <w14:schemeClr w14:val="tx1"/>
            </w14:solidFill>
          </w14:textFill>
        </w:rPr>
        <w:t>年  月   日</w:t>
      </w:r>
    </w:p>
    <w:p w14:paraId="2E46E467">
      <w:pPr>
        <w:pStyle w:val="13"/>
        <w:spacing w:after="0" w:line="360" w:lineRule="auto"/>
        <w:ind w:left="3960" w:right="1808"/>
        <w:contextualSpacing/>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p>
    <w:p w14:paraId="77EF1147">
      <w:pPr>
        <w:spacing w:line="360" w:lineRule="auto"/>
        <w:ind w:firstLine="460" w:firstLineChars="200"/>
        <w:jc w:val="left"/>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br w:type="page"/>
      </w:r>
    </w:p>
    <w:p w14:paraId="66445FE5">
      <w:pPr>
        <w:keepNext w:val="0"/>
        <w:keepLines w:val="0"/>
        <w:pageBreakBefore w:val="0"/>
        <w:widowControl w:val="0"/>
        <w:kinsoku/>
        <w:wordWrap/>
        <w:overflowPunct/>
        <w:topLinePunct w:val="0"/>
        <w:autoSpaceDE/>
        <w:autoSpaceDN/>
        <w:bidi w:val="0"/>
        <w:adjustRightInd/>
        <w:snapToGrid/>
        <w:spacing w:before="0" w:beforeLines="30" w:after="0" w:afterLines="150" w:line="600" w:lineRule="exact"/>
        <w:ind w:left="0" w:leftChars="0" w:firstLine="0" w:firstLineChars="0"/>
        <w:jc w:val="center"/>
        <w:textAlignment w:val="auto"/>
        <w:rPr>
          <w:rFonts w:hint="eastAsia" w:asciiTheme="minorEastAsia" w:hAnsiTheme="minorEastAsia" w:eastAsiaTheme="minorEastAsia" w:cstheme="minorEastAsia"/>
          <w:b/>
          <w:bCs/>
          <w:color w:val="000000" w:themeColor="text1"/>
          <w:sz w:val="36"/>
          <w:szCs w:val="36"/>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36"/>
          <w:szCs w:val="36"/>
          <w:highlight w:val="none"/>
          <w14:textFill>
            <w14:solidFill>
              <w14:schemeClr w14:val="tx1"/>
            </w14:solidFill>
          </w14:textFill>
        </w:rPr>
        <w:t>残疾人福利性单位声明函</w:t>
      </w:r>
    </w:p>
    <w:p w14:paraId="7727937B">
      <w:pPr>
        <w:spacing w:line="360" w:lineRule="auto"/>
        <w:ind w:firstLine="460" w:firstLineChars="200"/>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w:t>
      </w:r>
      <w:r>
        <w:rPr>
          <w:rFonts w:hint="eastAsia" w:asciiTheme="minorEastAsia" w:hAnsiTheme="minorEastAsia" w:eastAsiaTheme="minorEastAsia" w:cstheme="minorEastAsia"/>
          <w:color w:val="000000" w:themeColor="text1"/>
          <w:sz w:val="23"/>
          <w:szCs w:val="23"/>
          <w:highlight w:val="none"/>
          <w:u w:val="single"/>
          <w14:textFill>
            <w14:solidFill>
              <w14:schemeClr w14:val="tx1"/>
            </w14:solidFill>
          </w14:textFill>
        </w:rPr>
        <w:t xml:space="preserve">       单位的        </w:t>
      </w: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项目采购活动由本单位提供服务。</w:t>
      </w:r>
    </w:p>
    <w:p w14:paraId="6899A333">
      <w:pPr>
        <w:tabs>
          <w:tab w:val="left" w:pos="8239"/>
        </w:tabs>
        <w:spacing w:line="360" w:lineRule="auto"/>
        <w:ind w:firstLine="460" w:firstLineChars="200"/>
        <w:rPr>
          <w:rFonts w:hint="eastAsia" w:asciiTheme="minorEastAsia" w:hAnsiTheme="minorEastAsia" w:eastAsiaTheme="minorEastAsia" w:cstheme="minorEastAsia"/>
          <w:color w:val="000000" w:themeColor="text1"/>
          <w:sz w:val="23"/>
          <w:szCs w:val="2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本单位对上述声明的真实性负责。如有虚假，将依法承担相应责任。</w:t>
      </w:r>
      <w:r>
        <w:rPr>
          <w:rFonts w:hint="eastAsia" w:asciiTheme="minorEastAsia" w:hAnsiTheme="minorEastAsia" w:eastAsiaTheme="minorEastAsia" w:cstheme="minorEastAsia"/>
          <w:color w:val="000000" w:themeColor="text1"/>
          <w:sz w:val="23"/>
          <w:szCs w:val="23"/>
          <w:highlight w:val="none"/>
          <w:lang w:eastAsia="zh-CN"/>
          <w14:textFill>
            <w14:solidFill>
              <w14:schemeClr w14:val="tx1"/>
            </w14:solidFill>
          </w14:textFill>
        </w:rPr>
        <w:tab/>
      </w:r>
    </w:p>
    <w:p w14:paraId="303AE883">
      <w:pPr>
        <w:spacing w:line="360" w:lineRule="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p>
    <w:p w14:paraId="768BE0D2">
      <w:pPr>
        <w:spacing w:line="360" w:lineRule="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p>
    <w:p w14:paraId="4FBB0B6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p>
    <w:p w14:paraId="3D647D19">
      <w:pPr>
        <w:keepNext w:val="0"/>
        <w:keepLines w:val="0"/>
        <w:pageBreakBefore w:val="0"/>
        <w:widowControl w:val="0"/>
        <w:kinsoku/>
        <w:wordWrap/>
        <w:overflowPunct/>
        <w:topLinePunct w:val="0"/>
        <w:autoSpaceDE/>
        <w:autoSpaceDN/>
        <w:bidi w:val="0"/>
        <w:adjustRightInd/>
        <w:snapToGrid/>
        <w:spacing w:line="600" w:lineRule="exact"/>
        <w:ind w:firstLine="2300" w:firstLineChars="1000"/>
        <w:textAlignment w:val="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供应商名称（电子签章）：</w:t>
      </w:r>
    </w:p>
    <w:p w14:paraId="593D48B1">
      <w:pPr>
        <w:keepNext w:val="0"/>
        <w:keepLines w:val="0"/>
        <w:pageBreakBefore w:val="0"/>
        <w:widowControl w:val="0"/>
        <w:kinsoku/>
        <w:wordWrap/>
        <w:overflowPunct/>
        <w:topLinePunct w:val="0"/>
        <w:autoSpaceDE/>
        <w:autoSpaceDN/>
        <w:bidi w:val="0"/>
        <w:adjustRightInd/>
        <w:snapToGrid/>
        <w:spacing w:line="600" w:lineRule="exact"/>
        <w:ind w:firstLine="4140" w:firstLineChars="1800"/>
        <w:textAlignment w:val="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日  期：     年   月   日</w:t>
      </w:r>
    </w:p>
    <w:p w14:paraId="122EEA5D">
      <w:pPr>
        <w:spacing w:line="360" w:lineRule="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p>
    <w:p w14:paraId="41495879">
      <w:pPr>
        <w:spacing w:line="360" w:lineRule="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p>
    <w:p w14:paraId="6C10AE66">
      <w:pPr>
        <w:spacing w:line="360" w:lineRule="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p>
    <w:p w14:paraId="50689263">
      <w:pPr>
        <w:keepNext w:val="0"/>
        <w:keepLines w:val="0"/>
        <w:pageBreakBefore w:val="0"/>
        <w:widowControl w:val="0"/>
        <w:kinsoku/>
        <w:wordWrap/>
        <w:overflowPunct/>
        <w:topLinePunct w:val="0"/>
        <w:autoSpaceDE/>
        <w:autoSpaceDN/>
        <w:bidi w:val="0"/>
        <w:adjustRightInd/>
        <w:snapToGrid/>
        <w:spacing w:line="420" w:lineRule="exact"/>
        <w:ind w:firstLine="460" w:firstLineChars="200"/>
        <w:textAlignment w:val="auto"/>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pP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注：请根据自己的真实情况出具《残疾人福利性单位声明函》。依法享受中小企业优惠政策的，采购人或者采购代理机构在公告成交结果时，同时公告其《残疾人福利性单位声明函》，接受社会监督；根据《关于政府采购支持监狱企业发展有关问题的通知》（财库</w:t>
      </w:r>
      <w:r>
        <w:rPr>
          <w:rFonts w:hint="eastAsia" w:asciiTheme="minorEastAsia" w:hAnsiTheme="minorEastAsia" w:eastAsiaTheme="minorEastAsia" w:cstheme="minorEastAsia"/>
          <w:color w:val="000000" w:themeColor="text1"/>
          <w:sz w:val="23"/>
          <w:szCs w:val="23"/>
          <w:highlight w:val="none"/>
          <w:lang w:eastAsia="zh-CN"/>
          <w14:textFill>
            <w14:solidFill>
              <w14:schemeClr w14:val="tx1"/>
            </w14:solidFill>
          </w14:textFill>
        </w:rPr>
        <w:t>〔2014〕68号</w:t>
      </w:r>
      <w:r>
        <w:rPr>
          <w:rFonts w:hint="eastAsia" w:asciiTheme="minorEastAsia" w:hAnsiTheme="minorEastAsia" w:eastAsiaTheme="minorEastAsia" w:cstheme="minorEastAsia"/>
          <w:color w:val="000000" w:themeColor="text1"/>
          <w:sz w:val="23"/>
          <w:szCs w:val="23"/>
          <w:highlight w:val="none"/>
          <w14:textFill>
            <w14:solidFill>
              <w14:schemeClr w14:val="tx1"/>
            </w14:solidFill>
          </w14:textFill>
        </w:rPr>
        <w:t>）的规定，供应商提供由省级以上监狱管理局、戒毒管理局（含新疆生产建设兵团）出具的属于监狱企业证明文件的，视同为小型和微型企业。</w:t>
      </w:r>
    </w:p>
    <w:p w14:paraId="066AFABB">
      <w:pPr>
        <w:rPr>
          <w:rFonts w:hint="eastAsia"/>
          <w:color w:val="000000" w:themeColor="text1"/>
          <w:highlight w:val="none"/>
          <w14:textFill>
            <w14:solidFill>
              <w14:schemeClr w14:val="tx1"/>
            </w14:solidFill>
          </w14:textFill>
        </w:rPr>
      </w:pPr>
    </w:p>
    <w:p w14:paraId="4A62144F">
      <w:pPr>
        <w:pStyle w:val="2"/>
        <w:keepNext/>
        <w:keepLines/>
        <w:pageBreakBefore w:val="0"/>
        <w:widowControl w:val="0"/>
        <w:kinsoku/>
        <w:wordWrap/>
        <w:overflowPunct/>
        <w:topLinePunct w:val="0"/>
        <w:autoSpaceDE/>
        <w:autoSpaceDN/>
        <w:bidi w:val="0"/>
        <w:adjustRightInd/>
        <w:snapToGrid/>
        <w:spacing w:before="0" w:after="0" w:line="640" w:lineRule="exact"/>
        <w:jc w:val="center"/>
        <w:textAlignment w:val="auto"/>
        <w:rPr>
          <w:rFonts w:hint="eastAsia" w:asciiTheme="minorEastAsia" w:hAnsiTheme="minorEastAsia" w:eastAsiaTheme="minorEastAsia" w:cstheme="minorEastAsia"/>
          <w:b/>
          <w:bCs/>
          <w:color w:val="000000" w:themeColor="text1"/>
          <w:highlight w:val="none"/>
          <w14:textFill>
            <w14:solidFill>
              <w14:schemeClr w14:val="tx1"/>
            </w14:solidFill>
          </w14:textFill>
        </w:rPr>
      </w:pPr>
    </w:p>
    <w:p w14:paraId="40F3CBB9">
      <w:pPr>
        <w:rPr>
          <w:rFonts w:hint="eastAsia" w:asciiTheme="minorEastAsia" w:hAnsiTheme="minorEastAsia" w:eastAsiaTheme="minorEastAsia" w:cstheme="minorEastAsia"/>
          <w:b/>
          <w:bCs/>
          <w:color w:val="000000" w:themeColor="text1"/>
          <w:highlight w:val="none"/>
          <w14:textFill>
            <w14:solidFill>
              <w14:schemeClr w14:val="tx1"/>
            </w14:solidFill>
          </w14:textFill>
        </w:rPr>
      </w:pPr>
    </w:p>
    <w:p w14:paraId="7346FCF1">
      <w:pPr>
        <w:rPr>
          <w:rFonts w:hint="eastAsia" w:asciiTheme="minorEastAsia" w:hAnsiTheme="minorEastAsia" w:eastAsiaTheme="minorEastAsia" w:cstheme="minorEastAsia"/>
          <w:b/>
          <w:bCs/>
          <w:color w:val="000000" w:themeColor="text1"/>
          <w:highlight w:val="none"/>
          <w14:textFill>
            <w14:solidFill>
              <w14:schemeClr w14:val="tx1"/>
            </w14:solidFill>
          </w14:textFill>
        </w:rPr>
      </w:pPr>
    </w:p>
    <w:p w14:paraId="5D89EE59">
      <w:pPr>
        <w:rPr>
          <w:rFonts w:hint="eastAsia" w:asciiTheme="minorEastAsia" w:hAnsiTheme="minorEastAsia" w:eastAsiaTheme="minorEastAsia" w:cstheme="minorEastAsia"/>
          <w:b/>
          <w:bCs/>
          <w:color w:val="000000" w:themeColor="text1"/>
          <w:highlight w:val="none"/>
          <w14:textFill>
            <w14:solidFill>
              <w14:schemeClr w14:val="tx1"/>
            </w14:solidFill>
          </w14:textFill>
        </w:rPr>
      </w:pPr>
    </w:p>
    <w:p w14:paraId="470E3E19">
      <w:pPr>
        <w:rPr>
          <w:rFonts w:hint="eastAsia" w:asciiTheme="minorEastAsia" w:hAnsiTheme="minorEastAsia" w:eastAsiaTheme="minorEastAsia" w:cstheme="minorEastAsia"/>
          <w:b/>
          <w:bCs/>
          <w:color w:val="000000" w:themeColor="text1"/>
          <w:highlight w:val="none"/>
          <w14:textFill>
            <w14:solidFill>
              <w14:schemeClr w14:val="tx1"/>
            </w14:solidFill>
          </w14:textFill>
        </w:rPr>
      </w:pPr>
    </w:p>
    <w:p w14:paraId="4ADC1178">
      <w:pPr>
        <w:rPr>
          <w:rFonts w:hint="eastAsia" w:asciiTheme="minorEastAsia" w:hAnsiTheme="minorEastAsia" w:eastAsiaTheme="minorEastAsia" w:cstheme="minorEastAsia"/>
          <w:b/>
          <w:bCs/>
          <w:color w:val="000000" w:themeColor="text1"/>
          <w:highlight w:val="none"/>
          <w14:textFill>
            <w14:solidFill>
              <w14:schemeClr w14:val="tx1"/>
            </w14:solidFill>
          </w14:textFill>
        </w:rPr>
      </w:pPr>
    </w:p>
    <w:p w14:paraId="6589EB98">
      <w:pPr>
        <w:rPr>
          <w:rFonts w:hint="eastAsia" w:asciiTheme="minorEastAsia" w:hAnsiTheme="minorEastAsia" w:eastAsiaTheme="minorEastAsia" w:cstheme="minorEastAsia"/>
          <w:b/>
          <w:bCs/>
          <w:color w:val="000000" w:themeColor="text1"/>
          <w:highlight w:val="none"/>
          <w14:textFill>
            <w14:solidFill>
              <w14:schemeClr w14:val="tx1"/>
            </w14:solidFill>
          </w14:textFill>
        </w:rPr>
      </w:pPr>
    </w:p>
    <w:p w14:paraId="6277F3F7">
      <w:pPr>
        <w:rPr>
          <w:rFonts w:hint="eastAsia" w:asciiTheme="minorEastAsia" w:hAnsiTheme="minorEastAsia" w:eastAsiaTheme="minorEastAsia" w:cstheme="minorEastAsia"/>
          <w:b/>
          <w:bCs/>
          <w:color w:val="000000" w:themeColor="text1"/>
          <w:highlight w:val="none"/>
          <w14:textFill>
            <w14:solidFill>
              <w14:schemeClr w14:val="tx1"/>
            </w14:solidFill>
          </w14:textFill>
        </w:rPr>
      </w:pPr>
    </w:p>
    <w:p w14:paraId="75AE2CA9">
      <w:pPr>
        <w:rPr>
          <w:rFonts w:hint="eastAsia" w:asciiTheme="minorEastAsia" w:hAnsiTheme="minorEastAsia" w:eastAsiaTheme="minorEastAsia" w:cstheme="minorEastAsia"/>
          <w:b/>
          <w:bCs/>
          <w:color w:val="000000" w:themeColor="text1"/>
          <w:highlight w:val="none"/>
          <w14:textFill>
            <w14:solidFill>
              <w14:schemeClr w14:val="tx1"/>
            </w14:solidFill>
          </w14:textFill>
        </w:rPr>
      </w:pPr>
    </w:p>
    <w:p w14:paraId="34B87265">
      <w:pPr>
        <w:rPr>
          <w:rFonts w:hint="eastAsia" w:asciiTheme="minorEastAsia" w:hAnsiTheme="minorEastAsia" w:eastAsiaTheme="minorEastAsia" w:cstheme="minorEastAsia"/>
          <w:b/>
          <w:bCs/>
          <w:color w:val="000000" w:themeColor="text1"/>
          <w:highlight w:val="none"/>
          <w14:textFill>
            <w14:solidFill>
              <w14:schemeClr w14:val="tx1"/>
            </w14:solidFill>
          </w14:textFill>
        </w:rPr>
      </w:pPr>
    </w:p>
    <w:p w14:paraId="5DC31463">
      <w:pPr>
        <w:rPr>
          <w:rFonts w:hint="eastAsia" w:asciiTheme="minorEastAsia" w:hAnsiTheme="minorEastAsia" w:eastAsiaTheme="minorEastAsia" w:cstheme="minorEastAsia"/>
          <w:b/>
          <w:bCs/>
          <w:color w:val="000000" w:themeColor="text1"/>
          <w:highlight w:val="none"/>
          <w14:textFill>
            <w14:solidFill>
              <w14:schemeClr w14:val="tx1"/>
            </w14:solidFill>
          </w14:textFill>
        </w:rPr>
      </w:pPr>
    </w:p>
    <w:p w14:paraId="00DCEE56">
      <w:pPr>
        <w:rPr>
          <w:rFonts w:hint="eastAsia" w:asciiTheme="minorEastAsia" w:hAnsiTheme="minorEastAsia" w:eastAsiaTheme="minorEastAsia" w:cstheme="minorEastAsia"/>
          <w:b/>
          <w:bCs/>
          <w:color w:val="000000" w:themeColor="text1"/>
          <w:highlight w:val="none"/>
          <w14:textFill>
            <w14:solidFill>
              <w14:schemeClr w14:val="tx1"/>
            </w14:solidFill>
          </w14:textFill>
        </w:rPr>
      </w:pPr>
    </w:p>
    <w:p w14:paraId="1C086B38">
      <w:pPr>
        <w:rPr>
          <w:rFonts w:hint="eastAsia" w:asciiTheme="minorEastAsia" w:hAnsiTheme="minorEastAsia" w:eastAsiaTheme="minorEastAsia" w:cstheme="minorEastAsia"/>
          <w:b/>
          <w:bCs/>
          <w:color w:val="000000" w:themeColor="text1"/>
          <w:highlight w:val="none"/>
          <w14:textFill>
            <w14:solidFill>
              <w14:schemeClr w14:val="tx1"/>
            </w14:solidFill>
          </w14:textFill>
        </w:rPr>
      </w:pPr>
    </w:p>
    <w:p w14:paraId="0245910C">
      <w:pPr>
        <w:rPr>
          <w:rFonts w:hint="eastAsia" w:asciiTheme="minorEastAsia" w:hAnsiTheme="minorEastAsia" w:eastAsiaTheme="minorEastAsia" w:cstheme="minorEastAsia"/>
          <w:b/>
          <w:bCs/>
          <w:color w:val="000000" w:themeColor="text1"/>
          <w:highlight w:val="none"/>
          <w14:textFill>
            <w14:solidFill>
              <w14:schemeClr w14:val="tx1"/>
            </w14:solidFill>
          </w14:textFill>
        </w:rPr>
      </w:pPr>
    </w:p>
    <w:p w14:paraId="6842D563">
      <w:pPr>
        <w:rPr>
          <w:rFonts w:hint="eastAsia" w:asciiTheme="minorEastAsia" w:hAnsiTheme="minorEastAsia" w:eastAsiaTheme="minorEastAsia" w:cstheme="minorEastAsia"/>
          <w:b/>
          <w:bCs/>
          <w:color w:val="000000" w:themeColor="text1"/>
          <w:highlight w:val="none"/>
          <w14:textFill>
            <w14:solidFill>
              <w14:schemeClr w14:val="tx1"/>
            </w14:solidFill>
          </w14:textFill>
        </w:rPr>
      </w:pPr>
    </w:p>
    <w:p w14:paraId="525AA0A9">
      <w:pPr>
        <w:keepNext w:val="0"/>
        <w:keepLines w:val="0"/>
        <w:pageBreakBefore w:val="0"/>
        <w:widowControl w:val="0"/>
        <w:kinsoku/>
        <w:wordWrap/>
        <w:overflowPunct/>
        <w:topLinePunct w:val="0"/>
        <w:autoSpaceDE/>
        <w:autoSpaceDN/>
        <w:bidi w:val="0"/>
        <w:adjustRightInd/>
        <w:snapToGrid/>
        <w:spacing w:before="0" w:beforeLines="30" w:after="0" w:line="600" w:lineRule="exact"/>
        <w:ind w:left="0" w:leftChars="0" w:firstLine="0" w:firstLineChars="0"/>
        <w:jc w:val="center"/>
        <w:textAlignment w:val="auto"/>
        <w:rPr>
          <w:rFonts w:hint="eastAsia" w:asciiTheme="minorEastAsia" w:hAnsiTheme="minorEastAsia" w:eastAsiaTheme="minorEastAsia" w:cstheme="minorEastAsia"/>
          <w:b/>
          <w:bCs/>
          <w:color w:val="000000" w:themeColor="text1"/>
          <w:sz w:val="36"/>
          <w:szCs w:val="36"/>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36"/>
          <w:szCs w:val="36"/>
          <w:highlight w:val="none"/>
          <w14:textFill>
            <w14:solidFill>
              <w14:schemeClr w14:val="tx1"/>
            </w14:solidFill>
          </w14:textFill>
        </w:rPr>
        <w:t>知识产权合规性声明</w:t>
      </w:r>
    </w:p>
    <w:p w14:paraId="79D26116">
      <w:pPr>
        <w:spacing w:line="360" w:lineRule="auto"/>
        <w:ind w:firstLine="420" w:firstLineChars="200"/>
        <w:rPr>
          <w:rFonts w:ascii="宋体" w:hAnsi="宋体" w:eastAsia="宋体"/>
          <w:color w:val="auto"/>
          <w:szCs w:val="21"/>
          <w:highlight w:val="none"/>
        </w:rPr>
      </w:pPr>
    </w:p>
    <w:p w14:paraId="16E38633">
      <w:pPr>
        <w:spacing w:line="360" w:lineRule="auto"/>
        <w:ind w:firstLine="460" w:firstLineChars="200"/>
        <w:rPr>
          <w:rFonts w:ascii="宋体" w:hAnsi="宋体" w:eastAsia="宋体"/>
          <w:color w:val="auto"/>
          <w:szCs w:val="21"/>
          <w:highlight w:val="none"/>
        </w:rPr>
      </w:pPr>
      <w:r>
        <w:rPr>
          <w:rFonts w:hint="eastAsia" w:ascii="宋体" w:hAnsi="宋体" w:eastAsia="宋体"/>
          <w:color w:val="auto"/>
          <w:sz w:val="23"/>
          <w:szCs w:val="23"/>
          <w:highlight w:val="none"/>
        </w:rPr>
        <w:t>本企业（单位）自愿参与政府投资政府采购的</w:t>
      </w:r>
      <w:r>
        <w:rPr>
          <w:rFonts w:hint="eastAsia" w:ascii="宋体" w:hAnsi="宋体"/>
          <w:color w:val="auto"/>
          <w:sz w:val="23"/>
          <w:szCs w:val="23"/>
          <w:highlight w:val="none"/>
          <w:u w:val="single"/>
          <w:lang w:val="en-US" w:eastAsia="zh-CN"/>
        </w:rPr>
        <w:t xml:space="preserve"> </w:t>
      </w:r>
      <w:r>
        <w:rPr>
          <w:rFonts w:hint="eastAsia" w:ascii="宋体" w:hAnsi="宋体"/>
          <w:color w:val="auto"/>
          <w:sz w:val="23"/>
          <w:szCs w:val="23"/>
          <w:highlight w:val="none"/>
          <w:u w:val="single"/>
          <w:lang w:eastAsia="zh-CN"/>
        </w:rPr>
        <w:t>（</w:t>
      </w:r>
      <w:r>
        <w:rPr>
          <w:rFonts w:hint="eastAsia" w:ascii="宋体" w:hAnsi="宋体" w:eastAsia="宋体"/>
          <w:color w:val="auto"/>
          <w:sz w:val="23"/>
          <w:szCs w:val="23"/>
          <w:highlight w:val="none"/>
          <w:u w:val="single"/>
        </w:rPr>
        <w:t>项目名称</w:t>
      </w:r>
      <w:r>
        <w:rPr>
          <w:rFonts w:hint="eastAsia" w:ascii="宋体" w:hAnsi="宋体"/>
          <w:color w:val="auto"/>
          <w:sz w:val="23"/>
          <w:szCs w:val="23"/>
          <w:highlight w:val="none"/>
          <w:u w:val="single"/>
          <w:lang w:eastAsia="zh-CN"/>
        </w:rPr>
        <w:t>）</w:t>
      </w:r>
      <w:r>
        <w:rPr>
          <w:rFonts w:hint="eastAsia" w:ascii="宋体" w:hAnsi="宋体"/>
          <w:color w:val="auto"/>
          <w:sz w:val="23"/>
          <w:szCs w:val="23"/>
          <w:highlight w:val="none"/>
          <w:u w:val="single"/>
          <w:lang w:val="en-US" w:eastAsia="zh-CN"/>
        </w:rPr>
        <w:t xml:space="preserve"> </w:t>
      </w:r>
      <w:r>
        <w:rPr>
          <w:rFonts w:hint="eastAsia" w:ascii="宋体" w:hAnsi="宋体" w:eastAsia="宋体"/>
          <w:color w:val="auto"/>
          <w:sz w:val="23"/>
          <w:szCs w:val="23"/>
          <w:highlight w:val="none"/>
        </w:rPr>
        <w:t>项目，</w:t>
      </w:r>
      <w:r>
        <w:rPr>
          <w:rFonts w:hint="eastAsia" w:ascii="宋体" w:hAnsi="宋体" w:eastAsia="宋体"/>
          <w:b/>
          <w:color w:val="auto"/>
          <w:sz w:val="23"/>
          <w:szCs w:val="23"/>
          <w:highlight w:val="none"/>
        </w:rPr>
        <w:t>在此郑重承诺</w:t>
      </w:r>
      <w:r>
        <w:rPr>
          <w:rFonts w:hint="eastAsia" w:ascii="宋体" w:hAnsi="宋体" w:eastAsia="宋体"/>
          <w:color w:val="auto"/>
          <w:sz w:val="23"/>
          <w:szCs w:val="23"/>
          <w:highlight w:val="none"/>
        </w:rPr>
        <w:t>：遵守中国知识产权法律、法规、规章、规范性文件及在中国适用的与知识产权有关的国际公约，所参与项目的知识产权明晰无争议，归属或技术来源正当合法。近三年在知识产权领域不存在违反</w:t>
      </w:r>
      <w:r>
        <w:rPr>
          <w:rFonts w:hint="eastAsia" w:ascii="宋体" w:hAnsi="宋体"/>
          <w:color w:val="auto"/>
          <w:sz w:val="23"/>
          <w:szCs w:val="23"/>
          <w:highlight w:val="none"/>
          <w:lang w:eastAsia="zh-CN"/>
        </w:rPr>
        <w:t>法律法规</w:t>
      </w:r>
      <w:r>
        <w:rPr>
          <w:rFonts w:hint="eastAsia" w:ascii="宋体" w:hAnsi="宋体" w:eastAsia="宋体"/>
          <w:color w:val="auto"/>
          <w:sz w:val="23"/>
          <w:szCs w:val="23"/>
          <w:highlight w:val="none"/>
        </w:rPr>
        <w:t>、规章及其他规范性文件的失信行为。所参与的项目不对其他单位及个人的知识产权构成侵权。如经核查确有违反上述承诺应遵守的行为，本企业（单位）将承担由此产生的全部责任。</w:t>
      </w:r>
    </w:p>
    <w:p w14:paraId="45B517F6">
      <w:pPr>
        <w:spacing w:line="360" w:lineRule="auto"/>
        <w:ind w:firstLine="420" w:firstLineChars="200"/>
        <w:rPr>
          <w:rFonts w:ascii="宋体" w:hAnsi="宋体" w:eastAsia="宋体"/>
          <w:color w:val="auto"/>
          <w:szCs w:val="21"/>
          <w:highlight w:val="none"/>
        </w:rPr>
      </w:pPr>
    </w:p>
    <w:p w14:paraId="25371C5E">
      <w:pPr>
        <w:spacing w:line="360" w:lineRule="auto"/>
        <w:ind w:right="1575" w:rightChars="750"/>
        <w:jc w:val="right"/>
        <w:rPr>
          <w:rFonts w:hint="eastAsia" w:ascii="宋体" w:hAnsi="宋体" w:eastAsia="宋体"/>
          <w:color w:val="auto"/>
          <w:szCs w:val="21"/>
          <w:highlight w:val="none"/>
        </w:rPr>
      </w:pPr>
    </w:p>
    <w:p w14:paraId="6797CE38">
      <w:pPr>
        <w:keepNext w:val="0"/>
        <w:keepLines w:val="0"/>
        <w:pageBreakBefore w:val="0"/>
        <w:widowControl w:val="0"/>
        <w:kinsoku/>
        <w:wordWrap/>
        <w:overflowPunct/>
        <w:topLinePunct w:val="0"/>
        <w:autoSpaceDE/>
        <w:autoSpaceDN/>
        <w:bidi w:val="0"/>
        <w:adjustRightInd/>
        <w:snapToGrid/>
        <w:spacing w:line="600" w:lineRule="exact"/>
        <w:ind w:right="1575" w:rightChars="750" w:firstLine="3910" w:firstLineChars="1700"/>
        <w:jc w:val="both"/>
        <w:textAlignment w:val="auto"/>
        <w:rPr>
          <w:rFonts w:ascii="宋体" w:hAnsi="宋体" w:eastAsia="宋体"/>
          <w:color w:val="auto"/>
          <w:sz w:val="23"/>
          <w:szCs w:val="23"/>
          <w:highlight w:val="none"/>
        </w:rPr>
      </w:pPr>
      <w:r>
        <w:rPr>
          <w:rFonts w:hint="eastAsia" w:ascii="宋体" w:hAnsi="宋体" w:eastAsia="宋体"/>
          <w:color w:val="auto"/>
          <w:sz w:val="23"/>
          <w:szCs w:val="23"/>
          <w:highlight w:val="none"/>
        </w:rPr>
        <w:t>供应商名称（电子签章）：</w:t>
      </w:r>
    </w:p>
    <w:p w14:paraId="76E7BB99">
      <w:pPr>
        <w:keepNext w:val="0"/>
        <w:keepLines w:val="0"/>
        <w:pageBreakBefore w:val="0"/>
        <w:widowControl w:val="0"/>
        <w:kinsoku/>
        <w:wordWrap/>
        <w:overflowPunct/>
        <w:topLinePunct w:val="0"/>
        <w:autoSpaceDE/>
        <w:autoSpaceDN/>
        <w:bidi w:val="0"/>
        <w:adjustRightInd/>
        <w:snapToGrid/>
        <w:spacing w:line="600" w:lineRule="exact"/>
        <w:ind w:firstLine="460" w:firstLineChars="200"/>
        <w:jc w:val="center"/>
        <w:textAlignment w:val="auto"/>
        <w:rPr>
          <w:rFonts w:ascii="宋体" w:hAnsi="宋体" w:eastAsia="宋体"/>
          <w:color w:val="auto"/>
          <w:sz w:val="23"/>
          <w:szCs w:val="23"/>
          <w:highlight w:val="none"/>
          <w:u w:val="single"/>
        </w:rPr>
      </w:pPr>
      <w:r>
        <w:rPr>
          <w:rFonts w:hint="eastAsia" w:ascii="宋体" w:hAnsi="宋体"/>
          <w:color w:val="auto"/>
          <w:sz w:val="23"/>
          <w:szCs w:val="23"/>
          <w:highlight w:val="none"/>
          <w:lang w:val="en-US" w:eastAsia="zh-CN"/>
        </w:rPr>
        <w:t xml:space="preserve">                                              </w:t>
      </w:r>
      <w:r>
        <w:rPr>
          <w:rFonts w:hint="eastAsia" w:ascii="宋体" w:hAnsi="宋体" w:eastAsia="宋体"/>
          <w:color w:val="auto"/>
          <w:sz w:val="23"/>
          <w:szCs w:val="23"/>
          <w:highlight w:val="none"/>
        </w:rPr>
        <w:t>日期：</w:t>
      </w:r>
      <w:r>
        <w:rPr>
          <w:rFonts w:hint="eastAsia" w:cs="Times New Roman"/>
          <w:color w:val="auto"/>
          <w:sz w:val="23"/>
          <w:szCs w:val="23"/>
          <w:highlight w:val="none"/>
          <w:u w:val="none"/>
          <w:lang w:val="en-US" w:eastAsia="zh-CN"/>
        </w:rPr>
        <w:t xml:space="preserve">      </w:t>
      </w:r>
      <w:r>
        <w:rPr>
          <w:rFonts w:hint="eastAsia" w:ascii="宋体" w:hAnsi="宋体" w:eastAsia="宋体"/>
          <w:color w:val="auto"/>
          <w:sz w:val="23"/>
          <w:szCs w:val="23"/>
          <w:highlight w:val="none"/>
          <w:u w:val="none"/>
        </w:rPr>
        <w:t>年</w:t>
      </w:r>
      <w:r>
        <w:rPr>
          <w:rFonts w:hint="eastAsia" w:cs="Times New Roman"/>
          <w:color w:val="auto"/>
          <w:sz w:val="23"/>
          <w:szCs w:val="23"/>
          <w:highlight w:val="none"/>
          <w:u w:val="none"/>
          <w:lang w:val="en-US" w:eastAsia="zh-CN"/>
        </w:rPr>
        <w:t xml:space="preserve">   </w:t>
      </w:r>
      <w:r>
        <w:rPr>
          <w:rFonts w:hint="eastAsia" w:ascii="宋体" w:hAnsi="宋体" w:eastAsia="宋体"/>
          <w:color w:val="auto"/>
          <w:sz w:val="23"/>
          <w:szCs w:val="23"/>
          <w:highlight w:val="none"/>
          <w:u w:val="none"/>
        </w:rPr>
        <w:t>月</w:t>
      </w:r>
      <w:r>
        <w:rPr>
          <w:rFonts w:hint="eastAsia" w:ascii="宋体" w:hAnsi="宋体"/>
          <w:color w:val="auto"/>
          <w:sz w:val="23"/>
          <w:szCs w:val="23"/>
          <w:highlight w:val="none"/>
          <w:u w:val="none"/>
          <w:lang w:val="en-US" w:eastAsia="zh-CN"/>
        </w:rPr>
        <w:t xml:space="preserve">   </w:t>
      </w:r>
      <w:r>
        <w:rPr>
          <w:rFonts w:hint="eastAsia" w:ascii="宋体" w:hAnsi="宋体" w:eastAsia="宋体"/>
          <w:color w:val="auto"/>
          <w:sz w:val="23"/>
          <w:szCs w:val="23"/>
          <w:highlight w:val="none"/>
          <w:u w:val="none"/>
        </w:rPr>
        <w:t>日</w:t>
      </w:r>
    </w:p>
    <w:p w14:paraId="3314DD76">
      <w:pPr>
        <w:keepNext w:val="0"/>
        <w:keepLines w:val="0"/>
        <w:pageBreakBefore w:val="0"/>
        <w:widowControl w:val="0"/>
        <w:kinsoku/>
        <w:wordWrap/>
        <w:overflowPunct/>
        <w:topLinePunct w:val="0"/>
        <w:autoSpaceDE/>
        <w:autoSpaceDN/>
        <w:bidi w:val="0"/>
        <w:adjustRightInd/>
        <w:snapToGrid/>
        <w:spacing w:line="600" w:lineRule="exact"/>
        <w:ind w:firstLine="460" w:firstLineChars="200"/>
        <w:jc w:val="right"/>
        <w:textAlignment w:val="auto"/>
        <w:rPr>
          <w:rFonts w:ascii="宋体" w:hAnsi="宋体" w:eastAsia="宋体"/>
          <w:color w:val="auto"/>
          <w:sz w:val="23"/>
          <w:szCs w:val="23"/>
          <w:highlight w:val="none"/>
          <w:u w:val="single"/>
        </w:rPr>
        <w:sectPr>
          <w:pgSz w:w="11906" w:h="16838"/>
          <w:pgMar w:top="1134" w:right="1247" w:bottom="1134" w:left="1417" w:header="851" w:footer="992" w:gutter="0"/>
          <w:cols w:space="425" w:num="1"/>
          <w:docGrid w:type="lines" w:linePitch="312" w:charSpace="0"/>
        </w:sectPr>
      </w:pPr>
    </w:p>
    <w:p w14:paraId="27EBA2F8">
      <w:pPr>
        <w:pStyle w:val="2"/>
        <w:keepNext/>
        <w:keepLines/>
        <w:pageBreakBefore w:val="0"/>
        <w:widowControl w:val="0"/>
        <w:kinsoku/>
        <w:wordWrap/>
        <w:overflowPunct/>
        <w:topLinePunct w:val="0"/>
        <w:autoSpaceDE/>
        <w:autoSpaceDN/>
        <w:bidi w:val="0"/>
        <w:adjustRightInd/>
        <w:snapToGrid/>
        <w:spacing w:before="0" w:after="0" w:line="640" w:lineRule="exact"/>
        <w:jc w:val="center"/>
        <w:textAlignment w:val="auto"/>
        <w:rPr>
          <w:rFonts w:hint="eastAsia" w:asciiTheme="minorEastAsia" w:hAnsiTheme="minorEastAsia" w:eastAsiaTheme="minorEastAsia" w:cstheme="minorEastAsia"/>
          <w:b w:val="0"/>
          <w:bCs w:val="0"/>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40"/>
          <w:szCs w:val="40"/>
          <w:highlight w:val="none"/>
          <w14:textFill>
            <w14:solidFill>
              <w14:schemeClr w14:val="tx1"/>
            </w14:solidFill>
          </w14:textFill>
        </w:rPr>
        <w:t>第六章 合同文本</w:t>
      </w:r>
    </w:p>
    <w:p w14:paraId="1E960D4D">
      <w:pPr>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p w14:paraId="237CB11C">
      <w:pPr>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广西政府采购云平台合同编号：</w:t>
      </w:r>
    </w:p>
    <w:p w14:paraId="33CF7D2D">
      <w:pPr>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p w14:paraId="5619EEAF">
      <w:pPr>
        <w:rPr>
          <w:rFonts w:hint="eastAsia" w:asciiTheme="minorEastAsia" w:hAnsiTheme="minorEastAsia" w:eastAsiaTheme="minorEastAsia" w:cstheme="minorEastAsia"/>
          <w:color w:val="000000" w:themeColor="text1"/>
          <w:sz w:val="24"/>
          <w:highlight w:val="none"/>
          <w14:textFill>
            <w14:solidFill>
              <w14:schemeClr w14:val="tx1"/>
            </w14:solidFill>
          </w14:textFill>
        </w:rPr>
      </w:pPr>
    </w:p>
    <w:p w14:paraId="6A4BA07F">
      <w:pPr>
        <w:spacing w:line="360" w:lineRule="auto"/>
        <w:jc w:val="center"/>
        <w:rPr>
          <w:rFonts w:hint="eastAsia" w:asciiTheme="minorEastAsia" w:hAnsiTheme="minorEastAsia" w:eastAsiaTheme="minorEastAsia" w:cstheme="minorEastAsia"/>
          <w:b/>
          <w:bCs/>
          <w:color w:val="000000" w:themeColor="text1"/>
          <w:sz w:val="20"/>
          <w:szCs w:val="20"/>
          <w:highlight w:val="none"/>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52"/>
          <w:highlight w:val="none"/>
          <w:lang w:val="en-US" w:eastAsia="zh-CN"/>
          <w14:textFill>
            <w14:solidFill>
              <w14:schemeClr w14:val="tx1"/>
            </w14:solidFill>
          </w14:textFill>
        </w:rPr>
        <w:t>政府采购</w:t>
      </w:r>
    </w:p>
    <w:p w14:paraId="5EACE28B">
      <w:pPr>
        <w:spacing w:line="360" w:lineRule="auto"/>
        <w:jc w:val="center"/>
        <w:rPr>
          <w:rFonts w:hint="default" w:asciiTheme="minorEastAsia" w:hAnsiTheme="minorEastAsia" w:eastAsiaTheme="minorEastAsia" w:cstheme="minorEastAsia"/>
          <w:b/>
          <w:bCs/>
          <w:color w:val="000000" w:themeColor="text1"/>
          <w:sz w:val="20"/>
          <w:szCs w:val="20"/>
          <w:highlight w:val="none"/>
          <w:lang w:val="en-US" w:eastAsia="zh-CN"/>
          <w14:textFill>
            <w14:solidFill>
              <w14:schemeClr w14:val="tx1"/>
            </w14:solidFill>
          </w14:textFill>
        </w:rPr>
      </w:pPr>
    </w:p>
    <w:p w14:paraId="5C3C8F5F">
      <w:pPr>
        <w:spacing w:line="360" w:lineRule="auto"/>
        <w:ind w:firstLine="437"/>
        <w:jc w:val="center"/>
        <w:rPr>
          <w:rFonts w:hint="eastAsia" w:ascii="宋体" w:hAnsi="宋体" w:eastAsia="宋体" w:cs="宋体"/>
          <w:b/>
          <w:color w:val="000000" w:themeColor="text1"/>
          <w:sz w:val="44"/>
          <w:szCs w:val="44"/>
          <w:highlight w:val="none"/>
          <w:lang w:val="en-US"/>
          <w14:textFill>
            <w14:solidFill>
              <w14:schemeClr w14:val="tx1"/>
            </w14:solidFill>
          </w14:textFill>
        </w:rPr>
      </w:pPr>
      <w:r>
        <w:rPr>
          <w:rFonts w:hint="eastAsia" w:ascii="宋体" w:hAnsi="宋体" w:eastAsia="宋体" w:cs="宋体"/>
          <w:b/>
          <w:color w:val="000000" w:themeColor="text1"/>
          <w:sz w:val="44"/>
          <w:szCs w:val="44"/>
          <w:highlight w:val="none"/>
          <w:u w:val="single"/>
          <w:lang w:val="en-US" w:eastAsia="zh-CN"/>
          <w14:textFill>
            <w14:solidFill>
              <w14:schemeClr w14:val="tx1"/>
            </w14:solidFill>
          </w14:textFill>
        </w:rPr>
        <w:t xml:space="preserve"> </w:t>
      </w:r>
      <w:r>
        <w:rPr>
          <w:rFonts w:hint="eastAsia" w:ascii="宋体" w:hAnsi="宋体" w:eastAsia="宋体" w:cs="宋体"/>
          <w:b/>
          <w:color w:val="000000" w:themeColor="text1"/>
          <w:sz w:val="44"/>
          <w:szCs w:val="44"/>
          <w:highlight w:val="none"/>
          <w:u w:val="single"/>
          <w:lang w:eastAsia="zh-CN"/>
          <w14:textFill>
            <w14:solidFill>
              <w14:schemeClr w14:val="tx1"/>
            </w14:solidFill>
          </w14:textFill>
        </w:rPr>
        <w:t>钦州市精神病医院扩建项目检测</w:t>
      </w:r>
      <w:r>
        <w:rPr>
          <w:rFonts w:hint="eastAsia" w:ascii="宋体" w:hAnsi="宋体" w:eastAsia="宋体" w:cs="宋体"/>
          <w:b/>
          <w:color w:val="000000" w:themeColor="text1"/>
          <w:sz w:val="44"/>
          <w:szCs w:val="44"/>
          <w:highlight w:val="none"/>
          <w:u w:val="single"/>
          <w:lang w:val="en-US" w:eastAsia="zh-CN"/>
          <w14:textFill>
            <w14:solidFill>
              <w14:schemeClr w14:val="tx1"/>
            </w14:solidFill>
          </w14:textFill>
        </w:rPr>
        <w:t xml:space="preserve"> </w:t>
      </w:r>
      <w:r>
        <w:rPr>
          <w:rFonts w:hint="eastAsia" w:ascii="宋体" w:hAnsi="宋体" w:eastAsia="宋体" w:cs="宋体"/>
          <w:b/>
          <w:color w:val="000000" w:themeColor="text1"/>
          <w:sz w:val="44"/>
          <w:szCs w:val="44"/>
          <w:highlight w:val="none"/>
          <w:lang w:val="en-US" w:eastAsia="zh-CN"/>
          <w14:textFill>
            <w14:solidFill>
              <w14:schemeClr w14:val="tx1"/>
            </w14:solidFill>
          </w14:textFill>
        </w:rPr>
        <w:t>合同</w:t>
      </w:r>
    </w:p>
    <w:p w14:paraId="213091E1">
      <w:pPr>
        <w:spacing w:line="360" w:lineRule="auto"/>
        <w:jc w:val="center"/>
        <w:rPr>
          <w:rFonts w:hint="eastAsia" w:ascii="仿宋_GB2312" w:hAnsi="宋体" w:eastAsia="仿宋_GB2312"/>
          <w:bCs/>
          <w:color w:val="000000" w:themeColor="text1"/>
          <w:sz w:val="48"/>
          <w:szCs w:val="48"/>
          <w:highlight w:val="none"/>
          <w14:textFill>
            <w14:solidFill>
              <w14:schemeClr w14:val="tx1"/>
            </w14:solidFill>
          </w14:textFill>
        </w:rPr>
      </w:pPr>
    </w:p>
    <w:p w14:paraId="23098800">
      <w:pPr>
        <w:spacing w:line="360" w:lineRule="auto"/>
        <w:jc w:val="center"/>
        <w:rPr>
          <w:rFonts w:hint="eastAsia" w:ascii="仿宋_GB2312" w:hAnsi="宋体" w:eastAsia="仿宋_GB2312"/>
          <w:b/>
          <w:bCs/>
          <w:color w:val="000000" w:themeColor="text1"/>
          <w:sz w:val="24"/>
          <w:highlight w:val="none"/>
          <w14:textFill>
            <w14:solidFill>
              <w14:schemeClr w14:val="tx1"/>
            </w14:solidFill>
          </w14:textFill>
        </w:rPr>
      </w:pPr>
    </w:p>
    <w:p w14:paraId="60334485">
      <w:pPr>
        <w:spacing w:line="360" w:lineRule="auto"/>
        <w:jc w:val="center"/>
        <w:rPr>
          <w:rFonts w:hint="eastAsia" w:ascii="仿宋_GB2312" w:hAnsi="宋体" w:eastAsia="仿宋_GB2312"/>
          <w:b/>
          <w:bCs/>
          <w:color w:val="000000" w:themeColor="text1"/>
          <w:sz w:val="24"/>
          <w:highlight w:val="none"/>
          <w14:textFill>
            <w14:solidFill>
              <w14:schemeClr w14:val="tx1"/>
            </w14:solidFill>
          </w14:textFill>
        </w:rPr>
      </w:pPr>
    </w:p>
    <w:p w14:paraId="0EB1FFE5">
      <w:pPr>
        <w:spacing w:line="360" w:lineRule="auto"/>
        <w:jc w:val="center"/>
        <w:rPr>
          <w:rFonts w:hint="eastAsia" w:ascii="仿宋_GB2312" w:hAnsi="宋体" w:eastAsia="仿宋_GB2312"/>
          <w:b/>
          <w:bCs/>
          <w:color w:val="000000" w:themeColor="text1"/>
          <w:sz w:val="24"/>
          <w:highlight w:val="none"/>
          <w14:textFill>
            <w14:solidFill>
              <w14:schemeClr w14:val="tx1"/>
            </w14:solidFill>
          </w14:textFill>
        </w:rPr>
      </w:pPr>
    </w:p>
    <w:p w14:paraId="1AD0C596">
      <w:pPr>
        <w:keepNext w:val="0"/>
        <w:keepLines w:val="0"/>
        <w:pageBreakBefore w:val="0"/>
        <w:widowControl w:val="0"/>
        <w:kinsoku/>
        <w:wordWrap/>
        <w:overflowPunct/>
        <w:topLinePunct w:val="0"/>
        <w:autoSpaceDE/>
        <w:autoSpaceDN/>
        <w:bidi w:val="0"/>
        <w:adjustRightInd/>
        <w:snapToGrid/>
        <w:spacing w:line="800" w:lineRule="exact"/>
        <w:ind w:left="1260" w:leftChars="600"/>
        <w:textAlignment w:val="auto"/>
        <w:rPr>
          <w:rFonts w:ascii="宋体" w:hAnsi="宋体" w:eastAsia="宋体" w:cs="宋体"/>
          <w:b/>
          <w:color w:val="auto"/>
          <w:sz w:val="36"/>
          <w:szCs w:val="36"/>
          <w:highlight w:val="none"/>
        </w:rPr>
      </w:pPr>
      <w:r>
        <w:rPr>
          <w:rFonts w:hint="eastAsia" w:ascii="宋体" w:hAnsi="宋体" w:eastAsia="宋体" w:cs="宋体"/>
          <w:b/>
          <w:color w:val="auto"/>
          <w:sz w:val="36"/>
          <w:szCs w:val="36"/>
          <w:highlight w:val="none"/>
        </w:rPr>
        <w:t>项目编号：</w:t>
      </w:r>
      <w:r>
        <w:rPr>
          <w:rFonts w:hint="eastAsia" w:ascii="宋体" w:hAnsi="宋体" w:eastAsia="宋体" w:cs="宋体"/>
          <w:b/>
          <w:color w:val="auto"/>
          <w:sz w:val="36"/>
          <w:szCs w:val="36"/>
          <w:highlight w:val="none"/>
          <w:u w:val="single"/>
        </w:rPr>
        <w:t xml:space="preserve"> </w:t>
      </w:r>
      <w:r>
        <w:rPr>
          <w:rFonts w:hint="eastAsia" w:ascii="宋体" w:hAnsi="宋体" w:eastAsia="宋体" w:cs="宋体"/>
          <w:b/>
          <w:color w:val="auto"/>
          <w:sz w:val="36"/>
          <w:szCs w:val="36"/>
          <w:highlight w:val="none"/>
          <w:u w:val="single"/>
          <w:lang w:eastAsia="zh-CN"/>
        </w:rPr>
        <w:t>QZZC2026-C3-990275-GXHC</w:t>
      </w:r>
      <w:r>
        <w:rPr>
          <w:rFonts w:hint="eastAsia" w:ascii="宋体" w:hAnsi="宋体" w:eastAsia="宋体" w:cs="宋体"/>
          <w:b/>
          <w:color w:val="auto"/>
          <w:sz w:val="36"/>
          <w:szCs w:val="36"/>
          <w:highlight w:val="none"/>
          <w:u w:val="single"/>
        </w:rPr>
        <w:t xml:space="preserve"> </w:t>
      </w:r>
    </w:p>
    <w:p w14:paraId="245FDAF0">
      <w:pPr>
        <w:keepNext w:val="0"/>
        <w:keepLines w:val="0"/>
        <w:pageBreakBefore w:val="0"/>
        <w:widowControl w:val="0"/>
        <w:kinsoku/>
        <w:wordWrap/>
        <w:overflowPunct/>
        <w:topLinePunct w:val="0"/>
        <w:autoSpaceDE/>
        <w:autoSpaceDN/>
        <w:bidi w:val="0"/>
        <w:adjustRightInd/>
        <w:snapToGrid/>
        <w:spacing w:line="800" w:lineRule="exact"/>
        <w:ind w:left="1260" w:leftChars="600"/>
        <w:textAlignment w:val="auto"/>
        <w:rPr>
          <w:rFonts w:ascii="宋体" w:hAnsi="宋体" w:eastAsia="宋体" w:cs="宋体"/>
          <w:b/>
          <w:color w:val="auto"/>
          <w:sz w:val="36"/>
          <w:szCs w:val="36"/>
          <w:highlight w:val="none"/>
          <w:u w:val="single"/>
        </w:rPr>
      </w:pPr>
      <w:r>
        <w:rPr>
          <w:rFonts w:hint="eastAsia" w:ascii="宋体" w:hAnsi="宋体" w:eastAsia="宋体" w:cs="宋体"/>
          <w:b/>
          <w:color w:val="auto"/>
          <w:sz w:val="36"/>
          <w:szCs w:val="36"/>
          <w:highlight w:val="none"/>
        </w:rPr>
        <w:t>计划编号：</w:t>
      </w:r>
      <w:r>
        <w:rPr>
          <w:rFonts w:hint="eastAsia" w:ascii="宋体" w:hAnsi="宋体" w:eastAsia="宋体" w:cs="宋体"/>
          <w:b/>
          <w:color w:val="auto"/>
          <w:sz w:val="36"/>
          <w:szCs w:val="36"/>
          <w:highlight w:val="none"/>
          <w:u w:val="single"/>
        </w:rPr>
        <w:t xml:space="preserve"> 钦州政采</w:t>
      </w:r>
      <w:r>
        <w:rPr>
          <w:rFonts w:hint="eastAsia" w:ascii="宋体" w:hAnsi="宋体" w:cs="宋体"/>
          <w:b/>
          <w:color w:val="auto"/>
          <w:sz w:val="36"/>
          <w:szCs w:val="36"/>
          <w:highlight w:val="none"/>
          <w:u w:val="single"/>
          <w:lang w:eastAsia="zh-CN"/>
        </w:rPr>
        <w:t>〔2026〕2020号</w:t>
      </w:r>
      <w:r>
        <w:rPr>
          <w:rFonts w:hint="eastAsia" w:ascii="宋体" w:hAnsi="宋体" w:eastAsia="宋体" w:cs="宋体"/>
          <w:b/>
          <w:color w:val="auto"/>
          <w:sz w:val="36"/>
          <w:szCs w:val="36"/>
          <w:highlight w:val="none"/>
          <w:u w:val="single"/>
        </w:rPr>
        <w:t xml:space="preserve"> </w:t>
      </w:r>
    </w:p>
    <w:p w14:paraId="7A0CA3D6">
      <w:pPr>
        <w:keepNext w:val="0"/>
        <w:keepLines w:val="0"/>
        <w:pageBreakBefore w:val="0"/>
        <w:widowControl w:val="0"/>
        <w:tabs>
          <w:tab w:val="left" w:pos="7200"/>
        </w:tabs>
        <w:kinsoku/>
        <w:wordWrap/>
        <w:overflowPunct/>
        <w:topLinePunct w:val="0"/>
        <w:autoSpaceDE/>
        <w:autoSpaceDN/>
        <w:bidi w:val="0"/>
        <w:adjustRightInd/>
        <w:snapToGrid/>
        <w:spacing w:line="800" w:lineRule="exact"/>
        <w:ind w:left="1260" w:leftChars="600"/>
        <w:textAlignment w:val="auto"/>
        <w:rPr>
          <w:rFonts w:ascii="宋体" w:hAnsi="宋体" w:eastAsia="宋体" w:cs="宋体"/>
          <w:b/>
          <w:color w:val="auto"/>
          <w:sz w:val="36"/>
          <w:szCs w:val="36"/>
          <w:highlight w:val="none"/>
        </w:rPr>
      </w:pPr>
    </w:p>
    <w:p w14:paraId="2236F54F">
      <w:pPr>
        <w:keepNext w:val="0"/>
        <w:keepLines w:val="0"/>
        <w:pageBreakBefore w:val="0"/>
        <w:widowControl w:val="0"/>
        <w:tabs>
          <w:tab w:val="left" w:pos="7200"/>
        </w:tabs>
        <w:kinsoku/>
        <w:wordWrap/>
        <w:overflowPunct/>
        <w:topLinePunct w:val="0"/>
        <w:autoSpaceDE/>
        <w:autoSpaceDN/>
        <w:bidi w:val="0"/>
        <w:adjustRightInd/>
        <w:snapToGrid/>
        <w:spacing w:line="800" w:lineRule="exact"/>
        <w:ind w:left="1260" w:leftChars="600"/>
        <w:textAlignment w:val="auto"/>
        <w:rPr>
          <w:rFonts w:hint="eastAsia" w:ascii="宋体" w:hAnsi="宋体" w:eastAsia="宋体" w:cs="宋体"/>
          <w:b/>
          <w:color w:val="auto"/>
          <w:sz w:val="18"/>
          <w:szCs w:val="18"/>
          <w:highlight w:val="none"/>
        </w:rPr>
      </w:pPr>
    </w:p>
    <w:p w14:paraId="7C3C70A4">
      <w:pPr>
        <w:keepNext w:val="0"/>
        <w:keepLines w:val="0"/>
        <w:pageBreakBefore w:val="0"/>
        <w:widowControl w:val="0"/>
        <w:tabs>
          <w:tab w:val="left" w:pos="7200"/>
        </w:tabs>
        <w:kinsoku/>
        <w:wordWrap/>
        <w:overflowPunct/>
        <w:topLinePunct w:val="0"/>
        <w:autoSpaceDE/>
        <w:autoSpaceDN/>
        <w:bidi w:val="0"/>
        <w:adjustRightInd/>
        <w:snapToGrid/>
        <w:spacing w:line="800" w:lineRule="exact"/>
        <w:ind w:left="1260" w:leftChars="600"/>
        <w:textAlignment w:val="auto"/>
        <w:rPr>
          <w:rFonts w:ascii="宋体" w:hAnsi="宋体" w:eastAsia="宋体" w:cs="宋体"/>
          <w:b/>
          <w:color w:val="auto"/>
          <w:sz w:val="36"/>
          <w:szCs w:val="36"/>
          <w:highlight w:val="none"/>
          <w:u w:val="single"/>
        </w:rPr>
      </w:pPr>
      <w:r>
        <w:rPr>
          <w:rFonts w:hint="eastAsia" w:ascii="宋体" w:hAnsi="宋体" w:eastAsia="宋体" w:cs="宋体"/>
          <w:b/>
          <w:color w:val="auto"/>
          <w:sz w:val="36"/>
          <w:szCs w:val="36"/>
          <w:highlight w:val="none"/>
        </w:rPr>
        <w:t>采 购 人：</w:t>
      </w:r>
      <w:r>
        <w:rPr>
          <w:rFonts w:hint="eastAsia" w:ascii="宋体" w:hAnsi="宋体" w:eastAsia="宋体" w:cs="宋体"/>
          <w:b/>
          <w:color w:val="auto"/>
          <w:sz w:val="36"/>
          <w:szCs w:val="36"/>
          <w:highlight w:val="none"/>
          <w:u w:val="single"/>
        </w:rPr>
        <w:t xml:space="preserve">                           </w:t>
      </w:r>
    </w:p>
    <w:p w14:paraId="52086F93">
      <w:pPr>
        <w:keepNext w:val="0"/>
        <w:keepLines w:val="0"/>
        <w:pageBreakBefore w:val="0"/>
        <w:widowControl w:val="0"/>
        <w:tabs>
          <w:tab w:val="left" w:pos="7380"/>
        </w:tabs>
        <w:kinsoku/>
        <w:wordWrap/>
        <w:overflowPunct/>
        <w:topLinePunct w:val="0"/>
        <w:autoSpaceDE/>
        <w:autoSpaceDN/>
        <w:bidi w:val="0"/>
        <w:adjustRightInd/>
        <w:snapToGrid/>
        <w:spacing w:line="800" w:lineRule="exact"/>
        <w:ind w:left="1260" w:leftChars="600"/>
        <w:textAlignment w:val="auto"/>
        <w:rPr>
          <w:rFonts w:ascii="宋体" w:hAnsi="宋体" w:eastAsia="宋体" w:cs="宋体"/>
          <w:color w:val="auto"/>
          <w:sz w:val="36"/>
          <w:szCs w:val="36"/>
          <w:highlight w:val="none"/>
        </w:rPr>
      </w:pPr>
      <w:r>
        <w:rPr>
          <w:rFonts w:hint="eastAsia" w:ascii="宋体" w:hAnsi="宋体" w:eastAsia="宋体" w:cs="宋体"/>
          <w:b/>
          <w:color w:val="auto"/>
          <w:sz w:val="36"/>
          <w:szCs w:val="36"/>
          <w:highlight w:val="none"/>
          <w:lang w:val="en-US" w:eastAsia="zh-CN"/>
        </w:rPr>
        <w:t>成交</w:t>
      </w:r>
      <w:r>
        <w:rPr>
          <w:rFonts w:hint="eastAsia" w:ascii="宋体" w:hAnsi="宋体" w:eastAsia="宋体" w:cs="宋体"/>
          <w:b/>
          <w:color w:val="auto"/>
          <w:sz w:val="36"/>
          <w:szCs w:val="36"/>
          <w:highlight w:val="none"/>
        </w:rPr>
        <w:t>供应商：</w:t>
      </w:r>
      <w:r>
        <w:rPr>
          <w:rFonts w:hint="eastAsia" w:ascii="宋体" w:hAnsi="宋体" w:eastAsia="宋体" w:cs="宋体"/>
          <w:b/>
          <w:color w:val="auto"/>
          <w:sz w:val="36"/>
          <w:szCs w:val="36"/>
          <w:highlight w:val="none"/>
          <w:u w:val="single"/>
        </w:rPr>
        <w:t xml:space="preserve">                         </w:t>
      </w:r>
    </w:p>
    <w:p w14:paraId="655ADB01">
      <w:pPr>
        <w:spacing w:line="360" w:lineRule="auto"/>
        <w:jc w:val="center"/>
        <w:rPr>
          <w:rFonts w:hint="eastAsia" w:ascii="华文中宋" w:hAnsi="华文中宋" w:eastAsia="华文中宋"/>
          <w:b/>
          <w:bCs/>
          <w:color w:val="000000" w:themeColor="text1"/>
          <w:sz w:val="18"/>
          <w:szCs w:val="18"/>
          <w:highlight w:val="none"/>
          <w14:textFill>
            <w14:solidFill>
              <w14:schemeClr w14:val="tx1"/>
            </w14:solidFill>
          </w14:textFill>
        </w:rPr>
      </w:pPr>
    </w:p>
    <w:p w14:paraId="23208BA9">
      <w:pPr>
        <w:spacing w:line="360" w:lineRule="auto"/>
        <w:jc w:val="center"/>
        <w:rPr>
          <w:rFonts w:hint="eastAsia" w:ascii="华文中宋" w:hAnsi="华文中宋" w:eastAsia="华文中宋"/>
          <w:b/>
          <w:bCs/>
          <w:color w:val="000000" w:themeColor="text1"/>
          <w:sz w:val="18"/>
          <w:szCs w:val="18"/>
          <w:highlight w:val="none"/>
          <w14:textFill>
            <w14:solidFill>
              <w14:schemeClr w14:val="tx1"/>
            </w14:solidFill>
          </w14:textFill>
        </w:rPr>
      </w:pPr>
    </w:p>
    <w:p w14:paraId="64505807">
      <w:pPr>
        <w:spacing w:line="360" w:lineRule="auto"/>
        <w:jc w:val="center"/>
        <w:rPr>
          <w:rFonts w:hint="eastAsia" w:ascii="华文中宋" w:hAnsi="华文中宋" w:eastAsia="华文中宋"/>
          <w:b/>
          <w:bCs/>
          <w:color w:val="000000" w:themeColor="text1"/>
          <w:sz w:val="18"/>
          <w:szCs w:val="18"/>
          <w:highlight w:val="none"/>
          <w14:textFill>
            <w14:solidFill>
              <w14:schemeClr w14:val="tx1"/>
            </w14:solidFill>
          </w14:textFill>
        </w:rPr>
      </w:pPr>
    </w:p>
    <w:p w14:paraId="4F8BEFCD">
      <w:pPr>
        <w:spacing w:before="120" w:line="360" w:lineRule="auto"/>
        <w:ind w:left="0" w:leftChars="0" w:firstLine="0" w:firstLineChars="0"/>
        <w:jc w:val="center"/>
        <w:rPr>
          <w:rFonts w:hint="eastAsia" w:ascii="新宋体" w:hAnsi="新宋体" w:eastAsia="新宋体" w:cs="新宋体"/>
          <w:b/>
          <w:bCs/>
          <w:color w:val="auto"/>
          <w:sz w:val="32"/>
          <w:szCs w:val="32"/>
          <w:highlight w:val="none"/>
          <w:u w:val="single"/>
        </w:rPr>
      </w:pPr>
      <w:r>
        <w:rPr>
          <w:rFonts w:hint="eastAsia" w:ascii="新宋体" w:hAnsi="新宋体" w:eastAsia="新宋体" w:cs="新宋体"/>
          <w:b/>
          <w:bCs/>
          <w:color w:val="auto"/>
          <w:sz w:val="32"/>
          <w:szCs w:val="32"/>
          <w:highlight w:val="none"/>
        </w:rPr>
        <w:t>签订日期：</w:t>
      </w:r>
      <w:r>
        <w:rPr>
          <w:rFonts w:hint="eastAsia" w:ascii="新宋体" w:hAnsi="新宋体" w:eastAsia="新宋体" w:cs="新宋体"/>
          <w:b/>
          <w:bCs/>
          <w:color w:val="auto"/>
          <w:sz w:val="32"/>
          <w:szCs w:val="32"/>
          <w:highlight w:val="none"/>
          <w:lang w:val="en-US" w:eastAsia="zh-CN"/>
        </w:rPr>
        <w:t xml:space="preserve"> </w:t>
      </w:r>
      <w:r>
        <w:rPr>
          <w:rFonts w:hint="eastAsia" w:ascii="新宋体" w:hAnsi="新宋体" w:eastAsia="新宋体" w:cs="新宋体"/>
          <w:b/>
          <w:bCs/>
          <w:color w:val="auto"/>
          <w:sz w:val="32"/>
          <w:szCs w:val="32"/>
          <w:highlight w:val="none"/>
        </w:rPr>
        <w:t xml:space="preserve">   </w:t>
      </w:r>
      <w:r>
        <w:rPr>
          <w:rFonts w:hint="eastAsia" w:ascii="新宋体" w:hAnsi="新宋体" w:eastAsia="新宋体" w:cs="新宋体"/>
          <w:b/>
          <w:bCs/>
          <w:color w:val="auto"/>
          <w:sz w:val="32"/>
          <w:szCs w:val="32"/>
          <w:highlight w:val="none"/>
          <w:lang w:val="en-US" w:eastAsia="zh-CN"/>
        </w:rPr>
        <w:t xml:space="preserve">   </w:t>
      </w:r>
      <w:r>
        <w:rPr>
          <w:rFonts w:hint="eastAsia" w:ascii="新宋体" w:hAnsi="新宋体" w:eastAsia="新宋体" w:cs="新宋体"/>
          <w:b/>
          <w:bCs/>
          <w:color w:val="auto"/>
          <w:sz w:val="32"/>
          <w:szCs w:val="32"/>
          <w:highlight w:val="none"/>
        </w:rPr>
        <w:t>年</w:t>
      </w:r>
      <w:r>
        <w:rPr>
          <w:rFonts w:hint="eastAsia" w:ascii="新宋体" w:hAnsi="新宋体" w:eastAsia="新宋体" w:cs="新宋体"/>
          <w:b/>
          <w:bCs/>
          <w:color w:val="auto"/>
          <w:sz w:val="32"/>
          <w:szCs w:val="32"/>
          <w:highlight w:val="none"/>
          <w:lang w:val="en-US" w:eastAsia="zh-CN"/>
        </w:rPr>
        <w:t xml:space="preserve">   </w:t>
      </w:r>
      <w:r>
        <w:rPr>
          <w:rFonts w:hint="eastAsia" w:ascii="新宋体" w:hAnsi="新宋体" w:eastAsia="新宋体" w:cs="新宋体"/>
          <w:b/>
          <w:bCs/>
          <w:color w:val="auto"/>
          <w:sz w:val="32"/>
          <w:szCs w:val="32"/>
          <w:highlight w:val="none"/>
        </w:rPr>
        <w:t xml:space="preserve">月 </w:t>
      </w:r>
      <w:r>
        <w:rPr>
          <w:rFonts w:hint="eastAsia" w:ascii="新宋体" w:hAnsi="新宋体" w:eastAsia="新宋体" w:cs="新宋体"/>
          <w:b/>
          <w:bCs/>
          <w:color w:val="auto"/>
          <w:sz w:val="32"/>
          <w:szCs w:val="32"/>
          <w:highlight w:val="none"/>
          <w:lang w:val="en-US" w:eastAsia="zh-CN"/>
        </w:rPr>
        <w:t xml:space="preserve"> </w:t>
      </w:r>
      <w:r>
        <w:rPr>
          <w:rFonts w:hint="eastAsia" w:ascii="新宋体" w:hAnsi="新宋体" w:eastAsia="新宋体" w:cs="新宋体"/>
          <w:b/>
          <w:bCs/>
          <w:color w:val="auto"/>
          <w:sz w:val="32"/>
          <w:szCs w:val="32"/>
          <w:highlight w:val="none"/>
        </w:rPr>
        <w:t xml:space="preserve"> 日</w:t>
      </w:r>
    </w:p>
    <w:p w14:paraId="43E9A1B5">
      <w:pPr>
        <w:spacing w:line="360" w:lineRule="auto"/>
        <w:jc w:val="center"/>
        <w:rPr>
          <w:rFonts w:hint="eastAsia" w:ascii="华文中宋" w:hAnsi="华文中宋" w:eastAsia="华文中宋"/>
          <w:b/>
          <w:color w:val="000000" w:themeColor="text1"/>
          <w:highlight w:val="none"/>
          <w14:textFill>
            <w14:solidFill>
              <w14:schemeClr w14:val="tx1"/>
            </w14:solidFill>
          </w14:textFill>
        </w:rPr>
      </w:pPr>
      <w:r>
        <w:rPr>
          <w:rFonts w:hint="eastAsia" w:ascii="华文中宋" w:hAnsi="华文中宋" w:eastAsia="华文中宋"/>
          <w:b/>
          <w:bCs/>
          <w:color w:val="000000" w:themeColor="text1"/>
          <w:sz w:val="32"/>
          <w:szCs w:val="32"/>
          <w:highlight w:val="none"/>
          <w14:textFill>
            <w14:solidFill>
              <w14:schemeClr w14:val="tx1"/>
            </w14:solidFill>
          </w14:textFill>
        </w:rPr>
        <w:t xml:space="preserve">   </w:t>
      </w:r>
    </w:p>
    <w:p w14:paraId="45362866">
      <w:pPr>
        <w:tabs>
          <w:tab w:val="left" w:pos="3120"/>
        </w:tabs>
        <w:spacing w:line="360" w:lineRule="auto"/>
        <w:ind w:left="0" w:leftChars="0" w:firstLine="0" w:firstLineChars="0"/>
        <w:jc w:val="center"/>
        <w:rPr>
          <w:rFonts w:hint="eastAsia" w:ascii="华文中宋" w:hAnsi="华文中宋" w:eastAsia="华文中宋"/>
          <w:b/>
          <w:bCs/>
          <w:color w:val="000000" w:themeColor="text1"/>
          <w:sz w:val="36"/>
          <w:szCs w:val="36"/>
          <w:highlight w:val="none"/>
          <w14:textFill>
            <w14:solidFill>
              <w14:schemeClr w14:val="tx1"/>
            </w14:solidFill>
          </w14:textFill>
        </w:rPr>
        <w:sectPr>
          <w:pgSz w:w="11910" w:h="16840"/>
          <w:pgMar w:top="1077" w:right="1247" w:bottom="1077" w:left="1417" w:header="720" w:footer="850" w:gutter="0"/>
          <w:pgBorders>
            <w:top w:val="none" w:sz="0" w:space="0"/>
            <w:left w:val="none" w:sz="0" w:space="0"/>
            <w:bottom w:val="none" w:sz="0" w:space="0"/>
            <w:right w:val="none" w:sz="0" w:space="0"/>
          </w:pgBorders>
          <w:pgNumType w:fmt="decimal"/>
          <w:cols w:space="720" w:num="1"/>
        </w:sectPr>
      </w:pPr>
    </w:p>
    <w:p w14:paraId="74F91C29">
      <w:pPr>
        <w:tabs>
          <w:tab w:val="left" w:pos="3120"/>
        </w:tabs>
        <w:spacing w:line="360" w:lineRule="auto"/>
        <w:ind w:left="0" w:leftChars="0" w:firstLine="0" w:firstLineChars="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华文中宋" w:hAnsi="华文中宋" w:eastAsia="华文中宋"/>
          <w:b/>
          <w:bCs/>
          <w:color w:val="000000" w:themeColor="text1"/>
          <w:sz w:val="36"/>
          <w:szCs w:val="36"/>
          <w:highlight w:val="none"/>
          <w14:textFill>
            <w14:solidFill>
              <w14:schemeClr w14:val="tx1"/>
            </w14:solidFill>
          </w14:textFill>
        </w:rPr>
        <w:t>第一部分  协议书</w:t>
      </w:r>
    </w:p>
    <w:p w14:paraId="430957C9">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委托方：</w:t>
      </w:r>
      <w:r>
        <w:rPr>
          <w:rFonts w:hint="eastAsia" w:asciiTheme="minorEastAsia" w:hAnsiTheme="minorEastAsia" w:eastAsiaTheme="minorEastAsia" w:cstheme="minorEastAsia"/>
          <w:color w:val="000000" w:themeColor="text1"/>
          <w:kern w:val="0"/>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（以下简称甲方）</w:t>
      </w:r>
    </w:p>
    <w:p w14:paraId="4593CB34">
      <w:pPr>
        <w:keepNext w:val="0"/>
        <w:keepLines w:val="0"/>
        <w:pageBreakBefore w:val="0"/>
        <w:widowControl w:val="0"/>
        <w:kinsoku/>
        <w:wordWrap/>
        <w:overflowPunct/>
        <w:topLinePunct w:val="0"/>
        <w:autoSpaceDE/>
        <w:autoSpaceDN/>
        <w:bidi w:val="0"/>
        <w:adjustRightInd w:val="0"/>
        <w:snapToGrid w:val="0"/>
        <w:spacing w:after="0" w:afterLines="30" w:line="440" w:lineRule="exact"/>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服务方：</w:t>
      </w:r>
      <w:r>
        <w:rPr>
          <w:rFonts w:hint="eastAsia" w:asciiTheme="minorEastAsia" w:hAnsiTheme="minorEastAsia" w:eastAsiaTheme="minorEastAsia" w:cstheme="minorEastAsia"/>
          <w:color w:val="000000" w:themeColor="text1"/>
          <w:kern w:val="0"/>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（以下简称乙方）</w:t>
      </w:r>
    </w:p>
    <w:p w14:paraId="5DCE6460">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甲方委托乙方对其开发建设（承建）</w:t>
      </w:r>
      <w:r>
        <w:rPr>
          <w:rFonts w:hint="eastAsia" w:asciiTheme="minorEastAsia" w:hAnsiTheme="minorEastAsia" w:eastAsiaTheme="minorEastAsia" w:cstheme="minorEastAsia"/>
          <w:color w:val="auto"/>
          <w:kern w:val="0"/>
          <w:sz w:val="21"/>
          <w:szCs w:val="21"/>
          <w:highlight w:val="none"/>
        </w:rPr>
        <w:t>的</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u w:val="single"/>
          <w:lang w:eastAsia="zh-CN"/>
        </w:rPr>
        <w:t>钦州市精神病医院扩建项目检测</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工程进行检测，按照《中华人民共和国</w:t>
      </w:r>
      <w:r>
        <w:rPr>
          <w:rFonts w:hint="eastAsia" w:asciiTheme="minorEastAsia" w:hAnsiTheme="minorEastAsia" w:eastAsiaTheme="minorEastAsia" w:cstheme="minorEastAsia"/>
          <w:color w:val="auto"/>
          <w:kern w:val="0"/>
          <w:sz w:val="21"/>
          <w:szCs w:val="21"/>
          <w:highlight w:val="none"/>
          <w:lang w:val="en-US" w:eastAsia="zh-CN"/>
        </w:rPr>
        <w:t>民法典</w:t>
      </w:r>
      <w:r>
        <w:rPr>
          <w:rFonts w:hint="eastAsia" w:asciiTheme="minorEastAsia" w:hAnsiTheme="minorEastAsia" w:eastAsiaTheme="minorEastAsia" w:cstheme="minorEastAsia"/>
          <w:color w:val="auto"/>
          <w:kern w:val="0"/>
          <w:sz w:val="21"/>
          <w:szCs w:val="21"/>
          <w:highlight w:val="none"/>
        </w:rPr>
        <w:t>》《中华人民共和国建筑法》及其他有关法律、行政法规，遵循平等、自愿、公平和诚实信用的原则，双方就</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u w:val="single"/>
          <w:lang w:eastAsia="zh-CN"/>
        </w:rPr>
        <w:t>钦州市精神病医院扩建项目检测</w:t>
      </w:r>
      <w:r>
        <w:rPr>
          <w:rFonts w:hint="eastAsia" w:asciiTheme="minorEastAsia" w:hAnsiTheme="minorEastAsia" w:eastAsiaTheme="minorEastAsia" w:cstheme="minorEastAsia"/>
          <w:color w:val="auto"/>
          <w:kern w:val="0"/>
          <w:sz w:val="21"/>
          <w:szCs w:val="21"/>
          <w:highlight w:val="none"/>
          <w:u w:val="single"/>
          <w:lang w:val="en-US" w:eastAsia="zh-CN"/>
        </w:rPr>
        <w:t xml:space="preserve"> </w:t>
      </w:r>
      <w:r>
        <w:rPr>
          <w:rFonts w:hint="eastAsia" w:asciiTheme="minorEastAsia" w:hAnsiTheme="minorEastAsia" w:eastAsiaTheme="minorEastAsia" w:cstheme="minorEastAsia"/>
          <w:color w:val="auto"/>
          <w:kern w:val="0"/>
          <w:sz w:val="21"/>
          <w:szCs w:val="21"/>
          <w:highlight w:val="none"/>
        </w:rPr>
        <w:t>工程质量检测事项协商一致，订立本合同。</w:t>
      </w:r>
    </w:p>
    <w:p w14:paraId="1254FA0C">
      <w:pPr>
        <w:keepNext w:val="0"/>
        <w:keepLines w:val="0"/>
        <w:pageBreakBefore w:val="0"/>
        <w:widowControl w:val="0"/>
        <w:kinsoku/>
        <w:wordWrap/>
        <w:overflowPunct/>
        <w:topLinePunct w:val="0"/>
        <w:autoSpaceDE/>
        <w:autoSpaceDN/>
        <w:bidi w:val="0"/>
        <w:adjustRightInd w:val="0"/>
        <w:snapToGrid w:val="0"/>
        <w:spacing w:line="420" w:lineRule="exact"/>
        <w:ind w:firstLine="417" w:firstLineChars="198"/>
        <w:textAlignment w:val="auto"/>
        <w:outlineLvl w:val="0"/>
        <w:rPr>
          <w:rFonts w:hint="eastAsia" w:asciiTheme="minorEastAsia" w:hAnsiTheme="minorEastAsia" w:eastAsiaTheme="minorEastAsia" w:cstheme="minorEastAsia"/>
          <w:b/>
          <w:color w:val="auto"/>
          <w:kern w:val="0"/>
          <w:sz w:val="21"/>
          <w:szCs w:val="21"/>
          <w:highlight w:val="none"/>
        </w:rPr>
      </w:pPr>
      <w:bookmarkStart w:id="64" w:name="_Toc36049298"/>
      <w:r>
        <w:rPr>
          <w:rFonts w:hint="eastAsia" w:asciiTheme="minorEastAsia" w:hAnsiTheme="minorEastAsia" w:eastAsiaTheme="minorEastAsia" w:cstheme="minorEastAsia"/>
          <w:b/>
          <w:color w:val="auto"/>
          <w:kern w:val="0"/>
          <w:sz w:val="21"/>
          <w:szCs w:val="21"/>
          <w:highlight w:val="none"/>
        </w:rPr>
        <w:t>一、工程概况</w:t>
      </w:r>
      <w:bookmarkEnd w:id="64"/>
    </w:p>
    <w:p w14:paraId="1ACFA451">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auto"/>
          <w:kern w:val="0"/>
          <w:sz w:val="21"/>
          <w:szCs w:val="21"/>
          <w:highlight w:val="none"/>
          <w:u w:val="single"/>
        </w:rPr>
      </w:pPr>
      <w:r>
        <w:rPr>
          <w:rFonts w:hint="eastAsia" w:asciiTheme="minorEastAsia" w:hAnsiTheme="minorEastAsia" w:eastAsiaTheme="minorEastAsia" w:cstheme="minorEastAsia"/>
          <w:color w:val="auto"/>
          <w:kern w:val="0"/>
          <w:sz w:val="21"/>
          <w:szCs w:val="21"/>
          <w:highlight w:val="none"/>
        </w:rPr>
        <w:t>工程名称：</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u w:val="single"/>
          <w:lang w:eastAsia="zh-CN"/>
        </w:rPr>
        <w:t>钦州市精神病医院扩建项目检测</w:t>
      </w:r>
      <w:r>
        <w:rPr>
          <w:rFonts w:hint="eastAsia" w:asciiTheme="minorEastAsia" w:hAnsiTheme="minorEastAsia" w:eastAsiaTheme="minorEastAsia" w:cstheme="minorEastAsia"/>
          <w:color w:val="auto"/>
          <w:kern w:val="0"/>
          <w:sz w:val="21"/>
          <w:szCs w:val="21"/>
          <w:highlight w:val="none"/>
          <w:u w:val="single"/>
        </w:rPr>
        <w:t xml:space="preserve"> </w:t>
      </w:r>
    </w:p>
    <w:p w14:paraId="28C6E322">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工程地址：</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u w:val="single"/>
          <w:lang w:val="en-US" w:eastAsia="zh-CN"/>
        </w:rPr>
        <w:t>位于</w:t>
      </w:r>
      <w:r>
        <w:rPr>
          <w:rFonts w:hint="eastAsia" w:asciiTheme="minorEastAsia" w:hAnsiTheme="minorEastAsia" w:eastAsiaTheme="minorEastAsia" w:cstheme="minorEastAsia"/>
          <w:color w:val="auto"/>
          <w:kern w:val="0"/>
          <w:sz w:val="21"/>
          <w:szCs w:val="21"/>
          <w:highlight w:val="none"/>
          <w:u w:val="single"/>
          <w:lang w:eastAsia="zh-CN"/>
        </w:rPr>
        <w:t>钦州市钦北区子材街道北营社区郑屋村</w:t>
      </w:r>
      <w:r>
        <w:rPr>
          <w:rFonts w:hint="eastAsia" w:asciiTheme="minorEastAsia" w:hAnsiTheme="minorEastAsia" w:eastAsiaTheme="minorEastAsia" w:cstheme="minorEastAsia"/>
          <w:color w:val="auto"/>
          <w:kern w:val="0"/>
          <w:sz w:val="21"/>
          <w:szCs w:val="21"/>
          <w:highlight w:val="none"/>
          <w:u w:val="single"/>
        </w:rPr>
        <w:t xml:space="preserve"> </w:t>
      </w:r>
    </w:p>
    <w:p w14:paraId="225014F3">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auto"/>
          <w:kern w:val="0"/>
          <w:sz w:val="21"/>
          <w:szCs w:val="21"/>
          <w:highlight w:val="none"/>
          <w:u w:val="none"/>
        </w:rPr>
      </w:pPr>
      <w:r>
        <w:rPr>
          <w:rFonts w:hint="eastAsia" w:asciiTheme="minorEastAsia" w:hAnsiTheme="minorEastAsia" w:eastAsiaTheme="minorEastAsia" w:cstheme="minorEastAsia"/>
          <w:color w:val="auto"/>
          <w:kern w:val="0"/>
          <w:sz w:val="21"/>
          <w:szCs w:val="21"/>
          <w:highlight w:val="none"/>
        </w:rPr>
        <w:t>建筑面积：</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u w:val="single"/>
          <w:lang w:eastAsia="zh-CN"/>
        </w:rPr>
        <w:t>总建筑面积为28238.81㎡，1#综合大楼总建筑面积为27941.21㎡，其中地上总建筑面积为23729.62㎡，地下建筑面积为4211.59㎡，建筑占地面积为2369.75㎡，地上层数为14层，地下层数为1层，建设高度为57.15m，建筑结构形式为框架剪力墙结构；2#门卫室总建筑面积为45.60㎡，建筑占地面积为45.60㎡，建筑层数为地上1层，建筑高度（室外地面到屋面女儿墙）为5.15m，建筑结构形式为框架结构；3#洗衣房、污物间总建筑面积为252.00㎡，建筑占地面积为252.00㎡，建筑层数为地上1层，建筑高度（室外地面到屋面女儿墙）为4.85m，建筑结构形式为框架结构。主要建设内容为设计图范围内的建筑、结构、电气、给排水以及室外总平配套道路铺装、绿化景观、给排水、电气、海绵城市等</w:t>
      </w:r>
      <w:r>
        <w:rPr>
          <w:rFonts w:hint="eastAsia" w:asciiTheme="minorEastAsia" w:hAnsiTheme="minorEastAsia" w:eastAsiaTheme="minorEastAsia" w:cstheme="minorEastAsia"/>
          <w:color w:val="auto"/>
          <w:kern w:val="0"/>
          <w:sz w:val="21"/>
          <w:szCs w:val="21"/>
          <w:highlight w:val="none"/>
          <w:u w:val="none"/>
          <w:lang w:eastAsia="zh-CN"/>
        </w:rPr>
        <w:t>。</w:t>
      </w:r>
      <w:r>
        <w:rPr>
          <w:rFonts w:hint="eastAsia" w:asciiTheme="minorEastAsia" w:hAnsiTheme="minorEastAsia" w:eastAsiaTheme="minorEastAsia" w:cstheme="minorEastAsia"/>
          <w:color w:val="auto"/>
          <w:kern w:val="0"/>
          <w:sz w:val="21"/>
          <w:szCs w:val="21"/>
          <w:highlight w:val="none"/>
          <w:u w:val="none"/>
        </w:rPr>
        <w:t xml:space="preserve"> </w:t>
      </w:r>
    </w:p>
    <w:p w14:paraId="336E0B8D">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结构类型：</w:t>
      </w:r>
      <w:r>
        <w:rPr>
          <w:rFonts w:hint="eastAsia" w:asciiTheme="minorEastAsia" w:hAnsiTheme="minorEastAsia" w:eastAsiaTheme="minorEastAsia" w:cstheme="minorEastAsia"/>
          <w:color w:val="auto"/>
          <w:kern w:val="0"/>
          <w:sz w:val="21"/>
          <w:szCs w:val="21"/>
          <w:highlight w:val="none"/>
          <w:u w:val="single"/>
          <w:lang w:eastAsia="zh-CN"/>
        </w:rPr>
        <w:t>框架剪力墙结构、框架结构</w:t>
      </w:r>
    </w:p>
    <w:p w14:paraId="30944B84">
      <w:pPr>
        <w:keepNext w:val="0"/>
        <w:keepLines w:val="0"/>
        <w:pageBreakBefore w:val="0"/>
        <w:widowControl w:val="0"/>
        <w:kinsoku/>
        <w:wordWrap/>
        <w:overflowPunct/>
        <w:topLinePunct w:val="0"/>
        <w:autoSpaceDE/>
        <w:autoSpaceDN/>
        <w:bidi w:val="0"/>
        <w:spacing w:line="420" w:lineRule="exact"/>
        <w:ind w:firstLine="415" w:firstLineChars="198"/>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工程</w:t>
      </w:r>
      <w:r>
        <w:rPr>
          <w:rFonts w:hint="eastAsia" w:asciiTheme="minorEastAsia" w:hAnsiTheme="minorEastAsia" w:eastAsiaTheme="minorEastAsia" w:cstheme="minorEastAsia"/>
          <w:color w:val="auto"/>
          <w:kern w:val="0"/>
          <w:sz w:val="21"/>
          <w:szCs w:val="21"/>
          <w:highlight w:val="none"/>
        </w:rPr>
        <w:t>概算投资额或建筑安装工程费</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u w:val="single"/>
        </w:rPr>
        <w:t>9028.32</w:t>
      </w:r>
      <w:r>
        <w:rPr>
          <w:rFonts w:hint="eastAsia" w:asciiTheme="minorEastAsia" w:hAnsiTheme="minorEastAsia" w:eastAsiaTheme="minorEastAsia" w:cstheme="minorEastAsia"/>
          <w:color w:val="auto"/>
          <w:sz w:val="21"/>
          <w:szCs w:val="21"/>
          <w:highlight w:val="none"/>
          <w:u w:val="single"/>
          <w:lang w:val="en-US" w:eastAsia="zh-CN"/>
        </w:rPr>
        <w:t>万元</w:t>
      </w:r>
      <w:r>
        <w:rPr>
          <w:rFonts w:hint="eastAsia" w:asciiTheme="minorEastAsia" w:hAnsiTheme="minorEastAsia" w:eastAsiaTheme="minorEastAsia" w:cstheme="minorEastAsia"/>
          <w:color w:val="auto"/>
          <w:sz w:val="21"/>
          <w:szCs w:val="21"/>
          <w:highlight w:val="none"/>
          <w:u w:val="single"/>
        </w:rPr>
        <w:t xml:space="preserve"> </w:t>
      </w:r>
    </w:p>
    <w:p w14:paraId="4CDCBF9F">
      <w:pPr>
        <w:keepNext w:val="0"/>
        <w:keepLines w:val="0"/>
        <w:pageBreakBefore w:val="0"/>
        <w:widowControl w:val="0"/>
        <w:kinsoku/>
        <w:wordWrap/>
        <w:overflowPunct/>
        <w:topLinePunct w:val="0"/>
        <w:autoSpaceDE/>
        <w:autoSpaceDN/>
        <w:bidi w:val="0"/>
        <w:spacing w:line="420" w:lineRule="exact"/>
        <w:ind w:firstLine="415" w:firstLineChars="198"/>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rPr>
        <w:t>工程检测范围：</w:t>
      </w:r>
      <w:r>
        <w:rPr>
          <w:rFonts w:hint="eastAsia" w:asciiTheme="minorEastAsia" w:hAnsiTheme="minorEastAsia" w:eastAsiaTheme="minorEastAsia" w:cstheme="minorEastAsia"/>
          <w:color w:val="auto"/>
          <w:kern w:val="0"/>
          <w:sz w:val="21"/>
          <w:szCs w:val="21"/>
          <w:highlight w:val="none"/>
          <w:u w:val="single"/>
          <w:lang w:val="en-US" w:eastAsia="zh-CN"/>
        </w:rPr>
        <w:t>包括地基基础工程检测、见证取样检测、沉降观测、主体结构工程现场检测、建筑物附属设备安装工程检测、节能检测、室内环境检测、土壤氡及土工检测、消防检测、绿色建筑检测及根据国家相关规定或规范要求必须进行的其他检测等</w:t>
      </w:r>
      <w:r>
        <w:rPr>
          <w:rFonts w:hint="eastAsia" w:asciiTheme="minorEastAsia" w:hAnsiTheme="minorEastAsia" w:eastAsiaTheme="minorEastAsia" w:cstheme="minorEastAsia"/>
          <w:color w:val="auto"/>
          <w:sz w:val="21"/>
          <w:szCs w:val="21"/>
          <w:highlight w:val="none"/>
        </w:rPr>
        <w:t>。</w:t>
      </w:r>
    </w:p>
    <w:p w14:paraId="432018F6">
      <w:pPr>
        <w:keepNext w:val="0"/>
        <w:keepLines w:val="0"/>
        <w:pageBreakBefore w:val="0"/>
        <w:widowControl w:val="0"/>
        <w:kinsoku/>
        <w:wordWrap/>
        <w:overflowPunct/>
        <w:topLinePunct w:val="0"/>
        <w:autoSpaceDE/>
        <w:autoSpaceDN/>
        <w:bidi w:val="0"/>
        <w:spacing w:line="420" w:lineRule="exact"/>
        <w:ind w:firstLine="417" w:firstLineChars="198"/>
        <w:textAlignment w:val="auto"/>
        <w:outlineLvl w:val="0"/>
        <w:rPr>
          <w:rFonts w:hint="eastAsia" w:asciiTheme="minorEastAsia" w:hAnsiTheme="minorEastAsia" w:eastAsiaTheme="minorEastAsia" w:cstheme="minorEastAsia"/>
          <w:b/>
          <w:color w:val="auto"/>
          <w:sz w:val="21"/>
          <w:szCs w:val="21"/>
          <w:highlight w:val="none"/>
        </w:rPr>
      </w:pPr>
      <w:bookmarkStart w:id="65" w:name="_Toc36049299"/>
      <w:r>
        <w:rPr>
          <w:rFonts w:hint="eastAsia" w:asciiTheme="minorEastAsia" w:hAnsiTheme="minorEastAsia" w:eastAsiaTheme="minorEastAsia" w:cstheme="minorEastAsia"/>
          <w:b/>
          <w:color w:val="auto"/>
          <w:sz w:val="21"/>
          <w:szCs w:val="21"/>
          <w:highlight w:val="none"/>
        </w:rPr>
        <w:t>二、词语限定</w:t>
      </w:r>
      <w:bookmarkEnd w:id="65"/>
    </w:p>
    <w:p w14:paraId="7CC1645D">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auto"/>
          <w:sz w:val="21"/>
          <w:szCs w:val="21"/>
          <w:highlight w:val="none"/>
        </w:rPr>
        <w:t>协议书中相关词语的含义与通用条件中</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的定义与解释相同。</w:t>
      </w:r>
    </w:p>
    <w:p w14:paraId="346C277A">
      <w:pPr>
        <w:keepNext w:val="0"/>
        <w:keepLines w:val="0"/>
        <w:pageBreakBefore w:val="0"/>
        <w:widowControl w:val="0"/>
        <w:kinsoku/>
        <w:wordWrap/>
        <w:overflowPunct/>
        <w:topLinePunct w:val="0"/>
        <w:autoSpaceDE/>
        <w:autoSpaceDN/>
        <w:bidi w:val="0"/>
        <w:spacing w:line="420" w:lineRule="exact"/>
        <w:ind w:firstLine="417" w:firstLineChars="198"/>
        <w:textAlignment w:val="auto"/>
        <w:outlineLvl w:val="0"/>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66" w:name="_Toc36049300"/>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三、组成本合同的文件</w:t>
      </w:r>
      <w:bookmarkEnd w:id="66"/>
    </w:p>
    <w:p w14:paraId="61540A2D">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成交</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通知书（如有）；</w:t>
      </w:r>
    </w:p>
    <w:p w14:paraId="58709C16">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2.竞标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函及其附录</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如有</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64F92230">
      <w:pPr>
        <w:keepNext w:val="0"/>
        <w:keepLines w:val="0"/>
        <w:pageBreakBefore w:val="0"/>
        <w:widowControl w:val="0"/>
        <w:kinsoku/>
        <w:wordWrap/>
        <w:overflowPunct/>
        <w:topLinePunct w:val="0"/>
        <w:autoSpaceDE/>
        <w:autoSpaceDN/>
        <w:bidi w:val="0"/>
        <w:adjustRightInd w:val="0"/>
        <w:snapToGrid w:val="0"/>
        <w:spacing w:line="4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3.专用合同条款及其附件；</w:t>
      </w:r>
    </w:p>
    <w:p w14:paraId="33F212F2">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4.通用合同条款；</w:t>
      </w:r>
    </w:p>
    <w:p w14:paraId="74120F6C">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5.</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工程检测与相关服务规范</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p>
    <w:p w14:paraId="018BA7C8">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6.</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已标价工程量清单（如有）</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p>
    <w:p w14:paraId="084DD519">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7.</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图纸</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p>
    <w:p w14:paraId="51AA9D2F">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8.附录，即：</w:t>
      </w:r>
    </w:p>
    <w:p w14:paraId="6F2238F1">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附录A  相关服务的范围和内容</w:t>
      </w:r>
    </w:p>
    <w:p w14:paraId="37EB30F8">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附录B  甲方派遣的人员和设备</w:t>
      </w:r>
    </w:p>
    <w:p w14:paraId="3C2E5AC9">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本合同签订后，双方依法签订的补充协议也是本合同文件的组成部分。</w:t>
      </w:r>
    </w:p>
    <w:p w14:paraId="65A99EE2">
      <w:pPr>
        <w:keepNext w:val="0"/>
        <w:keepLines w:val="0"/>
        <w:pageBreakBefore w:val="0"/>
        <w:widowControl w:val="0"/>
        <w:kinsoku/>
        <w:wordWrap/>
        <w:overflowPunct/>
        <w:topLinePunct w:val="0"/>
        <w:autoSpaceDE/>
        <w:autoSpaceDN/>
        <w:bidi w:val="0"/>
        <w:spacing w:line="420" w:lineRule="exact"/>
        <w:ind w:firstLine="417" w:firstLineChars="198"/>
        <w:textAlignment w:val="auto"/>
        <w:outlineLvl w:val="0"/>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67" w:name="_Toc36049301"/>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四、服务质量要求</w:t>
      </w:r>
      <w:bookmarkEnd w:id="67"/>
    </w:p>
    <w:p w14:paraId="21382C25">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工程检测质量符合</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标准。</w:t>
      </w:r>
    </w:p>
    <w:p w14:paraId="62C64B2B">
      <w:pPr>
        <w:keepNext w:val="0"/>
        <w:keepLines w:val="0"/>
        <w:pageBreakBefore w:val="0"/>
        <w:widowControl w:val="0"/>
        <w:kinsoku/>
        <w:wordWrap/>
        <w:overflowPunct/>
        <w:topLinePunct w:val="0"/>
        <w:autoSpaceDE/>
        <w:autoSpaceDN/>
        <w:bidi w:val="0"/>
        <w:spacing w:line="420" w:lineRule="exact"/>
        <w:ind w:firstLine="417" w:firstLineChars="198"/>
        <w:textAlignment w:val="auto"/>
        <w:outlineLvl w:val="0"/>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68" w:name="_Toc36049302"/>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五、检测项目负责人</w:t>
      </w:r>
      <w:bookmarkEnd w:id="68"/>
    </w:p>
    <w:p w14:paraId="34BAA1F6">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检测项目负责人：</w:t>
      </w:r>
      <w:r>
        <w:rPr>
          <w:rFonts w:hint="eastAsia" w:asciiTheme="minorEastAsia" w:hAnsiTheme="minorEastAsia" w:eastAsiaTheme="minorEastAsia" w:cstheme="minorEastAsia"/>
          <w:color w:val="000000" w:themeColor="text1"/>
          <w:kern w:val="0"/>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u w:val="single"/>
          <w14:textFill>
            <w14:solidFill>
              <w14:schemeClr w14:val="tx1"/>
            </w14:solidFill>
          </w14:textFill>
        </w:rPr>
        <w:t xml:space="preserve">     </w:t>
      </w:r>
    </w:p>
    <w:p w14:paraId="22D2B8B4">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身份证号码：</w:t>
      </w:r>
      <w:r>
        <w:rPr>
          <w:rFonts w:hint="eastAsia" w:asciiTheme="minorEastAsia" w:hAnsiTheme="minorEastAsia" w:eastAsiaTheme="minorEastAsia" w:cstheme="minorEastAsia"/>
          <w:color w:val="000000" w:themeColor="text1"/>
          <w:kern w:val="0"/>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u w:val="single"/>
          <w14:textFill>
            <w14:solidFill>
              <w14:schemeClr w14:val="tx1"/>
            </w14:solidFill>
          </w14:textFill>
        </w:rPr>
        <w:t xml:space="preserve">             </w:t>
      </w:r>
    </w:p>
    <w:p w14:paraId="795616A9">
      <w:pPr>
        <w:keepNext w:val="0"/>
        <w:keepLines w:val="0"/>
        <w:pageBreakBefore w:val="0"/>
        <w:widowControl w:val="0"/>
        <w:kinsoku/>
        <w:wordWrap/>
        <w:overflowPunct/>
        <w:topLinePunct w:val="0"/>
        <w:autoSpaceDE/>
        <w:autoSpaceDN/>
        <w:bidi w:val="0"/>
        <w:spacing w:line="420" w:lineRule="exact"/>
        <w:ind w:firstLine="417" w:firstLineChars="198"/>
        <w:textAlignment w:val="auto"/>
        <w:outlineLvl w:val="0"/>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69" w:name="_Toc3604930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六、签约合同价与合同价格形式</w:t>
      </w:r>
      <w:bookmarkEnd w:id="69"/>
    </w:p>
    <w:p w14:paraId="1217515C">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签约合同总价为（大写）：</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或下浮系数为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%【注：填报下浮系数时，不需在下浮系数前加负号</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p>
    <w:p w14:paraId="2BFBE011">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具体检测内容及抽检数量，详见合同附件；</w:t>
      </w:r>
    </w:p>
    <w:p w14:paraId="2C6B556B">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合同价格形式为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F81C96A">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eastAsia="宋体" w:asciiTheme="minorEastAsia" w:hAnsiTheme="minorEastAsia" w:cstheme="minorEastAsia"/>
          <w:color w:val="000000" w:themeColor="text1"/>
          <w:sz w:val="21"/>
          <w:szCs w:val="21"/>
          <w:highlight w:val="none"/>
          <w:lang w:val="en-US" w:eastAsia="zh-CN"/>
          <w14:textFill>
            <w14:solidFill>
              <w14:schemeClr w14:val="tx1"/>
            </w14:solidFill>
          </w14:textFill>
        </w:rPr>
      </w:pPr>
      <w:bookmarkStart w:id="70" w:name="_Toc36049304"/>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Cs w:val="21"/>
          <w:highlight w:val="none"/>
          <w14:textFill>
            <w14:solidFill>
              <w14:schemeClr w14:val="tx1"/>
            </w14:solidFill>
          </w14:textFill>
        </w:rPr>
        <w:t>按《广西建设工程质量检测和建筑材料试验收费项目及标准指导性意见》（</w:t>
      </w:r>
      <w:r>
        <w:rPr>
          <w:rFonts w:hint="eastAsia" w:ascii="宋体" w:hAnsi="宋体" w:eastAsia="宋体" w:cs="宋体"/>
          <w:color w:val="000000" w:themeColor="text1"/>
          <w:szCs w:val="21"/>
          <w:highlight w:val="none"/>
          <w:lang w:val="en-US" w:eastAsia="zh-CN"/>
          <w14:textFill>
            <w14:solidFill>
              <w14:schemeClr w14:val="tx1"/>
            </w14:solidFill>
          </w14:textFill>
        </w:rPr>
        <w:t>2022</w:t>
      </w:r>
      <w:r>
        <w:rPr>
          <w:rFonts w:hint="eastAsia" w:ascii="宋体" w:hAnsi="宋体" w:eastAsia="宋体" w:cs="宋体"/>
          <w:color w:val="000000" w:themeColor="text1"/>
          <w:szCs w:val="21"/>
          <w:highlight w:val="none"/>
          <w14:textFill>
            <w14:solidFill>
              <w14:schemeClr w14:val="tx1"/>
            </w14:solidFill>
          </w14:textFill>
        </w:rPr>
        <w:t>年版）（桂建检协</w:t>
      </w:r>
      <w:r>
        <w:rPr>
          <w:rFonts w:hint="eastAsia" w:ascii="宋体" w:hAnsi="宋体" w:eastAsia="宋体" w:cs="宋体"/>
          <w:color w:val="000000" w:themeColor="text1"/>
          <w:szCs w:val="21"/>
          <w:highlight w:val="none"/>
          <w:lang w:eastAsia="zh-CN"/>
          <w14:textFill>
            <w14:solidFill>
              <w14:schemeClr w14:val="tx1"/>
            </w14:solidFill>
          </w14:textFill>
        </w:rPr>
        <w:t>〔2022〕13号</w:t>
      </w:r>
      <w:r>
        <w:rPr>
          <w:rFonts w:hint="eastAsia" w:ascii="宋体" w:hAnsi="宋体" w:eastAsia="宋体" w:cs="宋体"/>
          <w:color w:val="000000" w:themeColor="text1"/>
          <w:szCs w:val="21"/>
          <w:highlight w:val="none"/>
          <w14:textFill>
            <w14:solidFill>
              <w14:schemeClr w14:val="tx1"/>
            </w14:solidFill>
          </w14:textFill>
        </w:rPr>
        <w:t>文）的收费标准或关于颁布2018年《广西壮族自治区工程建设其他费用定额》的通知（桂建标</w:t>
      </w:r>
      <w:r>
        <w:rPr>
          <w:rFonts w:hint="eastAsia" w:ascii="宋体" w:hAnsi="宋体" w:eastAsia="宋体" w:cs="宋体"/>
          <w:color w:val="000000" w:themeColor="text1"/>
          <w:szCs w:val="21"/>
          <w:highlight w:val="none"/>
          <w:lang w:eastAsia="zh-CN"/>
          <w14:textFill>
            <w14:solidFill>
              <w14:schemeClr w14:val="tx1"/>
            </w14:solidFill>
          </w14:textFill>
        </w:rPr>
        <w:t>〔2018〕37号）</w:t>
      </w:r>
      <w:r>
        <w:rPr>
          <w:rFonts w:hint="eastAsia" w:ascii="宋体" w:hAnsi="宋体" w:eastAsia="宋体" w:cs="宋体"/>
          <w:color w:val="000000" w:themeColor="text1"/>
          <w:szCs w:val="21"/>
          <w:highlight w:val="none"/>
          <w14:textFill>
            <w14:solidFill>
              <w14:schemeClr w14:val="tx1"/>
            </w14:solidFill>
          </w14:textFill>
        </w:rPr>
        <w:t>进行收费，若收费标准缺项的，则依据现行有效的国家或地方相关行业收费标准</w:t>
      </w:r>
      <w:r>
        <w:rPr>
          <w:rFonts w:hint="eastAsia" w:ascii="宋体" w:hAnsi="宋体" w:eastAsia="宋体" w:cs="宋体"/>
          <w:color w:val="000000" w:themeColor="text1"/>
          <w:szCs w:val="21"/>
          <w:highlight w:val="none"/>
          <w:lang w:eastAsia="zh-CN"/>
          <w14:textFill>
            <w14:solidFill>
              <w14:schemeClr w14:val="tx1"/>
            </w14:solidFill>
          </w14:textFill>
        </w:rPr>
        <w:t>。</w:t>
      </w:r>
    </w:p>
    <w:p w14:paraId="0926B521">
      <w:pPr>
        <w:keepNext w:val="0"/>
        <w:keepLines w:val="0"/>
        <w:pageBreakBefore w:val="0"/>
        <w:widowControl w:val="0"/>
        <w:kinsoku/>
        <w:wordWrap/>
        <w:overflowPunct/>
        <w:topLinePunct w:val="0"/>
        <w:autoSpaceDE/>
        <w:autoSpaceDN/>
        <w:bidi w:val="0"/>
        <w:spacing w:line="420" w:lineRule="exact"/>
        <w:ind w:firstLine="417" w:firstLineChars="198"/>
        <w:textAlignment w:val="auto"/>
        <w:outlineLvl w:val="0"/>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七、双方承诺</w:t>
      </w:r>
      <w:bookmarkEnd w:id="70"/>
    </w:p>
    <w:p w14:paraId="07491F2C">
      <w:pPr>
        <w:keepNext w:val="0"/>
        <w:keepLines w:val="0"/>
        <w:pageBreakBefore w:val="0"/>
        <w:widowControl w:val="0"/>
        <w:kinsoku/>
        <w:wordWrap/>
        <w:overflowPunct/>
        <w:topLinePunct w:val="0"/>
        <w:autoSpaceDE/>
        <w:autoSpaceDN/>
        <w:bidi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1.甲方向乙方承诺，按照本合同约定为乙方开展工程质量检测提供条件，并按本合同约定支付合同价款。 </w:t>
      </w:r>
    </w:p>
    <w:p w14:paraId="302D3F9E">
      <w:pPr>
        <w:keepNext w:val="0"/>
        <w:keepLines w:val="0"/>
        <w:pageBreakBefore w:val="0"/>
        <w:widowControl w:val="0"/>
        <w:kinsoku/>
        <w:wordWrap/>
        <w:overflowPunct/>
        <w:topLinePunct w:val="0"/>
        <w:autoSpaceDE/>
        <w:autoSpaceDN/>
        <w:bidi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2.乙方向甲方承诺：</w:t>
      </w:r>
    </w:p>
    <w:p w14:paraId="754C0494">
      <w:pPr>
        <w:keepNext w:val="0"/>
        <w:keepLines w:val="0"/>
        <w:pageBreakBefore w:val="0"/>
        <w:widowControl w:val="0"/>
        <w:kinsoku/>
        <w:wordWrap/>
        <w:overflowPunct/>
        <w:topLinePunct w:val="0"/>
        <w:autoSpaceDE/>
        <w:autoSpaceDN/>
        <w:bidi w:val="0"/>
        <w:spacing w:line="420" w:lineRule="exact"/>
        <w:ind w:firstLine="415" w:firstLineChars="198"/>
        <w:textAlignment w:val="auto"/>
        <w:rPr>
          <w:rFonts w:hint="eastAsia" w:asciiTheme="minorEastAsia" w:hAnsiTheme="minorEastAsia" w:eastAsiaTheme="minorEastAsia" w:cstheme="minorEastAsia"/>
          <w:b/>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（1）按照本合同约定</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提供</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工程质量检测报告与相关服务</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p>
    <w:p w14:paraId="38FA7D63">
      <w:pPr>
        <w:keepNext w:val="0"/>
        <w:keepLines w:val="0"/>
        <w:pageBreakBefore w:val="0"/>
        <w:widowControl w:val="0"/>
        <w:kinsoku/>
        <w:wordWrap/>
        <w:overflowPunct/>
        <w:topLinePunct w:val="0"/>
        <w:autoSpaceDE/>
        <w:autoSpaceDN/>
        <w:bidi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（2）按照法律规定及合同约定组织完成工程检测工作，不转包或违法分包。</w:t>
      </w:r>
    </w:p>
    <w:p w14:paraId="2146908C">
      <w:pPr>
        <w:keepNext w:val="0"/>
        <w:keepLines w:val="0"/>
        <w:pageBreakBefore w:val="0"/>
        <w:widowControl w:val="0"/>
        <w:kinsoku/>
        <w:wordWrap/>
        <w:overflowPunct/>
        <w:topLinePunct w:val="0"/>
        <w:autoSpaceDE/>
        <w:autoSpaceDN/>
        <w:bidi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3.甲方和乙方承诺不再就同一工程另行签订与合同实质性内容相背离的协议。</w:t>
      </w:r>
    </w:p>
    <w:p w14:paraId="6FFE8415">
      <w:pPr>
        <w:keepNext w:val="0"/>
        <w:keepLines w:val="0"/>
        <w:pageBreakBefore w:val="0"/>
        <w:widowControl w:val="0"/>
        <w:kinsoku/>
        <w:wordWrap/>
        <w:overflowPunct/>
        <w:topLinePunct w:val="0"/>
        <w:autoSpaceDE/>
        <w:autoSpaceDN/>
        <w:bidi w:val="0"/>
        <w:spacing w:line="420" w:lineRule="exact"/>
        <w:ind w:firstLine="417" w:firstLineChars="198"/>
        <w:textAlignment w:val="auto"/>
        <w:outlineLvl w:val="0"/>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71" w:name="_Toc3604930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八、合同订立</w:t>
      </w:r>
      <w:bookmarkEnd w:id="71"/>
    </w:p>
    <w:p w14:paraId="027D948D">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1.订立时间：</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2026</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月</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w:t>
      </w:r>
    </w:p>
    <w:p w14:paraId="652CB5F7">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2.订立地点：</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B5B2F16">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补充协议：合同未尽事宜，合同当事人另行签订补充协议，补充协议是合同的组成部分。</w:t>
      </w:r>
    </w:p>
    <w:p w14:paraId="16425A63">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4.</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合同生效：本合同自</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生效。</w:t>
      </w:r>
    </w:p>
    <w:p w14:paraId="0085A102">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5.</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本合同一式</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份，均具有同等法律效力，双方各执</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份。</w:t>
      </w:r>
    </w:p>
    <w:p w14:paraId="284EDE5F">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51D59D7">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甲方：</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（盖章）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乙方：</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（盖章）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6221E61F">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地址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地址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7BBBF1B3">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邮政编码：</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邮政编码：</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0E52C344">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法定代表人或其授权                        法定代表人或其授权</w:t>
      </w:r>
    </w:p>
    <w:p w14:paraId="13CFE4E1">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的代理人：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（签字）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的代理人：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（签字）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31F0CC51">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开户银行：</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开户银行：</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27727CC7">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账号：</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账号：</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7DE04934">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联系人：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02B64DF">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电话：</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电话：</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t xml:space="preserve">      </w:t>
      </w:r>
    </w:p>
    <w:p w14:paraId="37AB7ED6">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传真：</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传真：</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t xml:space="preserve">      </w:t>
      </w:r>
    </w:p>
    <w:p w14:paraId="6EFB0A2A">
      <w:pPr>
        <w:keepNext w:val="0"/>
        <w:keepLines w:val="0"/>
        <w:pageBreakBefore w:val="0"/>
        <w:widowControl w:val="0"/>
        <w:kinsoku/>
        <w:wordWrap/>
        <w:overflowPunct/>
        <w:topLinePunct w:val="0"/>
        <w:autoSpaceDE/>
        <w:autoSpaceDN/>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电子邮箱：</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电子邮箱：</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3D0508C5">
      <w:pPr>
        <w:rPr>
          <w:rFonts w:hint="eastAsia" w:ascii="华文中宋" w:hAnsi="华文中宋" w:eastAsia="华文中宋"/>
          <w:b/>
          <w:bCs/>
          <w:color w:val="000000" w:themeColor="text1"/>
          <w:sz w:val="44"/>
          <w:szCs w:val="44"/>
          <w:highlight w:val="none"/>
          <w14:textFill>
            <w14:solidFill>
              <w14:schemeClr w14:val="tx1"/>
            </w14:solidFill>
          </w14:textFill>
        </w:rPr>
      </w:pPr>
    </w:p>
    <w:p w14:paraId="6D7A54A7">
      <w:pPr>
        <w:keepNext w:val="0"/>
        <w:keepLines w:val="0"/>
        <w:pageBreakBefore w:val="0"/>
        <w:widowControl w:val="0"/>
        <w:tabs>
          <w:tab w:val="left" w:pos="3120"/>
        </w:tabs>
        <w:kinsoku/>
        <w:wordWrap/>
        <w:overflowPunct/>
        <w:topLinePunct w:val="0"/>
        <w:autoSpaceDE/>
        <w:autoSpaceDN/>
        <w:bidi w:val="0"/>
        <w:adjustRightInd/>
        <w:snapToGrid/>
        <w:spacing w:after="0" w:afterLines="100" w:line="600" w:lineRule="exact"/>
        <w:ind w:left="0" w:leftChars="0" w:firstLine="0" w:firstLineChars="0"/>
        <w:jc w:val="center"/>
        <w:textAlignment w:val="auto"/>
        <w:rPr>
          <w:rFonts w:hint="eastAsia" w:ascii="华文中宋" w:hAnsi="华文中宋" w:eastAsia="华文中宋"/>
          <w:b/>
          <w:bCs/>
          <w:color w:val="000000" w:themeColor="text1"/>
          <w:sz w:val="36"/>
          <w:szCs w:val="36"/>
          <w:highlight w:val="none"/>
          <w14:textFill>
            <w14:solidFill>
              <w14:schemeClr w14:val="tx1"/>
            </w14:solidFill>
          </w14:textFill>
        </w:rPr>
      </w:pPr>
    </w:p>
    <w:p w14:paraId="04F09B7A">
      <w:pPr>
        <w:keepNext w:val="0"/>
        <w:keepLines w:val="0"/>
        <w:pageBreakBefore w:val="0"/>
        <w:widowControl w:val="0"/>
        <w:tabs>
          <w:tab w:val="left" w:pos="3120"/>
        </w:tabs>
        <w:kinsoku/>
        <w:wordWrap/>
        <w:overflowPunct/>
        <w:topLinePunct w:val="0"/>
        <w:autoSpaceDE/>
        <w:autoSpaceDN/>
        <w:bidi w:val="0"/>
        <w:adjustRightInd/>
        <w:snapToGrid/>
        <w:spacing w:after="0" w:afterLines="100" w:line="600" w:lineRule="exact"/>
        <w:ind w:left="0" w:leftChars="0" w:firstLine="0" w:firstLineChars="0"/>
        <w:jc w:val="center"/>
        <w:textAlignment w:val="auto"/>
        <w:rPr>
          <w:rFonts w:hint="eastAsia" w:ascii="华文中宋" w:hAnsi="华文中宋" w:eastAsia="华文中宋"/>
          <w:b/>
          <w:bCs/>
          <w:color w:val="000000" w:themeColor="text1"/>
          <w:sz w:val="36"/>
          <w:szCs w:val="36"/>
          <w:highlight w:val="none"/>
          <w14:textFill>
            <w14:solidFill>
              <w14:schemeClr w14:val="tx1"/>
            </w14:solidFill>
          </w14:textFill>
        </w:rPr>
      </w:pPr>
    </w:p>
    <w:p w14:paraId="6447A3A9">
      <w:pPr>
        <w:keepNext w:val="0"/>
        <w:keepLines w:val="0"/>
        <w:pageBreakBefore w:val="0"/>
        <w:widowControl w:val="0"/>
        <w:tabs>
          <w:tab w:val="left" w:pos="3120"/>
        </w:tabs>
        <w:kinsoku/>
        <w:wordWrap/>
        <w:overflowPunct/>
        <w:topLinePunct w:val="0"/>
        <w:autoSpaceDE/>
        <w:autoSpaceDN/>
        <w:bidi w:val="0"/>
        <w:adjustRightInd/>
        <w:snapToGrid/>
        <w:spacing w:after="0" w:afterLines="100" w:line="600" w:lineRule="exact"/>
        <w:ind w:left="0" w:leftChars="0" w:firstLine="0" w:firstLineChars="0"/>
        <w:jc w:val="center"/>
        <w:textAlignment w:val="auto"/>
        <w:rPr>
          <w:rFonts w:hint="eastAsia" w:ascii="华文中宋" w:hAnsi="华文中宋" w:eastAsia="华文中宋"/>
          <w:b/>
          <w:bCs/>
          <w:color w:val="000000" w:themeColor="text1"/>
          <w:sz w:val="36"/>
          <w:szCs w:val="36"/>
          <w:highlight w:val="none"/>
          <w14:textFill>
            <w14:solidFill>
              <w14:schemeClr w14:val="tx1"/>
            </w14:solidFill>
          </w14:textFill>
        </w:rPr>
      </w:pPr>
    </w:p>
    <w:p w14:paraId="793C594A">
      <w:pPr>
        <w:keepNext w:val="0"/>
        <w:keepLines w:val="0"/>
        <w:pageBreakBefore w:val="0"/>
        <w:widowControl w:val="0"/>
        <w:tabs>
          <w:tab w:val="left" w:pos="3120"/>
        </w:tabs>
        <w:kinsoku/>
        <w:wordWrap/>
        <w:overflowPunct/>
        <w:topLinePunct w:val="0"/>
        <w:autoSpaceDE/>
        <w:autoSpaceDN/>
        <w:bidi w:val="0"/>
        <w:adjustRightInd/>
        <w:snapToGrid/>
        <w:spacing w:after="0" w:afterLines="100" w:line="600" w:lineRule="exact"/>
        <w:ind w:left="0" w:leftChars="0" w:firstLine="0" w:firstLineChars="0"/>
        <w:jc w:val="center"/>
        <w:textAlignment w:val="auto"/>
        <w:rPr>
          <w:rFonts w:hint="eastAsia" w:ascii="华文中宋" w:hAnsi="华文中宋" w:eastAsia="华文中宋"/>
          <w:b/>
          <w:bCs/>
          <w:color w:val="000000" w:themeColor="text1"/>
          <w:sz w:val="36"/>
          <w:szCs w:val="36"/>
          <w:highlight w:val="none"/>
          <w14:textFill>
            <w14:solidFill>
              <w14:schemeClr w14:val="tx1"/>
            </w14:solidFill>
          </w14:textFill>
        </w:rPr>
      </w:pPr>
    </w:p>
    <w:p w14:paraId="1BBC7B5B">
      <w:pPr>
        <w:keepNext w:val="0"/>
        <w:keepLines w:val="0"/>
        <w:pageBreakBefore w:val="0"/>
        <w:widowControl w:val="0"/>
        <w:tabs>
          <w:tab w:val="left" w:pos="3120"/>
        </w:tabs>
        <w:kinsoku/>
        <w:wordWrap/>
        <w:overflowPunct/>
        <w:topLinePunct w:val="0"/>
        <w:autoSpaceDE/>
        <w:autoSpaceDN/>
        <w:bidi w:val="0"/>
        <w:adjustRightInd/>
        <w:snapToGrid/>
        <w:spacing w:after="0" w:afterLines="100" w:line="600" w:lineRule="exact"/>
        <w:ind w:left="0" w:leftChars="0" w:firstLine="0" w:firstLineChars="0"/>
        <w:jc w:val="center"/>
        <w:textAlignment w:val="auto"/>
        <w:rPr>
          <w:rFonts w:hint="eastAsia" w:ascii="华文中宋" w:hAnsi="华文中宋" w:eastAsia="华文中宋"/>
          <w:b/>
          <w:bCs/>
          <w:color w:val="000000" w:themeColor="text1"/>
          <w:sz w:val="36"/>
          <w:szCs w:val="36"/>
          <w:highlight w:val="none"/>
          <w14:textFill>
            <w14:solidFill>
              <w14:schemeClr w14:val="tx1"/>
            </w14:solidFill>
          </w14:textFill>
        </w:rPr>
      </w:pPr>
    </w:p>
    <w:p w14:paraId="782AE513">
      <w:pPr>
        <w:keepNext w:val="0"/>
        <w:keepLines w:val="0"/>
        <w:pageBreakBefore w:val="0"/>
        <w:widowControl w:val="0"/>
        <w:tabs>
          <w:tab w:val="left" w:pos="3120"/>
        </w:tabs>
        <w:kinsoku/>
        <w:wordWrap/>
        <w:overflowPunct/>
        <w:topLinePunct w:val="0"/>
        <w:autoSpaceDE/>
        <w:autoSpaceDN/>
        <w:bidi w:val="0"/>
        <w:adjustRightInd/>
        <w:snapToGrid/>
        <w:spacing w:after="0" w:afterLines="100" w:line="600" w:lineRule="exact"/>
        <w:ind w:left="0" w:leftChars="0" w:firstLine="0" w:firstLineChars="0"/>
        <w:jc w:val="center"/>
        <w:textAlignment w:val="auto"/>
        <w:rPr>
          <w:rFonts w:hint="eastAsia" w:ascii="华文中宋" w:hAnsi="华文中宋" w:eastAsia="华文中宋"/>
          <w:b/>
          <w:bCs/>
          <w:color w:val="000000" w:themeColor="text1"/>
          <w:sz w:val="36"/>
          <w:szCs w:val="36"/>
          <w:highlight w:val="none"/>
          <w14:textFill>
            <w14:solidFill>
              <w14:schemeClr w14:val="tx1"/>
            </w14:solidFill>
          </w14:textFill>
        </w:rPr>
      </w:pPr>
    </w:p>
    <w:p w14:paraId="62B9B961">
      <w:pPr>
        <w:keepNext w:val="0"/>
        <w:keepLines w:val="0"/>
        <w:pageBreakBefore w:val="0"/>
        <w:widowControl w:val="0"/>
        <w:tabs>
          <w:tab w:val="left" w:pos="3120"/>
        </w:tabs>
        <w:kinsoku/>
        <w:wordWrap/>
        <w:overflowPunct/>
        <w:topLinePunct w:val="0"/>
        <w:autoSpaceDE/>
        <w:autoSpaceDN/>
        <w:bidi w:val="0"/>
        <w:adjustRightInd/>
        <w:snapToGrid/>
        <w:spacing w:after="0" w:afterLines="100" w:line="600" w:lineRule="exact"/>
        <w:ind w:left="0" w:leftChars="0" w:firstLine="0" w:firstLineChars="0"/>
        <w:jc w:val="center"/>
        <w:textAlignment w:val="auto"/>
        <w:rPr>
          <w:rFonts w:hint="eastAsia" w:ascii="华文中宋" w:hAnsi="华文中宋" w:eastAsia="华文中宋"/>
          <w:b/>
          <w:bCs/>
          <w:color w:val="000000" w:themeColor="text1"/>
          <w:sz w:val="36"/>
          <w:szCs w:val="36"/>
          <w:highlight w:val="none"/>
          <w14:textFill>
            <w14:solidFill>
              <w14:schemeClr w14:val="tx1"/>
            </w14:solidFill>
          </w14:textFill>
        </w:rPr>
      </w:pPr>
    </w:p>
    <w:p w14:paraId="70E95F51">
      <w:pPr>
        <w:keepNext w:val="0"/>
        <w:keepLines w:val="0"/>
        <w:pageBreakBefore w:val="0"/>
        <w:widowControl w:val="0"/>
        <w:tabs>
          <w:tab w:val="left" w:pos="3120"/>
        </w:tabs>
        <w:kinsoku/>
        <w:wordWrap/>
        <w:overflowPunct/>
        <w:topLinePunct w:val="0"/>
        <w:autoSpaceDE/>
        <w:autoSpaceDN/>
        <w:bidi w:val="0"/>
        <w:adjustRightInd/>
        <w:snapToGrid/>
        <w:spacing w:after="0" w:afterLines="100" w:line="600" w:lineRule="exact"/>
        <w:ind w:left="0" w:leftChars="0" w:firstLine="0" w:firstLineChars="0"/>
        <w:jc w:val="center"/>
        <w:textAlignment w:val="auto"/>
        <w:rPr>
          <w:rFonts w:hint="eastAsia" w:ascii="华文中宋" w:hAnsi="华文中宋" w:eastAsia="华文中宋"/>
          <w:b/>
          <w:bCs/>
          <w:color w:val="000000" w:themeColor="text1"/>
          <w:sz w:val="36"/>
          <w:szCs w:val="36"/>
          <w:highlight w:val="none"/>
          <w14:textFill>
            <w14:solidFill>
              <w14:schemeClr w14:val="tx1"/>
            </w14:solidFill>
          </w14:textFill>
        </w:rPr>
      </w:pPr>
    </w:p>
    <w:p w14:paraId="418DA1AE">
      <w:pPr>
        <w:keepNext w:val="0"/>
        <w:keepLines w:val="0"/>
        <w:pageBreakBefore w:val="0"/>
        <w:widowControl w:val="0"/>
        <w:tabs>
          <w:tab w:val="left" w:pos="3120"/>
        </w:tabs>
        <w:kinsoku/>
        <w:wordWrap/>
        <w:overflowPunct/>
        <w:topLinePunct w:val="0"/>
        <w:autoSpaceDE/>
        <w:autoSpaceDN/>
        <w:bidi w:val="0"/>
        <w:adjustRightInd/>
        <w:snapToGrid/>
        <w:spacing w:after="0" w:afterLines="100" w:line="600" w:lineRule="exact"/>
        <w:ind w:left="0" w:leftChars="0" w:firstLine="0" w:firstLineChars="0"/>
        <w:jc w:val="center"/>
        <w:textAlignment w:val="auto"/>
        <w:rPr>
          <w:rFonts w:hint="eastAsia" w:ascii="华文中宋" w:hAnsi="华文中宋" w:eastAsia="华文中宋"/>
          <w:b/>
          <w:bCs/>
          <w:color w:val="000000" w:themeColor="text1"/>
          <w:sz w:val="36"/>
          <w:szCs w:val="36"/>
          <w:highlight w:val="none"/>
          <w14:textFill>
            <w14:solidFill>
              <w14:schemeClr w14:val="tx1"/>
            </w14:solidFill>
          </w14:textFill>
        </w:rPr>
      </w:pPr>
    </w:p>
    <w:p w14:paraId="4C86F4DF">
      <w:pPr>
        <w:keepNext w:val="0"/>
        <w:keepLines w:val="0"/>
        <w:pageBreakBefore w:val="0"/>
        <w:widowControl w:val="0"/>
        <w:tabs>
          <w:tab w:val="left" w:pos="3120"/>
        </w:tabs>
        <w:kinsoku/>
        <w:wordWrap/>
        <w:overflowPunct/>
        <w:topLinePunct w:val="0"/>
        <w:autoSpaceDE/>
        <w:autoSpaceDN/>
        <w:bidi w:val="0"/>
        <w:adjustRightInd/>
        <w:snapToGrid/>
        <w:spacing w:after="0" w:afterLines="100" w:line="600" w:lineRule="exact"/>
        <w:ind w:left="0" w:leftChars="0" w:firstLine="0" w:firstLineChars="0"/>
        <w:jc w:val="center"/>
        <w:textAlignment w:val="auto"/>
        <w:rPr>
          <w:rFonts w:hint="eastAsia" w:ascii="华文中宋" w:hAnsi="华文中宋" w:eastAsia="华文中宋"/>
          <w:b/>
          <w:bCs/>
          <w:color w:val="000000" w:themeColor="text1"/>
          <w:sz w:val="36"/>
          <w:szCs w:val="36"/>
          <w:highlight w:val="none"/>
          <w14:textFill>
            <w14:solidFill>
              <w14:schemeClr w14:val="tx1"/>
            </w14:solidFill>
          </w14:textFill>
        </w:rPr>
      </w:pPr>
    </w:p>
    <w:p w14:paraId="2CFD78F6">
      <w:pPr>
        <w:keepNext w:val="0"/>
        <w:keepLines w:val="0"/>
        <w:pageBreakBefore w:val="0"/>
        <w:widowControl w:val="0"/>
        <w:tabs>
          <w:tab w:val="left" w:pos="3120"/>
        </w:tabs>
        <w:kinsoku/>
        <w:wordWrap/>
        <w:overflowPunct/>
        <w:topLinePunct w:val="0"/>
        <w:autoSpaceDE/>
        <w:autoSpaceDN/>
        <w:bidi w:val="0"/>
        <w:adjustRightInd/>
        <w:snapToGrid/>
        <w:spacing w:after="0" w:afterLines="100" w:line="600" w:lineRule="exact"/>
        <w:ind w:left="0" w:leftChars="0" w:firstLine="0" w:firstLineChars="0"/>
        <w:jc w:val="center"/>
        <w:textAlignment w:val="auto"/>
        <w:rPr>
          <w:rFonts w:hint="eastAsia" w:ascii="华文中宋" w:hAnsi="华文中宋" w:eastAsia="华文中宋"/>
          <w:b/>
          <w:bCs/>
          <w:color w:val="000000" w:themeColor="text1"/>
          <w:sz w:val="36"/>
          <w:szCs w:val="36"/>
          <w:highlight w:val="none"/>
          <w14:textFill>
            <w14:solidFill>
              <w14:schemeClr w14:val="tx1"/>
            </w14:solidFill>
          </w14:textFill>
        </w:rPr>
      </w:pPr>
    </w:p>
    <w:p w14:paraId="2C0A171A">
      <w:pPr>
        <w:keepNext w:val="0"/>
        <w:keepLines w:val="0"/>
        <w:pageBreakBefore w:val="0"/>
        <w:widowControl w:val="0"/>
        <w:tabs>
          <w:tab w:val="left" w:pos="3120"/>
        </w:tabs>
        <w:kinsoku/>
        <w:wordWrap/>
        <w:overflowPunct/>
        <w:topLinePunct w:val="0"/>
        <w:autoSpaceDE/>
        <w:autoSpaceDN/>
        <w:bidi w:val="0"/>
        <w:adjustRightInd/>
        <w:snapToGrid/>
        <w:spacing w:after="0" w:afterLines="100" w:line="600" w:lineRule="exact"/>
        <w:ind w:left="0" w:leftChars="0" w:firstLine="0" w:firstLineChars="0"/>
        <w:jc w:val="center"/>
        <w:textAlignment w:val="auto"/>
        <w:rPr>
          <w:rFonts w:hint="eastAsia" w:ascii="华文中宋" w:hAnsi="华文中宋" w:eastAsia="华文中宋"/>
          <w:b/>
          <w:bCs/>
          <w:color w:val="000000" w:themeColor="text1"/>
          <w:sz w:val="36"/>
          <w:szCs w:val="36"/>
          <w:highlight w:val="none"/>
          <w14:textFill>
            <w14:solidFill>
              <w14:schemeClr w14:val="tx1"/>
            </w14:solidFill>
          </w14:textFill>
        </w:rPr>
      </w:pPr>
    </w:p>
    <w:p w14:paraId="070AC574">
      <w:pPr>
        <w:keepNext w:val="0"/>
        <w:keepLines w:val="0"/>
        <w:pageBreakBefore w:val="0"/>
        <w:widowControl w:val="0"/>
        <w:tabs>
          <w:tab w:val="left" w:pos="3120"/>
        </w:tabs>
        <w:kinsoku/>
        <w:wordWrap/>
        <w:overflowPunct/>
        <w:topLinePunct w:val="0"/>
        <w:autoSpaceDE/>
        <w:autoSpaceDN/>
        <w:bidi w:val="0"/>
        <w:adjustRightInd/>
        <w:snapToGrid/>
        <w:spacing w:after="0" w:afterLines="100" w:line="600" w:lineRule="exact"/>
        <w:ind w:left="0" w:leftChars="0" w:firstLine="0" w:firstLineChars="0"/>
        <w:jc w:val="center"/>
        <w:textAlignment w:val="auto"/>
        <w:rPr>
          <w:rFonts w:hint="eastAsia" w:ascii="华文中宋" w:hAnsi="华文中宋" w:eastAsia="华文中宋"/>
          <w:b/>
          <w:bCs/>
          <w:color w:val="000000" w:themeColor="text1"/>
          <w:sz w:val="36"/>
          <w:szCs w:val="36"/>
          <w:highlight w:val="none"/>
          <w14:textFill>
            <w14:solidFill>
              <w14:schemeClr w14:val="tx1"/>
            </w14:solidFill>
          </w14:textFill>
        </w:rPr>
      </w:pPr>
      <w:r>
        <w:rPr>
          <w:rFonts w:hint="eastAsia" w:ascii="华文中宋" w:hAnsi="华文中宋" w:eastAsia="华文中宋"/>
          <w:b/>
          <w:bCs/>
          <w:color w:val="000000" w:themeColor="text1"/>
          <w:sz w:val="36"/>
          <w:szCs w:val="36"/>
          <w:highlight w:val="none"/>
          <w14:textFill>
            <w14:solidFill>
              <w14:schemeClr w14:val="tx1"/>
            </w14:solidFill>
          </w14:textFill>
        </w:rPr>
        <w:t>第二部分  通用条件</w:t>
      </w:r>
    </w:p>
    <w:p w14:paraId="6624FC40">
      <w:pPr>
        <w:keepNext w:val="0"/>
        <w:keepLines w:val="0"/>
        <w:pageBreakBefore w:val="0"/>
        <w:widowControl w:val="0"/>
        <w:kinsoku/>
        <w:wordWrap/>
        <w:overflowPunct/>
        <w:topLinePunct w:val="0"/>
        <w:bidi w:val="0"/>
        <w:spacing w:line="420" w:lineRule="exact"/>
        <w:textAlignment w:val="auto"/>
        <w:outlineLvl w:val="0"/>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pPr>
      <w:bookmarkStart w:id="72" w:name="_Toc36049306"/>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1. 定义与解释</w:t>
      </w:r>
      <w:bookmarkEnd w:id="72"/>
    </w:p>
    <w:p w14:paraId="58BC9CA1">
      <w:pPr>
        <w:keepNext w:val="0"/>
        <w:keepLines w:val="0"/>
        <w:pageBreakBefore w:val="0"/>
        <w:widowControl w:val="0"/>
        <w:kinsoku/>
        <w:wordWrap/>
        <w:overflowPunct/>
        <w:topLinePunct w:val="0"/>
        <w:bidi w:val="0"/>
        <w:spacing w:line="420" w:lineRule="exact"/>
        <w:ind w:left="210" w:leftChars="100" w:firstLine="211" w:firstLineChars="100"/>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1.1 定义</w:t>
      </w:r>
    </w:p>
    <w:p w14:paraId="61370654">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除根据上下文另有其意义外，组成本合同的全部文件中的下列名词和用语应具有本款所赋予的含义：</w:t>
      </w:r>
    </w:p>
    <w:p w14:paraId="4032889E">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1.1.1“工程”是指按照本合同约定实施工程质量检测与相关服务的建设工程。</w:t>
      </w:r>
    </w:p>
    <w:p w14:paraId="13B37017">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1.1.2“工程质量检测”是指建设工程质量检测机构接受委托，依照国家有关</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法律法规</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、规章和技术标准，对建设工程及其所使用的建筑材料、中间产品、设备、构配件的质量安全、使用功能等进行测试的活动。</w:t>
      </w:r>
    </w:p>
    <w:p w14:paraId="7B275A6B">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1.1.3“相关服务”是指工程质量检测机构受委托方的委托 ，按照本合同约定，在勘察、设计、建造、保修、使用等阶段提供的服务活动。</w:t>
      </w:r>
    </w:p>
    <w:p w14:paraId="74DA1F6C">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1.1.4“正常工作”指本合同订立时通用条件和专用条件中约定的乙方的工作。</w:t>
      </w:r>
    </w:p>
    <w:p w14:paraId="71DD5E80">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1.1.5“附加工作”是指本合同约定的正常工作以外乙方的工作。</w:t>
      </w:r>
    </w:p>
    <w:p w14:paraId="35F4A37F">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1.1.6“项目负责人”是指代表工程质量检测机构，全面负责履行本合同、主持项目工程质量检测工作的检测人员。</w:t>
      </w:r>
    </w:p>
    <w:p w14:paraId="1D662683">
      <w:pPr>
        <w:keepNext w:val="0"/>
        <w:keepLines w:val="0"/>
        <w:pageBreakBefore w:val="0"/>
        <w:widowControl w:val="0"/>
        <w:kinsoku/>
        <w:wordWrap/>
        <w:overflowPunct/>
        <w:topLinePunct w:val="0"/>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1.1.7“酬金”是指乙方履行本合同义务，甲方按照本合同约定给付乙方的金额。</w:t>
      </w:r>
    </w:p>
    <w:p w14:paraId="39BBD0E3">
      <w:pPr>
        <w:keepNext w:val="0"/>
        <w:keepLines w:val="0"/>
        <w:pageBreakBefore w:val="0"/>
        <w:widowControl w:val="0"/>
        <w:kinsoku/>
        <w:wordWrap/>
        <w:overflowPunct/>
        <w:topLinePunct w:val="0"/>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1.1.8“正常工作</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酬金”</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是指乙方完成正常工作，甲方应给付乙方并在协议书中载明的签约</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酬金额</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43A6AB98">
      <w:pPr>
        <w:keepNext w:val="0"/>
        <w:keepLines w:val="0"/>
        <w:pageBreakBefore w:val="0"/>
        <w:widowControl w:val="0"/>
        <w:kinsoku/>
        <w:wordWrap/>
        <w:overflowPunct/>
        <w:topLinePunct w:val="0"/>
        <w:bidi w:val="0"/>
        <w:adjustRightInd w:val="0"/>
        <w:snapToGrid w:val="0"/>
        <w:spacing w:line="420" w:lineRule="exact"/>
        <w:ind w:firstLine="415" w:firstLineChars="198"/>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1.1.9“附加工作酬金”是指乙方完成附加工作，甲方应给付乙方的金额。</w:t>
      </w:r>
    </w:p>
    <w:p w14:paraId="4F55470D">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1.1.10“一方”是指甲方或乙方；“双方”是指甲方和乙方；“第三方”是指除甲方和乙方以外的有关方。</w:t>
      </w:r>
    </w:p>
    <w:p w14:paraId="7F4A4F37">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1.1.11“书面形式”是指合同书、信件和数据电文（包括电报、电传、传真、电子数据交换和电子邮件）等可以有形地表现所载内容的形式。</w:t>
      </w:r>
    </w:p>
    <w:p w14:paraId="03EED29B">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1.1.12“天”是指第一天零时至第二天零时的时间。</w:t>
      </w:r>
    </w:p>
    <w:p w14:paraId="1C0250DA">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1.1.13“月”是指按公历从一个月中任何一天开始的一个公历月时间。</w:t>
      </w:r>
    </w:p>
    <w:p w14:paraId="4AE62DBE">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1.1.14“不可抗力”是指甲方和乙方在订立本合同时不可预见，在工程检测过程中不可避免发生并不能克服的自然灾害和社会性突发事件，如地震、海啸、瘟疫、水灾、骚乱、暴动、战争和专用条件约定的其他情形。</w:t>
      </w:r>
    </w:p>
    <w:p w14:paraId="029DEBE1">
      <w:pPr>
        <w:keepNext w:val="0"/>
        <w:keepLines w:val="0"/>
        <w:pageBreakBefore w:val="0"/>
        <w:widowControl w:val="0"/>
        <w:kinsoku/>
        <w:wordWrap/>
        <w:overflowPunct/>
        <w:topLinePunct w:val="0"/>
        <w:bidi w:val="0"/>
        <w:adjustRightInd w:val="0"/>
        <w:snapToGrid w:val="0"/>
        <w:spacing w:line="420" w:lineRule="exact"/>
        <w:ind w:left="210" w:leftChars="100" w:firstLine="211" w:firstLineChars="100"/>
        <w:textAlignment w:val="auto"/>
        <w:rPr>
          <w:rFonts w:hint="eastAsia" w:asciiTheme="minorEastAsia" w:hAnsiTheme="minorEastAsia" w:eastAsiaTheme="minorEastAsia" w:cstheme="minorEastAsia"/>
          <w:b/>
          <w:bCs w:val="0"/>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21"/>
          <w:szCs w:val="21"/>
          <w:highlight w:val="none"/>
          <w14:textFill>
            <w14:solidFill>
              <w14:schemeClr w14:val="tx1"/>
            </w14:solidFill>
          </w14:textFill>
        </w:rPr>
        <w:t>1.2 解释</w:t>
      </w:r>
    </w:p>
    <w:p w14:paraId="51A4B4C3">
      <w:pPr>
        <w:keepNext w:val="0"/>
        <w:keepLines w:val="0"/>
        <w:pageBreakBefore w:val="0"/>
        <w:widowControl w:val="0"/>
        <w:tabs>
          <w:tab w:val="left" w:pos="6140"/>
        </w:tabs>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1.2.1本合同使用中文书写、解释和说明。如专用条件约定使用两种及以上语言文字时，应以中文为准。</w:t>
      </w:r>
    </w:p>
    <w:p w14:paraId="43397F89">
      <w:pPr>
        <w:keepNext w:val="0"/>
        <w:keepLines w:val="0"/>
        <w:pageBreakBefore w:val="0"/>
        <w:widowControl w:val="0"/>
        <w:tabs>
          <w:tab w:val="left" w:pos="6140"/>
        </w:tabs>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1.2.2组成本合同的下列文件彼此应能相互解释、互为说明。除专用条件另有约定外，本合同文件的解释顺序如下：</w:t>
      </w:r>
    </w:p>
    <w:p w14:paraId="6859D3AB">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（1）协议书；</w:t>
      </w:r>
    </w:p>
    <w:p w14:paraId="534DC310">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成交</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通知书；</w:t>
      </w:r>
    </w:p>
    <w:p w14:paraId="7E754D6E">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（3）专用条件及附录A、附录B；</w:t>
      </w:r>
    </w:p>
    <w:p w14:paraId="4C168945">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（4）通用条件；</w:t>
      </w:r>
    </w:p>
    <w:p w14:paraId="30FFC9E9">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响应</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文件。</w:t>
      </w:r>
    </w:p>
    <w:p w14:paraId="46987EBE">
      <w:pPr>
        <w:keepNext w:val="0"/>
        <w:keepLines w:val="0"/>
        <w:pageBreakBefore w:val="0"/>
        <w:widowControl w:val="0"/>
        <w:kinsoku/>
        <w:wordWrap/>
        <w:overflowPunct/>
        <w:topLinePunct w:val="0"/>
        <w:bidi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双方签订的补充协议与其他文件发生矛盾或歧义时，属于同一类内容的文件，应以最新签署的为准（违反</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采购</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文件实质性内容的约定除外）。</w:t>
      </w:r>
    </w:p>
    <w:p w14:paraId="64C9CB5E">
      <w:pPr>
        <w:keepNext w:val="0"/>
        <w:keepLines w:val="0"/>
        <w:pageBreakBefore w:val="0"/>
        <w:widowControl w:val="0"/>
        <w:kinsoku/>
        <w:wordWrap/>
        <w:overflowPunct/>
        <w:topLinePunct w:val="0"/>
        <w:bidi w:val="0"/>
        <w:spacing w:line="420" w:lineRule="exact"/>
        <w:textAlignment w:val="auto"/>
        <w:outlineLvl w:val="0"/>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pPr>
      <w:bookmarkStart w:id="73" w:name="_Toc36049307"/>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2. 乙方义务</w:t>
      </w:r>
      <w:bookmarkEnd w:id="73"/>
    </w:p>
    <w:p w14:paraId="5549A478">
      <w:pPr>
        <w:keepNext w:val="0"/>
        <w:keepLines w:val="0"/>
        <w:pageBreakBefore w:val="0"/>
        <w:widowControl w:val="0"/>
        <w:kinsoku/>
        <w:wordWrap/>
        <w:overflowPunct/>
        <w:topLinePunct w:val="0"/>
        <w:bidi w:val="0"/>
        <w:adjustRightInd w:val="0"/>
        <w:snapToGrid w:val="0"/>
        <w:spacing w:line="420" w:lineRule="exact"/>
        <w:ind w:firstLine="422" w:firstLineChars="200"/>
        <w:textAlignment w:val="auto"/>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2.1 乙方的工作范围和内容</w:t>
      </w:r>
    </w:p>
    <w:p w14:paraId="7E3BAE97">
      <w:pPr>
        <w:keepNext w:val="0"/>
        <w:keepLines w:val="0"/>
        <w:pageBreakBefore w:val="0"/>
        <w:widowControl w:val="0"/>
        <w:kinsoku/>
        <w:wordWrap/>
        <w:overflowPunct/>
        <w:topLinePunct w:val="0"/>
        <w:bidi w:val="0"/>
        <w:adjustRightInd w:val="0"/>
        <w:snapToGrid w:val="0"/>
        <w:spacing w:line="420" w:lineRule="exact"/>
        <w:ind w:left="420" w:left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2.1.1乙方工作范围和内容在专用条件中约定。</w:t>
      </w:r>
    </w:p>
    <w:p w14:paraId="6077C964">
      <w:pPr>
        <w:keepNext w:val="0"/>
        <w:keepLines w:val="0"/>
        <w:pageBreakBefore w:val="0"/>
        <w:widowControl w:val="0"/>
        <w:kinsoku/>
        <w:wordWrap/>
        <w:overflowPunct/>
        <w:topLinePunct w:val="0"/>
        <w:bidi w:val="0"/>
        <w:adjustRightInd w:val="0"/>
        <w:snapToGrid w:val="0"/>
        <w:spacing w:line="420" w:lineRule="exact"/>
        <w:ind w:left="420" w:left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2.1.2相关服务的范围和内容在附录A中约定。</w:t>
      </w:r>
    </w:p>
    <w:p w14:paraId="20888A51">
      <w:pPr>
        <w:keepNext w:val="0"/>
        <w:keepLines w:val="0"/>
        <w:pageBreakBefore w:val="0"/>
        <w:widowControl w:val="0"/>
        <w:kinsoku/>
        <w:wordWrap/>
        <w:overflowPunct/>
        <w:topLinePunct w:val="0"/>
        <w:bidi w:val="0"/>
        <w:spacing w:line="420" w:lineRule="exact"/>
        <w:ind w:firstLine="422" w:firstLineChars="200"/>
        <w:textAlignment w:val="auto"/>
        <w:outlineLvl w:val="0"/>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bookmarkStart w:id="74" w:name="_Toc36049308"/>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2.2 工程质量检测与相关服务依据</w:t>
      </w:r>
      <w:bookmarkEnd w:id="74"/>
    </w:p>
    <w:p w14:paraId="4F7D9CD7">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2.2.1</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工程质量检测</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依据包括：</w:t>
      </w:r>
    </w:p>
    <w:p w14:paraId="02CC5CDF">
      <w:pPr>
        <w:keepNext w:val="0"/>
        <w:keepLines w:val="0"/>
        <w:pageBreakBefore w:val="0"/>
        <w:widowControl w:val="0"/>
        <w:kinsoku/>
        <w:wordWrap/>
        <w:overflowPunct/>
        <w:topLinePunct w:val="0"/>
        <w:bidi w:val="0"/>
        <w:adjustRightInd w:val="0"/>
        <w:snapToGrid w:val="0"/>
        <w:spacing w:line="420" w:lineRule="exact"/>
        <w:ind w:firstLine="525" w:firstLineChars="25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（1）适用的法律、行政法规及部门规章；</w:t>
      </w:r>
    </w:p>
    <w:p w14:paraId="5E55B47B">
      <w:pPr>
        <w:keepNext w:val="0"/>
        <w:keepLines w:val="0"/>
        <w:pageBreakBefore w:val="0"/>
        <w:widowControl w:val="0"/>
        <w:kinsoku/>
        <w:wordWrap/>
        <w:overflowPunct/>
        <w:topLinePunct w:val="0"/>
        <w:bidi w:val="0"/>
        <w:adjustRightInd w:val="0"/>
        <w:snapToGrid w:val="0"/>
        <w:spacing w:line="420" w:lineRule="exact"/>
        <w:ind w:firstLine="525" w:firstLineChars="25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（2）与工程有关的标准；</w:t>
      </w:r>
    </w:p>
    <w:p w14:paraId="31939889">
      <w:pPr>
        <w:keepNext w:val="0"/>
        <w:keepLines w:val="0"/>
        <w:pageBreakBefore w:val="0"/>
        <w:widowControl w:val="0"/>
        <w:kinsoku/>
        <w:wordWrap/>
        <w:overflowPunct/>
        <w:topLinePunct w:val="0"/>
        <w:bidi w:val="0"/>
        <w:adjustRightInd w:val="0"/>
        <w:snapToGrid w:val="0"/>
        <w:spacing w:line="420" w:lineRule="exact"/>
        <w:ind w:firstLine="525" w:firstLineChars="25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（3）工程设计及有关文件；</w:t>
      </w:r>
    </w:p>
    <w:p w14:paraId="244BD9DE">
      <w:pPr>
        <w:keepNext w:val="0"/>
        <w:keepLines w:val="0"/>
        <w:pageBreakBefore w:val="0"/>
        <w:widowControl w:val="0"/>
        <w:kinsoku/>
        <w:wordWrap/>
        <w:overflowPunct/>
        <w:topLinePunct w:val="0"/>
        <w:bidi w:val="0"/>
        <w:adjustRightInd w:val="0"/>
        <w:snapToGrid w:val="0"/>
        <w:spacing w:line="420" w:lineRule="exact"/>
        <w:ind w:firstLine="525" w:firstLineChars="25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（4）本合同及委托方与第三方签订的与实施工程有关的其他合同。</w:t>
      </w:r>
    </w:p>
    <w:p w14:paraId="51E7708E">
      <w:pPr>
        <w:keepNext w:val="0"/>
        <w:keepLines w:val="0"/>
        <w:pageBreakBefore w:val="0"/>
        <w:widowControl w:val="0"/>
        <w:kinsoku/>
        <w:wordWrap/>
        <w:overflowPunct/>
        <w:topLinePunct w:val="0"/>
        <w:bidi w:val="0"/>
        <w:spacing w:line="420" w:lineRule="exact"/>
        <w:ind w:left="210" w:leftChars="100" w:firstLine="420" w:firstLineChars="200"/>
        <w:textAlignment w:val="auto"/>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双方根据工程的行业和地域特点，在专用条件中具体约定工程质量检测依据。</w:t>
      </w:r>
    </w:p>
    <w:p w14:paraId="4E6D8721">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2.2.2相关服务依据在专用条件中约定。</w:t>
      </w:r>
    </w:p>
    <w:p w14:paraId="6DA00839">
      <w:pPr>
        <w:keepNext w:val="0"/>
        <w:keepLines w:val="0"/>
        <w:pageBreakBefore w:val="0"/>
        <w:widowControl w:val="0"/>
        <w:kinsoku/>
        <w:wordWrap/>
        <w:overflowPunct/>
        <w:topLinePunct w:val="0"/>
        <w:bidi w:val="0"/>
        <w:spacing w:line="420" w:lineRule="exact"/>
        <w:ind w:firstLine="422" w:firstLineChars="200"/>
        <w:textAlignment w:val="auto"/>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2.3 项目组成员</w:t>
      </w:r>
    </w:p>
    <w:p w14:paraId="096BC7B9">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2.3.1乙方应组建满足工作需要的项目组，配备必要的检测设备。项目组的主要人员应具有相应的资格条件。</w:t>
      </w:r>
    </w:p>
    <w:p w14:paraId="553FE363">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2.3.2本合同履行过程中，项目负责人及重要岗位检测人员应保持相对稳定，以保证工程质量检测工作正常进行。</w:t>
      </w:r>
    </w:p>
    <w:p w14:paraId="2ADC4986">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2.3.3乙方可根据工程进展和工作需要调整项目组人员。乙方更换项目组人员时，应以相当资格与能力的人员替换，乙方更换项目组其他检测人员，并通知委托方。</w:t>
      </w:r>
    </w:p>
    <w:p w14:paraId="6BC25B84">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2.3.4乙方应及时更换有下列情形之一的检测人员：</w:t>
      </w:r>
    </w:p>
    <w:p w14:paraId="6B05261C">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 （1）严重过失行为的；</w:t>
      </w:r>
    </w:p>
    <w:p w14:paraId="60262DED">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 （2）有违法行为不能履行职责的；</w:t>
      </w:r>
    </w:p>
    <w:p w14:paraId="28AC22B4">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 （3）涉嫌犯罪的；</w:t>
      </w:r>
    </w:p>
    <w:p w14:paraId="7E278EEC">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 （4）不能胜任岗位职责的；</w:t>
      </w:r>
    </w:p>
    <w:p w14:paraId="491EF7A7">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 （5）严重违反职业道德的；</w:t>
      </w:r>
    </w:p>
    <w:p w14:paraId="6D14257E">
      <w:pPr>
        <w:keepNext w:val="0"/>
        <w:keepLines w:val="0"/>
        <w:pageBreakBefore w:val="0"/>
        <w:widowControl w:val="0"/>
        <w:tabs>
          <w:tab w:val="left" w:pos="420"/>
        </w:tabs>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 （6）专用条件约定的其他情形。</w:t>
      </w:r>
    </w:p>
    <w:p w14:paraId="5039CFFC">
      <w:pPr>
        <w:keepNext w:val="0"/>
        <w:keepLines w:val="0"/>
        <w:pageBreakBefore w:val="0"/>
        <w:widowControl w:val="0"/>
        <w:tabs>
          <w:tab w:val="left" w:pos="420"/>
        </w:tabs>
        <w:kinsoku/>
        <w:wordWrap/>
        <w:overflowPunct/>
        <w:topLinePunct w:val="0"/>
        <w:bidi w:val="0"/>
        <w:spacing w:line="420" w:lineRule="exact"/>
        <w:ind w:firstLine="420" w:firstLineChars="200"/>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 2.3.5甲方可要求乙方更换不能胜任本职工作的项目组工程质量检测人员。</w:t>
      </w:r>
    </w:p>
    <w:p w14:paraId="02304957">
      <w:pPr>
        <w:keepNext w:val="0"/>
        <w:keepLines w:val="0"/>
        <w:pageBreakBefore w:val="0"/>
        <w:widowControl w:val="0"/>
        <w:kinsoku/>
        <w:wordWrap/>
        <w:overflowPunct/>
        <w:topLinePunct w:val="0"/>
        <w:bidi w:val="0"/>
        <w:spacing w:line="420" w:lineRule="exact"/>
        <w:ind w:left="210" w:leftChars="100" w:firstLine="211" w:firstLineChars="100"/>
        <w:textAlignment w:val="auto"/>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2.4 履行职责</w:t>
      </w:r>
    </w:p>
    <w:p w14:paraId="11510EEC">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乙方应遵循职业道德准则和行为规范，严格按照法律法规、工程建设有关标准及本合同履行职责。</w:t>
      </w:r>
    </w:p>
    <w:p w14:paraId="65BCB443">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2.4.1 在工程质量检测与相关服务范围内，甲方提出的意见和要求，乙方应及时提出处置意见。</w:t>
      </w:r>
    </w:p>
    <w:p w14:paraId="7A70B192">
      <w:pPr>
        <w:keepNext w:val="0"/>
        <w:keepLines w:val="0"/>
        <w:pageBreakBefore w:val="0"/>
        <w:widowControl w:val="0"/>
        <w:kinsoku/>
        <w:wordWrap/>
        <w:overflowPunct/>
        <w:topLinePunct w:val="0"/>
        <w:bidi w:val="0"/>
        <w:spacing w:line="420" w:lineRule="exact"/>
        <w:ind w:left="210" w:leftChars="100" w:firstLine="211" w:firstLineChars="100"/>
        <w:textAlignment w:val="auto"/>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2.5 提交报告</w:t>
      </w:r>
    </w:p>
    <w:p w14:paraId="0758E354">
      <w:pPr>
        <w:keepNext w:val="0"/>
        <w:keepLines w:val="0"/>
        <w:pageBreakBefore w:val="0"/>
        <w:widowControl w:val="0"/>
        <w:kinsoku/>
        <w:wordWrap/>
        <w:overflowPunct/>
        <w:topLinePunct w:val="0"/>
        <w:bidi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乙方应按专用条件约定的种类、时间和份数向甲方提交工程质量检测与相关服务的报告。</w:t>
      </w:r>
    </w:p>
    <w:p w14:paraId="62E7C664">
      <w:pPr>
        <w:keepNext w:val="0"/>
        <w:keepLines w:val="0"/>
        <w:pageBreakBefore w:val="0"/>
        <w:widowControl w:val="0"/>
        <w:kinsoku/>
        <w:wordWrap/>
        <w:overflowPunct/>
        <w:topLinePunct w:val="0"/>
        <w:bidi w:val="0"/>
        <w:spacing w:line="420" w:lineRule="exact"/>
        <w:ind w:firstLine="422" w:firstLineChars="200"/>
        <w:textAlignment w:val="auto"/>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2.6 文件资料</w:t>
      </w:r>
    </w:p>
    <w:p w14:paraId="7EDC22E9">
      <w:pPr>
        <w:keepNext w:val="0"/>
        <w:keepLines w:val="0"/>
        <w:pageBreakBefore w:val="0"/>
        <w:widowControl w:val="0"/>
        <w:kinsoku/>
        <w:wordWrap/>
        <w:overflowPunct/>
        <w:topLinePunct w:val="0"/>
        <w:bidi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在本合同履行期内，甲方应在现场保留工作所用的图纸、报告及记录等</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相关文件。工程竣工后，应当按照档案管理规定将工程质量检测有关文件归档。</w:t>
      </w:r>
    </w:p>
    <w:p w14:paraId="40AE70CE">
      <w:pPr>
        <w:keepNext w:val="0"/>
        <w:keepLines w:val="0"/>
        <w:pageBreakBefore w:val="0"/>
        <w:widowControl w:val="0"/>
        <w:kinsoku/>
        <w:wordWrap/>
        <w:overflowPunct/>
        <w:topLinePunct w:val="0"/>
        <w:bidi w:val="0"/>
        <w:spacing w:line="420" w:lineRule="exact"/>
        <w:ind w:left="210" w:leftChars="100" w:firstLine="211" w:firstLineChars="100"/>
        <w:textAlignment w:val="auto"/>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2.7 使用委托人的财产</w:t>
      </w:r>
    </w:p>
    <w:p w14:paraId="01A7D50D">
      <w:pPr>
        <w:keepNext w:val="0"/>
        <w:keepLines w:val="0"/>
        <w:pageBreakBefore w:val="0"/>
        <w:widowControl w:val="0"/>
        <w:kinsoku/>
        <w:wordWrap/>
        <w:overflowPunct/>
        <w:topLinePunct w:val="0"/>
        <w:bidi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乙方无偿使用附录B中由甲方派遣的人员和提供的房屋、场地、资料、设备。除专用条件另有约定外，甲方提供的房屋、设备属于甲方的财产，乙方应妥善使用和保管，在本合同终止时将这些房屋、设备的清单提交甲方，并按专用条件约定的时间和方式移交。</w:t>
      </w:r>
    </w:p>
    <w:p w14:paraId="02A21E88">
      <w:pPr>
        <w:keepNext w:val="0"/>
        <w:keepLines w:val="0"/>
        <w:pageBreakBefore w:val="0"/>
        <w:widowControl w:val="0"/>
        <w:kinsoku/>
        <w:wordWrap/>
        <w:overflowPunct/>
        <w:topLinePunct w:val="0"/>
        <w:bidi w:val="0"/>
        <w:spacing w:line="420" w:lineRule="exact"/>
        <w:ind w:firstLine="422" w:firstLineChars="200"/>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2.8 履约保证金</w:t>
      </w:r>
    </w:p>
    <w:p w14:paraId="5125A0BF">
      <w:pPr>
        <w:keepNext w:val="0"/>
        <w:keepLines w:val="0"/>
        <w:pageBreakBefore w:val="0"/>
        <w:widowControl w:val="0"/>
        <w:kinsoku/>
        <w:wordWrap/>
        <w:overflowPunct/>
        <w:topLinePunct w:val="0"/>
        <w:bidi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在收到</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成交</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通知书后，</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成交</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单位需按照专用条件约定的时间和金额向</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采购</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人提交履约保证金。</w:t>
      </w:r>
    </w:p>
    <w:p w14:paraId="7CB359FF">
      <w:pPr>
        <w:keepNext w:val="0"/>
        <w:keepLines w:val="0"/>
        <w:pageBreakBefore w:val="0"/>
        <w:widowControl w:val="0"/>
        <w:numPr>
          <w:ilvl w:val="0"/>
          <w:numId w:val="4"/>
        </w:numPr>
        <w:kinsoku/>
        <w:wordWrap/>
        <w:overflowPunct/>
        <w:topLinePunct w:val="0"/>
        <w:bidi w:val="0"/>
        <w:spacing w:line="420" w:lineRule="exact"/>
        <w:textAlignment w:val="auto"/>
        <w:outlineLvl w:val="0"/>
        <w:rPr>
          <w:rFonts w:hint="eastAsia" w:asciiTheme="minorEastAsia" w:hAnsiTheme="minorEastAsia" w:eastAsiaTheme="minorEastAsia" w:cstheme="minorEastAsia"/>
          <w:b/>
          <w:color w:val="000000" w:themeColor="text1"/>
          <w:kern w:val="0"/>
          <w:sz w:val="24"/>
          <w:szCs w:val="24"/>
          <w:highlight w:val="none"/>
          <w14:textFill>
            <w14:solidFill>
              <w14:schemeClr w14:val="tx1"/>
            </w14:solidFill>
          </w14:textFill>
        </w:rPr>
      </w:pPr>
      <w:bookmarkStart w:id="75" w:name="_Toc36049309"/>
      <w:r>
        <w:rPr>
          <w:rFonts w:hint="eastAsia" w:asciiTheme="minorEastAsia" w:hAnsiTheme="minorEastAsia" w:eastAsiaTheme="minorEastAsia" w:cstheme="minorEastAsia"/>
          <w:b/>
          <w:color w:val="000000" w:themeColor="text1"/>
          <w:kern w:val="0"/>
          <w:sz w:val="24"/>
          <w:szCs w:val="24"/>
          <w:highlight w:val="none"/>
          <w14:textFill>
            <w14:solidFill>
              <w14:schemeClr w14:val="tx1"/>
            </w14:solidFill>
          </w14:textFill>
        </w:rPr>
        <w:t>甲方的义务</w:t>
      </w:r>
      <w:bookmarkEnd w:id="75"/>
    </w:p>
    <w:p w14:paraId="257B239F">
      <w:pPr>
        <w:keepNext w:val="0"/>
        <w:keepLines w:val="0"/>
        <w:pageBreakBefore w:val="0"/>
        <w:widowControl w:val="0"/>
        <w:kinsoku/>
        <w:wordWrap/>
        <w:overflowPunct/>
        <w:topLinePunct w:val="0"/>
        <w:bidi w:val="0"/>
        <w:spacing w:line="420" w:lineRule="exact"/>
        <w:ind w:firstLine="422" w:firstLineChars="200"/>
        <w:textAlignment w:val="auto"/>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3.1</w:t>
      </w:r>
      <w:r>
        <w:rPr>
          <w:rFonts w:hint="eastAsia" w:asciiTheme="minorEastAsia" w:hAnsiTheme="minorEastAsia" w:eastAsiaTheme="minorEastAsia" w:cstheme="minorEastAsia"/>
          <w:b/>
          <w:bCs/>
          <w:color w:val="000000" w:themeColor="text1"/>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提供资料</w:t>
      </w:r>
    </w:p>
    <w:p w14:paraId="139054C1">
      <w:pPr>
        <w:keepNext w:val="0"/>
        <w:keepLines w:val="0"/>
        <w:pageBreakBefore w:val="0"/>
        <w:widowControl w:val="0"/>
        <w:kinsoku/>
        <w:wordWrap/>
        <w:overflowPunct/>
        <w:topLinePunct w:val="0"/>
        <w:bidi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甲方应按照附录B约定，无偿向乙方提供工程有关的资料。</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在本合同履行过程中，甲方应及时向乙方提供最新的与工程有关的资料。</w:t>
      </w:r>
    </w:p>
    <w:p w14:paraId="63AC9C02">
      <w:pPr>
        <w:keepNext w:val="0"/>
        <w:keepLines w:val="0"/>
        <w:pageBreakBefore w:val="0"/>
        <w:widowControl w:val="0"/>
        <w:kinsoku/>
        <w:wordWrap/>
        <w:overflowPunct/>
        <w:topLinePunct w:val="0"/>
        <w:bidi w:val="0"/>
        <w:spacing w:line="420" w:lineRule="exact"/>
        <w:ind w:firstLine="422" w:firstLineChars="200"/>
        <w:textAlignment w:val="auto"/>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3.2 提供工作条件</w:t>
      </w:r>
    </w:p>
    <w:p w14:paraId="0958F79D">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甲方应为乙方完成工程质量检测与相关服务提供必要的条件。</w:t>
      </w:r>
    </w:p>
    <w:p w14:paraId="4E6E04CE">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 3.2.1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甲方应按照附录B约定，派遣相应的人员，提供房屋、场地、设备，供乙方</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无偿</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使用。</w:t>
      </w:r>
    </w:p>
    <w:p w14:paraId="3A0785C0">
      <w:pPr>
        <w:keepNext w:val="0"/>
        <w:keepLines w:val="0"/>
        <w:pageBreakBefore w:val="0"/>
        <w:widowControl w:val="0"/>
        <w:kinsoku/>
        <w:wordWrap/>
        <w:overflowPunct/>
        <w:topLinePunct w:val="0"/>
        <w:bidi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 3.2.2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甲方应负责协调工程建设中所有外部关系，为乙方履行本合同提供必要的外部条件。</w:t>
      </w:r>
    </w:p>
    <w:p w14:paraId="7E1EFA10">
      <w:pPr>
        <w:keepNext w:val="0"/>
        <w:keepLines w:val="0"/>
        <w:pageBreakBefore w:val="0"/>
        <w:widowControl w:val="0"/>
        <w:kinsoku/>
        <w:wordWrap/>
        <w:overflowPunct/>
        <w:topLinePunct w:val="0"/>
        <w:bidi w:val="0"/>
        <w:snapToGrid w:val="0"/>
        <w:spacing w:line="420" w:lineRule="exact"/>
        <w:ind w:firstLine="422" w:firstLineChars="200"/>
        <w:textAlignment w:val="auto"/>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3.3 委托方代表</w:t>
      </w:r>
    </w:p>
    <w:p w14:paraId="66B320DA">
      <w:pPr>
        <w:keepNext w:val="0"/>
        <w:keepLines w:val="0"/>
        <w:pageBreakBefore w:val="0"/>
        <w:widowControl w:val="0"/>
        <w:kinsoku/>
        <w:wordWrap/>
        <w:overflowPunct/>
        <w:topLinePunct w:val="0"/>
        <w:bidi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甲方应授权一名熟悉工程情况的代表，负责与乙方联系。甲方应在双方签订本合同后7天内，将甲方代表的姓名和职责书面告知乙方。当甲方更换甲方代表时，应及时通知（含书面）乙方。</w:t>
      </w:r>
    </w:p>
    <w:p w14:paraId="7CECC689">
      <w:pPr>
        <w:keepNext w:val="0"/>
        <w:keepLines w:val="0"/>
        <w:pageBreakBefore w:val="0"/>
        <w:widowControl w:val="0"/>
        <w:kinsoku/>
        <w:wordWrap/>
        <w:overflowPunct/>
        <w:topLinePunct w:val="0"/>
        <w:bidi w:val="0"/>
        <w:snapToGrid w:val="0"/>
        <w:spacing w:line="420" w:lineRule="exact"/>
        <w:ind w:left="210" w:leftChars="100" w:firstLine="316" w:firstLineChars="150"/>
        <w:textAlignment w:val="auto"/>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3.4</w:t>
      </w:r>
      <w:r>
        <w:rPr>
          <w:rFonts w:hint="eastAsia" w:asciiTheme="minorEastAsia" w:hAnsiTheme="minorEastAsia" w:eastAsiaTheme="minorEastAsia" w:cstheme="minorEastAsia"/>
          <w:b/>
          <w:bCs/>
          <w:color w:val="000000" w:themeColor="text1"/>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答复</w:t>
      </w:r>
    </w:p>
    <w:p w14:paraId="657FE005">
      <w:pPr>
        <w:keepNext w:val="0"/>
        <w:keepLines w:val="0"/>
        <w:pageBreakBefore w:val="0"/>
        <w:widowControl w:val="0"/>
        <w:kinsoku/>
        <w:wordWrap/>
        <w:overflowPunct/>
        <w:topLinePunct w:val="0"/>
        <w:bidi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甲方应在专用条件约定的时间内，对乙方以书面形式提交并要求作出决定的事宜，给予书面答复。逾期未答复的，视为委托人认可。</w:t>
      </w:r>
    </w:p>
    <w:p w14:paraId="1E2BFDAF">
      <w:pPr>
        <w:keepNext w:val="0"/>
        <w:keepLines w:val="0"/>
        <w:pageBreakBefore w:val="0"/>
        <w:widowControl w:val="0"/>
        <w:kinsoku/>
        <w:wordWrap/>
        <w:overflowPunct/>
        <w:topLinePunct w:val="0"/>
        <w:bidi w:val="0"/>
        <w:snapToGrid w:val="0"/>
        <w:spacing w:line="420" w:lineRule="exact"/>
        <w:ind w:left="210" w:leftChars="100" w:firstLine="316" w:firstLineChars="150"/>
        <w:textAlignment w:val="auto"/>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3.5 支付</w:t>
      </w:r>
    </w:p>
    <w:p w14:paraId="2226263F">
      <w:pPr>
        <w:keepNext w:val="0"/>
        <w:keepLines w:val="0"/>
        <w:pageBreakBefore w:val="0"/>
        <w:widowControl w:val="0"/>
        <w:kinsoku/>
        <w:wordWrap/>
        <w:overflowPunct/>
        <w:topLinePunct w:val="0"/>
        <w:bidi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甲方应按本合同约定，向乙方支付酬金。</w:t>
      </w:r>
    </w:p>
    <w:p w14:paraId="5B3D58EC">
      <w:pPr>
        <w:keepNext w:val="0"/>
        <w:keepLines w:val="0"/>
        <w:pageBreakBefore w:val="0"/>
        <w:widowControl w:val="0"/>
        <w:kinsoku/>
        <w:wordWrap/>
        <w:overflowPunct/>
        <w:topLinePunct w:val="0"/>
        <w:bidi w:val="0"/>
        <w:snapToGrid w:val="0"/>
        <w:spacing w:line="420" w:lineRule="exact"/>
        <w:ind w:firstLine="236" w:firstLineChars="98"/>
        <w:textAlignment w:val="auto"/>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4. 违约责任</w:t>
      </w:r>
    </w:p>
    <w:p w14:paraId="60794168">
      <w:pPr>
        <w:keepNext w:val="0"/>
        <w:keepLines w:val="0"/>
        <w:pageBreakBefore w:val="0"/>
        <w:widowControl w:val="0"/>
        <w:kinsoku/>
        <w:wordWrap/>
        <w:overflowPunct/>
        <w:topLinePunct w:val="0"/>
        <w:bidi w:val="0"/>
        <w:spacing w:line="420" w:lineRule="exact"/>
        <w:ind w:left="210" w:leftChars="100" w:firstLine="316" w:firstLineChars="150"/>
        <w:textAlignment w:val="auto"/>
        <w:outlineLvl w:val="0"/>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bookmarkStart w:id="76" w:name="_Toc36049310"/>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4.1 乙方的违约责任</w:t>
      </w:r>
      <w:bookmarkEnd w:id="76"/>
    </w:p>
    <w:p w14:paraId="62FA2FD9">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乙方未履行本合同义务的，应承担相应的责任。</w:t>
      </w:r>
    </w:p>
    <w:p w14:paraId="710AE9DD">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4.1.1因乙方违反本合同约定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给委托方造成损失的，乙方应当赔偿委托方损失</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。赔偿金额的确定方法在专用条件中约定。乙方承担部分赔偿责任的，其承担赔偿金额由双方协商确定。</w:t>
      </w:r>
    </w:p>
    <w:p w14:paraId="6E9C73D2">
      <w:pPr>
        <w:keepNext w:val="0"/>
        <w:keepLines w:val="0"/>
        <w:pageBreakBefore w:val="0"/>
        <w:widowControl w:val="0"/>
        <w:kinsoku/>
        <w:wordWrap/>
        <w:overflowPunct/>
        <w:topLinePunct w:val="0"/>
        <w:bidi w:val="0"/>
        <w:spacing w:line="420" w:lineRule="exact"/>
        <w:ind w:firstLine="420" w:firstLineChars="200"/>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4.1.2乙方向甲方的索赔不成立时，乙方应赔偿委托方由此发生的费用。</w:t>
      </w:r>
    </w:p>
    <w:p w14:paraId="00385B59">
      <w:pPr>
        <w:keepNext w:val="0"/>
        <w:keepLines w:val="0"/>
        <w:pageBreakBefore w:val="0"/>
        <w:widowControl w:val="0"/>
        <w:kinsoku/>
        <w:wordWrap/>
        <w:overflowPunct/>
        <w:topLinePunct w:val="0"/>
        <w:bidi w:val="0"/>
        <w:snapToGrid w:val="0"/>
        <w:spacing w:line="420" w:lineRule="exact"/>
        <w:ind w:firstLine="422" w:firstLineChars="200"/>
        <w:textAlignment w:val="auto"/>
        <w:outlineLvl w:val="0"/>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bookmarkStart w:id="77" w:name="_Toc36049311"/>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4.2 甲方的违约责任</w:t>
      </w:r>
      <w:bookmarkEnd w:id="77"/>
    </w:p>
    <w:p w14:paraId="5728AFCD">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甲方未履行本合同义务的，应承担相应的责任。</w:t>
      </w:r>
    </w:p>
    <w:p w14:paraId="123808AF">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4.2.1甲方违反本合同约定造成乙方损失的，甲方应予以赔偿。</w:t>
      </w:r>
    </w:p>
    <w:p w14:paraId="5032D720">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4.2.2甲方向乙方的索赔不成立时，甲方应赔偿乙方由此引起的费用。</w:t>
      </w:r>
    </w:p>
    <w:p w14:paraId="56ED444C">
      <w:pPr>
        <w:keepNext w:val="0"/>
        <w:keepLines w:val="0"/>
        <w:pageBreakBefore w:val="0"/>
        <w:widowControl w:val="0"/>
        <w:kinsoku/>
        <w:wordWrap/>
        <w:overflowPunct/>
        <w:topLinePunct w:val="0"/>
        <w:bidi w:val="0"/>
        <w:spacing w:line="420" w:lineRule="exact"/>
        <w:ind w:firstLine="420" w:firstLineChars="200"/>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4.2.3</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甲方未能按期支付</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酬金</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超过28天，应按专用条件约定支付逾期付款利息。</w:t>
      </w:r>
    </w:p>
    <w:p w14:paraId="7A677FD9">
      <w:pPr>
        <w:keepNext w:val="0"/>
        <w:keepLines w:val="0"/>
        <w:pageBreakBefore w:val="0"/>
        <w:widowControl w:val="0"/>
        <w:kinsoku/>
        <w:wordWrap/>
        <w:overflowPunct/>
        <w:topLinePunct w:val="0"/>
        <w:bidi w:val="0"/>
        <w:spacing w:line="420" w:lineRule="exact"/>
        <w:ind w:firstLine="422" w:firstLineChars="200"/>
        <w:textAlignment w:val="auto"/>
        <w:outlineLvl w:val="0"/>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bookmarkStart w:id="78" w:name="_Toc36049312"/>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4.3 除外责任</w:t>
      </w:r>
      <w:bookmarkEnd w:id="78"/>
    </w:p>
    <w:p w14:paraId="17EEF6E5">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因非乙方的原因，且乙方无过错，发生工程质量事故、安全事故、工期延误等造成的损失，乙方不承担赔偿责任。</w:t>
      </w:r>
    </w:p>
    <w:p w14:paraId="10A3BD88">
      <w:pPr>
        <w:keepNext w:val="0"/>
        <w:keepLines w:val="0"/>
        <w:pageBreakBefore w:val="0"/>
        <w:widowControl w:val="0"/>
        <w:kinsoku/>
        <w:wordWrap/>
        <w:overflowPunct/>
        <w:topLinePunct w:val="0"/>
        <w:bidi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因不可抗力导致本合同全部或部分不能履行时，双方各自</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承担</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因此而造成的损失、损害。</w:t>
      </w:r>
    </w:p>
    <w:p w14:paraId="311BF7B8">
      <w:pPr>
        <w:keepNext w:val="0"/>
        <w:keepLines w:val="0"/>
        <w:pageBreakBefore w:val="0"/>
        <w:widowControl w:val="0"/>
        <w:kinsoku/>
        <w:wordWrap/>
        <w:overflowPunct/>
        <w:topLinePunct w:val="0"/>
        <w:bidi w:val="0"/>
        <w:snapToGrid w:val="0"/>
        <w:spacing w:line="420" w:lineRule="exact"/>
        <w:textAlignment w:val="auto"/>
        <w:outlineLvl w:val="0"/>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bookmarkStart w:id="79" w:name="_Toc36049313"/>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5. 支付</w:t>
      </w:r>
      <w:bookmarkEnd w:id="79"/>
    </w:p>
    <w:p w14:paraId="42B95E9C">
      <w:pPr>
        <w:keepNext w:val="0"/>
        <w:keepLines w:val="0"/>
        <w:pageBreakBefore w:val="0"/>
        <w:widowControl w:val="0"/>
        <w:kinsoku/>
        <w:wordWrap/>
        <w:overflowPunct/>
        <w:topLinePunct w:val="0"/>
        <w:bidi w:val="0"/>
        <w:snapToGrid w:val="0"/>
        <w:spacing w:line="420" w:lineRule="exact"/>
        <w:ind w:left="210" w:leftChars="100" w:firstLine="211" w:firstLineChars="100"/>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5.1 支付货币</w:t>
      </w:r>
    </w:p>
    <w:p w14:paraId="06319DA6">
      <w:pPr>
        <w:keepNext w:val="0"/>
        <w:keepLines w:val="0"/>
        <w:pageBreakBefore w:val="0"/>
        <w:widowControl w:val="0"/>
        <w:kinsoku/>
        <w:wordWrap/>
        <w:overflowPunct/>
        <w:topLinePunct w:val="0"/>
        <w:bidi w:val="0"/>
        <w:snapToGrid w:val="0"/>
        <w:spacing w:line="420" w:lineRule="exact"/>
        <w:ind w:firstLine="420" w:firstLineChars="200"/>
        <w:textAlignment w:val="auto"/>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除专用条件另有约定外，酬金均以人民币支付。涉及外币支付的，所采用的货币种类、比例和汇率在专用条件中约定。</w:t>
      </w:r>
    </w:p>
    <w:p w14:paraId="3760DE2E">
      <w:pPr>
        <w:keepNext w:val="0"/>
        <w:keepLines w:val="0"/>
        <w:pageBreakBefore w:val="0"/>
        <w:widowControl w:val="0"/>
        <w:kinsoku/>
        <w:wordWrap/>
        <w:overflowPunct/>
        <w:topLinePunct w:val="0"/>
        <w:bidi w:val="0"/>
        <w:snapToGrid w:val="0"/>
        <w:spacing w:line="420" w:lineRule="exact"/>
        <w:ind w:left="210" w:leftChars="100" w:firstLine="211" w:firstLineChars="100"/>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5.2 支付申请</w:t>
      </w:r>
    </w:p>
    <w:p w14:paraId="4C4854DE">
      <w:pPr>
        <w:keepNext w:val="0"/>
        <w:keepLines w:val="0"/>
        <w:pageBreakBefore w:val="0"/>
        <w:widowControl w:val="0"/>
        <w:kinsoku/>
        <w:wordWrap/>
        <w:overflowPunct/>
        <w:topLinePunct w:val="0"/>
        <w:bidi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乙方应在本合同约定的每次应付款时间的7天前，向甲方提交支付申请书。支付申请书应当说明当期应付款总额，并列出当期应支付的款项及其金额。</w:t>
      </w:r>
    </w:p>
    <w:p w14:paraId="11307F20">
      <w:pPr>
        <w:keepNext w:val="0"/>
        <w:keepLines w:val="0"/>
        <w:pageBreakBefore w:val="0"/>
        <w:widowControl w:val="0"/>
        <w:kinsoku/>
        <w:wordWrap/>
        <w:overflowPunct/>
        <w:topLinePunct w:val="0"/>
        <w:bidi w:val="0"/>
        <w:snapToGrid w:val="0"/>
        <w:spacing w:line="420" w:lineRule="exact"/>
        <w:ind w:firstLine="422" w:firstLineChars="200"/>
        <w:textAlignment w:val="auto"/>
        <w:outlineLvl w:val="0"/>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bookmarkStart w:id="80" w:name="_Toc36049314"/>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5.3 支付酬金</w:t>
      </w:r>
      <w:bookmarkEnd w:id="80"/>
    </w:p>
    <w:p w14:paraId="320FB105">
      <w:pPr>
        <w:keepNext w:val="0"/>
        <w:keepLines w:val="0"/>
        <w:pageBreakBefore w:val="0"/>
        <w:widowControl w:val="0"/>
        <w:kinsoku/>
        <w:wordWrap/>
        <w:overflowPunct/>
        <w:topLinePunct w:val="0"/>
        <w:bidi w:val="0"/>
        <w:snapToGrid w:val="0"/>
        <w:spacing w:line="420" w:lineRule="exact"/>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支付的酬金包括正常工作酬金、附加工作酬金。</w:t>
      </w:r>
    </w:p>
    <w:p w14:paraId="00C16B6F">
      <w:pPr>
        <w:keepNext w:val="0"/>
        <w:keepLines w:val="0"/>
        <w:pageBreakBefore w:val="0"/>
        <w:widowControl w:val="0"/>
        <w:kinsoku/>
        <w:wordWrap/>
        <w:overflowPunct/>
        <w:topLinePunct w:val="0"/>
        <w:bidi w:val="0"/>
        <w:snapToGrid w:val="0"/>
        <w:spacing w:line="420" w:lineRule="exact"/>
        <w:ind w:firstLine="422" w:firstLineChars="200"/>
        <w:textAlignment w:val="auto"/>
        <w:outlineLvl w:val="0"/>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5.4 有争议部分的付款</w:t>
      </w:r>
    </w:p>
    <w:p w14:paraId="76D074CD">
      <w:pPr>
        <w:keepNext w:val="0"/>
        <w:keepLines w:val="0"/>
        <w:pageBreakBefore w:val="0"/>
        <w:widowControl w:val="0"/>
        <w:kinsoku/>
        <w:wordWrap/>
        <w:overflowPunct/>
        <w:topLinePunct w:val="0"/>
        <w:bidi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甲方对乙方提交的支付申请书有异议时，应当在收到甲方提交的支付申请书后7天内，以书面形式向乙方发出异议通知。无异议部分的款项应按期支付，有异议部分的款项按第7条约定办理。</w:t>
      </w:r>
    </w:p>
    <w:p w14:paraId="75879421">
      <w:pPr>
        <w:keepNext w:val="0"/>
        <w:keepLines w:val="0"/>
        <w:pageBreakBefore w:val="0"/>
        <w:widowControl w:val="0"/>
        <w:kinsoku/>
        <w:wordWrap/>
        <w:overflowPunct/>
        <w:topLinePunct w:val="0"/>
        <w:bidi w:val="0"/>
        <w:snapToGrid w:val="0"/>
        <w:spacing w:line="420" w:lineRule="exact"/>
        <w:textAlignment w:val="auto"/>
        <w:outlineLvl w:val="0"/>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bookmarkStart w:id="81" w:name="_Toc36049315"/>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6. 合同生效、变更、暂停、解除与终止</w:t>
      </w:r>
      <w:bookmarkEnd w:id="81"/>
    </w:p>
    <w:p w14:paraId="2F87F0F6">
      <w:pPr>
        <w:keepNext w:val="0"/>
        <w:keepLines w:val="0"/>
        <w:pageBreakBefore w:val="0"/>
        <w:widowControl w:val="0"/>
        <w:kinsoku/>
        <w:wordWrap/>
        <w:overflowPunct/>
        <w:topLinePunct w:val="0"/>
        <w:bidi w:val="0"/>
        <w:spacing w:line="420" w:lineRule="exact"/>
        <w:ind w:left="210" w:leftChars="100" w:firstLine="211" w:firstLineChars="1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6.1</w:t>
      </w:r>
      <w:r>
        <w:rPr>
          <w:rFonts w:hint="eastAsia" w:asciiTheme="minorEastAsia" w:hAnsiTheme="minorEastAsia" w:eastAsiaTheme="minorEastAsia" w:cstheme="minorEastAsia"/>
          <w:b/>
          <w:bCs/>
          <w:color w:val="000000" w:themeColor="text1"/>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生效</w:t>
      </w:r>
    </w:p>
    <w:p w14:paraId="0AB58C4F">
      <w:pPr>
        <w:keepNext w:val="0"/>
        <w:keepLines w:val="0"/>
        <w:pageBreakBefore w:val="0"/>
        <w:widowControl w:val="0"/>
        <w:kinsoku/>
        <w:wordWrap/>
        <w:overflowPunct/>
        <w:topLinePunct w:val="0"/>
        <w:bidi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除法律另有规定或者专用条件另有约定外，甲方和乙方的法定代表人或其授权代理人在协议书上签字并盖单位章后本合同生效。</w:t>
      </w:r>
    </w:p>
    <w:p w14:paraId="3AD55481">
      <w:pPr>
        <w:keepNext w:val="0"/>
        <w:keepLines w:val="0"/>
        <w:pageBreakBefore w:val="0"/>
        <w:widowControl w:val="0"/>
        <w:kinsoku/>
        <w:wordWrap/>
        <w:overflowPunct/>
        <w:topLinePunct w:val="0"/>
        <w:bidi w:val="0"/>
        <w:snapToGrid w:val="0"/>
        <w:spacing w:line="420" w:lineRule="exact"/>
        <w:ind w:left="210" w:leftChars="100" w:firstLine="211" w:firstLineChars="100"/>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6.2</w:t>
      </w:r>
      <w:r>
        <w:rPr>
          <w:rFonts w:hint="eastAsia" w:asciiTheme="minorEastAsia" w:hAnsiTheme="minorEastAsia" w:eastAsiaTheme="minorEastAsia" w:cstheme="minorEastAsia"/>
          <w:b/>
          <w:bCs/>
          <w:color w:val="000000" w:themeColor="text1"/>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变更</w:t>
      </w:r>
    </w:p>
    <w:p w14:paraId="3A1BAF5C">
      <w:pPr>
        <w:keepNext w:val="0"/>
        <w:keepLines w:val="0"/>
        <w:pageBreakBefore w:val="0"/>
        <w:widowControl w:val="0"/>
        <w:kinsoku/>
        <w:wordWrap/>
        <w:overflowPunct/>
        <w:topLinePunct w:val="0"/>
        <w:bidi w:val="0"/>
        <w:snapToGrid w:val="0"/>
        <w:spacing w:line="420" w:lineRule="exact"/>
        <w:ind w:firstLine="420" w:firstLineChars="200"/>
        <w:textAlignment w:val="auto"/>
        <w:outlineLvl w:val="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2" w:name="_Toc36049316"/>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6.2.1任何一方提出变更请求时，双方经协商一致后可进行变更。</w:t>
      </w:r>
      <w:bookmarkEnd w:id="82"/>
    </w:p>
    <w:p w14:paraId="4E005870">
      <w:pPr>
        <w:keepNext w:val="0"/>
        <w:keepLines w:val="0"/>
        <w:pageBreakBefore w:val="0"/>
        <w:widowControl w:val="0"/>
        <w:kinsoku/>
        <w:wordWrap/>
        <w:overflowPunct/>
        <w:topLinePunct w:val="0"/>
        <w:autoSpaceDE w:val="0"/>
        <w:autoSpaceDN w:val="0"/>
        <w:bidi w:val="0"/>
        <w:adjustRightInd w:val="0"/>
        <w:spacing w:line="420" w:lineRule="exact"/>
        <w:ind w:firstLine="420" w:firstLineChars="200"/>
        <w:jc w:val="left"/>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6.2.2</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变更估价原则</w:t>
      </w:r>
    </w:p>
    <w:p w14:paraId="4C0340F7">
      <w:pPr>
        <w:keepNext w:val="0"/>
        <w:keepLines w:val="0"/>
        <w:pageBreakBefore w:val="0"/>
        <w:widowControl w:val="0"/>
        <w:kinsoku/>
        <w:wordWrap/>
        <w:overflowPunct/>
        <w:topLinePunct w:val="0"/>
        <w:autoSpaceDE w:val="0"/>
        <w:autoSpaceDN w:val="0"/>
        <w:bidi w:val="0"/>
        <w:adjustRightInd w:val="0"/>
        <w:spacing w:line="420" w:lineRule="exact"/>
        <w:ind w:firstLine="420" w:firstLineChars="200"/>
        <w:jc w:val="left"/>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除专用合同条款另有约定外，变更估价按照本款约定处理：</w:t>
      </w:r>
    </w:p>
    <w:p w14:paraId="4CBACDEE">
      <w:pPr>
        <w:keepNext w:val="0"/>
        <w:keepLines w:val="0"/>
        <w:pageBreakBefore w:val="0"/>
        <w:widowControl w:val="0"/>
        <w:kinsoku/>
        <w:wordWrap/>
        <w:overflowPunct/>
        <w:topLinePunct w:val="0"/>
        <w:autoSpaceDE w:val="0"/>
        <w:autoSpaceDN w:val="0"/>
        <w:bidi w:val="0"/>
        <w:adjustRightInd w:val="0"/>
        <w:spacing w:line="420" w:lineRule="exact"/>
        <w:ind w:firstLine="420" w:firstLineChars="200"/>
        <w:jc w:val="left"/>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（1）已标价工程量清单或预算书有相同项目的，按照相同项目单价认定；</w:t>
      </w:r>
    </w:p>
    <w:p w14:paraId="392DCF75">
      <w:pPr>
        <w:keepNext w:val="0"/>
        <w:keepLines w:val="0"/>
        <w:pageBreakBefore w:val="0"/>
        <w:widowControl w:val="0"/>
        <w:kinsoku/>
        <w:wordWrap/>
        <w:overflowPunct/>
        <w:topLinePunct w:val="0"/>
        <w:autoSpaceDE w:val="0"/>
        <w:autoSpaceDN w:val="0"/>
        <w:bidi w:val="0"/>
        <w:adjustRightInd w:val="0"/>
        <w:spacing w:line="420" w:lineRule="exact"/>
        <w:ind w:firstLine="420" w:firstLineChars="200"/>
        <w:jc w:val="left"/>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（2）已标价工程量清单或预算书中无相同项目，但有类似项目的，参照类似项目的单价认定；</w:t>
      </w:r>
    </w:p>
    <w:p w14:paraId="337D3C43">
      <w:pPr>
        <w:keepNext w:val="0"/>
        <w:keepLines w:val="0"/>
        <w:pageBreakBefore w:val="0"/>
        <w:widowControl w:val="0"/>
        <w:kinsoku/>
        <w:wordWrap/>
        <w:overflowPunct/>
        <w:topLinePunct w:val="0"/>
        <w:autoSpaceDE w:val="0"/>
        <w:autoSpaceDN w:val="0"/>
        <w:bidi w:val="0"/>
        <w:adjustRightInd w:val="0"/>
        <w:spacing w:line="420" w:lineRule="exact"/>
        <w:ind w:firstLine="420" w:firstLineChars="20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6.2.3除不可抗力外，因非乙方原因导致乙方履行合同期限延长、内容增加时，乙方应当将此情况与可能产生的影响及时通知甲方。增加的检测工作时间、工作内容应视为附加工作。附加工作酬金的确定方法由双方协商确定。</w:t>
      </w:r>
    </w:p>
    <w:p w14:paraId="39400961">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6.2.4合同生效后，如果实际情况发生变化使得乙方不能完成全部或部分工作时，乙方应立即通知甲方。除不可抗力外，其善后工作以及恢复服务的准备工作应为附加工作，附加工作酬金的确定方法由双方协商确定。乙方用于恢复服务的准备时间不应超过28天。</w:t>
      </w:r>
    </w:p>
    <w:p w14:paraId="3F4EC1CA">
      <w:pPr>
        <w:keepNext w:val="0"/>
        <w:keepLines w:val="0"/>
        <w:pageBreakBefore w:val="0"/>
        <w:widowControl w:val="0"/>
        <w:kinsoku/>
        <w:wordWrap/>
        <w:overflowPunct/>
        <w:topLinePunct w:val="0"/>
        <w:bidi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6.2.5合同签订后，遇有与工程相关的法律法规、标准颁布或修订的，双方应遵照执行。由此引起检测与相关服务的数量、范围、时间、酬金变化的，双方应通过协商进行相应调整。</w:t>
      </w:r>
    </w:p>
    <w:p w14:paraId="4DF39277">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6.2.6因非乙方原因造成工程概算投资额或建筑安装工程费、工程量增加时，正常工作酬金应作相应调整。调整方法由双方协商确定。</w:t>
      </w:r>
    </w:p>
    <w:p w14:paraId="7A969F54">
      <w:pPr>
        <w:keepNext w:val="0"/>
        <w:keepLines w:val="0"/>
        <w:pageBreakBefore w:val="0"/>
        <w:widowControl w:val="0"/>
        <w:kinsoku/>
        <w:wordWrap/>
        <w:overflowPunct/>
        <w:topLinePunct w:val="0"/>
        <w:bidi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6.2.7因工程规模、检测范围的变化导致乙方的正常工作量增减时，正常工作酬金应作相应调整。调整方法由双方协商确定。</w:t>
      </w:r>
    </w:p>
    <w:p w14:paraId="7357CF2E">
      <w:pPr>
        <w:keepNext w:val="0"/>
        <w:keepLines w:val="0"/>
        <w:pageBreakBefore w:val="0"/>
        <w:widowControl w:val="0"/>
        <w:kinsoku/>
        <w:wordWrap/>
        <w:overflowPunct/>
        <w:topLinePunct w:val="0"/>
        <w:bidi w:val="0"/>
        <w:snapToGrid w:val="0"/>
        <w:spacing w:line="420" w:lineRule="exact"/>
        <w:ind w:firstLine="422" w:firstLineChars="200"/>
        <w:textAlignment w:val="auto"/>
        <w:outlineLvl w:val="0"/>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 xml:space="preserve"> </w:t>
      </w:r>
      <w:bookmarkStart w:id="83" w:name="_Toc36049317"/>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6.3 暂停与解除</w:t>
      </w:r>
      <w:bookmarkEnd w:id="83"/>
    </w:p>
    <w:p w14:paraId="538D8F4F">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除双方协商一致可以解除本合同外，当一方无正当理由未履行本合同约定的义务时，另一方可以根据本合同约定暂停履行本合同直至解除本合同。</w:t>
      </w:r>
    </w:p>
    <w:p w14:paraId="6754C8F8">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6.3.1在本合同有效期内，由于双方无法预见和控制的原因导致本合同全部或部分无法继续履行或继续履行已</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无异议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，经双方协商一致，可以解除本合同或乙方的部分义务。在解除之前，乙方应作出合理安排，使开支减至最小。</w:t>
      </w:r>
    </w:p>
    <w:p w14:paraId="7A0E0A51">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因解除本合同或解除乙方的部分义务导致乙方遭受的损失，除依法可以免除责任的情况外，应由甲方予以补偿，补偿金额由双方协商确定。</w:t>
      </w:r>
    </w:p>
    <w:p w14:paraId="2EDFB50A">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解除本合同的协议必须采取书面形式</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，在</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协议未达成之前，本合同仍然有效。</w:t>
      </w:r>
    </w:p>
    <w:p w14:paraId="6B46C2A7">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6.3.2当乙方无正当理由未履行本合同约定的义务时，甲方应通知乙方限期改正。若甲方在乙方接到通知后的7天内未收到乙方书面形式的合理解释，则可在7天后发出解除本合同的通知，自通知到达乙方时本合同解除。甲方应将检测与相关服务</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酬金支付至</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限期改正通知到达乙方之日</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，但乙方应承担第4.1款约定的责任。</w:t>
      </w:r>
    </w:p>
    <w:p w14:paraId="5D94BC3D">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6.3.3乙方在专用条件5.3中约定的支付之日起28天后仍未收到甲方按本合同约定应付的款项，可向甲方发出催付通知。甲方接到通知14天后仍未支付或未提出乙方可以接受的延期支付安排，乙方可向甲方发出暂停工作的通知并可自行暂停全部或部分工作。暂停工作后14天内乙方仍未获得甲方应付酬金或甲方的合理答复，乙方可向甲方发出解除本合同的通知，自通知到达甲方时本合同解除。甲方应承担第4.2.3款约定的责任。</w:t>
      </w:r>
    </w:p>
    <w:p w14:paraId="716FB3F9">
      <w:pPr>
        <w:keepNext w:val="0"/>
        <w:keepLines w:val="0"/>
        <w:pageBreakBefore w:val="0"/>
        <w:widowControl w:val="0"/>
        <w:kinsoku/>
        <w:wordWrap/>
        <w:overflowPunct/>
        <w:topLinePunct w:val="0"/>
        <w:bidi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6.3.4因不可抗力致使本合同部分或全部不能履行时，一方应立即通知另一方，可暂停或解除本合同。</w:t>
      </w:r>
    </w:p>
    <w:p w14:paraId="48B0A145">
      <w:pPr>
        <w:keepNext w:val="0"/>
        <w:keepLines w:val="0"/>
        <w:pageBreakBefore w:val="0"/>
        <w:widowControl w:val="0"/>
        <w:kinsoku/>
        <w:wordWrap/>
        <w:overflowPunct/>
        <w:topLinePunct w:val="0"/>
        <w:bidi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6.3.5本合同解除后，本合同约定的有关结算、清理、争议解决方式的条件仍然有效。</w:t>
      </w:r>
    </w:p>
    <w:p w14:paraId="3CA501D5">
      <w:pPr>
        <w:keepNext w:val="0"/>
        <w:keepLines w:val="0"/>
        <w:pageBreakBefore w:val="0"/>
        <w:widowControl w:val="0"/>
        <w:kinsoku/>
        <w:wordWrap/>
        <w:overflowPunct/>
        <w:topLinePunct w:val="0"/>
        <w:bidi w:val="0"/>
        <w:snapToGrid w:val="0"/>
        <w:spacing w:line="420" w:lineRule="exact"/>
        <w:ind w:left="0" w:leftChars="0" w:firstLine="422" w:firstLineChars="200"/>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6.4 终止</w:t>
      </w:r>
    </w:p>
    <w:p w14:paraId="2A739D7D">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以下条件全部满足时，本合同即告终止：</w:t>
      </w:r>
    </w:p>
    <w:p w14:paraId="362035AE">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（1）乙方完成本合同约定的全部工作；</w:t>
      </w:r>
    </w:p>
    <w:p w14:paraId="4F818685">
      <w:pPr>
        <w:keepNext w:val="0"/>
        <w:keepLines w:val="0"/>
        <w:pageBreakBefore w:val="0"/>
        <w:widowControl w:val="0"/>
        <w:kinsoku/>
        <w:wordWrap/>
        <w:overflowPunct/>
        <w:topLinePunct w:val="0"/>
        <w:bidi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（2）甲方与乙方结清并支付全部酬金。</w:t>
      </w:r>
    </w:p>
    <w:p w14:paraId="38E60720">
      <w:pPr>
        <w:keepNext w:val="0"/>
        <w:keepLines w:val="0"/>
        <w:pageBreakBefore w:val="0"/>
        <w:widowControl w:val="0"/>
        <w:kinsoku/>
        <w:wordWrap/>
        <w:overflowPunct/>
        <w:topLinePunct w:val="0"/>
        <w:bidi w:val="0"/>
        <w:snapToGrid w:val="0"/>
        <w:spacing w:line="420" w:lineRule="exact"/>
        <w:textAlignment w:val="auto"/>
        <w:outlineLvl w:val="0"/>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bookmarkStart w:id="84" w:name="_Toc36049318"/>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7. 争议解决</w:t>
      </w:r>
      <w:bookmarkEnd w:id="84"/>
    </w:p>
    <w:p w14:paraId="2097EDC4">
      <w:pPr>
        <w:keepNext w:val="0"/>
        <w:keepLines w:val="0"/>
        <w:pageBreakBefore w:val="0"/>
        <w:widowControl w:val="0"/>
        <w:kinsoku/>
        <w:wordWrap/>
        <w:overflowPunct/>
        <w:topLinePunct w:val="0"/>
        <w:bidi w:val="0"/>
        <w:snapToGrid w:val="0"/>
        <w:spacing w:line="420" w:lineRule="exact"/>
        <w:ind w:left="210" w:leftChars="100" w:firstLine="211" w:firstLineChars="100"/>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7.1协商</w:t>
      </w:r>
    </w:p>
    <w:p w14:paraId="74A74E86">
      <w:pPr>
        <w:keepNext w:val="0"/>
        <w:keepLines w:val="0"/>
        <w:pageBreakBefore w:val="0"/>
        <w:widowControl w:val="0"/>
        <w:kinsoku/>
        <w:wordWrap/>
        <w:overflowPunct/>
        <w:topLinePunct w:val="0"/>
        <w:bidi w:val="0"/>
        <w:snapToGrid w:val="0"/>
        <w:spacing w:line="420" w:lineRule="exact"/>
        <w:ind w:firstLine="420" w:firstLineChars="200"/>
        <w:textAlignment w:val="auto"/>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双方应本着诚信原则协商解决彼此间的争议。</w:t>
      </w:r>
    </w:p>
    <w:p w14:paraId="05F43B5F">
      <w:pPr>
        <w:keepNext w:val="0"/>
        <w:keepLines w:val="0"/>
        <w:pageBreakBefore w:val="0"/>
        <w:widowControl w:val="0"/>
        <w:kinsoku/>
        <w:wordWrap/>
        <w:overflowPunct/>
        <w:topLinePunct w:val="0"/>
        <w:bidi w:val="0"/>
        <w:snapToGrid w:val="0"/>
        <w:spacing w:line="420" w:lineRule="exact"/>
        <w:ind w:left="210" w:leftChars="100" w:firstLine="211" w:firstLineChars="100"/>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7.2调解</w:t>
      </w:r>
    </w:p>
    <w:p w14:paraId="3B5151CB">
      <w:pPr>
        <w:keepNext w:val="0"/>
        <w:keepLines w:val="0"/>
        <w:pageBreakBefore w:val="0"/>
        <w:widowControl w:val="0"/>
        <w:kinsoku/>
        <w:wordWrap/>
        <w:overflowPunct/>
        <w:topLinePunct w:val="0"/>
        <w:bidi w:val="0"/>
        <w:snapToGrid w:val="0"/>
        <w:spacing w:line="420" w:lineRule="exact"/>
        <w:ind w:firstLine="420" w:firstLineChars="200"/>
        <w:textAlignment w:val="auto"/>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如果双方不能在14天内或双方商定的其他时间内解决本合同争议，可以将其提交给专用条件约定的或事后达成协议的调解人进行调解。</w:t>
      </w:r>
    </w:p>
    <w:p w14:paraId="4BCC5F8F">
      <w:pPr>
        <w:keepNext w:val="0"/>
        <w:keepLines w:val="0"/>
        <w:pageBreakBefore w:val="0"/>
        <w:widowControl w:val="0"/>
        <w:kinsoku/>
        <w:wordWrap/>
        <w:overflowPunct/>
        <w:topLinePunct w:val="0"/>
        <w:bidi w:val="0"/>
        <w:snapToGrid w:val="0"/>
        <w:spacing w:line="420" w:lineRule="exact"/>
        <w:ind w:left="210" w:leftChars="100" w:firstLine="211" w:firstLineChars="100"/>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7.3仲裁或诉讼</w:t>
      </w:r>
    </w:p>
    <w:p w14:paraId="039A0D80">
      <w:pPr>
        <w:keepNext w:val="0"/>
        <w:keepLines w:val="0"/>
        <w:pageBreakBefore w:val="0"/>
        <w:widowControl w:val="0"/>
        <w:kinsoku/>
        <w:wordWrap/>
        <w:overflowPunct/>
        <w:topLinePunct w:val="0"/>
        <w:bidi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双方均有权不经调解直接向专用条件约定的仲裁机构申请仲裁或向有管辖权的人民法院提起诉讼。</w:t>
      </w:r>
    </w:p>
    <w:p w14:paraId="7133BD3E">
      <w:pPr>
        <w:keepNext w:val="0"/>
        <w:keepLines w:val="0"/>
        <w:pageBreakBefore w:val="0"/>
        <w:widowControl w:val="0"/>
        <w:kinsoku/>
        <w:wordWrap/>
        <w:overflowPunct/>
        <w:topLinePunct w:val="0"/>
        <w:bidi w:val="0"/>
        <w:snapToGrid w:val="0"/>
        <w:spacing w:line="420" w:lineRule="exact"/>
        <w:textAlignment w:val="auto"/>
        <w:outlineLvl w:val="0"/>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bookmarkStart w:id="85" w:name="_Toc36049319"/>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8. 其他</w:t>
      </w:r>
      <w:bookmarkEnd w:id="85"/>
    </w:p>
    <w:p w14:paraId="678423F3">
      <w:pPr>
        <w:keepNext w:val="0"/>
        <w:keepLines w:val="0"/>
        <w:pageBreakBefore w:val="0"/>
        <w:widowControl w:val="0"/>
        <w:kinsoku/>
        <w:wordWrap/>
        <w:overflowPunct/>
        <w:topLinePunct w:val="0"/>
        <w:bidi w:val="0"/>
        <w:spacing w:line="420" w:lineRule="exact"/>
        <w:ind w:left="210" w:leftChars="100" w:firstLine="211" w:firstLineChars="100"/>
        <w:textAlignment w:val="auto"/>
        <w:outlineLvl w:val="0"/>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bookmarkStart w:id="86" w:name="_Toc36049320"/>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8.1 外出考察费用</w:t>
      </w:r>
      <w:bookmarkEnd w:id="86"/>
    </w:p>
    <w:p w14:paraId="66657F3C">
      <w:pPr>
        <w:keepNext w:val="0"/>
        <w:keepLines w:val="0"/>
        <w:pageBreakBefore w:val="0"/>
        <w:widowControl w:val="0"/>
        <w:kinsoku/>
        <w:wordWrap/>
        <w:overflowPunct/>
        <w:topLinePunct w:val="0"/>
        <w:bidi w:val="0"/>
        <w:snapToGrid w:val="0"/>
        <w:spacing w:line="420" w:lineRule="exact"/>
        <w:ind w:firstLine="420" w:firstLineChars="200"/>
        <w:textAlignment w:val="auto"/>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经甲方同意，检测人员外出考察发生的费用由甲方审核后支付。</w:t>
      </w:r>
    </w:p>
    <w:p w14:paraId="1D716E28">
      <w:pPr>
        <w:keepNext w:val="0"/>
        <w:keepLines w:val="0"/>
        <w:pageBreakBefore w:val="0"/>
        <w:widowControl w:val="0"/>
        <w:kinsoku/>
        <w:wordWrap/>
        <w:overflowPunct/>
        <w:topLinePunct w:val="0"/>
        <w:bidi w:val="0"/>
        <w:snapToGrid w:val="0"/>
        <w:spacing w:line="420" w:lineRule="exact"/>
        <w:ind w:left="210" w:leftChars="100" w:firstLine="211" w:firstLineChars="100"/>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8.2咨询费用</w:t>
      </w:r>
    </w:p>
    <w:p w14:paraId="417E6234">
      <w:pPr>
        <w:keepNext w:val="0"/>
        <w:keepLines w:val="0"/>
        <w:pageBreakBefore w:val="0"/>
        <w:widowControl w:val="0"/>
        <w:kinsoku/>
        <w:wordWrap/>
        <w:overflowPunct/>
        <w:topLinePunct w:val="0"/>
        <w:bidi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经甲方同意，根据工程需要由乙方组织的相关咨询论证会以及聘请相关专家等发生的费用由甲方支付，支付时间在专用条件中约定。</w:t>
      </w:r>
    </w:p>
    <w:p w14:paraId="6D12F455">
      <w:pPr>
        <w:keepNext w:val="0"/>
        <w:keepLines w:val="0"/>
        <w:pageBreakBefore w:val="0"/>
        <w:widowControl w:val="0"/>
        <w:kinsoku/>
        <w:wordWrap/>
        <w:overflowPunct/>
        <w:topLinePunct w:val="0"/>
        <w:bidi w:val="0"/>
        <w:snapToGrid w:val="0"/>
        <w:spacing w:line="420" w:lineRule="exact"/>
        <w:ind w:left="210" w:leftChars="100" w:firstLine="211" w:firstLineChars="100"/>
        <w:textAlignment w:val="auto"/>
        <w:outlineLvl w:val="0"/>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bookmarkStart w:id="87" w:name="_Toc36049321"/>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8.3 守法诚信</w:t>
      </w:r>
      <w:bookmarkEnd w:id="87"/>
    </w:p>
    <w:p w14:paraId="77EB4EF6">
      <w:pPr>
        <w:keepNext w:val="0"/>
        <w:keepLines w:val="0"/>
        <w:pageBreakBefore w:val="0"/>
        <w:widowControl w:val="0"/>
        <w:kinsoku/>
        <w:wordWrap/>
        <w:overflowPunct/>
        <w:topLinePunct w:val="0"/>
        <w:bidi w:val="0"/>
        <w:snapToGrid w:val="0"/>
        <w:spacing w:line="420" w:lineRule="exact"/>
        <w:ind w:firstLine="420" w:firstLineChars="200"/>
        <w:textAlignment w:val="auto"/>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乙方及其工作人员不得</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从事</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与实施工程有关的第三方处获得任何经济利益。</w:t>
      </w:r>
    </w:p>
    <w:p w14:paraId="2690072F">
      <w:pPr>
        <w:keepNext w:val="0"/>
        <w:keepLines w:val="0"/>
        <w:pageBreakBefore w:val="0"/>
        <w:widowControl w:val="0"/>
        <w:kinsoku/>
        <w:wordWrap/>
        <w:overflowPunct/>
        <w:topLinePunct w:val="0"/>
        <w:bidi w:val="0"/>
        <w:snapToGrid w:val="0"/>
        <w:spacing w:line="420" w:lineRule="exact"/>
        <w:ind w:left="210" w:leftChars="100" w:firstLine="211" w:firstLineChars="100"/>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8.4 保密</w:t>
      </w:r>
    </w:p>
    <w:p w14:paraId="46FE001F">
      <w:pPr>
        <w:keepNext w:val="0"/>
        <w:keepLines w:val="0"/>
        <w:pageBreakBefore w:val="0"/>
        <w:widowControl w:val="0"/>
        <w:kinsoku/>
        <w:wordWrap/>
        <w:overflowPunct/>
        <w:topLinePunct w:val="0"/>
        <w:bidi w:val="0"/>
        <w:snapToGrid w:val="0"/>
        <w:spacing w:line="420" w:lineRule="exact"/>
        <w:ind w:firstLine="420" w:firstLineChars="200"/>
        <w:textAlignment w:val="auto"/>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双方不得泄露对方申明的保密资料，亦不得泄露与实施工程有关的第三方所提供的保密资料，保密事项在专用条件中约定。</w:t>
      </w:r>
    </w:p>
    <w:p w14:paraId="497099D8">
      <w:pPr>
        <w:keepNext w:val="0"/>
        <w:keepLines w:val="0"/>
        <w:pageBreakBefore w:val="0"/>
        <w:widowControl w:val="0"/>
        <w:kinsoku/>
        <w:wordWrap/>
        <w:overflowPunct/>
        <w:topLinePunct w:val="0"/>
        <w:bidi w:val="0"/>
        <w:snapToGrid w:val="0"/>
        <w:spacing w:line="420" w:lineRule="exact"/>
        <w:ind w:left="210" w:leftChars="100" w:firstLine="211" w:firstLineChars="100"/>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8.5 通知</w:t>
      </w:r>
    </w:p>
    <w:p w14:paraId="06C960BD">
      <w:pPr>
        <w:keepNext w:val="0"/>
        <w:keepLines w:val="0"/>
        <w:pageBreakBefore w:val="0"/>
        <w:widowControl w:val="0"/>
        <w:kinsoku/>
        <w:wordWrap/>
        <w:overflowPunct/>
        <w:topLinePunct w:val="0"/>
        <w:bidi w:val="0"/>
        <w:snapToGrid w:val="0"/>
        <w:spacing w:line="420" w:lineRule="exact"/>
        <w:ind w:firstLine="420" w:firstLineChars="200"/>
        <w:textAlignment w:val="auto"/>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本合同涉及的通知均应当采用书面形式，并在送达对方时生效，收件人应书面签收。</w:t>
      </w:r>
    </w:p>
    <w:p w14:paraId="27C002DB">
      <w:pPr>
        <w:keepNext w:val="0"/>
        <w:keepLines w:val="0"/>
        <w:pageBreakBefore w:val="0"/>
        <w:widowControl w:val="0"/>
        <w:kinsoku/>
        <w:wordWrap/>
        <w:overflowPunct/>
        <w:topLinePunct w:val="0"/>
        <w:bidi w:val="0"/>
        <w:snapToGrid w:val="0"/>
        <w:spacing w:line="420" w:lineRule="exact"/>
        <w:ind w:left="210" w:leftChars="100" w:firstLine="211" w:firstLineChars="100"/>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8.6 著作权</w:t>
      </w:r>
    </w:p>
    <w:p w14:paraId="0BAEC7F6">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乙方对其编制的文件拥有著作权。</w:t>
      </w:r>
    </w:p>
    <w:p w14:paraId="1382BDE2">
      <w:pPr>
        <w:keepNext w:val="0"/>
        <w:keepLines w:val="0"/>
        <w:pageBreakBefore w:val="0"/>
        <w:widowControl w:val="0"/>
        <w:kinsoku/>
        <w:wordWrap/>
        <w:overflowPunct/>
        <w:topLinePunct w:val="0"/>
        <w:bidi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乙方可单独或与他人联合出版有关检测与相关服务的资料。除专用条件另有约定外，如果乙方在本合同履行期间及本合同终止后两年内出版涉及本工程的有关检测与相关服务的资料，应当征得甲方的同意。</w:t>
      </w:r>
    </w:p>
    <w:p w14:paraId="4C859191">
      <w:pPr>
        <w:rPr>
          <w:rFonts w:hint="eastAsia" w:ascii="华文中宋" w:hAnsi="华文中宋" w:eastAsia="华文中宋"/>
          <w:b/>
          <w:bCs/>
          <w:color w:val="000000" w:themeColor="text1"/>
          <w:sz w:val="44"/>
          <w:szCs w:val="44"/>
          <w:highlight w:val="none"/>
          <w14:textFill>
            <w14:solidFill>
              <w14:schemeClr w14:val="tx1"/>
            </w14:solidFill>
          </w14:textFill>
        </w:rPr>
      </w:pPr>
      <w:r>
        <w:rPr>
          <w:rFonts w:hint="eastAsia" w:ascii="华文中宋" w:hAnsi="华文中宋" w:eastAsia="华文中宋"/>
          <w:b/>
          <w:bCs/>
          <w:color w:val="000000" w:themeColor="text1"/>
          <w:sz w:val="44"/>
          <w:szCs w:val="44"/>
          <w:highlight w:val="none"/>
          <w14:textFill>
            <w14:solidFill>
              <w14:schemeClr w14:val="tx1"/>
            </w14:solidFill>
          </w14:textFill>
        </w:rPr>
        <w:br w:type="page"/>
      </w:r>
    </w:p>
    <w:p w14:paraId="66F47458">
      <w:pPr>
        <w:keepNext w:val="0"/>
        <w:keepLines w:val="0"/>
        <w:pageBreakBefore w:val="0"/>
        <w:widowControl w:val="0"/>
        <w:tabs>
          <w:tab w:val="left" w:pos="3120"/>
        </w:tabs>
        <w:kinsoku/>
        <w:wordWrap/>
        <w:overflowPunct/>
        <w:topLinePunct w:val="0"/>
        <w:autoSpaceDE/>
        <w:autoSpaceDN/>
        <w:bidi w:val="0"/>
        <w:adjustRightInd/>
        <w:snapToGrid/>
        <w:spacing w:after="0" w:afterLines="80" w:line="600" w:lineRule="exact"/>
        <w:ind w:left="0" w:leftChars="0" w:firstLine="0" w:firstLineChars="0"/>
        <w:jc w:val="center"/>
        <w:textAlignment w:val="auto"/>
        <w:rPr>
          <w:rFonts w:hint="eastAsia" w:ascii="华文中宋" w:hAnsi="华文中宋" w:eastAsia="华文中宋"/>
          <w:b/>
          <w:bCs/>
          <w:color w:val="000000" w:themeColor="text1"/>
          <w:sz w:val="36"/>
          <w:szCs w:val="36"/>
          <w:highlight w:val="none"/>
          <w14:textFill>
            <w14:solidFill>
              <w14:schemeClr w14:val="tx1"/>
            </w14:solidFill>
          </w14:textFill>
        </w:rPr>
      </w:pPr>
      <w:r>
        <w:rPr>
          <w:rFonts w:hint="eastAsia" w:ascii="华文中宋" w:hAnsi="华文中宋" w:eastAsia="华文中宋"/>
          <w:b/>
          <w:bCs/>
          <w:color w:val="000000" w:themeColor="text1"/>
          <w:sz w:val="36"/>
          <w:szCs w:val="36"/>
          <w:highlight w:val="none"/>
          <w14:textFill>
            <w14:solidFill>
              <w14:schemeClr w14:val="tx1"/>
            </w14:solidFill>
          </w14:textFill>
        </w:rPr>
        <w:t>第三部分  专用条件</w:t>
      </w:r>
    </w:p>
    <w:p w14:paraId="6C33F91D">
      <w:pPr>
        <w:keepNext w:val="0"/>
        <w:keepLines w:val="0"/>
        <w:pageBreakBefore w:val="0"/>
        <w:widowControl w:val="0"/>
        <w:kinsoku/>
        <w:wordWrap/>
        <w:overflowPunct/>
        <w:topLinePunct w:val="0"/>
        <w:bidi w:val="0"/>
        <w:adjustRightInd w:val="0"/>
        <w:snapToGrid w:val="0"/>
        <w:spacing w:line="420" w:lineRule="exact"/>
        <w:textAlignment w:val="auto"/>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1. 定义与解释</w:t>
      </w:r>
    </w:p>
    <w:p w14:paraId="2EAB2883">
      <w:pPr>
        <w:keepNext w:val="0"/>
        <w:keepLines w:val="0"/>
        <w:pageBreakBefore w:val="0"/>
        <w:widowControl w:val="0"/>
        <w:kinsoku/>
        <w:wordWrap/>
        <w:overflowPunct/>
        <w:topLinePunct w:val="0"/>
        <w:autoSpaceDE/>
        <w:autoSpaceDN/>
        <w:bidi w:val="0"/>
        <w:adjustRightInd w:val="0"/>
        <w:snapToGrid w:val="0"/>
        <w:spacing w:line="420" w:lineRule="exact"/>
        <w:textAlignment w:val="auto"/>
        <w:outlineLvl w:val="0"/>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 xml:space="preserve">   </w:t>
      </w:r>
      <w:bookmarkStart w:id="88" w:name="_Toc36049322"/>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1.2 解释</w:t>
      </w:r>
      <w:bookmarkEnd w:id="88"/>
    </w:p>
    <w:p w14:paraId="53633362">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1.2.1本合同文件除使用中文外，还可用</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63C5CECE">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1.2.2 约定本合同文件的解释顺序为：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28DEF7A8">
      <w:pPr>
        <w:keepNext w:val="0"/>
        <w:keepLines w:val="0"/>
        <w:pageBreakBefore w:val="0"/>
        <w:widowControl w:val="0"/>
        <w:kinsoku/>
        <w:wordWrap/>
        <w:overflowPunct/>
        <w:topLinePunct w:val="0"/>
        <w:autoSpaceDE/>
        <w:autoSpaceDN/>
        <w:bidi w:val="0"/>
        <w:adjustRightInd w:val="0"/>
        <w:snapToGrid w:val="0"/>
        <w:spacing w:line="420" w:lineRule="exact"/>
        <w:textAlignment w:val="auto"/>
        <w:outlineLvl w:val="0"/>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pPr>
      <w:bookmarkStart w:id="89" w:name="_Toc36049323"/>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2. 乙方义务</w:t>
      </w:r>
      <w:bookmarkEnd w:id="89"/>
    </w:p>
    <w:p w14:paraId="668A3BC0">
      <w:pPr>
        <w:keepNext w:val="0"/>
        <w:keepLines w:val="0"/>
        <w:pageBreakBefore w:val="0"/>
        <w:widowControl w:val="0"/>
        <w:kinsoku/>
        <w:wordWrap/>
        <w:overflowPunct/>
        <w:topLinePunct w:val="0"/>
        <w:autoSpaceDE/>
        <w:autoSpaceDN/>
        <w:bidi w:val="0"/>
        <w:adjustRightInd w:val="0"/>
        <w:snapToGrid w:val="0"/>
        <w:spacing w:line="420" w:lineRule="exact"/>
        <w:ind w:firstLine="417" w:firstLineChars="198"/>
        <w:textAlignment w:val="auto"/>
        <w:outlineLvl w:val="0"/>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bookmarkStart w:id="90" w:name="_Toc36049324"/>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2.1工程质量检测的范围和内容</w:t>
      </w:r>
      <w:bookmarkEnd w:id="90"/>
    </w:p>
    <w:p w14:paraId="1EE3271F">
      <w:pPr>
        <w:keepNext w:val="0"/>
        <w:keepLines w:val="0"/>
        <w:pageBreakBefore w:val="0"/>
        <w:widowControl w:val="0"/>
        <w:kinsoku/>
        <w:wordWrap/>
        <w:overflowPunct/>
        <w:topLinePunct w:val="0"/>
        <w:autoSpaceDE/>
        <w:autoSpaceDN/>
        <w:bidi w:val="0"/>
        <w:spacing w:line="420" w:lineRule="exact"/>
        <w:ind w:firstLine="315" w:firstLineChars="150"/>
        <w:jc w:val="left"/>
        <w:textAlignment w:val="auto"/>
        <w:outlineLvl w:val="9"/>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2.1.1</w:t>
      </w:r>
      <w:r>
        <w:rPr>
          <w:rFonts w:hint="eastAsia" w:ascii="宋体" w:hAnsi="宋体" w:eastAsia="宋体" w:cs="宋体"/>
          <w:color w:val="000000" w:themeColor="text1"/>
          <w:szCs w:val="21"/>
          <w:highlight w:val="none"/>
          <w14:textFill>
            <w14:solidFill>
              <w14:schemeClr w14:val="tx1"/>
            </w14:solidFill>
          </w14:textFill>
        </w:rPr>
        <w:t>工程质量检测范围</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u w:val="single"/>
          <w:lang w:eastAsia="zh-CN"/>
          <w14:textFill>
            <w14:solidFill>
              <w14:schemeClr w14:val="tx1"/>
            </w14:solidFill>
          </w14:textFill>
        </w:rPr>
        <w:t>包括地基基础检测、建筑材料检测、主体结构检测、沉降观测、建筑节能检测、建筑物附属设备检测、市政工程检测、环境工程检测、消防查验、</w:t>
      </w:r>
      <w:r>
        <w:rPr>
          <w:rFonts w:hint="eastAsia" w:ascii="宋体" w:hAnsi="宋体" w:eastAsia="宋体" w:cs="宋体"/>
          <w:color w:val="000000" w:themeColor="text1"/>
          <w:szCs w:val="21"/>
          <w:highlight w:val="none"/>
          <w:u w:val="single"/>
          <w:lang w:val="en-US" w:eastAsia="zh-CN"/>
          <w14:textFill>
            <w14:solidFill>
              <w14:schemeClr w14:val="tx1"/>
            </w14:solidFill>
          </w14:textFill>
        </w:rPr>
        <w:t>雷电防护装置检测</w:t>
      </w:r>
      <w:r>
        <w:rPr>
          <w:rFonts w:hint="eastAsia" w:ascii="宋体" w:hAnsi="宋体" w:eastAsia="宋体" w:cs="宋体"/>
          <w:color w:val="000000" w:themeColor="text1"/>
          <w:szCs w:val="21"/>
          <w:highlight w:val="none"/>
          <w:u w:val="single"/>
          <w:lang w:eastAsia="zh-CN"/>
          <w14:textFill>
            <w14:solidFill>
              <w14:schemeClr w14:val="tx1"/>
            </w14:solidFill>
          </w14:textFill>
        </w:rPr>
        <w:t>及根据国家相关规定或规范要求必须进行的其他检测等</w:t>
      </w:r>
      <w:r>
        <w:rPr>
          <w:rFonts w:hint="eastAsia" w:ascii="宋体" w:hAnsi="宋体" w:eastAsia="宋体" w:cs="宋体"/>
          <w:color w:val="000000" w:themeColor="text1"/>
          <w:kern w:val="0"/>
          <w:szCs w:val="21"/>
          <w:highlight w:val="none"/>
          <w:u w:val="single"/>
          <w:lang w:eastAsia="zh-CN"/>
          <w14:textFill>
            <w14:solidFill>
              <w14:schemeClr w14:val="tx1"/>
            </w14:solidFill>
          </w14:textFill>
        </w:rPr>
        <w:t>，并出具检测报告</w:t>
      </w:r>
      <w:r>
        <w:rPr>
          <w:rFonts w:hint="eastAsia" w:ascii="宋体" w:hAnsi="宋体" w:eastAsia="宋体" w:cs="宋体"/>
          <w:color w:val="000000" w:themeColor="text1"/>
          <w:kern w:val="0"/>
          <w:szCs w:val="21"/>
          <w:highlight w:val="none"/>
          <w:lang w:eastAsia="zh-CN"/>
          <w14:textFill>
            <w14:solidFill>
              <w14:schemeClr w14:val="tx1"/>
            </w14:solidFill>
          </w14:textFill>
        </w:rPr>
        <w:t>；</w:t>
      </w:r>
      <w:r>
        <w:rPr>
          <w:rFonts w:hint="eastAsia" w:ascii="宋体" w:hAnsi="宋体" w:cs="宋体"/>
          <w:color w:val="000000" w:themeColor="text1"/>
          <w:kern w:val="0"/>
          <w:szCs w:val="21"/>
          <w:highlight w:val="none"/>
          <w:lang w:eastAsia="zh-CN"/>
          <w14:textFill>
            <w14:solidFill>
              <w14:schemeClr w14:val="tx1"/>
            </w14:solidFill>
          </w14:textFill>
        </w:rPr>
        <w:t>（</w:t>
      </w:r>
      <w:r>
        <w:rPr>
          <w:rFonts w:hint="eastAsia" w:ascii="宋体" w:hAnsi="宋体" w:eastAsia="宋体" w:cs="宋体"/>
          <w:strike w:val="0"/>
          <w:dstrike w:val="0"/>
          <w:color w:val="000000" w:themeColor="text1"/>
          <w:szCs w:val="21"/>
          <w:highlight w:val="none"/>
          <w:u w:val="none"/>
          <w:lang w:val="en-US" w:eastAsia="zh-CN"/>
          <w14:textFill>
            <w14:solidFill>
              <w14:schemeClr w14:val="tx1"/>
            </w14:solidFill>
          </w14:textFill>
        </w:rPr>
        <w:t>具体检测范围及数量以有关规范要求为准</w:t>
      </w:r>
      <w:r>
        <w:rPr>
          <w:rFonts w:hint="eastAsia" w:ascii="宋体" w:hAnsi="宋体" w:cs="宋体"/>
          <w:strike w:val="0"/>
          <w:dstrike w:val="0"/>
          <w:color w:val="000000" w:themeColor="text1"/>
          <w:szCs w:val="21"/>
          <w:highlight w:val="none"/>
          <w:u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eastAsia="zh-CN"/>
          <w14:textFill>
            <w14:solidFill>
              <w14:schemeClr w14:val="tx1"/>
            </w14:solidFill>
          </w14:textFill>
        </w:rPr>
        <w:t>。</w:t>
      </w:r>
    </w:p>
    <w:p w14:paraId="174A6E8E">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outlineLvl w:val="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91" w:name="_Toc36049330"/>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2.1.2工程质量检测工作内容还包括：</w:t>
      </w:r>
      <w:bookmarkEnd w:id="91"/>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4ED7153D">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（具体检测内容、抽检数量及检测费用详见工程检测项目工程量清单）</w:t>
      </w:r>
    </w:p>
    <w:p w14:paraId="3616758C">
      <w:pPr>
        <w:keepNext w:val="0"/>
        <w:keepLines w:val="0"/>
        <w:pageBreakBefore w:val="0"/>
        <w:widowControl w:val="0"/>
        <w:kinsoku/>
        <w:wordWrap/>
        <w:overflowPunct/>
        <w:topLinePunct w:val="0"/>
        <w:autoSpaceDE/>
        <w:autoSpaceDN/>
        <w:bidi w:val="0"/>
        <w:spacing w:line="420" w:lineRule="exact"/>
        <w:ind w:left="0" w:leftChars="0" w:firstLine="422" w:firstLineChars="200"/>
        <w:textAlignment w:val="auto"/>
        <w:outlineLvl w:val="0"/>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bookmarkStart w:id="92" w:name="_Toc36049331"/>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2.2</w:t>
      </w:r>
      <w:r>
        <w:rPr>
          <w:rFonts w:hint="eastAsia" w:asciiTheme="minorEastAsia" w:hAnsiTheme="minorEastAsia" w:eastAsiaTheme="minorEastAsia" w:cstheme="minorEastAsia"/>
          <w:b/>
          <w:bCs/>
          <w:color w:val="000000" w:themeColor="text1"/>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工程质量检测与相关服务依据</w:t>
      </w:r>
      <w:bookmarkEnd w:id="92"/>
    </w:p>
    <w:p w14:paraId="3DE25A1A">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2.2.1工程质量检测依据包括：</w:t>
      </w:r>
    </w:p>
    <w:p w14:paraId="43CF08CE">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u w:val="single"/>
          <w14:textFill>
            <w14:solidFill>
              <w14:schemeClr w14:val="tx1"/>
            </w14:solidFill>
          </w14:textFill>
        </w:rPr>
        <w:t>依据国家有关</w:t>
      </w:r>
      <w:r>
        <w:rPr>
          <w:rFonts w:hint="eastAsia" w:ascii="宋体" w:hAnsi="宋体" w:cs="宋体"/>
          <w:color w:val="000000" w:themeColor="text1"/>
          <w:szCs w:val="21"/>
          <w:highlight w:val="none"/>
          <w:u w:val="single"/>
          <w:lang w:eastAsia="zh-CN"/>
          <w14:textFill>
            <w14:solidFill>
              <w14:schemeClr w14:val="tx1"/>
            </w14:solidFill>
          </w14:textFill>
        </w:rPr>
        <w:t>法律法规</w:t>
      </w:r>
      <w:r>
        <w:rPr>
          <w:rFonts w:hint="eastAsia" w:ascii="宋体" w:hAnsi="宋体" w:eastAsia="宋体" w:cs="宋体"/>
          <w:color w:val="000000" w:themeColor="text1"/>
          <w:szCs w:val="21"/>
          <w:highlight w:val="none"/>
          <w:u w:val="single"/>
          <w14:textFill>
            <w14:solidFill>
              <w14:schemeClr w14:val="tx1"/>
            </w14:solidFill>
          </w14:textFill>
        </w:rPr>
        <w:t>、工程建设强制性标准和设计文件，对建设工程的材料、构配件、设备进行测试确定其质量特性的活动</w:t>
      </w:r>
      <w:r>
        <w:rPr>
          <w:rFonts w:hint="eastAsia" w:asciiTheme="minorEastAsia" w:hAnsiTheme="minorEastAsia" w:eastAsiaTheme="minorEastAsia" w:cstheme="minorEastAsia"/>
          <w:color w:val="000000" w:themeColor="text1"/>
          <w:sz w:val="21"/>
          <w:szCs w:val="21"/>
          <w:highlight w:val="none"/>
          <w:u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87EAB40">
      <w:pPr>
        <w:keepNext w:val="0"/>
        <w:keepLines w:val="0"/>
        <w:pageBreakBefore w:val="0"/>
        <w:widowControl w:val="0"/>
        <w:kinsoku/>
        <w:wordWrap/>
        <w:overflowPunct/>
        <w:topLinePunct w:val="0"/>
        <w:autoSpaceDE/>
        <w:autoSpaceDN/>
        <w:bidi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u w:val="single"/>
          <w14:textFill>
            <w14:solidFill>
              <w14:schemeClr w14:val="tx1"/>
            </w14:solidFill>
          </w14:textFill>
        </w:rPr>
        <w:t>依据国家有关</w:t>
      </w:r>
      <w:r>
        <w:rPr>
          <w:rFonts w:hint="eastAsia" w:ascii="宋体" w:hAnsi="宋体" w:cs="宋体"/>
          <w:color w:val="000000" w:themeColor="text1"/>
          <w:szCs w:val="21"/>
          <w:highlight w:val="none"/>
          <w:u w:val="single"/>
          <w:lang w:eastAsia="zh-CN"/>
          <w14:textFill>
            <w14:solidFill>
              <w14:schemeClr w14:val="tx1"/>
            </w14:solidFill>
          </w14:textFill>
        </w:rPr>
        <w:t>法律法规</w:t>
      </w:r>
      <w:r>
        <w:rPr>
          <w:rFonts w:hint="eastAsia" w:ascii="宋体" w:hAnsi="宋体" w:eastAsia="宋体" w:cs="宋体"/>
          <w:color w:val="000000" w:themeColor="text1"/>
          <w:szCs w:val="21"/>
          <w:highlight w:val="none"/>
          <w:u w:val="single"/>
          <w14:textFill>
            <w14:solidFill>
              <w14:schemeClr w14:val="tx1"/>
            </w14:solidFill>
          </w14:textFill>
        </w:rPr>
        <w:t>、工程建设强制性标准和设计文件，对建设工程实体质量、使用功能等进行测试确定其质量特性的活动</w:t>
      </w:r>
      <w:r>
        <w:rPr>
          <w:rFonts w:hint="eastAsia" w:ascii="宋体" w:hAnsi="宋体" w:eastAsia="宋体" w:cs="宋体"/>
          <w:color w:val="000000" w:themeColor="text1"/>
          <w:szCs w:val="21"/>
          <w:highlight w:val="none"/>
          <w:u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33D05979">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int="eastAsia" w:asciiTheme="minorEastAsia" w:hAnsiTheme="minorEastAsia" w:eastAsiaTheme="minorEastAsia" w:cstheme="minorEastAsia"/>
          <w:dstrike/>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2.2.2相关服务依据包括：</w:t>
      </w:r>
      <w:r>
        <w:rPr>
          <w:rFonts w:hint="eastAsia" w:ascii="宋体" w:hAnsi="宋体" w:eastAsia="宋体" w:cs="宋体"/>
          <w:color w:val="000000" w:themeColor="text1"/>
          <w:szCs w:val="21"/>
          <w:highlight w:val="none"/>
          <w:u w:val="single"/>
          <w14:textFill>
            <w14:solidFill>
              <w14:schemeClr w14:val="tx1"/>
            </w14:solidFill>
          </w14:textFill>
        </w:rPr>
        <w:t>《建设工程质量检测管理办法》</w:t>
      </w:r>
      <w:r>
        <w:rPr>
          <w:rFonts w:hint="eastAsia" w:ascii="宋体" w:hAnsi="宋体" w:cs="宋体"/>
          <w:color w:val="000000" w:themeColor="text1"/>
          <w:szCs w:val="21"/>
          <w:highlight w:val="none"/>
          <w:u w:val="single"/>
          <w:lang w:eastAsia="zh-CN"/>
          <w14:textFill>
            <w14:solidFill>
              <w14:schemeClr w14:val="tx1"/>
            </w14:solidFill>
          </w14:textFill>
        </w:rPr>
        <w:t>（</w:t>
      </w:r>
      <w:r>
        <w:rPr>
          <w:rFonts w:hint="eastAsia" w:ascii="宋体" w:hAnsi="宋体" w:eastAsia="宋体" w:cs="宋体"/>
          <w:color w:val="000000" w:themeColor="text1"/>
          <w:szCs w:val="21"/>
          <w:highlight w:val="none"/>
          <w:u w:val="single"/>
          <w14:textFill>
            <w14:solidFill>
              <w14:schemeClr w14:val="tx1"/>
            </w14:solidFill>
          </w14:textFill>
        </w:rPr>
        <w:t>建设部令 141号</w:t>
      </w:r>
      <w:r>
        <w:rPr>
          <w:rFonts w:hint="eastAsia" w:ascii="宋体" w:hAnsi="宋体" w:cs="宋体"/>
          <w:color w:val="000000" w:themeColor="text1"/>
          <w:szCs w:val="21"/>
          <w:highlight w:val="none"/>
          <w:u w:val="single"/>
          <w:lang w:eastAsia="zh-CN"/>
          <w14:textFill>
            <w14:solidFill>
              <w14:schemeClr w14:val="tx1"/>
            </w14:solidFill>
          </w14:textFill>
        </w:rPr>
        <w:t>）</w:t>
      </w:r>
      <w:r>
        <w:rPr>
          <w:rFonts w:hint="eastAsia" w:ascii="宋体" w:hAnsi="宋体" w:eastAsia="宋体" w:cs="宋体"/>
          <w:color w:val="000000" w:themeColor="text1"/>
          <w:szCs w:val="21"/>
          <w:highlight w:val="none"/>
          <w:u w:val="single"/>
          <w:lang w:eastAsia="zh-CN"/>
          <w14:textFill>
            <w14:solidFill>
              <w14:schemeClr w14:val="tx1"/>
            </w14:solidFill>
          </w14:textFill>
        </w:rPr>
        <w:t>；</w:t>
      </w:r>
      <w:r>
        <w:rPr>
          <w:rFonts w:hint="eastAsia" w:ascii="宋体" w:hAnsi="宋体" w:eastAsia="宋体" w:cs="宋体"/>
          <w:color w:val="000000" w:themeColor="text1"/>
          <w:szCs w:val="21"/>
          <w:highlight w:val="none"/>
          <w:u w:val="single"/>
          <w14:textFill>
            <w14:solidFill>
              <w14:schemeClr w14:val="tx1"/>
            </w14:solidFill>
          </w14:textFill>
        </w:rPr>
        <w:t>《广西壮族自治建设工程质量管理的规定》(桂建管</w:t>
      </w:r>
      <w:r>
        <w:rPr>
          <w:rFonts w:hint="eastAsia" w:ascii="宋体" w:hAnsi="宋体" w:cs="宋体"/>
          <w:color w:val="000000" w:themeColor="text1"/>
          <w:szCs w:val="21"/>
          <w:highlight w:val="none"/>
          <w:u w:val="single"/>
          <w:lang w:eastAsia="zh-CN"/>
          <w14:textFill>
            <w14:solidFill>
              <w14:schemeClr w14:val="tx1"/>
            </w14:solidFill>
          </w14:textFill>
        </w:rPr>
        <w:t>〔2013〕11号</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404FC777">
      <w:pPr>
        <w:keepNext w:val="0"/>
        <w:keepLines w:val="0"/>
        <w:pageBreakBefore w:val="0"/>
        <w:widowControl w:val="0"/>
        <w:kinsoku/>
        <w:wordWrap/>
        <w:overflowPunct/>
        <w:topLinePunct w:val="0"/>
        <w:bidi w:val="0"/>
        <w:spacing w:line="420" w:lineRule="exact"/>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2.3</w:t>
      </w:r>
      <w:r>
        <w:rPr>
          <w:rFonts w:hint="eastAsia" w:asciiTheme="minorEastAsia" w:hAnsiTheme="minorEastAsia" w:eastAsiaTheme="minorEastAsia" w:cstheme="minorEastAsia"/>
          <w:b/>
          <w:bCs/>
          <w:color w:val="000000" w:themeColor="text1"/>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检测</w:t>
      </w: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项目负责人</w:t>
      </w:r>
    </w:p>
    <w:p w14:paraId="2A591E64">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default"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2.3.乙方检测项目负责人为：</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p>
    <w:p w14:paraId="2966F897">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default"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各检测项目组负责人为：</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p>
    <w:p w14:paraId="427B7738">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default"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2.3.2项目负责人的职责：</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p>
    <w:p w14:paraId="603884F8">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检测项目组负责人的职责：</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 xml:space="preserve">   </w:t>
      </w:r>
    </w:p>
    <w:p w14:paraId="32375151">
      <w:pPr>
        <w:keepNext w:val="0"/>
        <w:keepLines w:val="0"/>
        <w:pageBreakBefore w:val="0"/>
        <w:widowControl w:val="0"/>
        <w:kinsoku/>
        <w:wordWrap/>
        <w:overflowPunct/>
        <w:topLinePunct w:val="0"/>
        <w:autoSpaceDE/>
        <w:autoSpaceDN/>
        <w:bidi w:val="0"/>
        <w:adjustRightInd w:val="0"/>
        <w:snapToGrid w:val="0"/>
        <w:spacing w:line="420" w:lineRule="exact"/>
        <w:ind w:left="0" w:leftChars="0" w:firstLine="420" w:firstLineChars="200"/>
        <w:textAlignment w:val="auto"/>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2.3.3检测项目负责人和各检测项目组如有变</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更，乙方应提前7天通知甲方，并征得甲方书面同意。通知中应当载明继任人的资格、管理经验等资料。继任项目负责人或检测项目组负责人继续履行</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 xml:space="preserve">         </w:t>
      </w:r>
    </w:p>
    <w:p w14:paraId="2ADDCECE">
      <w:pPr>
        <w:keepNext w:val="0"/>
        <w:keepLines w:val="0"/>
        <w:pageBreakBefore w:val="0"/>
        <w:widowControl w:val="0"/>
        <w:kinsoku/>
        <w:wordWrap/>
        <w:overflowPunct/>
        <w:topLinePunct w:val="0"/>
        <w:autoSpaceDE/>
        <w:autoSpaceDN/>
        <w:bidi w:val="0"/>
        <w:adjustRightInd w:val="0"/>
        <w:snapToGrid w:val="0"/>
        <w:spacing w:line="420" w:lineRule="exact"/>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2.3.2项约定的职责。未经甲方书面同意，乙方不得擅自更换项目负责人和项目组负责人。乙方擅自</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更换项目负责人和项目组负责人的，应按照专用合同条款的约定承担违约责任。</w:t>
      </w:r>
    </w:p>
    <w:p w14:paraId="3C024379">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2.3.4甲方有权书面通知乙方更换其认为不称职的检测项目负责人或检测项目组负责人。通知中应当载明要求更换的理由。乙方应在接到更换通知后14天内向甲方提出书面的改进报告。甲方收到报告后仍要求更换的，乙方应在接到第二次更换通知的28天内进行更换，并将新任命的项目负责人或检测项目组负责人的资格、管理经验等资料书面通知甲方。继任项目负责人或检测项目组负责人继续履行2.3.2项约定的职责。乙方无正当理由拒绝更换项目负责人或检测项目组负责人的，应按照专用合同条款的约定承担违约责任。</w:t>
      </w:r>
    </w:p>
    <w:p w14:paraId="58F51475">
      <w:pPr>
        <w:keepNext w:val="0"/>
        <w:keepLines w:val="0"/>
        <w:pageBreakBefore w:val="0"/>
        <w:widowControl w:val="0"/>
        <w:kinsoku/>
        <w:wordWrap/>
        <w:overflowPunct/>
        <w:topLinePunct w:val="0"/>
        <w:bidi w:val="0"/>
        <w:adjustRightInd w:val="0"/>
        <w:snapToGrid w:val="0"/>
        <w:spacing w:line="420" w:lineRule="exact"/>
        <w:ind w:firstLine="527" w:firstLineChars="250"/>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 xml:space="preserve">2.5 </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提交</w:t>
      </w: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报告</w:t>
      </w:r>
    </w:p>
    <w:p w14:paraId="2949F975">
      <w:pPr>
        <w:keepNext w:val="0"/>
        <w:keepLines w:val="0"/>
        <w:pageBreakBefore w:val="0"/>
        <w:widowControl w:val="0"/>
        <w:kinsoku/>
        <w:wordWrap/>
        <w:overflowPunct/>
        <w:topLinePunct w:val="0"/>
        <w:bidi w:val="0"/>
        <w:adjustRightInd w:val="0"/>
        <w:snapToGrid w:val="0"/>
        <w:spacing w:line="420" w:lineRule="exact"/>
        <w:ind w:firstLine="525"/>
        <w:textAlignment w:val="auto"/>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乙方应提交报告的种类、时间和份数</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7F235696">
      <w:pPr>
        <w:keepNext w:val="0"/>
        <w:keepLines w:val="0"/>
        <w:pageBreakBefore w:val="0"/>
        <w:widowControl w:val="0"/>
        <w:kinsoku/>
        <w:wordWrap/>
        <w:overflowPunct/>
        <w:topLinePunct w:val="0"/>
        <w:bidi w:val="0"/>
        <w:adjustRightInd w:val="0"/>
        <w:snapToGrid w:val="0"/>
        <w:spacing w:line="420" w:lineRule="exact"/>
        <w:textAlignment w:val="auto"/>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48996C76">
      <w:pPr>
        <w:keepNext w:val="0"/>
        <w:keepLines w:val="0"/>
        <w:pageBreakBefore w:val="0"/>
        <w:widowControl w:val="0"/>
        <w:kinsoku/>
        <w:wordWrap/>
        <w:overflowPunct/>
        <w:topLinePunct w:val="0"/>
        <w:bidi w:val="0"/>
        <w:spacing w:line="420" w:lineRule="exact"/>
        <w:ind w:firstLine="422" w:firstLineChars="200"/>
        <w:textAlignment w:val="auto"/>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 xml:space="preserve"> 2.7 使用甲方的财产</w:t>
      </w:r>
    </w:p>
    <w:p w14:paraId="1BDEBE4B">
      <w:pPr>
        <w:keepNext w:val="0"/>
        <w:keepLines w:val="0"/>
        <w:pageBreakBefore w:val="0"/>
        <w:widowControl w:val="0"/>
        <w:kinsoku/>
        <w:wordWrap/>
        <w:overflowPunct/>
        <w:topLinePunct w:val="0"/>
        <w:bidi w:val="0"/>
        <w:spacing w:line="420" w:lineRule="exact"/>
        <w:jc w:val="left"/>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附录B中由甲方无偿提供的房屋、场地、设备的所有权属于：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259737C6">
      <w:pPr>
        <w:keepNext w:val="0"/>
        <w:keepLines w:val="0"/>
        <w:pageBreakBefore w:val="0"/>
        <w:widowControl w:val="0"/>
        <w:kinsoku/>
        <w:wordWrap/>
        <w:overflowPunct/>
        <w:topLinePunct w:val="0"/>
        <w:bidi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乙方应在本合同终止后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天内移交甲方无偿提供的房屋、场地、设备。移交的时间和方式为：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0BE42AA5">
      <w:pPr>
        <w:keepNext w:val="0"/>
        <w:keepLines w:val="0"/>
        <w:pageBreakBefore w:val="0"/>
        <w:widowControl w:val="0"/>
        <w:kinsoku/>
        <w:wordWrap/>
        <w:overflowPunct/>
        <w:topLinePunct w:val="0"/>
        <w:bidi w:val="0"/>
        <w:spacing w:line="420" w:lineRule="exact"/>
        <w:ind w:firstLine="422" w:firstLineChars="200"/>
        <w:textAlignment w:val="auto"/>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2.8 履约保证金</w:t>
      </w:r>
    </w:p>
    <w:p w14:paraId="7751A2B3">
      <w:pPr>
        <w:keepNext w:val="0"/>
        <w:keepLines w:val="0"/>
        <w:pageBreakBefore w:val="0"/>
        <w:widowControl w:val="0"/>
        <w:kinsoku/>
        <w:wordWrap/>
        <w:overflowPunct/>
        <w:topLinePunct w:val="0"/>
        <w:bidi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在收到</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成交</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通知书后，</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成交</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单位须在</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日内向</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采购</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人提交履约保证金（如有）。履约保证金可以银行保函、现金、工程担保保函或保证保险保函等形式。履约保证金的金额：</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【备注：为合同价款的0～10%】</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p>
    <w:p w14:paraId="1E976BFF">
      <w:pPr>
        <w:keepNext w:val="0"/>
        <w:keepLines w:val="0"/>
        <w:pageBreakBefore w:val="0"/>
        <w:widowControl w:val="0"/>
        <w:kinsoku/>
        <w:wordWrap/>
        <w:overflowPunct/>
        <w:topLinePunct w:val="0"/>
        <w:bidi w:val="0"/>
        <w:adjustRightInd w:val="0"/>
        <w:snapToGrid w:val="0"/>
        <w:spacing w:line="420" w:lineRule="exact"/>
        <w:textAlignment w:val="auto"/>
        <w:outlineLvl w:val="0"/>
        <w:rPr>
          <w:rFonts w:hint="eastAsia" w:asciiTheme="minorEastAsia" w:hAnsiTheme="minorEastAsia" w:eastAsiaTheme="minorEastAsia" w:cstheme="minorEastAsia"/>
          <w:b/>
          <w:bCs w:val="0"/>
          <w:color w:val="000000" w:themeColor="text1"/>
          <w:sz w:val="24"/>
          <w:szCs w:val="24"/>
          <w:highlight w:val="none"/>
          <w14:textFill>
            <w14:solidFill>
              <w14:schemeClr w14:val="tx1"/>
            </w14:solidFill>
          </w14:textFill>
        </w:rPr>
      </w:pPr>
      <w:bookmarkStart w:id="93" w:name="_Toc36049332"/>
      <w:r>
        <w:rPr>
          <w:rFonts w:hint="eastAsia" w:asciiTheme="minorEastAsia" w:hAnsiTheme="minorEastAsia" w:eastAsiaTheme="minorEastAsia" w:cstheme="minorEastAsia"/>
          <w:b/>
          <w:bCs w:val="0"/>
          <w:color w:val="000000" w:themeColor="text1"/>
          <w:kern w:val="0"/>
          <w:sz w:val="24"/>
          <w:szCs w:val="24"/>
          <w:highlight w:val="none"/>
          <w14:textFill>
            <w14:solidFill>
              <w14:schemeClr w14:val="tx1"/>
            </w14:solidFill>
          </w14:textFill>
        </w:rPr>
        <w:t>3. 甲方义务</w:t>
      </w:r>
      <w:bookmarkEnd w:id="93"/>
      <w:r>
        <w:rPr>
          <w:rFonts w:hint="eastAsia" w:asciiTheme="minorEastAsia" w:hAnsiTheme="minorEastAsia" w:eastAsiaTheme="minorEastAsia" w:cstheme="minorEastAsia"/>
          <w:b/>
          <w:bCs w:val="0"/>
          <w:color w:val="000000" w:themeColor="text1"/>
          <w:kern w:val="0"/>
          <w:sz w:val="24"/>
          <w:szCs w:val="24"/>
          <w:highlight w:val="none"/>
          <w14:textFill>
            <w14:solidFill>
              <w14:schemeClr w14:val="tx1"/>
            </w14:solidFill>
          </w14:textFill>
        </w:rPr>
        <w:t xml:space="preserve">  </w:t>
      </w:r>
    </w:p>
    <w:p w14:paraId="78A58D44">
      <w:pPr>
        <w:keepNext w:val="0"/>
        <w:keepLines w:val="0"/>
        <w:pageBreakBefore w:val="0"/>
        <w:widowControl w:val="0"/>
        <w:kinsoku/>
        <w:wordWrap/>
        <w:overflowPunct/>
        <w:topLinePunct w:val="0"/>
        <w:bidi w:val="0"/>
        <w:snapToGrid w:val="0"/>
        <w:spacing w:line="420" w:lineRule="exact"/>
        <w:ind w:firstLine="422" w:firstLineChars="200"/>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3.3甲方代表</w:t>
      </w:r>
    </w:p>
    <w:p w14:paraId="4E759EF3">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甲方代表为：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4D4417AD">
      <w:pPr>
        <w:keepNext w:val="0"/>
        <w:keepLines w:val="0"/>
        <w:pageBreakBefore w:val="0"/>
        <w:widowControl w:val="0"/>
        <w:kinsoku/>
        <w:wordWrap/>
        <w:overflowPunct/>
        <w:topLinePunct w:val="0"/>
        <w:bidi w:val="0"/>
        <w:adjustRightInd w:val="0"/>
        <w:snapToGrid w:val="0"/>
        <w:spacing w:line="420" w:lineRule="exact"/>
        <w:ind w:firstLine="417" w:firstLineChars="198"/>
        <w:textAlignment w:val="auto"/>
        <w:outlineLvl w:val="0"/>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bookmarkStart w:id="94" w:name="_Toc36049333"/>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3.4 答复</w:t>
      </w:r>
      <w:bookmarkEnd w:id="94"/>
    </w:p>
    <w:p w14:paraId="655C6274">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甲方同意在</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天内，对乙方书面提交并要求做出决定的事宜给予书面答复。</w:t>
      </w:r>
    </w:p>
    <w:p w14:paraId="1D46F5C1">
      <w:pPr>
        <w:keepNext w:val="0"/>
        <w:keepLines w:val="0"/>
        <w:pageBreakBefore w:val="0"/>
        <w:widowControl w:val="0"/>
        <w:kinsoku/>
        <w:wordWrap/>
        <w:overflowPunct/>
        <w:topLinePunct w:val="0"/>
        <w:bidi w:val="0"/>
        <w:snapToGrid w:val="0"/>
        <w:spacing w:line="420" w:lineRule="exact"/>
        <w:textAlignment w:val="auto"/>
        <w:outlineLvl w:val="0"/>
        <w:rPr>
          <w:rFonts w:hint="eastAsia" w:asciiTheme="minorEastAsia" w:hAnsiTheme="minorEastAsia" w:eastAsiaTheme="minorEastAsia" w:cstheme="minorEastAsia"/>
          <w:b/>
          <w:bCs w:val="0"/>
          <w:color w:val="000000" w:themeColor="text1"/>
          <w:sz w:val="24"/>
          <w:szCs w:val="24"/>
          <w:highlight w:val="none"/>
          <w14:textFill>
            <w14:solidFill>
              <w14:schemeClr w14:val="tx1"/>
            </w14:solidFill>
          </w14:textFill>
        </w:rPr>
      </w:pPr>
      <w:bookmarkStart w:id="95" w:name="_Toc36049334"/>
      <w:r>
        <w:rPr>
          <w:rFonts w:hint="eastAsia" w:asciiTheme="minorEastAsia" w:hAnsiTheme="minorEastAsia" w:eastAsiaTheme="minorEastAsia" w:cstheme="minorEastAsia"/>
          <w:b/>
          <w:bCs w:val="0"/>
          <w:color w:val="000000" w:themeColor="text1"/>
          <w:sz w:val="24"/>
          <w:szCs w:val="24"/>
          <w:highlight w:val="none"/>
          <w14:textFill>
            <w14:solidFill>
              <w14:schemeClr w14:val="tx1"/>
            </w14:solidFill>
          </w14:textFill>
        </w:rPr>
        <w:t>4. 违约责任</w:t>
      </w:r>
      <w:bookmarkEnd w:id="95"/>
    </w:p>
    <w:p w14:paraId="475871B6">
      <w:pPr>
        <w:keepNext w:val="0"/>
        <w:keepLines w:val="0"/>
        <w:pageBreakBefore w:val="0"/>
        <w:widowControl w:val="0"/>
        <w:kinsoku/>
        <w:wordWrap/>
        <w:overflowPunct/>
        <w:topLinePunct w:val="0"/>
        <w:bidi w:val="0"/>
        <w:spacing w:line="420" w:lineRule="exact"/>
        <w:ind w:left="210" w:leftChars="100" w:firstLine="211" w:firstLineChars="100"/>
        <w:textAlignment w:val="auto"/>
        <w:outlineLvl w:val="0"/>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bookmarkStart w:id="96" w:name="_Toc36049335"/>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4.1 乙方的违约责任</w:t>
      </w:r>
      <w:bookmarkEnd w:id="96"/>
    </w:p>
    <w:p w14:paraId="139C9702">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4.1.1乙方赔偿金额按下列方法确定（由甲乙双方签订合同时明确）。</w:t>
      </w:r>
    </w:p>
    <w:p w14:paraId="7B209CFD">
      <w:pPr>
        <w:keepNext w:val="0"/>
        <w:keepLines w:val="0"/>
        <w:pageBreakBefore w:val="0"/>
        <w:widowControl w:val="0"/>
        <w:kinsoku/>
        <w:wordWrap/>
        <w:overflowPunct/>
        <w:topLinePunct w:val="0"/>
        <w:bidi w:val="0"/>
        <w:snapToGrid w:val="0"/>
        <w:spacing w:line="420" w:lineRule="exact"/>
        <w:ind w:firstLine="422" w:firstLineChars="200"/>
        <w:textAlignment w:val="auto"/>
        <w:outlineLvl w:val="0"/>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pPr>
      <w:bookmarkStart w:id="97" w:name="_Toc36049336"/>
      <w:r>
        <w:rPr>
          <w:rFonts w:hint="eastAsia" w:asciiTheme="minorEastAsia" w:hAnsiTheme="minorEastAsia" w:eastAsiaTheme="minorEastAsia" w:cstheme="minorEastAsia"/>
          <w:b/>
          <w:bCs/>
          <w:color w:val="000000" w:themeColor="text1"/>
          <w:kern w:val="0"/>
          <w:sz w:val="21"/>
          <w:szCs w:val="21"/>
          <w:highlight w:val="none"/>
          <w14:textFill>
            <w14:solidFill>
              <w14:schemeClr w14:val="tx1"/>
            </w14:solidFill>
          </w14:textFill>
        </w:rPr>
        <w:t>4.2 甲方的违约责任</w:t>
      </w:r>
      <w:bookmarkEnd w:id="97"/>
    </w:p>
    <w:p w14:paraId="259702C7">
      <w:pPr>
        <w:keepNext w:val="0"/>
        <w:keepLines w:val="0"/>
        <w:pageBreakBefore w:val="0"/>
        <w:widowControl w:val="0"/>
        <w:kinsoku/>
        <w:wordWrap/>
        <w:overflowPunct/>
        <w:topLinePunct w:val="0"/>
        <w:bidi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4.2.3甲方逾期付款利息按下列方法确定（由甲乙双方签订合同时明确）。</w:t>
      </w:r>
    </w:p>
    <w:p w14:paraId="19709ACA">
      <w:pPr>
        <w:keepNext w:val="0"/>
        <w:keepLines w:val="0"/>
        <w:pageBreakBefore w:val="0"/>
        <w:widowControl w:val="0"/>
        <w:kinsoku/>
        <w:wordWrap/>
        <w:overflowPunct/>
        <w:topLinePunct w:val="0"/>
        <w:bidi w:val="0"/>
        <w:snapToGrid w:val="0"/>
        <w:spacing w:line="420" w:lineRule="exact"/>
        <w:textAlignment w:val="auto"/>
        <w:outlineLvl w:val="0"/>
        <w:rPr>
          <w:rFonts w:hint="eastAsia" w:asciiTheme="minorEastAsia" w:hAnsiTheme="minorEastAsia" w:eastAsiaTheme="minorEastAsia" w:cstheme="minorEastAsia"/>
          <w:b/>
          <w:bCs w:val="0"/>
          <w:color w:val="000000" w:themeColor="text1"/>
          <w:sz w:val="24"/>
          <w:szCs w:val="24"/>
          <w:highlight w:val="none"/>
          <w14:textFill>
            <w14:solidFill>
              <w14:schemeClr w14:val="tx1"/>
            </w14:solidFill>
          </w14:textFill>
        </w:rPr>
      </w:pPr>
      <w:bookmarkStart w:id="98" w:name="_Toc36049337"/>
      <w:r>
        <w:rPr>
          <w:rFonts w:hint="eastAsia" w:asciiTheme="minorEastAsia" w:hAnsiTheme="minorEastAsia" w:eastAsiaTheme="minorEastAsia" w:cstheme="minorEastAsia"/>
          <w:b/>
          <w:bCs w:val="0"/>
          <w:color w:val="000000" w:themeColor="text1"/>
          <w:sz w:val="24"/>
          <w:szCs w:val="24"/>
          <w:highlight w:val="none"/>
          <w14:textFill>
            <w14:solidFill>
              <w14:schemeClr w14:val="tx1"/>
            </w14:solidFill>
          </w14:textFill>
        </w:rPr>
        <w:t>5.支付</w:t>
      </w:r>
      <w:bookmarkEnd w:id="98"/>
    </w:p>
    <w:p w14:paraId="1F8D427A">
      <w:pPr>
        <w:keepNext w:val="0"/>
        <w:keepLines w:val="0"/>
        <w:pageBreakBefore w:val="0"/>
        <w:widowControl w:val="0"/>
        <w:kinsoku/>
        <w:wordWrap/>
        <w:overflowPunct/>
        <w:topLinePunct w:val="0"/>
        <w:autoSpaceDE/>
        <w:autoSpaceDN/>
        <w:bidi w:val="0"/>
        <w:adjustRightInd/>
        <w:snapToGrid w:val="0"/>
        <w:spacing w:line="420" w:lineRule="exact"/>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5.5合同价格形式：</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（由甲乙双方签订合同时明确）</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p>
    <w:p w14:paraId="66E7C87E">
      <w:pPr>
        <w:keepNext w:val="0"/>
        <w:keepLines w:val="0"/>
        <w:pageBreakBefore w:val="0"/>
        <w:widowControl w:val="0"/>
        <w:kinsoku/>
        <w:wordWrap/>
        <w:overflowPunct/>
        <w:topLinePunct w:val="0"/>
        <w:autoSpaceDE/>
        <w:autoSpaceDN/>
        <w:bidi w:val="0"/>
        <w:adjustRightInd/>
        <w:snapToGrid w:val="0"/>
        <w:spacing w:line="420" w:lineRule="exact"/>
        <w:ind w:firstLine="210" w:firstLineChars="10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5.6预付款：</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（由甲乙双方签订合同时明确）</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p>
    <w:p w14:paraId="32CC6F9E">
      <w:pPr>
        <w:keepNext w:val="0"/>
        <w:keepLines w:val="0"/>
        <w:pageBreakBefore w:val="0"/>
        <w:widowControl w:val="0"/>
        <w:kinsoku/>
        <w:wordWrap/>
        <w:overflowPunct/>
        <w:topLinePunct w:val="0"/>
        <w:bidi w:val="0"/>
        <w:snapToGrid w:val="0"/>
        <w:spacing w:line="420" w:lineRule="exact"/>
        <w:ind w:firstLine="210" w:firstLineChars="10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5.7计量：</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（由甲乙双方签订合同时明确）</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p>
    <w:p w14:paraId="58AE80CF">
      <w:pPr>
        <w:keepNext w:val="0"/>
        <w:keepLines w:val="0"/>
        <w:pageBreakBefore w:val="0"/>
        <w:widowControl w:val="0"/>
        <w:kinsoku/>
        <w:wordWrap/>
        <w:overflowPunct/>
        <w:topLinePunct w:val="0"/>
        <w:autoSpaceDE/>
        <w:autoSpaceDN/>
        <w:bidi w:val="0"/>
        <w:adjustRightInd/>
        <w:snapToGrid/>
        <w:spacing w:line="430" w:lineRule="exact"/>
        <w:ind w:right="0" w:rightChars="0" w:firstLine="210" w:firstLineChars="100"/>
        <w:jc w:val="left"/>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5.8检测进度款支付</w:t>
      </w:r>
      <w:r>
        <w:rPr>
          <w:rFonts w:hint="eastAsia" w:asciiTheme="minorEastAsia" w:hAnsiTheme="minorEastAsia" w:eastAsiaTheme="minorEastAsia" w:cstheme="minorEastAsia"/>
          <w:color w:val="auto"/>
          <w:sz w:val="21"/>
          <w:szCs w:val="21"/>
          <w:highlight w:val="none"/>
          <w:lang w:eastAsia="zh-CN"/>
        </w:rPr>
        <w:t>：</w:t>
      </w:r>
    </w:p>
    <w:p w14:paraId="169C0F44">
      <w:pPr>
        <w:keepNext w:val="0"/>
        <w:keepLines w:val="0"/>
        <w:pageBreakBefore w:val="0"/>
        <w:widowControl w:val="0"/>
        <w:kinsoku/>
        <w:wordWrap/>
        <w:overflowPunct/>
        <w:topLinePunct w:val="0"/>
        <w:autoSpaceDE/>
        <w:autoSpaceDN/>
        <w:bidi w:val="0"/>
        <w:adjustRightInd/>
        <w:snapToGrid/>
        <w:spacing w:line="420" w:lineRule="exact"/>
        <w:ind w:left="630" w:leftChars="200" w:right="0" w:rightChars="0" w:hanging="210" w:hangingChars="100"/>
        <w:jc w:val="left"/>
        <w:textAlignment w:val="auto"/>
        <w:rPr>
          <w:rFonts w:hint="eastAsia" w:ascii="宋体" w:hAnsi="宋体" w:eastAsia="宋体" w:cs="宋体"/>
          <w:color w:val="auto"/>
          <w:szCs w:val="21"/>
          <w:highlight w:val="none"/>
          <w:u w:val="none"/>
          <w:lang w:val="en-US" w:eastAsia="zh-CN"/>
        </w:rPr>
      </w:pPr>
      <w:r>
        <w:rPr>
          <w:rFonts w:hint="eastAsia" w:ascii="宋体" w:hAnsi="宋体" w:eastAsia="宋体" w:cs="宋体"/>
          <w:color w:val="auto"/>
          <w:szCs w:val="21"/>
          <w:highlight w:val="none"/>
          <w:u w:val="none"/>
          <w:lang w:val="en-US" w:eastAsia="zh-CN"/>
        </w:rPr>
        <w:t>（1）</w:t>
      </w:r>
      <w:r>
        <w:rPr>
          <w:rFonts w:hint="eastAsia" w:ascii="宋体" w:hAnsi="宋体" w:cs="宋体"/>
          <w:color w:val="auto"/>
          <w:szCs w:val="21"/>
          <w:highlight w:val="none"/>
          <w:u w:val="none"/>
          <w:lang w:val="en-US" w:eastAsia="zh-CN"/>
        </w:rPr>
        <w:t>本项目</w:t>
      </w:r>
      <w:r>
        <w:rPr>
          <w:rFonts w:hint="eastAsia" w:ascii="宋体" w:hAnsi="宋体" w:eastAsia="宋体" w:cs="宋体"/>
          <w:color w:val="auto"/>
          <w:szCs w:val="21"/>
          <w:highlight w:val="none"/>
          <w:u w:val="none"/>
          <w:lang w:val="en-US" w:eastAsia="zh-CN"/>
        </w:rPr>
        <w:t>无预付款；</w:t>
      </w:r>
    </w:p>
    <w:p w14:paraId="18076A69">
      <w:pPr>
        <w:keepNext w:val="0"/>
        <w:keepLines w:val="0"/>
        <w:pageBreakBefore w:val="0"/>
        <w:widowControl w:val="0"/>
        <w:kinsoku/>
        <w:wordWrap/>
        <w:overflowPunct/>
        <w:topLinePunct w:val="0"/>
        <w:autoSpaceDE/>
        <w:autoSpaceDN/>
        <w:bidi w:val="0"/>
        <w:adjustRightInd/>
        <w:snapToGrid/>
        <w:spacing w:line="420" w:lineRule="exact"/>
        <w:ind w:left="630" w:leftChars="200" w:right="0" w:rightChars="0" w:hanging="210" w:hangingChars="100"/>
        <w:jc w:val="left"/>
        <w:textAlignment w:val="auto"/>
        <w:rPr>
          <w:rFonts w:hint="eastAsia" w:ascii="宋体" w:hAnsi="宋体" w:eastAsia="宋体" w:cs="宋体"/>
          <w:color w:val="auto"/>
          <w:szCs w:val="21"/>
          <w:highlight w:val="none"/>
          <w:u w:val="none"/>
          <w:lang w:val="en-US" w:eastAsia="zh-CN"/>
        </w:rPr>
      </w:pPr>
      <w:r>
        <w:rPr>
          <w:rFonts w:hint="eastAsia" w:ascii="宋体" w:hAnsi="宋体" w:cs="宋体"/>
          <w:color w:val="auto"/>
          <w:szCs w:val="21"/>
          <w:highlight w:val="none"/>
          <w:u w:val="none"/>
          <w:lang w:val="en-US" w:eastAsia="zh-CN"/>
        </w:rPr>
        <w:t>（</w:t>
      </w:r>
      <w:r>
        <w:rPr>
          <w:rFonts w:hint="eastAsia" w:ascii="宋体" w:hAnsi="宋体" w:eastAsia="宋体" w:cs="宋体"/>
          <w:color w:val="auto"/>
          <w:szCs w:val="21"/>
          <w:highlight w:val="none"/>
          <w:u w:val="none"/>
          <w:lang w:val="en-US" w:eastAsia="zh-CN"/>
        </w:rPr>
        <w:t>2</w:t>
      </w:r>
      <w:r>
        <w:rPr>
          <w:rFonts w:hint="eastAsia" w:ascii="宋体" w:hAnsi="宋体" w:cs="宋体"/>
          <w:color w:val="auto"/>
          <w:szCs w:val="21"/>
          <w:highlight w:val="none"/>
          <w:u w:val="none"/>
          <w:lang w:val="en-US" w:eastAsia="zh-CN"/>
        </w:rPr>
        <w:t>）</w:t>
      </w:r>
      <w:r>
        <w:rPr>
          <w:rFonts w:hint="eastAsia" w:ascii="宋体" w:hAnsi="宋体" w:eastAsia="宋体" w:cs="宋体"/>
          <w:color w:val="auto"/>
          <w:szCs w:val="21"/>
          <w:highlight w:val="none"/>
          <w:u w:val="none"/>
          <w:lang w:val="en-US" w:eastAsia="zh-CN"/>
        </w:rPr>
        <w:t>每完成一个单项检测并出具正式检测报告，成果资料经甲方审核通过，凭正式发票办理进度</w:t>
      </w:r>
    </w:p>
    <w:p w14:paraId="70E64D46">
      <w:pPr>
        <w:keepNext w:val="0"/>
        <w:keepLines w:val="0"/>
        <w:pageBreakBefore w:val="0"/>
        <w:widowControl w:val="0"/>
        <w:kinsoku/>
        <w:wordWrap/>
        <w:overflowPunct/>
        <w:topLinePunct w:val="0"/>
        <w:autoSpaceDE/>
        <w:autoSpaceDN/>
        <w:bidi w:val="0"/>
        <w:adjustRightInd/>
        <w:snapToGrid/>
        <w:spacing w:line="420" w:lineRule="exact"/>
        <w:ind w:left="420" w:right="0" w:rightChars="0" w:hanging="420" w:hangingChars="200"/>
        <w:jc w:val="left"/>
        <w:textAlignment w:val="auto"/>
        <w:rPr>
          <w:rFonts w:hint="eastAsia" w:asciiTheme="minorEastAsia" w:hAnsiTheme="minorEastAsia" w:eastAsiaTheme="minorEastAsia" w:cstheme="minorEastAsia"/>
          <w:color w:val="auto"/>
          <w:sz w:val="21"/>
          <w:szCs w:val="21"/>
          <w:highlight w:val="none"/>
          <w:u w:val="none"/>
          <w:lang w:eastAsia="zh-CN"/>
        </w:rPr>
      </w:pPr>
      <w:r>
        <w:rPr>
          <w:rFonts w:hint="eastAsia" w:ascii="宋体" w:hAnsi="宋体" w:eastAsia="宋体" w:cs="宋体"/>
          <w:color w:val="auto"/>
          <w:szCs w:val="21"/>
          <w:highlight w:val="none"/>
          <w:u w:val="none"/>
          <w:lang w:val="en-US" w:eastAsia="zh-CN"/>
        </w:rPr>
        <w:t>款支付；</w:t>
      </w:r>
      <w:r>
        <w:rPr>
          <w:rFonts w:hint="eastAsia" w:ascii="宋体" w:hAnsi="宋体" w:eastAsia="宋体" w:cs="宋体"/>
          <w:color w:val="auto"/>
          <w:szCs w:val="21"/>
          <w:highlight w:val="none"/>
          <w:u w:val="none"/>
          <w:lang w:val="en-US" w:eastAsia="zh-CN"/>
        </w:rPr>
        <w:br w:type="textWrapping"/>
      </w:r>
      <w:r>
        <w:rPr>
          <w:rFonts w:hint="eastAsia" w:ascii="宋体" w:hAnsi="宋体" w:cs="宋体"/>
          <w:color w:val="auto"/>
          <w:szCs w:val="21"/>
          <w:highlight w:val="none"/>
          <w:u w:val="none"/>
          <w:lang w:val="en-US" w:eastAsia="zh-CN"/>
        </w:rPr>
        <w:t>（</w:t>
      </w:r>
      <w:r>
        <w:rPr>
          <w:rFonts w:hint="eastAsia" w:ascii="宋体" w:hAnsi="宋体" w:eastAsia="宋体" w:cs="宋体"/>
          <w:color w:val="auto"/>
          <w:szCs w:val="21"/>
          <w:highlight w:val="none"/>
          <w:u w:val="none"/>
          <w:lang w:val="en-US" w:eastAsia="zh-CN"/>
        </w:rPr>
        <w:t>3</w:t>
      </w:r>
      <w:r>
        <w:rPr>
          <w:rFonts w:hint="eastAsia" w:ascii="宋体" w:hAnsi="宋体" w:cs="宋体"/>
          <w:color w:val="auto"/>
          <w:szCs w:val="21"/>
          <w:highlight w:val="none"/>
          <w:u w:val="none"/>
          <w:lang w:val="en-US" w:eastAsia="zh-CN"/>
        </w:rPr>
        <w:t>）</w:t>
      </w:r>
      <w:r>
        <w:rPr>
          <w:rFonts w:hint="eastAsia" w:ascii="宋体" w:hAnsi="宋体" w:eastAsia="宋体" w:cs="宋体"/>
          <w:color w:val="auto"/>
          <w:szCs w:val="21"/>
          <w:highlight w:val="none"/>
          <w:u w:val="none"/>
          <w:lang w:val="en-US" w:eastAsia="zh-CN"/>
        </w:rPr>
        <w:t>项目全部检测工作结束，完成项目结算，支付至结算审定金额的100%（无质保金模式）。</w:t>
      </w:r>
    </w:p>
    <w:p w14:paraId="5D902BD9">
      <w:pPr>
        <w:keepNext w:val="0"/>
        <w:keepLines w:val="0"/>
        <w:pageBreakBefore w:val="0"/>
        <w:widowControl w:val="0"/>
        <w:kinsoku/>
        <w:wordWrap/>
        <w:overflowPunct/>
        <w:topLinePunct w:val="0"/>
        <w:bidi w:val="0"/>
        <w:snapToGrid w:val="0"/>
        <w:spacing w:line="420" w:lineRule="exact"/>
        <w:ind w:firstLine="211" w:firstLineChars="1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5.9</w:t>
      </w:r>
      <w:r>
        <w:rPr>
          <w:rFonts w:hint="eastAsia" w:asciiTheme="minorEastAsia" w:hAnsiTheme="minorEastAsia" w:eastAsiaTheme="minorEastAsia" w:cstheme="minorEastAsia"/>
          <w:b/>
          <w:bCs/>
          <w:color w:val="000000" w:themeColor="text1"/>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 xml:space="preserve">结算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5223C35">
      <w:pPr>
        <w:keepNext w:val="0"/>
        <w:keepLines w:val="0"/>
        <w:pageBreakBefore w:val="0"/>
        <w:widowControl w:val="0"/>
        <w:kinsoku/>
        <w:wordWrap/>
        <w:overflowPunct/>
        <w:topLinePunct w:val="0"/>
        <w:bidi w:val="0"/>
        <w:snapToGrid w:val="0"/>
        <w:spacing w:line="420" w:lineRule="exact"/>
        <w:ind w:firstLine="211" w:firstLineChars="100"/>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5.10</w:t>
      </w:r>
      <w:r>
        <w:rPr>
          <w:rFonts w:hint="eastAsia" w:asciiTheme="minorEastAsia" w:hAnsiTheme="minorEastAsia" w:eastAsiaTheme="minorEastAsia" w:cstheme="minorEastAsia"/>
          <w:b/>
          <w:bCs/>
          <w:color w:val="000000" w:themeColor="text1"/>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在检测工作量完成100%的15天内，</w:t>
      </w:r>
      <w:r>
        <w:rPr>
          <w:rFonts w:hint="eastAsia" w:asciiTheme="minorEastAsia" w:hAnsiTheme="minorEastAsia" w:eastAsiaTheme="minorEastAsia" w:cstheme="minorEastAsia"/>
          <w:b/>
          <w:bCs/>
          <w:color w:val="000000" w:themeColor="text1"/>
          <w:sz w:val="21"/>
          <w:szCs w:val="21"/>
          <w:highlight w:val="none"/>
          <w:lang w:val="en-US" w:eastAsia="zh-CN"/>
          <w14:textFill>
            <w14:solidFill>
              <w14:schemeClr w14:val="tx1"/>
            </w14:solidFill>
          </w14:textFill>
        </w:rPr>
        <w:t>采购</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人向检测单位（无息）退回履约保证金</w:t>
      </w:r>
      <w:r>
        <w:rPr>
          <w:rFonts w:hint="eastAsia" w:asciiTheme="minorEastAsia" w:hAnsiTheme="minorEastAsia" w:eastAsiaTheme="minorEastAsia" w:cstheme="minorEastAsia"/>
          <w:b/>
          <w:bCs/>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 w:val="21"/>
          <w:szCs w:val="21"/>
          <w:highlight w:val="none"/>
          <w:lang w:val="en-US" w:eastAsia="zh-CN"/>
          <w14:textFill>
            <w14:solidFill>
              <w14:schemeClr w14:val="tx1"/>
            </w14:solidFill>
          </w14:textFill>
        </w:rPr>
        <w:t>如有</w:t>
      </w:r>
      <w:r>
        <w:rPr>
          <w:rFonts w:hint="eastAsia" w:asciiTheme="minorEastAsia" w:hAnsiTheme="minorEastAsia" w:eastAsiaTheme="minorEastAsia" w:cstheme="minorEastAsia"/>
          <w:b/>
          <w:bCs/>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w:t>
      </w:r>
    </w:p>
    <w:p w14:paraId="0F73C1CF">
      <w:pPr>
        <w:keepNext w:val="0"/>
        <w:keepLines w:val="0"/>
        <w:pageBreakBefore w:val="0"/>
        <w:widowControl w:val="0"/>
        <w:kinsoku/>
        <w:wordWrap/>
        <w:overflowPunct/>
        <w:topLinePunct w:val="0"/>
        <w:bidi w:val="0"/>
        <w:snapToGrid w:val="0"/>
        <w:spacing w:line="420" w:lineRule="exact"/>
        <w:ind w:firstLine="211" w:firstLineChars="100"/>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5.11 支付账户</w:t>
      </w:r>
    </w:p>
    <w:p w14:paraId="35E8457C">
      <w:pPr>
        <w:keepNext w:val="0"/>
        <w:keepLines w:val="0"/>
        <w:pageBreakBefore w:val="0"/>
        <w:widowControl w:val="0"/>
        <w:kinsoku/>
        <w:wordWrap/>
        <w:overflowPunct/>
        <w:topLinePunct w:val="0"/>
        <w:bidi w:val="0"/>
        <w:snapToGrid w:val="0"/>
        <w:spacing w:line="420" w:lineRule="exact"/>
        <w:ind w:firstLine="420" w:firstLineChars="200"/>
        <w:textAlignment w:val="auto"/>
        <w:outlineLvl w:val="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99" w:name="_Toc36049338"/>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开户名称： </w:t>
      </w:r>
    </w:p>
    <w:p w14:paraId="6FD59C21">
      <w:pPr>
        <w:keepNext w:val="0"/>
        <w:keepLines w:val="0"/>
        <w:pageBreakBefore w:val="0"/>
        <w:widowControl w:val="0"/>
        <w:kinsoku/>
        <w:wordWrap/>
        <w:overflowPunct/>
        <w:topLinePunct w:val="0"/>
        <w:bidi w:val="0"/>
        <w:snapToGrid w:val="0"/>
        <w:spacing w:line="420" w:lineRule="exact"/>
        <w:ind w:firstLine="420" w:firstLineChars="200"/>
        <w:textAlignment w:val="auto"/>
        <w:outlineLvl w:val="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开户账号： </w:t>
      </w:r>
    </w:p>
    <w:p w14:paraId="772D9DF3">
      <w:pPr>
        <w:keepNext w:val="0"/>
        <w:keepLines w:val="0"/>
        <w:pageBreakBefore w:val="0"/>
        <w:widowControl w:val="0"/>
        <w:kinsoku/>
        <w:wordWrap/>
        <w:overflowPunct/>
        <w:topLinePunct w:val="0"/>
        <w:bidi w:val="0"/>
        <w:snapToGrid w:val="0"/>
        <w:spacing w:line="420" w:lineRule="exact"/>
        <w:ind w:firstLine="420" w:firstLineChars="200"/>
        <w:textAlignment w:val="auto"/>
        <w:outlineLvl w:val="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开户银行： </w:t>
      </w:r>
    </w:p>
    <w:p w14:paraId="43231773">
      <w:pPr>
        <w:keepNext w:val="0"/>
        <w:keepLines w:val="0"/>
        <w:pageBreakBefore w:val="0"/>
        <w:widowControl w:val="0"/>
        <w:kinsoku/>
        <w:wordWrap/>
        <w:overflowPunct/>
        <w:topLinePunct w:val="0"/>
        <w:bidi w:val="0"/>
        <w:snapToGrid w:val="0"/>
        <w:spacing w:line="420" w:lineRule="exact"/>
        <w:ind w:firstLine="420" w:firstLineChars="200"/>
        <w:textAlignment w:val="auto"/>
        <w:outlineLvl w:val="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（若发生收款账户变更，乙方需在请款前致函告知甲方）</w:t>
      </w:r>
    </w:p>
    <w:p w14:paraId="74510686">
      <w:pPr>
        <w:keepNext w:val="0"/>
        <w:keepLines w:val="0"/>
        <w:pageBreakBefore w:val="0"/>
        <w:widowControl w:val="0"/>
        <w:kinsoku/>
        <w:wordWrap/>
        <w:overflowPunct/>
        <w:topLinePunct w:val="0"/>
        <w:bidi w:val="0"/>
        <w:snapToGrid w:val="0"/>
        <w:spacing w:line="420" w:lineRule="exact"/>
        <w:textAlignment w:val="auto"/>
        <w:outlineLvl w:val="0"/>
        <w:rPr>
          <w:rFonts w:hint="eastAsia" w:asciiTheme="minorEastAsia" w:hAnsiTheme="minorEastAsia" w:eastAsiaTheme="minorEastAsia" w:cstheme="minorEastAsia"/>
          <w:b/>
          <w:bCs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24"/>
          <w:szCs w:val="24"/>
          <w:highlight w:val="none"/>
          <w14:textFill>
            <w14:solidFill>
              <w14:schemeClr w14:val="tx1"/>
            </w14:solidFill>
          </w14:textFill>
        </w:rPr>
        <w:t>6. 合同生效、变更、暂停、解除与终止</w:t>
      </w:r>
      <w:bookmarkEnd w:id="99"/>
    </w:p>
    <w:p w14:paraId="6D34D62F">
      <w:pPr>
        <w:keepNext w:val="0"/>
        <w:keepLines w:val="0"/>
        <w:pageBreakBefore w:val="0"/>
        <w:widowControl w:val="0"/>
        <w:kinsoku/>
        <w:wordWrap/>
        <w:overflowPunct/>
        <w:topLinePunct w:val="0"/>
        <w:bidi w:val="0"/>
        <w:adjustRightInd w:val="0"/>
        <w:snapToGrid w:val="0"/>
        <w:spacing w:line="420" w:lineRule="exact"/>
        <w:ind w:firstLine="422" w:firstLineChars="200"/>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6.1 生效</w:t>
      </w:r>
    </w:p>
    <w:p w14:paraId="3CA8EBB6">
      <w:pPr>
        <w:keepNext w:val="0"/>
        <w:keepLines w:val="0"/>
        <w:pageBreakBefore w:val="0"/>
        <w:widowControl w:val="0"/>
        <w:kinsoku/>
        <w:wordWrap/>
        <w:overflowPunct/>
        <w:topLinePunct w:val="0"/>
        <w:bidi w:val="0"/>
        <w:adjustRightInd w:val="0"/>
        <w:snapToGrid w:val="0"/>
        <w:spacing w:line="420" w:lineRule="exact"/>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本合同生效条件：</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283F21C8">
      <w:pPr>
        <w:keepNext w:val="0"/>
        <w:keepLines w:val="0"/>
        <w:pageBreakBefore w:val="0"/>
        <w:widowControl w:val="0"/>
        <w:kinsoku/>
        <w:wordWrap/>
        <w:overflowPunct/>
        <w:topLinePunct w:val="0"/>
        <w:autoSpaceDE w:val="0"/>
        <w:autoSpaceDN w:val="0"/>
        <w:bidi w:val="0"/>
        <w:adjustRightInd w:val="0"/>
        <w:spacing w:line="420" w:lineRule="exact"/>
        <w:ind w:firstLine="420" w:firstLineChars="200"/>
        <w:jc w:val="left"/>
        <w:textAlignment w:val="auto"/>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6.2.2</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变更估价原则</w:t>
      </w:r>
    </w:p>
    <w:p w14:paraId="471F8E06">
      <w:pPr>
        <w:keepNext w:val="0"/>
        <w:keepLines w:val="0"/>
        <w:pageBreakBefore w:val="0"/>
        <w:widowControl w:val="0"/>
        <w:kinsoku/>
        <w:wordWrap/>
        <w:overflowPunct/>
        <w:topLinePunct w:val="0"/>
        <w:bidi w:val="0"/>
        <w:adjustRightInd w:val="0"/>
        <w:snapToGrid w:val="0"/>
        <w:spacing w:line="420" w:lineRule="exact"/>
        <w:ind w:firstLine="480"/>
        <w:textAlignment w:val="auto"/>
        <w:rPr>
          <w:rFonts w:hint="eastAsia" w:asciiTheme="minorEastAsia" w:hAnsiTheme="minorEastAsia" w:eastAsiaTheme="minorEastAsia" w:cstheme="minorEastAsia"/>
          <w:color w:val="000000" w:themeColor="text1"/>
          <w:sz w:val="21"/>
          <w:szCs w:val="21"/>
          <w:highlight w:val="none"/>
          <w:u w:val="none"/>
          <w:lang w:eastAsia="zh-CN"/>
          <w14:textFill>
            <w14:solidFill>
              <w14:schemeClr w14:val="tx1"/>
            </w14:solidFill>
          </w14:textFill>
        </w:rPr>
      </w:pPr>
      <w:r>
        <w:rPr>
          <w:rFonts w:hint="eastAsia" w:asciiTheme="minorEastAsia" w:hAnsiTheme="minorEastAsia" w:eastAsiaTheme="minorEastAsia" w:cstheme="minorEastAsia"/>
          <w:i w:val="0"/>
          <w:iCs w:val="0"/>
          <w:color w:val="000000" w:themeColor="text1"/>
          <w:sz w:val="21"/>
          <w:szCs w:val="21"/>
          <w:highlight w:val="none"/>
          <w:u w:val="none"/>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若检测过程中检测数量发生变化，则按本合同单价×甲、乙、监理三方签认的实际工程量结算（固定总价合同除外）</w:t>
      </w:r>
      <w:r>
        <w:rPr>
          <w:rFonts w:hint="eastAsia" w:asciiTheme="minorEastAsia" w:hAnsiTheme="minorEastAsia" w:eastAsiaTheme="minorEastAsia" w:cstheme="minorEastAsia"/>
          <w:color w:val="000000" w:themeColor="text1"/>
          <w:sz w:val="21"/>
          <w:szCs w:val="21"/>
          <w:highlight w:val="none"/>
          <w:u w:val="none"/>
          <w:lang w:eastAsia="zh-CN"/>
          <w14:textFill>
            <w14:solidFill>
              <w14:schemeClr w14:val="tx1"/>
            </w14:solidFill>
          </w14:textFill>
        </w:rPr>
        <w:t>。</w:t>
      </w:r>
    </w:p>
    <w:p w14:paraId="601F1891">
      <w:pPr>
        <w:keepNext w:val="0"/>
        <w:keepLines w:val="0"/>
        <w:pageBreakBefore w:val="0"/>
        <w:widowControl w:val="0"/>
        <w:kinsoku/>
        <w:wordWrap/>
        <w:overflowPunct/>
        <w:topLinePunct w:val="0"/>
        <w:bidi w:val="0"/>
        <w:snapToGrid w:val="0"/>
        <w:spacing w:line="420" w:lineRule="exact"/>
        <w:textAlignment w:val="auto"/>
        <w:outlineLvl w:val="0"/>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pPr>
      <w:bookmarkStart w:id="100" w:name="_Toc36049339"/>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7. 争议解决</w:t>
      </w:r>
      <w:bookmarkEnd w:id="100"/>
    </w:p>
    <w:p w14:paraId="5E2F6685">
      <w:pPr>
        <w:keepNext w:val="0"/>
        <w:keepLines w:val="0"/>
        <w:pageBreakBefore w:val="0"/>
        <w:widowControl w:val="0"/>
        <w:kinsoku/>
        <w:wordWrap/>
        <w:overflowPunct/>
        <w:topLinePunct w:val="0"/>
        <w:bidi w:val="0"/>
        <w:snapToGrid w:val="0"/>
        <w:spacing w:line="420" w:lineRule="exact"/>
        <w:ind w:firstLine="207" w:firstLineChars="98"/>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7.2 调解</w:t>
      </w:r>
    </w:p>
    <w:p w14:paraId="5A31341B">
      <w:pPr>
        <w:keepNext w:val="0"/>
        <w:keepLines w:val="0"/>
        <w:pageBreakBefore w:val="0"/>
        <w:widowControl w:val="0"/>
        <w:kinsoku/>
        <w:wordWrap/>
        <w:overflowPunct/>
        <w:topLinePunct w:val="0"/>
        <w:bidi w:val="0"/>
        <w:snapToGrid w:val="0"/>
        <w:spacing w:line="420" w:lineRule="exact"/>
        <w:ind w:firstLine="411" w:firstLineChars="196"/>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本合同争议进行调解时，可提交</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进行调解。</w:t>
      </w:r>
    </w:p>
    <w:p w14:paraId="152FA224">
      <w:pPr>
        <w:keepNext w:val="0"/>
        <w:keepLines w:val="0"/>
        <w:pageBreakBefore w:val="0"/>
        <w:widowControl w:val="0"/>
        <w:kinsoku/>
        <w:wordWrap/>
        <w:overflowPunct/>
        <w:topLinePunct w:val="0"/>
        <w:bidi w:val="0"/>
        <w:snapToGrid w:val="0"/>
        <w:spacing w:line="420" w:lineRule="exact"/>
        <w:ind w:firstLine="207" w:firstLineChars="98"/>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7.3 仲裁或诉讼</w:t>
      </w:r>
    </w:p>
    <w:p w14:paraId="06F1D4F9">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合同争议的最终解决方式为下列第</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种方式：</w:t>
      </w:r>
    </w:p>
    <w:p w14:paraId="0D841CD3">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（1）提请</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仲裁委员会进行仲裁。</w:t>
      </w:r>
    </w:p>
    <w:p w14:paraId="3BE05CED">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（2）向</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人民法院提起诉讼。</w:t>
      </w:r>
    </w:p>
    <w:p w14:paraId="05104F90">
      <w:pPr>
        <w:keepNext w:val="0"/>
        <w:keepLines w:val="0"/>
        <w:pageBreakBefore w:val="0"/>
        <w:widowControl w:val="0"/>
        <w:kinsoku/>
        <w:wordWrap/>
        <w:overflowPunct/>
        <w:topLinePunct w:val="0"/>
        <w:bidi w:val="0"/>
        <w:adjustRightInd w:val="0"/>
        <w:snapToGrid w:val="0"/>
        <w:spacing w:line="420" w:lineRule="exact"/>
        <w:textAlignment w:val="auto"/>
        <w:outlineLvl w:val="0"/>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bookmarkStart w:id="101" w:name="_Toc36049340"/>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8. 其他</w:t>
      </w:r>
      <w:bookmarkEnd w:id="101"/>
    </w:p>
    <w:p w14:paraId="5FDE4484">
      <w:pPr>
        <w:keepNext w:val="0"/>
        <w:keepLines w:val="0"/>
        <w:pageBreakBefore w:val="0"/>
        <w:widowControl w:val="0"/>
        <w:kinsoku/>
        <w:wordWrap/>
        <w:overflowPunct/>
        <w:topLinePunct w:val="0"/>
        <w:bidi w:val="0"/>
        <w:adjustRightInd w:val="0"/>
        <w:snapToGrid w:val="0"/>
        <w:spacing w:line="420" w:lineRule="exact"/>
        <w:textAlignment w:val="auto"/>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 xml:space="preserve">  8.2 咨询费用</w:t>
      </w:r>
    </w:p>
    <w:p w14:paraId="6E5EAC6B">
      <w:pPr>
        <w:keepNext w:val="0"/>
        <w:keepLines w:val="0"/>
        <w:pageBreakBefore w:val="0"/>
        <w:widowControl w:val="0"/>
        <w:kinsoku/>
        <w:wordWrap/>
        <w:overflowPunct/>
        <w:topLinePunct w:val="0"/>
        <w:bidi w:val="0"/>
        <w:adjustRightInd w:val="0"/>
        <w:snapToGrid w:val="0"/>
        <w:spacing w:line="420" w:lineRule="exact"/>
        <w:textAlignment w:val="auto"/>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 xml:space="preserve">    委托方应在咨询工作完成后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天内支付咨询费用。</w:t>
      </w:r>
    </w:p>
    <w:p w14:paraId="0FFEADAA">
      <w:pPr>
        <w:keepNext w:val="0"/>
        <w:keepLines w:val="0"/>
        <w:pageBreakBefore w:val="0"/>
        <w:widowControl w:val="0"/>
        <w:kinsoku/>
        <w:wordWrap/>
        <w:overflowPunct/>
        <w:topLinePunct w:val="0"/>
        <w:bidi w:val="0"/>
        <w:adjustRightInd w:val="0"/>
        <w:snapToGrid w:val="0"/>
        <w:spacing w:line="420" w:lineRule="exact"/>
        <w:ind w:firstLine="207" w:firstLineChars="98"/>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8.4 保密</w:t>
      </w:r>
    </w:p>
    <w:p w14:paraId="49C1777D">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甲方申明的保密事项和期限：</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6A78588A">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乙方申明的保密事项和期限：</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688EE93F">
      <w:pPr>
        <w:keepNext w:val="0"/>
        <w:keepLines w:val="0"/>
        <w:pageBreakBefore w:val="0"/>
        <w:widowControl w:val="0"/>
        <w:kinsoku/>
        <w:wordWrap/>
        <w:overflowPunct/>
        <w:topLinePunct w:val="0"/>
        <w:bidi w:val="0"/>
        <w:adjustRightInd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第三方申明的保密事项和期限：</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46CDA340">
      <w:pPr>
        <w:keepNext w:val="0"/>
        <w:keepLines w:val="0"/>
        <w:pageBreakBefore w:val="0"/>
        <w:widowControl w:val="0"/>
        <w:kinsoku/>
        <w:wordWrap/>
        <w:overflowPunct/>
        <w:topLinePunct w:val="0"/>
        <w:bidi w:val="0"/>
        <w:snapToGrid w:val="0"/>
        <w:spacing w:line="420" w:lineRule="exact"/>
        <w:ind w:firstLine="207" w:firstLineChars="98"/>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8.6著作权</w:t>
      </w:r>
    </w:p>
    <w:p w14:paraId="07B19A1B">
      <w:pPr>
        <w:keepNext w:val="0"/>
        <w:keepLines w:val="0"/>
        <w:pageBreakBefore w:val="0"/>
        <w:widowControl w:val="0"/>
        <w:kinsoku/>
        <w:wordWrap/>
        <w:overflowPunct/>
        <w:topLinePunct w:val="0"/>
        <w:bidi w:val="0"/>
        <w:snapToGrid w:val="0"/>
        <w:spacing w:line="420" w:lineRule="exact"/>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乙方在本合同履行期间及本合同终止后两年内出版涉及本工程的有关检测与相关服务的资料的限制条件：</w:t>
      </w:r>
    </w:p>
    <w:p w14:paraId="7CDD3A50">
      <w:pPr>
        <w:keepNext w:val="0"/>
        <w:keepLines w:val="0"/>
        <w:pageBreakBefore w:val="0"/>
        <w:widowControl w:val="0"/>
        <w:kinsoku/>
        <w:wordWrap/>
        <w:overflowPunct/>
        <w:topLinePunct w:val="0"/>
        <w:bidi w:val="0"/>
        <w:snapToGrid w:val="0"/>
        <w:spacing w:line="420" w:lineRule="exact"/>
        <w:ind w:firstLine="420" w:firstLineChars="200"/>
        <w:textAlignment w:val="auto"/>
        <w:rPr>
          <w:rFonts w:hint="default"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p>
    <w:p w14:paraId="6CDDB119">
      <w:pPr>
        <w:keepNext w:val="0"/>
        <w:keepLines w:val="0"/>
        <w:pageBreakBefore w:val="0"/>
        <w:widowControl w:val="0"/>
        <w:kinsoku/>
        <w:wordWrap/>
        <w:overflowPunct/>
        <w:topLinePunct w:val="0"/>
        <w:bidi w:val="0"/>
        <w:adjustRightInd w:val="0"/>
        <w:snapToGrid w:val="0"/>
        <w:spacing w:line="4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05E36CB">
      <w:pPr>
        <w:keepNext w:val="0"/>
        <w:keepLines w:val="0"/>
        <w:pageBreakBefore w:val="0"/>
        <w:widowControl w:val="0"/>
        <w:kinsoku/>
        <w:wordWrap/>
        <w:overflowPunct/>
        <w:topLinePunct w:val="0"/>
        <w:bidi w:val="0"/>
        <w:adjustRightInd w:val="0"/>
        <w:snapToGrid w:val="0"/>
        <w:spacing w:line="420" w:lineRule="exact"/>
        <w:ind w:firstLine="241" w:firstLineChars="100"/>
        <w:textAlignment w:val="auto"/>
        <w:outlineLvl w:val="0"/>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bookmarkStart w:id="102" w:name="_Toc36049341"/>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9. 补充条款</w:t>
      </w:r>
      <w:bookmarkEnd w:id="102"/>
    </w:p>
    <w:p w14:paraId="6E7C9144">
      <w:pPr>
        <w:keepNext w:val="0"/>
        <w:keepLines w:val="0"/>
        <w:pageBreakBefore w:val="0"/>
        <w:widowControl w:val="0"/>
        <w:kinsoku/>
        <w:wordWrap/>
        <w:overflowPunct/>
        <w:topLinePunct w:val="0"/>
        <w:bidi w:val="0"/>
        <w:adjustRightInd w:val="0"/>
        <w:snapToGrid w:val="0"/>
        <w:spacing w:line="420" w:lineRule="exact"/>
        <w:textAlignment w:val="auto"/>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783AFBA1">
      <w:pPr>
        <w:keepNext w:val="0"/>
        <w:keepLines w:val="0"/>
        <w:pageBreakBefore w:val="0"/>
        <w:widowControl w:val="0"/>
        <w:kinsoku/>
        <w:wordWrap/>
        <w:overflowPunct/>
        <w:topLinePunct w:val="0"/>
        <w:bidi w:val="0"/>
        <w:adjustRightInd w:val="0"/>
        <w:snapToGrid w:val="0"/>
        <w:spacing w:line="4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7BBD8F41">
      <w:pPr>
        <w:pageBreakBefore/>
        <w:spacing w:line="360" w:lineRule="auto"/>
        <w:jc w:val="cente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附录A  相关服务的范围和内容</w:t>
      </w:r>
    </w:p>
    <w:p w14:paraId="46B73815">
      <w:pPr>
        <w:keepNext w:val="0"/>
        <w:keepLines w:val="0"/>
        <w:pageBreakBefore w:val="0"/>
        <w:widowControl w:val="0"/>
        <w:kinsoku/>
        <w:wordWrap/>
        <w:overflowPunct/>
        <w:topLinePunct w:val="0"/>
        <w:autoSpaceDE/>
        <w:autoSpaceDN/>
        <w:bidi w:val="0"/>
        <w:adjustRightInd/>
        <w:snapToGrid w:val="0"/>
        <w:spacing w:line="420" w:lineRule="exact"/>
        <w:ind w:firstLine="315" w:firstLineChars="150"/>
        <w:textAlignment w:val="auto"/>
        <w:outlineLvl w:val="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03" w:name="_Toc36049342"/>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A-1</w:t>
      </w:r>
      <w:bookmarkEnd w:id="103"/>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70E3C853">
      <w:pPr>
        <w:keepNext w:val="0"/>
        <w:keepLines w:val="0"/>
        <w:pageBreakBefore w:val="0"/>
        <w:widowControl w:val="0"/>
        <w:kinsoku/>
        <w:wordWrap/>
        <w:overflowPunct/>
        <w:topLinePunct w:val="0"/>
        <w:autoSpaceDE/>
        <w:autoSpaceDN/>
        <w:bidi w:val="0"/>
        <w:adjustRightInd/>
        <w:snapToGrid w:val="0"/>
        <w:spacing w:line="420" w:lineRule="exact"/>
        <w:ind w:firstLine="315" w:firstLineChars="15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A-2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其他（专业技术咨询、外部协调工作等）：</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12E52E3">
      <w:pPr>
        <w:keepNext w:val="0"/>
        <w:keepLines w:val="0"/>
        <w:pageBreakBefore w:val="0"/>
        <w:widowControl w:val="0"/>
        <w:kinsoku/>
        <w:wordWrap/>
        <w:overflowPunct/>
        <w:topLinePunct w:val="0"/>
        <w:autoSpaceDE/>
        <w:autoSpaceDN/>
        <w:bidi w:val="0"/>
        <w:adjustRightInd/>
        <w:snapToGrid w:val="0"/>
        <w:spacing w:line="420" w:lineRule="exact"/>
        <w:ind w:left="0" w:leftChars="0" w:firstLine="0" w:firstLineChars="0"/>
        <w:jc w:val="center"/>
        <w:textAlignment w:val="auto"/>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p>
    <w:p w14:paraId="66C0ECF4">
      <w:pPr>
        <w:keepNext w:val="0"/>
        <w:keepLines w:val="0"/>
        <w:pageBreakBefore w:val="0"/>
        <w:widowControl w:val="0"/>
        <w:kinsoku/>
        <w:wordWrap/>
        <w:overflowPunct/>
        <w:topLinePunct w:val="0"/>
        <w:autoSpaceDE/>
        <w:autoSpaceDN/>
        <w:bidi w:val="0"/>
        <w:adjustRightInd/>
        <w:snapToGrid w:val="0"/>
        <w:spacing w:line="420" w:lineRule="exact"/>
        <w:ind w:left="0" w:leftChars="0" w:firstLine="0" w:firstLineChars="0"/>
        <w:jc w:val="center"/>
        <w:textAlignment w:val="auto"/>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附录B  甲方派遣的人员和提供的房屋、资料、设备</w:t>
      </w:r>
    </w:p>
    <w:p w14:paraId="001FE1CC">
      <w:pPr>
        <w:keepNext w:val="0"/>
        <w:keepLines w:val="0"/>
        <w:pageBreakBefore w:val="0"/>
        <w:widowControl w:val="0"/>
        <w:kinsoku/>
        <w:wordWrap/>
        <w:overflowPunct/>
        <w:topLinePunct w:val="0"/>
        <w:autoSpaceDE/>
        <w:autoSpaceDN/>
        <w:bidi w:val="0"/>
        <w:adjustRightInd/>
        <w:snapToGrid/>
        <w:spacing w:line="500" w:lineRule="exact"/>
        <w:ind w:firstLine="422" w:firstLineChars="200"/>
        <w:textAlignment w:val="auto"/>
        <w:outlineLvl w:val="0"/>
        <w:rPr>
          <w:rFonts w:hint="eastAsia" w:asciiTheme="minorEastAsia" w:hAnsiTheme="minorEastAsia" w:eastAsiaTheme="minorEastAsia" w:cstheme="minorEastAsia"/>
          <w:b/>
          <w:color w:val="000000" w:themeColor="text1"/>
          <w:kern w:val="0"/>
          <w:sz w:val="21"/>
          <w:szCs w:val="21"/>
          <w:highlight w:val="none"/>
          <w14:textFill>
            <w14:solidFill>
              <w14:schemeClr w14:val="tx1"/>
            </w14:solidFill>
          </w14:textFill>
        </w:rPr>
      </w:pPr>
      <w:bookmarkStart w:id="104" w:name="_Toc36049343"/>
      <w:r>
        <w:rPr>
          <w:rFonts w:hint="eastAsia" w:asciiTheme="minorEastAsia" w:hAnsiTheme="minorEastAsia" w:eastAsiaTheme="minorEastAsia" w:cstheme="minorEastAsia"/>
          <w:b/>
          <w:color w:val="000000" w:themeColor="text1"/>
          <w:kern w:val="0"/>
          <w:sz w:val="21"/>
          <w:szCs w:val="21"/>
          <w:highlight w:val="none"/>
          <w14:textFill>
            <w14:solidFill>
              <w14:schemeClr w14:val="tx1"/>
            </w14:solidFill>
          </w14:textFill>
        </w:rPr>
        <w:t>B-1  甲方派遣的人员</w:t>
      </w:r>
      <w:bookmarkEnd w:id="104"/>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0"/>
        <w:gridCol w:w="1692"/>
        <w:gridCol w:w="2746"/>
        <w:gridCol w:w="1860"/>
      </w:tblGrid>
      <w:tr w14:paraId="4FE4E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70" w:type="dxa"/>
            <w:noWrap w:val="0"/>
            <w:vAlign w:val="center"/>
          </w:tcPr>
          <w:p w14:paraId="62C25A5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1692" w:type="dxa"/>
            <w:noWrap w:val="0"/>
            <w:vAlign w:val="center"/>
          </w:tcPr>
          <w:p w14:paraId="6E8B6DC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2746" w:type="dxa"/>
            <w:noWrap w:val="0"/>
            <w:vAlign w:val="center"/>
          </w:tcPr>
          <w:p w14:paraId="2A74D85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工作要求</w:t>
            </w:r>
          </w:p>
        </w:tc>
        <w:tc>
          <w:tcPr>
            <w:tcW w:w="1860" w:type="dxa"/>
            <w:noWrap w:val="0"/>
            <w:vAlign w:val="center"/>
          </w:tcPr>
          <w:p w14:paraId="61657A5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提供时间</w:t>
            </w:r>
          </w:p>
        </w:tc>
      </w:tr>
      <w:tr w14:paraId="05873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70" w:type="dxa"/>
            <w:noWrap w:val="0"/>
            <w:vAlign w:val="center"/>
          </w:tcPr>
          <w:p w14:paraId="38C6159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1.工程技术人员</w:t>
            </w:r>
          </w:p>
        </w:tc>
        <w:tc>
          <w:tcPr>
            <w:tcW w:w="1692" w:type="dxa"/>
            <w:noWrap w:val="0"/>
            <w:vAlign w:val="center"/>
          </w:tcPr>
          <w:p w14:paraId="2D3F1E0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746" w:type="dxa"/>
            <w:noWrap w:val="0"/>
            <w:vAlign w:val="center"/>
          </w:tcPr>
          <w:p w14:paraId="381C0E0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60" w:type="dxa"/>
            <w:noWrap w:val="0"/>
            <w:vAlign w:val="center"/>
          </w:tcPr>
          <w:p w14:paraId="4E4C5FF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C2C9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70" w:type="dxa"/>
            <w:noWrap w:val="0"/>
            <w:vAlign w:val="center"/>
          </w:tcPr>
          <w:p w14:paraId="1C48575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2.辅助工作人员</w:t>
            </w:r>
          </w:p>
        </w:tc>
        <w:tc>
          <w:tcPr>
            <w:tcW w:w="1692" w:type="dxa"/>
            <w:noWrap w:val="0"/>
            <w:vAlign w:val="center"/>
          </w:tcPr>
          <w:p w14:paraId="3E68B89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746" w:type="dxa"/>
            <w:noWrap w:val="0"/>
            <w:vAlign w:val="center"/>
          </w:tcPr>
          <w:p w14:paraId="1EF4A96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60" w:type="dxa"/>
            <w:noWrap w:val="0"/>
            <w:vAlign w:val="center"/>
          </w:tcPr>
          <w:p w14:paraId="49298C8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7715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70" w:type="dxa"/>
            <w:noWrap w:val="0"/>
            <w:vAlign w:val="center"/>
          </w:tcPr>
          <w:p w14:paraId="1D25705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3.其他人员</w:t>
            </w:r>
          </w:p>
        </w:tc>
        <w:tc>
          <w:tcPr>
            <w:tcW w:w="1692" w:type="dxa"/>
            <w:noWrap w:val="0"/>
            <w:vAlign w:val="center"/>
          </w:tcPr>
          <w:p w14:paraId="56C02A0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746" w:type="dxa"/>
            <w:noWrap w:val="0"/>
            <w:vAlign w:val="center"/>
          </w:tcPr>
          <w:p w14:paraId="77EF0D9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60" w:type="dxa"/>
            <w:noWrap w:val="0"/>
            <w:vAlign w:val="center"/>
          </w:tcPr>
          <w:p w14:paraId="0061282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2C78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70" w:type="dxa"/>
            <w:noWrap w:val="0"/>
            <w:vAlign w:val="center"/>
          </w:tcPr>
          <w:p w14:paraId="230B026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692" w:type="dxa"/>
            <w:noWrap w:val="0"/>
            <w:vAlign w:val="center"/>
          </w:tcPr>
          <w:p w14:paraId="0A1A0E9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746" w:type="dxa"/>
            <w:noWrap w:val="0"/>
            <w:vAlign w:val="center"/>
          </w:tcPr>
          <w:p w14:paraId="3355476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60" w:type="dxa"/>
            <w:noWrap w:val="0"/>
            <w:vAlign w:val="center"/>
          </w:tcPr>
          <w:p w14:paraId="76836D1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71EE8CF1">
      <w:pPr>
        <w:keepNext w:val="0"/>
        <w:keepLines w:val="0"/>
        <w:pageBreakBefore w:val="0"/>
        <w:widowControl w:val="0"/>
        <w:kinsoku/>
        <w:wordWrap/>
        <w:overflowPunct/>
        <w:topLinePunct w:val="0"/>
        <w:autoSpaceDE/>
        <w:autoSpaceDN/>
        <w:bidi w:val="0"/>
        <w:adjustRightInd/>
        <w:snapToGrid/>
        <w:spacing w:line="500" w:lineRule="exact"/>
        <w:ind w:firstLine="422" w:firstLineChars="200"/>
        <w:textAlignment w:val="auto"/>
        <w:rPr>
          <w:rFonts w:hint="eastAsia" w:asciiTheme="minorEastAsia" w:hAnsiTheme="minorEastAsia" w:eastAsiaTheme="minorEastAsia" w:cstheme="minorEastAsia"/>
          <w:b/>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0"/>
          <w:sz w:val="21"/>
          <w:szCs w:val="21"/>
          <w:highlight w:val="none"/>
          <w14:textFill>
            <w14:solidFill>
              <w14:schemeClr w14:val="tx1"/>
            </w14:solidFill>
          </w14:textFill>
        </w:rPr>
        <w:t>B-2  甲方提供的房屋、场地</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2"/>
        <w:gridCol w:w="1692"/>
        <w:gridCol w:w="2734"/>
        <w:gridCol w:w="1860"/>
      </w:tblGrid>
      <w:tr w14:paraId="3CB16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2" w:type="dxa"/>
            <w:noWrap w:val="0"/>
            <w:vAlign w:val="top"/>
          </w:tcPr>
          <w:p w14:paraId="3DE266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1692" w:type="dxa"/>
            <w:noWrap w:val="0"/>
            <w:vAlign w:val="top"/>
          </w:tcPr>
          <w:p w14:paraId="3A73647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2734" w:type="dxa"/>
            <w:noWrap w:val="0"/>
            <w:vAlign w:val="top"/>
          </w:tcPr>
          <w:p w14:paraId="31F5F07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面积</w:t>
            </w:r>
          </w:p>
        </w:tc>
        <w:tc>
          <w:tcPr>
            <w:tcW w:w="1860" w:type="dxa"/>
            <w:noWrap w:val="0"/>
            <w:vAlign w:val="top"/>
          </w:tcPr>
          <w:p w14:paraId="60DD82B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提供时间</w:t>
            </w:r>
          </w:p>
        </w:tc>
      </w:tr>
      <w:tr w14:paraId="519F5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2" w:type="dxa"/>
            <w:noWrap w:val="0"/>
            <w:vAlign w:val="top"/>
          </w:tcPr>
          <w:p w14:paraId="29794F8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1.设备用房</w:t>
            </w:r>
          </w:p>
        </w:tc>
        <w:tc>
          <w:tcPr>
            <w:tcW w:w="1692" w:type="dxa"/>
            <w:noWrap w:val="0"/>
            <w:vAlign w:val="top"/>
          </w:tcPr>
          <w:p w14:paraId="2C922FD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2734" w:type="dxa"/>
            <w:noWrap w:val="0"/>
            <w:vAlign w:val="top"/>
          </w:tcPr>
          <w:p w14:paraId="76D717B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860" w:type="dxa"/>
            <w:noWrap w:val="0"/>
            <w:vAlign w:val="top"/>
          </w:tcPr>
          <w:p w14:paraId="001FCE5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4905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2" w:type="dxa"/>
            <w:noWrap w:val="0"/>
            <w:vAlign w:val="top"/>
          </w:tcPr>
          <w:p w14:paraId="7913DA2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2.样品用房</w:t>
            </w:r>
          </w:p>
        </w:tc>
        <w:tc>
          <w:tcPr>
            <w:tcW w:w="1692" w:type="dxa"/>
            <w:noWrap w:val="0"/>
            <w:vAlign w:val="top"/>
          </w:tcPr>
          <w:p w14:paraId="68CDEB3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734" w:type="dxa"/>
            <w:noWrap w:val="0"/>
            <w:vAlign w:val="top"/>
          </w:tcPr>
          <w:p w14:paraId="5483D37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60" w:type="dxa"/>
            <w:noWrap w:val="0"/>
            <w:vAlign w:val="top"/>
          </w:tcPr>
          <w:p w14:paraId="0385505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8959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2" w:type="dxa"/>
            <w:noWrap w:val="0"/>
            <w:vAlign w:val="top"/>
          </w:tcPr>
          <w:p w14:paraId="37CEEFA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3.设备场地</w:t>
            </w:r>
          </w:p>
        </w:tc>
        <w:tc>
          <w:tcPr>
            <w:tcW w:w="1692" w:type="dxa"/>
            <w:noWrap w:val="0"/>
            <w:vAlign w:val="top"/>
          </w:tcPr>
          <w:p w14:paraId="18D20BB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734" w:type="dxa"/>
            <w:noWrap w:val="0"/>
            <w:vAlign w:val="top"/>
          </w:tcPr>
          <w:p w14:paraId="6C02DD2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60" w:type="dxa"/>
            <w:noWrap w:val="0"/>
            <w:vAlign w:val="top"/>
          </w:tcPr>
          <w:p w14:paraId="4F3A631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7228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2" w:type="dxa"/>
            <w:noWrap w:val="0"/>
            <w:vAlign w:val="top"/>
          </w:tcPr>
          <w:p w14:paraId="35DA27B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692" w:type="dxa"/>
            <w:noWrap w:val="0"/>
            <w:vAlign w:val="top"/>
          </w:tcPr>
          <w:p w14:paraId="5C29EB3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734" w:type="dxa"/>
            <w:noWrap w:val="0"/>
            <w:vAlign w:val="top"/>
          </w:tcPr>
          <w:p w14:paraId="1A5AADE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60" w:type="dxa"/>
            <w:noWrap w:val="0"/>
            <w:vAlign w:val="top"/>
          </w:tcPr>
          <w:p w14:paraId="6A21018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11AB4B17">
      <w:pPr>
        <w:keepNext w:val="0"/>
        <w:keepLines w:val="0"/>
        <w:pageBreakBefore w:val="0"/>
        <w:widowControl w:val="0"/>
        <w:kinsoku/>
        <w:wordWrap/>
        <w:overflowPunct/>
        <w:topLinePunct w:val="0"/>
        <w:autoSpaceDE/>
        <w:autoSpaceDN/>
        <w:bidi w:val="0"/>
        <w:adjustRightInd/>
        <w:snapToGrid/>
        <w:spacing w:line="500" w:lineRule="exact"/>
        <w:ind w:firstLine="422" w:firstLineChars="200"/>
        <w:textAlignment w:val="auto"/>
        <w:rPr>
          <w:rFonts w:hint="eastAsia" w:asciiTheme="minorEastAsia" w:hAnsiTheme="minorEastAsia" w:eastAsiaTheme="minorEastAsia" w:cstheme="minorEastAsia"/>
          <w:b/>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0"/>
          <w:sz w:val="21"/>
          <w:szCs w:val="21"/>
          <w:highlight w:val="none"/>
          <w14:textFill>
            <w14:solidFill>
              <w14:schemeClr w14:val="tx1"/>
            </w14:solidFill>
          </w14:textFill>
        </w:rPr>
        <w:t>B-3  甲方提供的资料</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5"/>
        <w:gridCol w:w="1548"/>
        <w:gridCol w:w="2772"/>
        <w:gridCol w:w="1847"/>
      </w:tblGrid>
      <w:tr w14:paraId="03AED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5" w:type="dxa"/>
            <w:noWrap w:val="0"/>
            <w:vAlign w:val="top"/>
          </w:tcPr>
          <w:p w14:paraId="7DB009A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1548" w:type="dxa"/>
            <w:noWrap w:val="0"/>
            <w:vAlign w:val="top"/>
          </w:tcPr>
          <w:p w14:paraId="53CC098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份数</w:t>
            </w:r>
          </w:p>
        </w:tc>
        <w:tc>
          <w:tcPr>
            <w:tcW w:w="2772" w:type="dxa"/>
            <w:noWrap w:val="0"/>
            <w:vAlign w:val="top"/>
          </w:tcPr>
          <w:p w14:paraId="66DF26B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提供时间</w:t>
            </w:r>
          </w:p>
        </w:tc>
        <w:tc>
          <w:tcPr>
            <w:tcW w:w="1847" w:type="dxa"/>
            <w:noWrap w:val="0"/>
            <w:vAlign w:val="top"/>
          </w:tcPr>
          <w:p w14:paraId="7B10ECC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备注</w:t>
            </w:r>
          </w:p>
        </w:tc>
      </w:tr>
      <w:tr w14:paraId="1405D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5" w:type="dxa"/>
            <w:noWrap w:val="0"/>
            <w:vAlign w:val="top"/>
          </w:tcPr>
          <w:p w14:paraId="3C3EAED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1.工程设计及施工图纸</w:t>
            </w:r>
          </w:p>
        </w:tc>
        <w:tc>
          <w:tcPr>
            <w:tcW w:w="1548" w:type="dxa"/>
            <w:noWrap w:val="0"/>
            <w:vAlign w:val="top"/>
          </w:tcPr>
          <w:p w14:paraId="5BC08F3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772" w:type="dxa"/>
            <w:noWrap w:val="0"/>
            <w:vAlign w:val="top"/>
          </w:tcPr>
          <w:p w14:paraId="616CC40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47" w:type="dxa"/>
            <w:noWrap w:val="0"/>
            <w:vAlign w:val="top"/>
          </w:tcPr>
          <w:p w14:paraId="3E2DA60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BE26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5" w:type="dxa"/>
            <w:noWrap w:val="0"/>
            <w:vAlign w:val="top"/>
          </w:tcPr>
          <w:p w14:paraId="5AA164B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2.施工资料</w:t>
            </w:r>
          </w:p>
        </w:tc>
        <w:tc>
          <w:tcPr>
            <w:tcW w:w="1548" w:type="dxa"/>
            <w:noWrap w:val="0"/>
            <w:vAlign w:val="top"/>
          </w:tcPr>
          <w:p w14:paraId="58D1215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772" w:type="dxa"/>
            <w:noWrap w:val="0"/>
            <w:vAlign w:val="top"/>
          </w:tcPr>
          <w:p w14:paraId="52D806B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47" w:type="dxa"/>
            <w:noWrap w:val="0"/>
            <w:vAlign w:val="top"/>
          </w:tcPr>
          <w:p w14:paraId="5DDCDC9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1A41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5" w:type="dxa"/>
            <w:noWrap w:val="0"/>
            <w:vAlign w:val="top"/>
          </w:tcPr>
          <w:p w14:paraId="2B24BAC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3.监理资料</w:t>
            </w:r>
          </w:p>
        </w:tc>
        <w:tc>
          <w:tcPr>
            <w:tcW w:w="1548" w:type="dxa"/>
            <w:noWrap w:val="0"/>
            <w:vAlign w:val="top"/>
          </w:tcPr>
          <w:p w14:paraId="0A0FFA7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772" w:type="dxa"/>
            <w:noWrap w:val="0"/>
            <w:vAlign w:val="top"/>
          </w:tcPr>
          <w:p w14:paraId="06535DF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47" w:type="dxa"/>
            <w:noWrap w:val="0"/>
            <w:vAlign w:val="top"/>
          </w:tcPr>
          <w:p w14:paraId="30AE207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8B02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5" w:type="dxa"/>
            <w:noWrap w:val="0"/>
            <w:vAlign w:val="top"/>
          </w:tcPr>
          <w:p w14:paraId="195F3A6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其他文件</w:t>
            </w:r>
          </w:p>
        </w:tc>
        <w:tc>
          <w:tcPr>
            <w:tcW w:w="1548" w:type="dxa"/>
            <w:noWrap w:val="0"/>
            <w:vAlign w:val="top"/>
          </w:tcPr>
          <w:p w14:paraId="7AB5784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772" w:type="dxa"/>
            <w:noWrap w:val="0"/>
            <w:vAlign w:val="top"/>
          </w:tcPr>
          <w:p w14:paraId="1D3C3FC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47" w:type="dxa"/>
            <w:noWrap w:val="0"/>
            <w:vAlign w:val="top"/>
          </w:tcPr>
          <w:p w14:paraId="513413F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3D316802">
      <w:pPr>
        <w:keepNext w:val="0"/>
        <w:keepLines w:val="0"/>
        <w:pageBreakBefore w:val="0"/>
        <w:widowControl w:val="0"/>
        <w:kinsoku/>
        <w:wordWrap/>
        <w:overflowPunct/>
        <w:topLinePunct w:val="0"/>
        <w:autoSpaceDE/>
        <w:autoSpaceDN/>
        <w:bidi w:val="0"/>
        <w:adjustRightInd/>
        <w:snapToGrid/>
        <w:spacing w:line="500" w:lineRule="exact"/>
        <w:ind w:firstLine="422" w:firstLineChars="200"/>
        <w:textAlignment w:val="auto"/>
        <w:rPr>
          <w:rFonts w:hint="eastAsia" w:asciiTheme="minorEastAsia" w:hAnsiTheme="minorEastAsia" w:eastAsiaTheme="minorEastAsia" w:cstheme="minorEastAsia"/>
          <w:b/>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0"/>
          <w:sz w:val="21"/>
          <w:szCs w:val="21"/>
          <w:highlight w:val="none"/>
          <w14:textFill>
            <w14:solidFill>
              <w14:schemeClr w14:val="tx1"/>
            </w14:solidFill>
          </w14:textFill>
        </w:rPr>
        <w:t>B-4 甲方提供的设备</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6"/>
        <w:gridCol w:w="1452"/>
        <w:gridCol w:w="3024"/>
        <w:gridCol w:w="1786"/>
      </w:tblGrid>
      <w:tr w14:paraId="7E2A4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6" w:type="dxa"/>
            <w:noWrap w:val="0"/>
            <w:vAlign w:val="top"/>
          </w:tcPr>
          <w:p w14:paraId="190C8A6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1452" w:type="dxa"/>
            <w:noWrap w:val="0"/>
            <w:vAlign w:val="top"/>
          </w:tcPr>
          <w:p w14:paraId="056E5A1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3024" w:type="dxa"/>
            <w:noWrap w:val="0"/>
            <w:vAlign w:val="top"/>
          </w:tcPr>
          <w:p w14:paraId="7D66006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型号与规格</w:t>
            </w:r>
          </w:p>
        </w:tc>
        <w:tc>
          <w:tcPr>
            <w:tcW w:w="1786" w:type="dxa"/>
            <w:noWrap w:val="0"/>
            <w:vAlign w:val="top"/>
          </w:tcPr>
          <w:p w14:paraId="15454BD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提供时间</w:t>
            </w:r>
          </w:p>
        </w:tc>
      </w:tr>
      <w:tr w14:paraId="1E5D9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6" w:type="dxa"/>
            <w:noWrap w:val="0"/>
            <w:vAlign w:val="top"/>
          </w:tcPr>
          <w:p w14:paraId="26BFBD1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1.办公设备</w:t>
            </w:r>
          </w:p>
        </w:tc>
        <w:tc>
          <w:tcPr>
            <w:tcW w:w="1452" w:type="dxa"/>
            <w:noWrap w:val="0"/>
            <w:vAlign w:val="top"/>
          </w:tcPr>
          <w:p w14:paraId="6152620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024" w:type="dxa"/>
            <w:noWrap w:val="0"/>
            <w:vAlign w:val="top"/>
          </w:tcPr>
          <w:p w14:paraId="1E3A9F7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786" w:type="dxa"/>
            <w:noWrap w:val="0"/>
            <w:vAlign w:val="top"/>
          </w:tcPr>
          <w:p w14:paraId="3010E5B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10E2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6" w:type="dxa"/>
            <w:noWrap w:val="0"/>
            <w:vAlign w:val="top"/>
          </w:tcPr>
          <w:p w14:paraId="074C060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交</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通工具</w:t>
            </w:r>
          </w:p>
        </w:tc>
        <w:tc>
          <w:tcPr>
            <w:tcW w:w="1452" w:type="dxa"/>
            <w:noWrap w:val="0"/>
            <w:vAlign w:val="top"/>
          </w:tcPr>
          <w:p w14:paraId="609FE01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024" w:type="dxa"/>
            <w:noWrap w:val="0"/>
            <w:vAlign w:val="top"/>
          </w:tcPr>
          <w:p w14:paraId="6867F61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786" w:type="dxa"/>
            <w:noWrap w:val="0"/>
            <w:vAlign w:val="top"/>
          </w:tcPr>
          <w:p w14:paraId="37E8257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3460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6" w:type="dxa"/>
            <w:noWrap w:val="0"/>
            <w:vAlign w:val="top"/>
          </w:tcPr>
          <w:p w14:paraId="4B3B337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3.水</w:t>
            </w:r>
          </w:p>
        </w:tc>
        <w:tc>
          <w:tcPr>
            <w:tcW w:w="1452" w:type="dxa"/>
            <w:noWrap w:val="0"/>
            <w:vAlign w:val="top"/>
          </w:tcPr>
          <w:p w14:paraId="65B4BE2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024" w:type="dxa"/>
            <w:noWrap w:val="0"/>
            <w:vAlign w:val="top"/>
          </w:tcPr>
          <w:p w14:paraId="4C27E8D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786" w:type="dxa"/>
            <w:noWrap w:val="0"/>
            <w:vAlign w:val="top"/>
          </w:tcPr>
          <w:p w14:paraId="6E7DBAC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5B87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6" w:type="dxa"/>
            <w:noWrap w:val="0"/>
            <w:vAlign w:val="top"/>
          </w:tcPr>
          <w:p w14:paraId="6D0BD55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4.电</w:t>
            </w:r>
          </w:p>
        </w:tc>
        <w:tc>
          <w:tcPr>
            <w:tcW w:w="1452" w:type="dxa"/>
            <w:noWrap w:val="0"/>
            <w:vAlign w:val="top"/>
          </w:tcPr>
          <w:p w14:paraId="4978541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024" w:type="dxa"/>
            <w:noWrap w:val="0"/>
            <w:vAlign w:val="top"/>
          </w:tcPr>
          <w:p w14:paraId="536B111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786" w:type="dxa"/>
            <w:noWrap w:val="0"/>
            <w:vAlign w:val="top"/>
          </w:tcPr>
          <w:p w14:paraId="0E52A2B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008E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6" w:type="dxa"/>
            <w:noWrap w:val="0"/>
            <w:vAlign w:val="top"/>
          </w:tcPr>
          <w:p w14:paraId="7A55EDF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5.照明</w:t>
            </w:r>
          </w:p>
        </w:tc>
        <w:tc>
          <w:tcPr>
            <w:tcW w:w="1452" w:type="dxa"/>
            <w:noWrap w:val="0"/>
            <w:vAlign w:val="top"/>
          </w:tcPr>
          <w:p w14:paraId="753B74B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024" w:type="dxa"/>
            <w:noWrap w:val="0"/>
            <w:vAlign w:val="top"/>
          </w:tcPr>
          <w:p w14:paraId="040742A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786" w:type="dxa"/>
            <w:noWrap w:val="0"/>
            <w:vAlign w:val="top"/>
          </w:tcPr>
          <w:p w14:paraId="2348A1D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4B50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6" w:type="dxa"/>
            <w:noWrap w:val="0"/>
            <w:vAlign w:val="top"/>
          </w:tcPr>
          <w:p w14:paraId="7052A36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6.爬梯</w:t>
            </w:r>
          </w:p>
        </w:tc>
        <w:tc>
          <w:tcPr>
            <w:tcW w:w="1452" w:type="dxa"/>
            <w:noWrap w:val="0"/>
            <w:vAlign w:val="top"/>
          </w:tcPr>
          <w:p w14:paraId="0A6421B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024" w:type="dxa"/>
            <w:noWrap w:val="0"/>
            <w:vAlign w:val="top"/>
          </w:tcPr>
          <w:p w14:paraId="490976C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786" w:type="dxa"/>
            <w:noWrap w:val="0"/>
            <w:vAlign w:val="top"/>
          </w:tcPr>
          <w:p w14:paraId="23240A3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0E848891">
      <w:pPr>
        <w:keepNext w:val="0"/>
        <w:keepLines w:val="0"/>
        <w:pageBreakBefore w:val="0"/>
        <w:widowControl w:val="0"/>
        <w:kinsoku/>
        <w:wordWrap/>
        <w:overflowPunct/>
        <w:topLinePunct w:val="0"/>
        <w:autoSpaceDE/>
        <w:autoSpaceDN/>
        <w:bidi w:val="0"/>
        <w:adjustRightInd/>
        <w:snapToGrid/>
        <w:spacing w:line="500" w:lineRule="exact"/>
        <w:ind w:firstLine="432" w:firstLineChars="205"/>
        <w:textAlignment w:val="auto"/>
        <w:outlineLvl w:val="0"/>
        <w:rPr>
          <w:rFonts w:hint="eastAsia" w:asciiTheme="minorEastAsia" w:hAnsiTheme="minorEastAsia" w:eastAsiaTheme="minorEastAsia" w:cstheme="minorEastAsia"/>
          <w:b/>
          <w:color w:val="000000" w:themeColor="text1"/>
          <w:kern w:val="0"/>
          <w:sz w:val="21"/>
          <w:szCs w:val="21"/>
          <w:highlight w:val="none"/>
          <w14:textFill>
            <w14:solidFill>
              <w14:schemeClr w14:val="tx1"/>
            </w14:solidFill>
          </w14:textFill>
        </w:rPr>
      </w:pPr>
      <w:bookmarkStart w:id="105" w:name="_Toc36049344"/>
      <w:r>
        <w:rPr>
          <w:rFonts w:hint="eastAsia" w:asciiTheme="minorEastAsia" w:hAnsiTheme="minorEastAsia" w:eastAsiaTheme="minorEastAsia" w:cstheme="minorEastAsia"/>
          <w:b/>
          <w:color w:val="000000" w:themeColor="text1"/>
          <w:kern w:val="0"/>
          <w:sz w:val="21"/>
          <w:szCs w:val="21"/>
          <w:highlight w:val="none"/>
          <w14:textFill>
            <w14:solidFill>
              <w14:schemeClr w14:val="tx1"/>
            </w14:solidFill>
          </w14:textFill>
        </w:rPr>
        <w:t>B-5甲方负责修复乙方为实施检测</w:t>
      </w:r>
      <w:r>
        <w:rPr>
          <w:rFonts w:hint="eastAsia" w:asciiTheme="minorEastAsia" w:hAnsiTheme="minorEastAsia" w:eastAsiaTheme="minorEastAsia" w:cstheme="minorEastAsia"/>
          <w:b/>
          <w:color w:val="000000" w:themeColor="text1"/>
          <w:kern w:val="0"/>
          <w:sz w:val="21"/>
          <w:szCs w:val="21"/>
          <w:highlight w:val="none"/>
          <w:lang w:eastAsia="zh-CN"/>
          <w14:textFill>
            <w14:solidFill>
              <w14:schemeClr w14:val="tx1"/>
            </w14:solidFill>
          </w14:textFill>
        </w:rPr>
        <w:t>工作所必需对</w:t>
      </w:r>
      <w:r>
        <w:rPr>
          <w:rFonts w:hint="eastAsia" w:asciiTheme="minorEastAsia" w:hAnsiTheme="minorEastAsia" w:eastAsiaTheme="minorEastAsia" w:cstheme="minorEastAsia"/>
          <w:b/>
          <w:color w:val="000000" w:themeColor="text1"/>
          <w:kern w:val="0"/>
          <w:sz w:val="21"/>
          <w:szCs w:val="21"/>
          <w:highlight w:val="none"/>
          <w14:textFill>
            <w14:solidFill>
              <w14:schemeClr w14:val="tx1"/>
            </w14:solidFill>
          </w14:textFill>
        </w:rPr>
        <w:t>工程进行破拆的部位。</w:t>
      </w:r>
      <w:bookmarkEnd w:id="105"/>
    </w:p>
    <w:p w14:paraId="043D2408">
      <w:pPr>
        <w:tabs>
          <w:tab w:val="left" w:pos="7380"/>
        </w:tabs>
        <w:spacing w:line="360" w:lineRule="auto"/>
        <w:jc w:val="cente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pPr>
    </w:p>
    <w:p w14:paraId="5B2B9291">
      <w:pPr>
        <w:pStyle w:val="2"/>
        <w:keepNext/>
        <w:keepLines/>
        <w:pageBreakBefore w:val="0"/>
        <w:widowControl w:val="0"/>
        <w:numPr>
          <w:ilvl w:val="0"/>
          <w:numId w:val="5"/>
        </w:numPr>
        <w:kinsoku/>
        <w:wordWrap/>
        <w:overflowPunct/>
        <w:topLinePunct w:val="0"/>
        <w:autoSpaceDE/>
        <w:autoSpaceDN/>
        <w:bidi w:val="0"/>
        <w:adjustRightInd/>
        <w:snapToGrid/>
        <w:spacing w:before="0" w:after="0" w:line="640" w:lineRule="exact"/>
        <w:jc w:val="center"/>
        <w:textAlignment w:val="auto"/>
        <w:rPr>
          <w:rFonts w:hint="eastAsia" w:asciiTheme="minorEastAsia" w:hAnsiTheme="minorEastAsia" w:eastAsiaTheme="minorEastAsia" w:cstheme="minorEastAsia"/>
          <w:b/>
          <w:bCs w:val="0"/>
          <w:color w:val="000000" w:themeColor="text1"/>
          <w:sz w:val="40"/>
          <w:szCs w:val="40"/>
          <w:highlight w:val="none"/>
          <w14:textFill>
            <w14:solidFill>
              <w14:schemeClr w14:val="tx1"/>
            </w14:solidFill>
          </w14:textFill>
        </w:rPr>
      </w:pPr>
      <w:bookmarkStart w:id="106" w:name="_Toc87345250"/>
      <w:bookmarkEnd w:id="106"/>
      <w:r>
        <w:rPr>
          <w:rFonts w:hint="eastAsia" w:asciiTheme="minorEastAsia" w:hAnsiTheme="minorEastAsia" w:eastAsiaTheme="minorEastAsia" w:cstheme="minorEastAsia"/>
          <w:b/>
          <w:bCs w:val="0"/>
          <w:color w:val="000000" w:themeColor="text1"/>
          <w:sz w:val="40"/>
          <w:szCs w:val="40"/>
          <w:highlight w:val="none"/>
          <w14:textFill>
            <w14:solidFill>
              <w14:schemeClr w14:val="tx1"/>
            </w14:solidFill>
          </w14:textFill>
        </w:rPr>
        <w:t>质疑、投诉材料格式</w:t>
      </w:r>
    </w:p>
    <w:p w14:paraId="3E3E47D8">
      <w:pPr>
        <w:pStyle w:val="2"/>
        <w:keepNext/>
        <w:keepLines/>
        <w:pageBreakBefore w:val="0"/>
        <w:widowControl w:val="0"/>
        <w:numPr>
          <w:ilvl w:val="0"/>
          <w:numId w:val="0"/>
        </w:numPr>
        <w:kinsoku/>
        <w:wordWrap/>
        <w:overflowPunct/>
        <w:topLinePunct w:val="0"/>
        <w:autoSpaceDE/>
        <w:autoSpaceDN/>
        <w:bidi w:val="0"/>
        <w:adjustRightInd/>
        <w:snapToGrid/>
        <w:spacing w:before="0" w:beforeLines="30" w:after="0" w:afterLines="50" w:line="640" w:lineRule="exact"/>
        <w:jc w:val="center"/>
        <w:textAlignment w:val="auto"/>
        <w:rPr>
          <w:rFonts w:hint="eastAsia" w:asciiTheme="minorEastAsia" w:hAnsiTheme="minorEastAsia" w:eastAsiaTheme="minorEastAsia" w:cstheme="minorEastAsia"/>
          <w:b/>
          <w:bCs/>
          <w:color w:val="000000" w:themeColor="text1"/>
          <w:sz w:val="36"/>
          <w:szCs w:val="36"/>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36"/>
          <w:szCs w:val="36"/>
          <w:highlight w:val="none"/>
          <w14:textFill>
            <w14:solidFill>
              <w14:schemeClr w14:val="tx1"/>
            </w14:solidFill>
          </w14:textFill>
        </w:rPr>
        <w:t>质疑函（格式）</w:t>
      </w:r>
    </w:p>
    <w:p w14:paraId="6F643C78">
      <w:pPr>
        <w:pStyle w:val="16"/>
        <w:keepNext w:val="0"/>
        <w:keepLines w:val="0"/>
        <w:pageBreakBefore w:val="0"/>
        <w:widowControl w:val="0"/>
        <w:kinsoku/>
        <w:wordWrap/>
        <w:overflowPunct/>
        <w:topLinePunct w:val="0"/>
        <w:autoSpaceDE/>
        <w:autoSpaceDN/>
        <w:bidi w:val="0"/>
        <w:adjustRightInd/>
        <w:spacing w:line="440" w:lineRule="exact"/>
        <w:ind w:firstLine="482" w:firstLineChars="200"/>
        <w:contextualSpacing/>
        <w:textAlignment w:val="auto"/>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一、质疑供应商基本信息：</w:t>
      </w:r>
    </w:p>
    <w:p w14:paraId="024857B7">
      <w:pPr>
        <w:pStyle w:val="16"/>
        <w:keepNext w:val="0"/>
        <w:keepLines w:val="0"/>
        <w:pageBreakBefore w:val="0"/>
        <w:widowControl w:val="0"/>
        <w:kinsoku/>
        <w:wordWrap/>
        <w:overflowPunct/>
        <w:topLinePunct w:val="0"/>
        <w:autoSpaceDE/>
        <w:autoSpaceDN/>
        <w:bidi w:val="0"/>
        <w:adjustRightInd/>
        <w:spacing w:line="440" w:lineRule="exact"/>
        <w:ind w:firstLine="480" w:firstLineChars="200"/>
        <w:contextualSpacing/>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质疑供应商：</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w:t>
      </w:r>
    </w:p>
    <w:p w14:paraId="7CA4C116">
      <w:pPr>
        <w:pStyle w:val="16"/>
        <w:keepNext w:val="0"/>
        <w:keepLines w:val="0"/>
        <w:pageBreakBefore w:val="0"/>
        <w:widowControl w:val="0"/>
        <w:kinsoku/>
        <w:wordWrap/>
        <w:overflowPunct/>
        <w:topLinePunct w:val="0"/>
        <w:autoSpaceDE/>
        <w:autoSpaceDN/>
        <w:bidi w:val="0"/>
        <w:adjustRightInd/>
        <w:spacing w:line="440" w:lineRule="exact"/>
        <w:ind w:firstLine="480" w:firstLineChars="200"/>
        <w:contextualSpacing/>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地址：</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邮编：</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w:t>
      </w:r>
    </w:p>
    <w:p w14:paraId="57C1F37A">
      <w:pPr>
        <w:pStyle w:val="16"/>
        <w:keepNext w:val="0"/>
        <w:keepLines w:val="0"/>
        <w:pageBreakBefore w:val="0"/>
        <w:widowControl w:val="0"/>
        <w:kinsoku/>
        <w:wordWrap/>
        <w:overflowPunct/>
        <w:topLinePunct w:val="0"/>
        <w:autoSpaceDE/>
        <w:autoSpaceDN/>
        <w:bidi w:val="0"/>
        <w:adjustRightInd/>
        <w:spacing w:line="440" w:lineRule="exact"/>
        <w:ind w:firstLine="480" w:firstLineChars="200"/>
        <w:contextualSpacing/>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联系人：</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联系电话：</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w:t>
      </w:r>
    </w:p>
    <w:p w14:paraId="4304BC64">
      <w:pPr>
        <w:pStyle w:val="16"/>
        <w:keepNext w:val="0"/>
        <w:keepLines w:val="0"/>
        <w:pageBreakBefore w:val="0"/>
        <w:widowControl w:val="0"/>
        <w:kinsoku/>
        <w:wordWrap/>
        <w:overflowPunct/>
        <w:topLinePunct w:val="0"/>
        <w:autoSpaceDE/>
        <w:autoSpaceDN/>
        <w:bidi w:val="0"/>
        <w:adjustRightInd/>
        <w:spacing w:line="440" w:lineRule="exact"/>
        <w:ind w:firstLine="480" w:firstLineChars="200"/>
        <w:contextualSpacing/>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授权代表：</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w:t>
      </w:r>
    </w:p>
    <w:p w14:paraId="5BFBBA2E">
      <w:pPr>
        <w:pStyle w:val="16"/>
        <w:keepNext w:val="0"/>
        <w:keepLines w:val="0"/>
        <w:pageBreakBefore w:val="0"/>
        <w:widowControl w:val="0"/>
        <w:kinsoku/>
        <w:wordWrap/>
        <w:overflowPunct/>
        <w:topLinePunct w:val="0"/>
        <w:autoSpaceDE/>
        <w:autoSpaceDN/>
        <w:bidi w:val="0"/>
        <w:adjustRightInd/>
        <w:spacing w:line="440" w:lineRule="exact"/>
        <w:ind w:firstLine="480" w:firstLineChars="200"/>
        <w:contextualSpacing/>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联系电话：</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w:t>
      </w:r>
    </w:p>
    <w:p w14:paraId="1414CB59">
      <w:pPr>
        <w:pStyle w:val="16"/>
        <w:keepNext w:val="0"/>
        <w:keepLines w:val="0"/>
        <w:pageBreakBefore w:val="0"/>
        <w:widowControl w:val="0"/>
        <w:kinsoku/>
        <w:wordWrap/>
        <w:overflowPunct/>
        <w:topLinePunct w:val="0"/>
        <w:autoSpaceDE/>
        <w:autoSpaceDN/>
        <w:bidi w:val="0"/>
        <w:adjustRightInd/>
        <w:spacing w:line="440" w:lineRule="exact"/>
        <w:ind w:firstLine="480" w:firstLineChars="200"/>
        <w:contextualSpacing/>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地址：</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邮编：</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w:t>
      </w:r>
    </w:p>
    <w:p w14:paraId="45D773F7">
      <w:pPr>
        <w:pStyle w:val="16"/>
        <w:keepNext w:val="0"/>
        <w:keepLines w:val="0"/>
        <w:pageBreakBefore w:val="0"/>
        <w:widowControl w:val="0"/>
        <w:kinsoku/>
        <w:wordWrap/>
        <w:overflowPunct/>
        <w:topLinePunct w:val="0"/>
        <w:autoSpaceDE/>
        <w:autoSpaceDN/>
        <w:bidi w:val="0"/>
        <w:adjustRightInd/>
        <w:spacing w:line="440" w:lineRule="exact"/>
        <w:ind w:firstLine="482" w:firstLineChars="200"/>
        <w:contextualSpacing/>
        <w:textAlignment w:val="auto"/>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二、质疑项目基本情况：</w:t>
      </w:r>
    </w:p>
    <w:p w14:paraId="5D35466B">
      <w:pPr>
        <w:pStyle w:val="16"/>
        <w:keepNext w:val="0"/>
        <w:keepLines w:val="0"/>
        <w:pageBreakBefore w:val="0"/>
        <w:widowControl w:val="0"/>
        <w:kinsoku/>
        <w:wordWrap/>
        <w:overflowPunct/>
        <w:topLinePunct w:val="0"/>
        <w:autoSpaceDE/>
        <w:autoSpaceDN/>
        <w:bidi w:val="0"/>
        <w:adjustRightInd/>
        <w:spacing w:line="440" w:lineRule="exact"/>
        <w:ind w:left="25" w:leftChars="12" w:firstLine="472" w:firstLineChars="197"/>
        <w:contextualSpacing/>
        <w:textAlignment w:val="auto"/>
        <w:rPr>
          <w:rFonts w:hint="default"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质疑</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项目的名称：</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p>
    <w:p w14:paraId="7D96A875">
      <w:pPr>
        <w:pStyle w:val="16"/>
        <w:keepNext w:val="0"/>
        <w:keepLines w:val="0"/>
        <w:pageBreakBefore w:val="0"/>
        <w:widowControl w:val="0"/>
        <w:kinsoku/>
        <w:wordWrap/>
        <w:overflowPunct/>
        <w:topLinePunct w:val="0"/>
        <w:autoSpaceDE/>
        <w:autoSpaceDN/>
        <w:bidi w:val="0"/>
        <w:adjustRightInd/>
        <w:spacing w:line="440" w:lineRule="exact"/>
        <w:ind w:left="25" w:leftChars="12" w:firstLine="472" w:firstLineChars="197"/>
        <w:contextualSpacing/>
        <w:textAlignment w:val="auto"/>
        <w:rPr>
          <w:rFonts w:hint="default"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质疑</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项目的编号：</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p>
    <w:p w14:paraId="15666266">
      <w:pPr>
        <w:pStyle w:val="16"/>
        <w:keepNext w:val="0"/>
        <w:keepLines w:val="0"/>
        <w:pageBreakBefore w:val="0"/>
        <w:widowControl w:val="0"/>
        <w:kinsoku/>
        <w:wordWrap/>
        <w:overflowPunct/>
        <w:topLinePunct w:val="0"/>
        <w:autoSpaceDE/>
        <w:autoSpaceDN/>
        <w:bidi w:val="0"/>
        <w:adjustRightInd/>
        <w:spacing w:line="440" w:lineRule="exact"/>
        <w:ind w:left="25" w:leftChars="12" w:firstLine="472" w:firstLineChars="197"/>
        <w:contextualSpacing/>
        <w:textAlignment w:val="auto"/>
        <w:rPr>
          <w:rFonts w:hint="default"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采购人名称：</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p>
    <w:p w14:paraId="1468E156">
      <w:pPr>
        <w:pStyle w:val="16"/>
        <w:keepNext w:val="0"/>
        <w:keepLines w:val="0"/>
        <w:pageBreakBefore w:val="0"/>
        <w:widowControl w:val="0"/>
        <w:kinsoku/>
        <w:wordWrap/>
        <w:overflowPunct/>
        <w:topLinePunct w:val="0"/>
        <w:autoSpaceDE/>
        <w:autoSpaceDN/>
        <w:bidi w:val="0"/>
        <w:adjustRightInd/>
        <w:spacing w:line="440" w:lineRule="exact"/>
        <w:ind w:left="25" w:leftChars="12" w:firstLine="472" w:firstLineChars="197"/>
        <w:contextualSpacing/>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质疑事项：</w:t>
      </w:r>
    </w:p>
    <w:p w14:paraId="2F9452F8">
      <w:pPr>
        <w:pStyle w:val="16"/>
        <w:keepNext w:val="0"/>
        <w:keepLines w:val="0"/>
        <w:pageBreakBefore w:val="0"/>
        <w:widowControl w:val="0"/>
        <w:kinsoku/>
        <w:wordWrap/>
        <w:overflowPunct/>
        <w:topLinePunct w:val="0"/>
        <w:autoSpaceDE/>
        <w:autoSpaceDN/>
        <w:bidi w:val="0"/>
        <w:adjustRightInd/>
        <w:spacing w:line="440" w:lineRule="exact"/>
        <w:ind w:left="25" w:leftChars="12" w:firstLine="352" w:firstLineChars="147"/>
        <w:contextualSpacing/>
        <w:textAlignment w:val="auto"/>
        <w:rPr>
          <w:rFonts w:hint="default"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□采购文件   采购文件获取日期：</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p>
    <w:p w14:paraId="5FA2CB88">
      <w:pPr>
        <w:pStyle w:val="16"/>
        <w:keepNext w:val="0"/>
        <w:keepLines w:val="0"/>
        <w:pageBreakBefore w:val="0"/>
        <w:widowControl w:val="0"/>
        <w:kinsoku/>
        <w:wordWrap/>
        <w:overflowPunct/>
        <w:topLinePunct w:val="0"/>
        <w:autoSpaceDE/>
        <w:autoSpaceDN/>
        <w:bidi w:val="0"/>
        <w:adjustRightInd/>
        <w:spacing w:line="440" w:lineRule="exact"/>
        <w:ind w:left="25" w:leftChars="12" w:firstLine="352" w:firstLineChars="147"/>
        <w:contextualSpacing/>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xml:space="preserve">□采购过程   </w:t>
      </w:r>
    </w:p>
    <w:p w14:paraId="48CEA872">
      <w:pPr>
        <w:pStyle w:val="16"/>
        <w:keepNext w:val="0"/>
        <w:keepLines w:val="0"/>
        <w:pageBreakBefore w:val="0"/>
        <w:widowControl w:val="0"/>
        <w:kinsoku/>
        <w:wordWrap/>
        <w:overflowPunct/>
        <w:topLinePunct w:val="0"/>
        <w:autoSpaceDE/>
        <w:autoSpaceDN/>
        <w:bidi w:val="0"/>
        <w:adjustRightInd/>
        <w:spacing w:line="440" w:lineRule="exact"/>
        <w:ind w:left="25" w:leftChars="12" w:firstLine="352" w:firstLineChars="147"/>
        <w:contextualSpacing/>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xml:space="preserve">□成交结果   </w:t>
      </w:r>
    </w:p>
    <w:p w14:paraId="4A4E98F5">
      <w:pPr>
        <w:pStyle w:val="16"/>
        <w:keepNext w:val="0"/>
        <w:keepLines w:val="0"/>
        <w:pageBreakBefore w:val="0"/>
        <w:widowControl w:val="0"/>
        <w:kinsoku/>
        <w:wordWrap/>
        <w:overflowPunct/>
        <w:topLinePunct w:val="0"/>
        <w:autoSpaceDE/>
        <w:autoSpaceDN/>
        <w:bidi w:val="0"/>
        <w:adjustRightInd/>
        <w:spacing w:line="440" w:lineRule="exact"/>
        <w:ind w:left="25" w:leftChars="12" w:firstLine="472" w:firstLineChars="196"/>
        <w:contextualSpacing/>
        <w:textAlignment w:val="auto"/>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三、质疑事项具体内容</w:t>
      </w:r>
    </w:p>
    <w:p w14:paraId="159AE250">
      <w:pPr>
        <w:pStyle w:val="16"/>
        <w:keepNext w:val="0"/>
        <w:keepLines w:val="0"/>
        <w:pageBreakBefore w:val="0"/>
        <w:widowControl w:val="0"/>
        <w:kinsoku/>
        <w:wordWrap/>
        <w:overflowPunct/>
        <w:topLinePunct w:val="0"/>
        <w:autoSpaceDE/>
        <w:autoSpaceDN/>
        <w:bidi w:val="0"/>
        <w:adjustRightInd/>
        <w:spacing w:line="440" w:lineRule="exact"/>
        <w:ind w:left="25" w:leftChars="12" w:firstLine="472" w:firstLineChars="197"/>
        <w:contextualSpacing/>
        <w:textAlignment w:val="auto"/>
        <w:rPr>
          <w:rFonts w:hint="default"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质疑事项1：</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p>
    <w:p w14:paraId="3DE04329">
      <w:pPr>
        <w:pStyle w:val="16"/>
        <w:keepNext w:val="0"/>
        <w:keepLines w:val="0"/>
        <w:pageBreakBefore w:val="0"/>
        <w:widowControl w:val="0"/>
        <w:kinsoku/>
        <w:wordWrap/>
        <w:overflowPunct/>
        <w:topLinePunct w:val="0"/>
        <w:autoSpaceDE/>
        <w:autoSpaceDN/>
        <w:bidi w:val="0"/>
        <w:adjustRightInd/>
        <w:spacing w:line="440" w:lineRule="exact"/>
        <w:ind w:left="25" w:leftChars="12" w:firstLine="472" w:firstLineChars="197"/>
        <w:contextualSpacing/>
        <w:textAlignment w:val="auto"/>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事实依据：</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 xml:space="preserve">     </w:t>
      </w:r>
    </w:p>
    <w:p w14:paraId="4C66D3F5">
      <w:pPr>
        <w:pStyle w:val="16"/>
        <w:keepNext w:val="0"/>
        <w:keepLines w:val="0"/>
        <w:pageBreakBefore w:val="0"/>
        <w:widowControl w:val="0"/>
        <w:kinsoku/>
        <w:wordWrap/>
        <w:overflowPunct/>
        <w:topLinePunct w:val="0"/>
        <w:autoSpaceDE/>
        <w:autoSpaceDN/>
        <w:bidi w:val="0"/>
        <w:adjustRightInd/>
        <w:spacing w:line="440" w:lineRule="exact"/>
        <w:ind w:left="25" w:leftChars="12" w:firstLine="472" w:firstLineChars="197"/>
        <w:contextualSpacing/>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法律依据：</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xml:space="preserve">                                                        </w:t>
      </w:r>
    </w:p>
    <w:p w14:paraId="5BDE0831">
      <w:pPr>
        <w:pStyle w:val="16"/>
        <w:keepNext w:val="0"/>
        <w:keepLines w:val="0"/>
        <w:pageBreakBefore w:val="0"/>
        <w:widowControl w:val="0"/>
        <w:kinsoku/>
        <w:wordWrap/>
        <w:overflowPunct/>
        <w:topLinePunct w:val="0"/>
        <w:autoSpaceDE/>
        <w:autoSpaceDN/>
        <w:bidi w:val="0"/>
        <w:adjustRightInd/>
        <w:spacing w:line="440" w:lineRule="exact"/>
        <w:ind w:left="25" w:leftChars="12" w:firstLine="472" w:firstLineChars="197"/>
        <w:contextualSpacing/>
        <w:textAlignment w:val="auto"/>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质疑事项2</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 xml:space="preserve">    </w:t>
      </w:r>
    </w:p>
    <w:p w14:paraId="435A1FE2">
      <w:pPr>
        <w:pStyle w:val="16"/>
        <w:keepNext w:val="0"/>
        <w:keepLines w:val="0"/>
        <w:pageBreakBefore w:val="0"/>
        <w:widowControl w:val="0"/>
        <w:kinsoku/>
        <w:wordWrap/>
        <w:overflowPunct/>
        <w:topLinePunct w:val="0"/>
        <w:autoSpaceDE/>
        <w:autoSpaceDN/>
        <w:bidi w:val="0"/>
        <w:adjustRightInd/>
        <w:spacing w:line="440" w:lineRule="exact"/>
        <w:ind w:left="25" w:leftChars="12" w:firstLine="472" w:firstLineChars="197"/>
        <w:contextualSpacing/>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w:t>
      </w:r>
    </w:p>
    <w:p w14:paraId="12FC3457">
      <w:pPr>
        <w:pStyle w:val="16"/>
        <w:keepNext w:val="0"/>
        <w:keepLines w:val="0"/>
        <w:pageBreakBefore w:val="0"/>
        <w:widowControl w:val="0"/>
        <w:kinsoku/>
        <w:wordWrap/>
        <w:overflowPunct/>
        <w:topLinePunct w:val="0"/>
        <w:autoSpaceDE/>
        <w:autoSpaceDN/>
        <w:bidi w:val="0"/>
        <w:adjustRightInd/>
        <w:spacing w:line="440" w:lineRule="exact"/>
        <w:ind w:left="25" w:leftChars="12" w:firstLine="475" w:firstLineChars="197"/>
        <w:contextualSpacing/>
        <w:textAlignment w:val="auto"/>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四、与质疑事项相关的质疑请求：</w:t>
      </w:r>
    </w:p>
    <w:p w14:paraId="504B949B">
      <w:pPr>
        <w:pStyle w:val="16"/>
        <w:keepNext w:val="0"/>
        <w:keepLines w:val="0"/>
        <w:pageBreakBefore w:val="0"/>
        <w:widowControl w:val="0"/>
        <w:kinsoku/>
        <w:wordWrap/>
        <w:overflowPunct/>
        <w:topLinePunct w:val="0"/>
        <w:autoSpaceDE/>
        <w:autoSpaceDN/>
        <w:bidi w:val="0"/>
        <w:adjustRightInd/>
        <w:spacing w:line="440" w:lineRule="exact"/>
        <w:ind w:left="25" w:leftChars="12" w:firstLine="472" w:firstLineChars="197"/>
        <w:contextualSpacing/>
        <w:textAlignment w:val="auto"/>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请求：</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 xml:space="preserve">  </w:t>
      </w:r>
    </w:p>
    <w:p w14:paraId="090A2C15">
      <w:pPr>
        <w:pStyle w:val="16"/>
        <w:keepNext w:val="0"/>
        <w:keepLines w:val="0"/>
        <w:pageBreakBefore w:val="0"/>
        <w:widowControl w:val="0"/>
        <w:kinsoku/>
        <w:wordWrap/>
        <w:overflowPunct/>
        <w:topLinePunct w:val="0"/>
        <w:autoSpaceDE/>
        <w:autoSpaceDN/>
        <w:bidi w:val="0"/>
        <w:adjustRightInd/>
        <w:spacing w:line="440" w:lineRule="exact"/>
        <w:ind w:left="25" w:leftChars="12" w:firstLine="352" w:firstLineChars="147"/>
        <w:contextualSpacing/>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p w14:paraId="14793153">
      <w:pPr>
        <w:pStyle w:val="16"/>
        <w:keepNext w:val="0"/>
        <w:keepLines w:val="0"/>
        <w:pageBreakBefore w:val="0"/>
        <w:widowControl w:val="0"/>
        <w:kinsoku/>
        <w:wordWrap/>
        <w:overflowPunct/>
        <w:topLinePunct w:val="0"/>
        <w:autoSpaceDE/>
        <w:autoSpaceDN/>
        <w:bidi w:val="0"/>
        <w:adjustRightInd/>
        <w:spacing w:line="440" w:lineRule="exact"/>
        <w:ind w:left="25" w:leftChars="12" w:firstLine="472" w:firstLineChars="197"/>
        <w:contextualSpacing/>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签字（签章）：                            公章：</w:t>
      </w:r>
    </w:p>
    <w:p w14:paraId="2CCAA51F">
      <w:pPr>
        <w:pStyle w:val="16"/>
        <w:keepNext w:val="0"/>
        <w:keepLines w:val="0"/>
        <w:pageBreakBefore w:val="0"/>
        <w:widowControl w:val="0"/>
        <w:kinsoku/>
        <w:wordWrap/>
        <w:overflowPunct/>
        <w:topLinePunct w:val="0"/>
        <w:autoSpaceDE/>
        <w:autoSpaceDN/>
        <w:bidi w:val="0"/>
        <w:adjustRightInd/>
        <w:spacing w:line="440" w:lineRule="exact"/>
        <w:ind w:left="25" w:leftChars="12" w:firstLine="472" w:firstLineChars="197"/>
        <w:contextualSpacing/>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日期：</w:t>
      </w:r>
    </w:p>
    <w:p w14:paraId="7F399CAE">
      <w:pPr>
        <w:pStyle w:val="16"/>
        <w:keepNext w:val="0"/>
        <w:keepLines w:val="0"/>
        <w:pageBreakBefore w:val="0"/>
        <w:widowControl w:val="0"/>
        <w:kinsoku/>
        <w:wordWrap/>
        <w:overflowPunct/>
        <w:topLinePunct w:val="0"/>
        <w:autoSpaceDE/>
        <w:autoSpaceDN/>
        <w:bidi w:val="0"/>
        <w:adjustRightInd/>
        <w:spacing w:line="440" w:lineRule="exact"/>
        <w:contextualSpacing/>
        <w:textAlignment w:val="auto"/>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pPr>
    </w:p>
    <w:p w14:paraId="05ED34E6">
      <w:pPr>
        <w:pStyle w:val="16"/>
        <w:keepNext w:val="0"/>
        <w:keepLines w:val="0"/>
        <w:pageBreakBefore w:val="0"/>
        <w:widowControl w:val="0"/>
        <w:kinsoku/>
        <w:wordWrap/>
        <w:overflowPunct/>
        <w:topLinePunct w:val="0"/>
        <w:autoSpaceDE/>
        <w:autoSpaceDN/>
        <w:bidi w:val="0"/>
        <w:adjustRightInd/>
        <w:spacing w:line="440" w:lineRule="exact"/>
        <w:contextualSpacing/>
        <w:textAlignment w:val="auto"/>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说明：</w:t>
      </w:r>
    </w:p>
    <w:p w14:paraId="40985C7F">
      <w:pPr>
        <w:pStyle w:val="16"/>
        <w:keepNext w:val="0"/>
        <w:keepLines w:val="0"/>
        <w:pageBreakBefore w:val="0"/>
        <w:widowControl w:val="0"/>
        <w:kinsoku/>
        <w:wordWrap/>
        <w:overflowPunct/>
        <w:topLinePunct w:val="0"/>
        <w:autoSpaceDE/>
        <w:autoSpaceDN/>
        <w:bidi w:val="0"/>
        <w:adjustRightInd/>
        <w:spacing w:line="440" w:lineRule="exact"/>
        <w:ind w:left="25" w:leftChars="12" w:firstLine="354" w:firstLineChars="147"/>
        <w:contextualSpacing/>
        <w:textAlignment w:val="auto"/>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1.供应商提出质疑时，应提交质疑函和必要的证明材料</w:t>
      </w: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w:t>
      </w:r>
    </w:p>
    <w:p w14:paraId="3FBCB280">
      <w:pPr>
        <w:pStyle w:val="16"/>
        <w:keepNext w:val="0"/>
        <w:keepLines w:val="0"/>
        <w:pageBreakBefore w:val="0"/>
        <w:widowControl w:val="0"/>
        <w:kinsoku/>
        <w:wordWrap/>
        <w:overflowPunct/>
        <w:topLinePunct w:val="0"/>
        <w:autoSpaceDE/>
        <w:autoSpaceDN/>
        <w:bidi w:val="0"/>
        <w:adjustRightInd/>
        <w:spacing w:line="440" w:lineRule="exact"/>
        <w:ind w:left="25" w:leftChars="12" w:firstLine="354" w:firstLineChars="147"/>
        <w:contextualSpacing/>
        <w:textAlignment w:val="auto"/>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0DE4CD7">
      <w:pPr>
        <w:pStyle w:val="16"/>
        <w:keepNext w:val="0"/>
        <w:keepLines w:val="0"/>
        <w:pageBreakBefore w:val="0"/>
        <w:widowControl w:val="0"/>
        <w:kinsoku/>
        <w:wordWrap/>
        <w:overflowPunct/>
        <w:topLinePunct w:val="0"/>
        <w:autoSpaceDE/>
        <w:autoSpaceDN/>
        <w:bidi w:val="0"/>
        <w:adjustRightInd/>
        <w:spacing w:line="440" w:lineRule="exact"/>
        <w:ind w:left="25" w:leftChars="12" w:firstLine="354" w:firstLineChars="147"/>
        <w:contextualSpacing/>
        <w:textAlignment w:val="auto"/>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3.质疑函的质疑事项应具体、明确，并有必要的事实依据和法律依据。</w:t>
      </w:r>
    </w:p>
    <w:p w14:paraId="1C81C08B">
      <w:pPr>
        <w:pStyle w:val="16"/>
        <w:keepNext w:val="0"/>
        <w:keepLines w:val="0"/>
        <w:pageBreakBefore w:val="0"/>
        <w:widowControl w:val="0"/>
        <w:kinsoku/>
        <w:wordWrap/>
        <w:overflowPunct/>
        <w:topLinePunct w:val="0"/>
        <w:autoSpaceDE/>
        <w:autoSpaceDN/>
        <w:bidi w:val="0"/>
        <w:adjustRightInd/>
        <w:spacing w:line="440" w:lineRule="exact"/>
        <w:ind w:left="25" w:leftChars="12" w:firstLine="354" w:firstLineChars="147"/>
        <w:contextualSpacing/>
        <w:textAlignment w:val="auto"/>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4.质疑函的质疑请求应与质疑事项相关。</w:t>
      </w:r>
    </w:p>
    <w:p w14:paraId="4A11C0F2">
      <w:pPr>
        <w:pStyle w:val="16"/>
        <w:keepNext w:val="0"/>
        <w:keepLines w:val="0"/>
        <w:pageBreakBefore w:val="0"/>
        <w:widowControl w:val="0"/>
        <w:kinsoku/>
        <w:wordWrap/>
        <w:overflowPunct/>
        <w:topLinePunct w:val="0"/>
        <w:autoSpaceDE/>
        <w:autoSpaceDN/>
        <w:bidi w:val="0"/>
        <w:adjustRightInd/>
        <w:spacing w:line="440" w:lineRule="exact"/>
        <w:ind w:left="25" w:leftChars="12" w:firstLine="354" w:firstLineChars="147"/>
        <w:contextualSpacing/>
        <w:textAlignment w:val="auto"/>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5.质疑供应商为法人或者其他组织的，质疑函应由法定代表人、主要负责人，或者其授权代表签字或者盖章，并加盖公章。</w:t>
      </w:r>
    </w:p>
    <w:p w14:paraId="41D1D15E">
      <w:pPr>
        <w:pStyle w:val="16"/>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pPr>
    </w:p>
    <w:p w14:paraId="0272B2F7">
      <w:pPr>
        <w:spacing w:line="460" w:lineRule="exact"/>
        <w:jc w:val="center"/>
        <w:rPr>
          <w:rFonts w:hint="eastAsia" w:asciiTheme="minorEastAsia" w:hAnsiTheme="minorEastAsia" w:eastAsiaTheme="minorEastAsia" w:cstheme="minorEastAsia"/>
          <w:color w:val="000000" w:themeColor="text1"/>
          <w:sz w:val="44"/>
          <w:highlight w:val="none"/>
          <w14:textFill>
            <w14:solidFill>
              <w14:schemeClr w14:val="tx1"/>
            </w14:solidFill>
          </w14:textFill>
        </w:rPr>
      </w:pPr>
      <w:r>
        <w:rPr>
          <w:rFonts w:hint="eastAsia" w:asciiTheme="minorEastAsia" w:hAnsiTheme="minorEastAsia" w:eastAsiaTheme="minorEastAsia" w:cstheme="minorEastAsia"/>
          <w:color w:val="000000" w:themeColor="text1"/>
          <w:sz w:val="44"/>
          <w:highlight w:val="none"/>
          <w14:textFill>
            <w14:solidFill>
              <w14:schemeClr w14:val="tx1"/>
            </w14:solidFill>
          </w14:textFill>
        </w:rPr>
        <w:br w:type="page"/>
      </w:r>
    </w:p>
    <w:p w14:paraId="5B283656">
      <w:pPr>
        <w:spacing w:line="360" w:lineRule="auto"/>
        <w:jc w:val="center"/>
        <w:rPr>
          <w:rFonts w:hint="eastAsia" w:asciiTheme="minorEastAsia" w:hAnsiTheme="minorEastAsia" w:eastAsiaTheme="minorEastAsia" w:cstheme="minorEastAsia"/>
          <w:b/>
          <w:bCs/>
          <w:color w:val="000000" w:themeColor="text1"/>
          <w:sz w:val="36"/>
          <w:szCs w:val="36"/>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36"/>
          <w:szCs w:val="36"/>
          <w:highlight w:val="none"/>
          <w14:textFill>
            <w14:solidFill>
              <w14:schemeClr w14:val="tx1"/>
            </w14:solidFill>
          </w14:textFill>
        </w:rPr>
        <w:t>投诉书（格式）</w:t>
      </w:r>
    </w:p>
    <w:p w14:paraId="162F4617">
      <w:pPr>
        <w:pStyle w:val="16"/>
        <w:keepNext w:val="0"/>
        <w:keepLines w:val="0"/>
        <w:pageBreakBefore w:val="0"/>
        <w:widowControl w:val="0"/>
        <w:kinsoku/>
        <w:wordWrap/>
        <w:overflowPunct/>
        <w:topLinePunct w:val="0"/>
        <w:autoSpaceDE/>
        <w:autoSpaceDN/>
        <w:bidi w:val="0"/>
        <w:adjustRightInd/>
        <w:snapToGrid w:val="0"/>
        <w:spacing w:line="440" w:lineRule="exact"/>
        <w:ind w:firstLine="482" w:firstLineChars="200"/>
        <w:textAlignment w:val="auto"/>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一、投诉相关主体基本情况：</w:t>
      </w:r>
    </w:p>
    <w:p w14:paraId="6D46593D">
      <w:pPr>
        <w:pStyle w:val="16"/>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供应商：</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w:t>
      </w:r>
    </w:p>
    <w:p w14:paraId="562B4E21">
      <w:pPr>
        <w:pStyle w:val="16"/>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地址：</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邮编：</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w:t>
      </w:r>
    </w:p>
    <w:p w14:paraId="2A88FDCA">
      <w:pPr>
        <w:pStyle w:val="16"/>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法定代表人/主要负责人：</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w:t>
      </w:r>
    </w:p>
    <w:p w14:paraId="3283294E">
      <w:pPr>
        <w:pStyle w:val="16"/>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联系电话：</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w:t>
      </w:r>
    </w:p>
    <w:p w14:paraId="7CE66AD3">
      <w:pPr>
        <w:pStyle w:val="16"/>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授权代表：</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联系电话：</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w:t>
      </w:r>
    </w:p>
    <w:p w14:paraId="3B32D504">
      <w:pPr>
        <w:pStyle w:val="16"/>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地址：</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w:t>
      </w:r>
    </w:p>
    <w:p w14:paraId="24B38E77">
      <w:pPr>
        <w:pStyle w:val="16"/>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邮编：</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p>
    <w:p w14:paraId="429E9A03">
      <w:pPr>
        <w:pStyle w:val="16"/>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default" w:asciiTheme="minorEastAsia" w:hAnsiTheme="minorEastAsia" w:eastAsiaTheme="minorEastAsia" w:cstheme="minorEastAsia"/>
          <w:bCs/>
          <w:color w:val="000000" w:themeColor="text1"/>
          <w:sz w:val="24"/>
          <w:szCs w:val="24"/>
          <w:highlight w:val="none"/>
          <w:u w:val="single"/>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被投诉人1：</w:t>
      </w:r>
      <w:r>
        <w:rPr>
          <w:rFonts w:hint="eastAsia" w:asciiTheme="minorEastAsia" w:hAnsiTheme="minorEastAsia" w:eastAsiaTheme="minorEastAsia" w:cstheme="minorEastAsia"/>
          <w:bCs/>
          <w:color w:val="000000" w:themeColor="text1"/>
          <w:sz w:val="24"/>
          <w:szCs w:val="24"/>
          <w:highlight w:val="none"/>
          <w:u w:val="single"/>
          <w:lang w:val="en-US" w:eastAsia="zh-CN"/>
          <w14:textFill>
            <w14:solidFill>
              <w14:schemeClr w14:val="tx1"/>
            </w14:solidFill>
          </w14:textFill>
        </w:rPr>
        <w:t xml:space="preserve">                               </w:t>
      </w:r>
    </w:p>
    <w:p w14:paraId="7F84510B">
      <w:pPr>
        <w:pStyle w:val="16"/>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地址：</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w:t>
      </w:r>
    </w:p>
    <w:p w14:paraId="3269BA9D">
      <w:pPr>
        <w:pStyle w:val="16"/>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邮编：</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p>
    <w:p w14:paraId="4D9786CB">
      <w:pPr>
        <w:pStyle w:val="16"/>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联系人：</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联系电话：</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w:t>
      </w:r>
    </w:p>
    <w:p w14:paraId="60049477">
      <w:pPr>
        <w:pStyle w:val="16"/>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default" w:asciiTheme="minorEastAsia" w:hAnsiTheme="minorEastAsia" w:eastAsiaTheme="minorEastAsia" w:cstheme="minorEastAsia"/>
          <w:bCs/>
          <w:color w:val="000000" w:themeColor="text1"/>
          <w:sz w:val="24"/>
          <w:szCs w:val="24"/>
          <w:highlight w:val="none"/>
          <w:u w:val="single"/>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被投诉人2：</w:t>
      </w:r>
      <w:r>
        <w:rPr>
          <w:rFonts w:hint="eastAsia" w:asciiTheme="minorEastAsia" w:hAnsiTheme="minorEastAsia" w:eastAsiaTheme="minorEastAsia" w:cstheme="minorEastAsia"/>
          <w:bCs/>
          <w:color w:val="000000" w:themeColor="text1"/>
          <w:sz w:val="24"/>
          <w:szCs w:val="24"/>
          <w:highlight w:val="none"/>
          <w:u w:val="single"/>
          <w:lang w:val="en-US" w:eastAsia="zh-CN"/>
          <w14:textFill>
            <w14:solidFill>
              <w14:schemeClr w14:val="tx1"/>
            </w14:solidFill>
          </w14:textFill>
        </w:rPr>
        <w:t xml:space="preserve">                               </w:t>
      </w:r>
    </w:p>
    <w:p w14:paraId="575A10D2">
      <w:pPr>
        <w:pStyle w:val="16"/>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w:t>
      </w:r>
    </w:p>
    <w:p w14:paraId="72919890">
      <w:pPr>
        <w:pStyle w:val="16"/>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相关供应商：</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p>
    <w:p w14:paraId="3116D7C3">
      <w:pPr>
        <w:pStyle w:val="16"/>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地址：</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邮编：</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w:t>
      </w:r>
    </w:p>
    <w:p w14:paraId="3D93334D">
      <w:pPr>
        <w:pStyle w:val="16"/>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联系人：</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联系电话：</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w:t>
      </w:r>
    </w:p>
    <w:p w14:paraId="6FC0F7E4">
      <w:pPr>
        <w:pStyle w:val="16"/>
        <w:keepNext w:val="0"/>
        <w:keepLines w:val="0"/>
        <w:pageBreakBefore w:val="0"/>
        <w:widowControl w:val="0"/>
        <w:kinsoku/>
        <w:wordWrap/>
        <w:overflowPunct/>
        <w:topLinePunct w:val="0"/>
        <w:autoSpaceDE/>
        <w:autoSpaceDN/>
        <w:bidi w:val="0"/>
        <w:adjustRightInd/>
        <w:snapToGrid w:val="0"/>
        <w:spacing w:line="440" w:lineRule="exact"/>
        <w:ind w:firstLine="482" w:firstLineChars="200"/>
        <w:textAlignment w:val="auto"/>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二、投诉项目基本情况：</w:t>
      </w:r>
    </w:p>
    <w:p w14:paraId="3B2647A2">
      <w:pPr>
        <w:pStyle w:val="16"/>
        <w:keepNext w:val="0"/>
        <w:keepLines w:val="0"/>
        <w:pageBreakBefore w:val="0"/>
        <w:widowControl w:val="0"/>
        <w:kinsoku/>
        <w:wordWrap/>
        <w:overflowPunct/>
        <w:topLinePunct w:val="0"/>
        <w:autoSpaceDE/>
        <w:autoSpaceDN/>
        <w:bidi w:val="0"/>
        <w:adjustRightInd/>
        <w:spacing w:line="440" w:lineRule="exact"/>
        <w:ind w:left="25" w:leftChars="12" w:firstLine="472" w:firstLineChars="197"/>
        <w:textAlignment w:val="auto"/>
        <w:rPr>
          <w:rFonts w:hint="default"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采购</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项目的名称：</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p>
    <w:p w14:paraId="5E838872">
      <w:pPr>
        <w:pStyle w:val="16"/>
        <w:keepNext w:val="0"/>
        <w:keepLines w:val="0"/>
        <w:pageBreakBefore w:val="0"/>
        <w:widowControl w:val="0"/>
        <w:kinsoku/>
        <w:wordWrap/>
        <w:overflowPunct/>
        <w:topLinePunct w:val="0"/>
        <w:autoSpaceDE/>
        <w:autoSpaceDN/>
        <w:bidi w:val="0"/>
        <w:adjustRightInd/>
        <w:spacing w:line="440" w:lineRule="exact"/>
        <w:ind w:left="25" w:leftChars="12" w:firstLine="472" w:firstLineChars="197"/>
        <w:textAlignment w:val="auto"/>
        <w:rPr>
          <w:rFonts w:hint="default"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采购</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项目的编号：</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p>
    <w:p w14:paraId="1B9F2228">
      <w:pPr>
        <w:pStyle w:val="16"/>
        <w:keepNext w:val="0"/>
        <w:keepLines w:val="0"/>
        <w:pageBreakBefore w:val="0"/>
        <w:widowControl w:val="0"/>
        <w:kinsoku/>
        <w:wordWrap/>
        <w:overflowPunct/>
        <w:topLinePunct w:val="0"/>
        <w:autoSpaceDE/>
        <w:autoSpaceDN/>
        <w:bidi w:val="0"/>
        <w:adjustRightInd/>
        <w:spacing w:line="440" w:lineRule="exact"/>
        <w:ind w:left="25" w:leftChars="12" w:firstLine="472" w:firstLineChars="197"/>
        <w:textAlignment w:val="auto"/>
        <w:rPr>
          <w:rFonts w:hint="default" w:asciiTheme="minorEastAsia" w:hAnsiTheme="minorEastAsia" w:eastAsiaTheme="minorEastAsia" w:cstheme="minorEastAsia"/>
          <w:bCs/>
          <w:color w:val="000000" w:themeColor="text1"/>
          <w:sz w:val="24"/>
          <w:szCs w:val="24"/>
          <w:highlight w:val="none"/>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采购人名称：</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p>
    <w:p w14:paraId="565E4FE1">
      <w:pPr>
        <w:pStyle w:val="16"/>
        <w:keepNext w:val="0"/>
        <w:keepLines w:val="0"/>
        <w:pageBreakBefore w:val="0"/>
        <w:widowControl w:val="0"/>
        <w:kinsoku/>
        <w:wordWrap/>
        <w:overflowPunct/>
        <w:topLinePunct w:val="0"/>
        <w:autoSpaceDE/>
        <w:autoSpaceDN/>
        <w:bidi w:val="0"/>
        <w:adjustRightInd/>
        <w:spacing w:line="440" w:lineRule="exact"/>
        <w:ind w:left="25" w:leftChars="12" w:firstLine="472" w:firstLineChars="197"/>
        <w:textAlignment w:val="auto"/>
        <w:rPr>
          <w:rFonts w:hint="default" w:asciiTheme="minorEastAsia" w:hAnsiTheme="minorEastAsia" w:eastAsiaTheme="minorEastAsia" w:cstheme="minorEastAsia"/>
          <w:bCs/>
          <w:color w:val="000000" w:themeColor="text1"/>
          <w:sz w:val="24"/>
          <w:szCs w:val="24"/>
          <w:highlight w:val="none"/>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代理机构名称：</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p>
    <w:p w14:paraId="4A27848E">
      <w:pPr>
        <w:pStyle w:val="16"/>
        <w:keepNext w:val="0"/>
        <w:keepLines w:val="0"/>
        <w:pageBreakBefore w:val="0"/>
        <w:widowControl w:val="0"/>
        <w:kinsoku/>
        <w:wordWrap/>
        <w:overflowPunct/>
        <w:topLinePunct w:val="0"/>
        <w:autoSpaceDE/>
        <w:autoSpaceDN/>
        <w:bidi w:val="0"/>
        <w:adjustRightInd/>
        <w:spacing w:line="440" w:lineRule="exact"/>
        <w:ind w:left="25" w:leftChars="12" w:firstLine="472" w:firstLineChars="197"/>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采购</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文件公告：是/否公告期限：</w:t>
      </w:r>
      <w:r>
        <w:rPr>
          <w:rFonts w:hint="eastAsia" w:asciiTheme="minorEastAsia" w:hAnsiTheme="minorEastAsia" w:eastAsiaTheme="minorEastAsia" w:cstheme="minorEastAsia"/>
          <w:bCs/>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w:t>
      </w:r>
    </w:p>
    <w:p w14:paraId="168EF216">
      <w:pPr>
        <w:pStyle w:val="16"/>
        <w:keepNext w:val="0"/>
        <w:keepLines w:val="0"/>
        <w:pageBreakBefore w:val="0"/>
        <w:widowControl w:val="0"/>
        <w:kinsoku/>
        <w:wordWrap/>
        <w:overflowPunct/>
        <w:topLinePunct w:val="0"/>
        <w:autoSpaceDE/>
        <w:autoSpaceDN/>
        <w:bidi w:val="0"/>
        <w:adjustRightInd/>
        <w:spacing w:line="440" w:lineRule="exact"/>
        <w:ind w:left="25" w:leftChars="12" w:firstLine="472" w:firstLineChars="197"/>
        <w:textAlignment w:val="auto"/>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采购结果公告：是/否公告期限：</w:t>
      </w:r>
      <w:r>
        <w:rPr>
          <w:rFonts w:hint="eastAsia" w:asciiTheme="minorEastAsia" w:hAnsiTheme="minorEastAsia" w:eastAsiaTheme="minorEastAsia" w:cstheme="minorEastAsia"/>
          <w:bCs/>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    </w:t>
      </w:r>
    </w:p>
    <w:p w14:paraId="126F21BB">
      <w:pPr>
        <w:pStyle w:val="16"/>
        <w:keepNext w:val="0"/>
        <w:keepLines w:val="0"/>
        <w:pageBreakBefore w:val="0"/>
        <w:widowControl w:val="0"/>
        <w:kinsoku/>
        <w:wordWrap/>
        <w:overflowPunct/>
        <w:topLinePunct w:val="0"/>
        <w:autoSpaceDE/>
        <w:autoSpaceDN/>
        <w:bidi w:val="0"/>
        <w:adjustRightInd/>
        <w:spacing w:line="440" w:lineRule="exact"/>
        <w:ind w:left="25" w:leftChars="12" w:firstLine="472" w:firstLineChars="196"/>
        <w:textAlignment w:val="auto"/>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三、质疑基本情况</w:t>
      </w:r>
    </w:p>
    <w:p w14:paraId="1BB40237">
      <w:pPr>
        <w:pStyle w:val="16"/>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hint="default"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投诉人于</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年</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月</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日，向</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提出质疑，质疑事项为：</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p>
    <w:p w14:paraId="6877857F">
      <w:pPr>
        <w:pStyle w:val="16"/>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采购人/代理机构于</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年</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月</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日，</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 xml:space="preserve">就质疑事项作出了答复/没有在法定期限内作出答复。                                                   </w:t>
      </w:r>
    </w:p>
    <w:p w14:paraId="3CD1B00F">
      <w:pPr>
        <w:pStyle w:val="16"/>
        <w:keepNext w:val="0"/>
        <w:keepLines w:val="0"/>
        <w:pageBreakBefore w:val="0"/>
        <w:widowControl w:val="0"/>
        <w:kinsoku/>
        <w:wordWrap/>
        <w:overflowPunct/>
        <w:topLinePunct w:val="0"/>
        <w:autoSpaceDE/>
        <w:autoSpaceDN/>
        <w:bidi w:val="0"/>
        <w:adjustRightInd/>
        <w:spacing w:line="440" w:lineRule="exact"/>
        <w:ind w:left="25" w:leftChars="12" w:firstLine="472" w:firstLineChars="196"/>
        <w:textAlignment w:val="auto"/>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四、投诉事项具体内容</w:t>
      </w:r>
    </w:p>
    <w:p w14:paraId="195B3C76">
      <w:pPr>
        <w:pStyle w:val="16"/>
        <w:keepNext w:val="0"/>
        <w:keepLines w:val="0"/>
        <w:pageBreakBefore w:val="0"/>
        <w:widowControl w:val="0"/>
        <w:kinsoku/>
        <w:wordWrap/>
        <w:overflowPunct/>
        <w:topLinePunct w:val="0"/>
        <w:autoSpaceDE/>
        <w:autoSpaceDN/>
        <w:bidi w:val="0"/>
        <w:adjustRightInd/>
        <w:spacing w:line="440" w:lineRule="exact"/>
        <w:ind w:left="25" w:leftChars="12" w:firstLine="472" w:firstLineChars="197"/>
        <w:textAlignment w:val="auto"/>
        <w:rPr>
          <w:rFonts w:hint="default" w:asciiTheme="minorEastAsia" w:hAnsiTheme="minorEastAsia" w:eastAsiaTheme="minorEastAsia" w:cstheme="minorEastAsia"/>
          <w:bCs/>
          <w:color w:val="000000" w:themeColor="text1"/>
          <w:sz w:val="24"/>
          <w:szCs w:val="24"/>
          <w:highlight w:val="none"/>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投诉事项1：</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p>
    <w:p w14:paraId="414FCB34">
      <w:pPr>
        <w:pStyle w:val="16"/>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hint="default"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事实依据：</w:t>
      </w:r>
      <w:r>
        <w:rPr>
          <w:rFonts w:hint="eastAsia" w:asciiTheme="minorEastAsia" w:hAnsiTheme="minorEastAsia" w:eastAsiaTheme="minorEastAsia" w:cstheme="minorEastAsia"/>
          <w:bCs/>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 xml:space="preserve">                       </w:t>
      </w:r>
    </w:p>
    <w:p w14:paraId="4B75CC01">
      <w:pPr>
        <w:pStyle w:val="16"/>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hint="eastAsia" w:asciiTheme="minorEastAsia" w:hAnsiTheme="minorEastAsia" w:eastAsiaTheme="minorEastAsia" w:cstheme="minorEastAsia"/>
          <w:bCs/>
          <w:color w:val="000000" w:themeColor="text1"/>
          <w:sz w:val="24"/>
          <w:szCs w:val="24"/>
          <w:highlight w:val="none"/>
          <w:u w:val="single"/>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法律依据：</w:t>
      </w:r>
      <w:r>
        <w:rPr>
          <w:rFonts w:hint="eastAsia" w:asciiTheme="minorEastAsia" w:hAnsiTheme="minorEastAsia" w:eastAsiaTheme="minorEastAsia" w:cstheme="minorEastAsia"/>
          <w:bCs/>
          <w:color w:val="000000" w:themeColor="text1"/>
          <w:sz w:val="24"/>
          <w:szCs w:val="24"/>
          <w:highlight w:val="none"/>
          <w:u w:val="single"/>
          <w:lang w:val="en-US" w:eastAsia="zh-CN"/>
          <w14:textFill>
            <w14:solidFill>
              <w14:schemeClr w14:val="tx1"/>
            </w14:solidFill>
          </w14:textFill>
        </w:rPr>
        <w:t xml:space="preserve">                                                  </w:t>
      </w:r>
    </w:p>
    <w:p w14:paraId="776881CE">
      <w:pPr>
        <w:pStyle w:val="16"/>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hint="eastAsia" w:asciiTheme="minorEastAsia" w:hAnsiTheme="minorEastAsia" w:eastAsiaTheme="minorEastAsia" w:cstheme="minorEastAsia"/>
          <w:bCs/>
          <w:color w:val="000000" w:themeColor="text1"/>
          <w:sz w:val="24"/>
          <w:szCs w:val="24"/>
          <w:highlight w:val="none"/>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投诉事项2</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p>
    <w:p w14:paraId="37CAB513">
      <w:pPr>
        <w:pStyle w:val="16"/>
        <w:keepNext w:val="0"/>
        <w:keepLines w:val="0"/>
        <w:pageBreakBefore w:val="0"/>
        <w:widowControl w:val="0"/>
        <w:kinsoku/>
        <w:wordWrap/>
        <w:overflowPunct/>
        <w:topLinePunct w:val="0"/>
        <w:autoSpaceDE/>
        <w:autoSpaceDN/>
        <w:bidi w:val="0"/>
        <w:adjustRightInd/>
        <w:spacing w:line="440" w:lineRule="exact"/>
        <w:ind w:left="25" w:leftChars="12" w:firstLine="472" w:firstLineChars="197"/>
        <w:textAlignment w:val="auto"/>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w:t>
      </w:r>
    </w:p>
    <w:p w14:paraId="763EE60D">
      <w:pPr>
        <w:pStyle w:val="16"/>
        <w:keepNext w:val="0"/>
        <w:keepLines w:val="0"/>
        <w:pageBreakBefore w:val="0"/>
        <w:widowControl w:val="0"/>
        <w:kinsoku/>
        <w:wordWrap/>
        <w:overflowPunct/>
        <w:topLinePunct w:val="0"/>
        <w:autoSpaceDE/>
        <w:autoSpaceDN/>
        <w:bidi w:val="0"/>
        <w:adjustRightInd/>
        <w:spacing w:line="440" w:lineRule="exact"/>
        <w:ind w:left="25" w:leftChars="12" w:firstLine="472" w:firstLineChars="196"/>
        <w:textAlignment w:val="auto"/>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五、与投诉事项相关的投诉请求：</w:t>
      </w:r>
    </w:p>
    <w:p w14:paraId="0DDDA6E2">
      <w:pPr>
        <w:pStyle w:val="16"/>
        <w:keepNext w:val="0"/>
        <w:keepLines w:val="0"/>
        <w:pageBreakBefore w:val="0"/>
        <w:widowControl w:val="0"/>
        <w:kinsoku/>
        <w:wordWrap/>
        <w:overflowPunct/>
        <w:topLinePunct w:val="0"/>
        <w:autoSpaceDE/>
        <w:autoSpaceDN/>
        <w:bidi w:val="0"/>
        <w:adjustRightInd/>
        <w:spacing w:line="440" w:lineRule="exact"/>
        <w:ind w:left="25" w:leftChars="12" w:firstLine="472" w:firstLineChars="197"/>
        <w:textAlignment w:val="auto"/>
        <w:rPr>
          <w:rFonts w:hint="default"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请求：</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 xml:space="preserve">                                                      </w:t>
      </w:r>
    </w:p>
    <w:p w14:paraId="72EAF2A4">
      <w:pPr>
        <w:pStyle w:val="16"/>
        <w:keepNext w:val="0"/>
        <w:keepLines w:val="0"/>
        <w:pageBreakBefore w:val="0"/>
        <w:widowControl w:val="0"/>
        <w:kinsoku/>
        <w:wordWrap/>
        <w:overflowPunct/>
        <w:topLinePunct w:val="0"/>
        <w:autoSpaceDE/>
        <w:autoSpaceDN/>
        <w:bidi w:val="0"/>
        <w:adjustRightInd/>
        <w:spacing w:line="440" w:lineRule="exact"/>
        <w:ind w:left="25" w:leftChars="12" w:firstLine="352" w:firstLineChars="147"/>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p w14:paraId="1AEF8202">
      <w:pPr>
        <w:pStyle w:val="16"/>
        <w:keepNext w:val="0"/>
        <w:keepLines w:val="0"/>
        <w:pageBreakBefore w:val="0"/>
        <w:widowControl w:val="0"/>
        <w:kinsoku/>
        <w:wordWrap/>
        <w:overflowPunct/>
        <w:topLinePunct w:val="0"/>
        <w:autoSpaceDE/>
        <w:autoSpaceDN/>
        <w:bidi w:val="0"/>
        <w:adjustRightInd/>
        <w:spacing w:line="440" w:lineRule="exact"/>
        <w:ind w:left="25" w:leftChars="12" w:firstLine="472" w:firstLineChars="197"/>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签字（签章）：                             公章：</w:t>
      </w:r>
    </w:p>
    <w:p w14:paraId="14CFB8D4">
      <w:pPr>
        <w:pStyle w:val="16"/>
        <w:keepNext w:val="0"/>
        <w:keepLines w:val="0"/>
        <w:pageBreakBefore w:val="0"/>
        <w:widowControl w:val="0"/>
        <w:kinsoku/>
        <w:wordWrap/>
        <w:overflowPunct/>
        <w:topLinePunct w:val="0"/>
        <w:autoSpaceDE/>
        <w:autoSpaceDN/>
        <w:bidi w:val="0"/>
        <w:adjustRightInd/>
        <w:spacing w:line="440" w:lineRule="exact"/>
        <w:ind w:left="25" w:leftChars="12" w:firstLine="472" w:firstLineChars="197"/>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日期：</w:t>
      </w:r>
    </w:p>
    <w:p w14:paraId="4134F521">
      <w:pPr>
        <w:pStyle w:val="16"/>
        <w:keepNext w:val="0"/>
        <w:keepLines w:val="0"/>
        <w:pageBreakBefore w:val="0"/>
        <w:widowControl w:val="0"/>
        <w:kinsoku/>
        <w:wordWrap/>
        <w:overflowPunct/>
        <w:topLinePunct w:val="0"/>
        <w:autoSpaceDE/>
        <w:autoSpaceDN/>
        <w:bidi w:val="0"/>
        <w:adjustRightInd/>
        <w:spacing w:line="440" w:lineRule="exact"/>
        <w:ind w:left="25" w:leftChars="12" w:firstLine="472" w:firstLineChars="197"/>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p w14:paraId="3D7E48F3">
      <w:pPr>
        <w:pStyle w:val="16"/>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pPr>
    </w:p>
    <w:p w14:paraId="54D22FDB">
      <w:pPr>
        <w:pStyle w:val="16"/>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说明：</w:t>
      </w:r>
    </w:p>
    <w:p w14:paraId="5C8E5B41">
      <w:pPr>
        <w:pStyle w:val="16"/>
        <w:keepNext w:val="0"/>
        <w:keepLines w:val="0"/>
        <w:pageBreakBefore w:val="0"/>
        <w:widowControl w:val="0"/>
        <w:kinsoku/>
        <w:wordWrap/>
        <w:overflowPunct/>
        <w:topLinePunct w:val="0"/>
        <w:autoSpaceDE/>
        <w:autoSpaceDN/>
        <w:bidi w:val="0"/>
        <w:adjustRightInd/>
        <w:spacing w:line="440" w:lineRule="exact"/>
        <w:ind w:left="25" w:leftChars="12" w:firstLine="354" w:firstLineChars="147"/>
        <w:textAlignment w:val="auto"/>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1.投诉人提起投诉时，应当提交投诉书和必要的证明材料，并按照被投诉人和与投诉事项有关的供应商数量提供投诉书副本</w:t>
      </w: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w:t>
      </w:r>
    </w:p>
    <w:p w14:paraId="762371D2">
      <w:pPr>
        <w:pStyle w:val="16"/>
        <w:keepNext w:val="0"/>
        <w:keepLines w:val="0"/>
        <w:pageBreakBefore w:val="0"/>
        <w:widowControl w:val="0"/>
        <w:kinsoku/>
        <w:wordWrap/>
        <w:overflowPunct/>
        <w:topLinePunct w:val="0"/>
        <w:autoSpaceDE/>
        <w:autoSpaceDN/>
        <w:bidi w:val="0"/>
        <w:adjustRightInd/>
        <w:spacing w:line="440" w:lineRule="exact"/>
        <w:ind w:left="25" w:leftChars="12" w:firstLine="354" w:firstLineChars="147"/>
        <w:textAlignment w:val="auto"/>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7D3D169B">
      <w:pPr>
        <w:pStyle w:val="16"/>
        <w:keepNext w:val="0"/>
        <w:keepLines w:val="0"/>
        <w:pageBreakBefore w:val="0"/>
        <w:widowControl w:val="0"/>
        <w:kinsoku/>
        <w:wordWrap/>
        <w:overflowPunct/>
        <w:topLinePunct w:val="0"/>
        <w:autoSpaceDE/>
        <w:autoSpaceDN/>
        <w:bidi w:val="0"/>
        <w:adjustRightInd/>
        <w:spacing w:line="440" w:lineRule="exact"/>
        <w:ind w:left="25" w:leftChars="12" w:firstLine="354" w:firstLineChars="147"/>
        <w:textAlignment w:val="auto"/>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3.投诉书应简要列明质疑事项，质疑函、质疑答复等作为附件材料提供。</w:t>
      </w:r>
    </w:p>
    <w:p w14:paraId="6B3B8125">
      <w:pPr>
        <w:pStyle w:val="16"/>
        <w:keepNext w:val="0"/>
        <w:keepLines w:val="0"/>
        <w:pageBreakBefore w:val="0"/>
        <w:widowControl w:val="0"/>
        <w:kinsoku/>
        <w:wordWrap/>
        <w:overflowPunct/>
        <w:topLinePunct w:val="0"/>
        <w:autoSpaceDE/>
        <w:autoSpaceDN/>
        <w:bidi w:val="0"/>
        <w:adjustRightInd/>
        <w:spacing w:line="440" w:lineRule="exact"/>
        <w:ind w:left="25" w:leftChars="12" w:firstLine="354" w:firstLineChars="147"/>
        <w:textAlignment w:val="auto"/>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4.投诉书的投诉事项应具体、明确，并有必要的事实依据和法律依据。</w:t>
      </w:r>
    </w:p>
    <w:p w14:paraId="2FCC8B87">
      <w:pPr>
        <w:pStyle w:val="16"/>
        <w:keepNext w:val="0"/>
        <w:keepLines w:val="0"/>
        <w:pageBreakBefore w:val="0"/>
        <w:widowControl w:val="0"/>
        <w:kinsoku/>
        <w:wordWrap/>
        <w:overflowPunct/>
        <w:topLinePunct w:val="0"/>
        <w:autoSpaceDE/>
        <w:autoSpaceDN/>
        <w:bidi w:val="0"/>
        <w:adjustRightInd/>
        <w:spacing w:line="440" w:lineRule="exact"/>
        <w:ind w:left="25" w:leftChars="12" w:firstLine="354" w:firstLineChars="147"/>
        <w:textAlignment w:val="auto"/>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5.投诉书的投诉请求应与投诉事项相关。</w:t>
      </w:r>
    </w:p>
    <w:p w14:paraId="52B4C73C">
      <w:pPr>
        <w:pStyle w:val="16"/>
        <w:keepNext w:val="0"/>
        <w:keepLines w:val="0"/>
        <w:pageBreakBefore w:val="0"/>
        <w:widowControl w:val="0"/>
        <w:kinsoku/>
        <w:wordWrap/>
        <w:overflowPunct/>
        <w:topLinePunct w:val="0"/>
        <w:autoSpaceDE/>
        <w:autoSpaceDN/>
        <w:bidi w:val="0"/>
        <w:adjustRightInd/>
        <w:spacing w:line="440" w:lineRule="exact"/>
        <w:ind w:left="25" w:leftChars="12" w:firstLine="354" w:firstLineChars="147"/>
        <w:textAlignment w:val="auto"/>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6.投诉人为法人或者其他组织的，投诉书应由法定代表人、主要负责人，或者其授权代表签字或者盖章，并加盖公章。</w:t>
      </w:r>
    </w:p>
    <w:p w14:paraId="65D419EC">
      <w:pPr>
        <w:rPr>
          <w:rFonts w:hint="eastAsia" w:asciiTheme="minorEastAsia" w:hAnsiTheme="minorEastAsia" w:eastAsiaTheme="minorEastAsia" w:cstheme="minorEastAsia"/>
          <w:color w:val="000000" w:themeColor="text1"/>
          <w:highlight w:val="none"/>
          <w14:textFill>
            <w14:solidFill>
              <w14:schemeClr w14:val="tx1"/>
            </w14:solidFill>
          </w14:textFill>
        </w:rPr>
      </w:pPr>
    </w:p>
    <w:sectPr>
      <w:footerReference r:id="rId11" w:type="first"/>
      <w:footerReference r:id="rId10" w:type="default"/>
      <w:pgSz w:w="11910" w:h="16840"/>
      <w:pgMar w:top="1077" w:right="1247" w:bottom="1077" w:left="1417" w:header="720" w:footer="794" w:gutter="0"/>
      <w:pgBorders>
        <w:top w:val="none" w:sz="0" w:space="0"/>
        <w:left w:val="none" w:sz="0" w:space="0"/>
        <w:bottom w:val="none" w:sz="0" w:space="0"/>
        <w:right w:val="none" w:sz="0" w:space="0"/>
      </w:pgBorders>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新宋体">
    <w:panose1 w:val="02010609030101010101"/>
    <w:charset w:val="86"/>
    <w:family w:val="auto"/>
    <w:pitch w:val="default"/>
    <w:sig w:usb0="00000283" w:usb1="288F0000" w:usb2="0000000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C2B3B">
    <w:pPr>
      <w:spacing w:line="176" w:lineRule="auto"/>
      <w:ind w:left="4287"/>
      <w:rPr>
        <w:rFonts w:ascii="Times New Roman" w:hAnsi="Times New Roman" w:eastAsia="Times New Roman"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76B88">
    <w:pPr>
      <w:pStyle w:val="1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481BE5">
                          <w:pPr>
                            <w:pStyle w:val="19"/>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D481BE5">
                    <w:pPr>
                      <w:pStyle w:val="19"/>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18332">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posOffset>2902585</wp:posOffset>
              </wp:positionH>
              <wp:positionV relativeFrom="paragraph">
                <wp:posOffset>-151765</wp:posOffset>
              </wp:positionV>
              <wp:extent cx="101600" cy="1524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01600" cy="1524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95C077">
                          <w:pPr>
                            <w:pStyle w:val="19"/>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28.55pt;margin-top:-11.95pt;height:12pt;width:8pt;mso-position-horizontal-relative:margin;z-index:251661312;mso-width-relative:page;mso-height-relative:page;" filled="f" stroked="f" coordsize="21600,21600" o:gfxdata="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Nj0GaDXAAAACAEAAA8AAAAAAAAAAQAgAAAAIgAAAGRycy9kb3ducmV2&#10;LnhtbFBLAQIUABQAAAAIAIdO4kCZX+dZNgIAAGEEAAAOAAAAAAAAAAEAIAAAACYBAABkcnMvZTJv&#10;RG9jLnhtbFBLBQYAAAAABgAGAFkBAADOBQAAAAA=&#10;">
              <v:fill on="f" focussize="0,0"/>
              <v:stroke on="f" weight="0.5pt"/>
              <v:imagedata o:title=""/>
              <o:lock v:ext="edit" aspectratio="f"/>
              <v:textbox inset="0mm,0mm,0mm,0mm">
                <w:txbxContent>
                  <w:p w14:paraId="6295C077">
                    <w:pPr>
                      <w:pStyle w:val="19"/>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1C3DA">
    <w:pPr>
      <w:pStyle w:val="19"/>
      <w:jc w:val="center"/>
    </w:pPr>
    <w:r>
      <w:rPr>
        <w:sz w:val="18"/>
      </w:rPr>
      <mc:AlternateContent>
        <mc:Choice Requires="wps">
          <w:drawing>
            <wp:anchor distT="0" distB="0" distL="114300" distR="114300" simplePos="0" relativeHeight="251662336" behindDoc="0" locked="0" layoutInCell="1" allowOverlap="1">
              <wp:simplePos x="0" y="0"/>
              <wp:positionH relativeFrom="margin">
                <wp:posOffset>2884170</wp:posOffset>
              </wp:positionH>
              <wp:positionV relativeFrom="paragraph">
                <wp:posOffset>-52705</wp:posOffset>
              </wp:positionV>
              <wp:extent cx="230505" cy="182880"/>
              <wp:effectExtent l="0" t="0" r="0" b="0"/>
              <wp:wrapNone/>
              <wp:docPr id="8" name="文本框 8"/>
              <wp:cNvGraphicFramePr/>
              <a:graphic xmlns:a="http://schemas.openxmlformats.org/drawingml/2006/main">
                <a:graphicData uri="http://schemas.microsoft.com/office/word/2010/wordprocessingShape">
                  <wps:wsp>
                    <wps:cNvSpPr txBox="1"/>
                    <wps:spPr>
                      <a:xfrm>
                        <a:off x="0" y="0"/>
                        <a:ext cx="230505" cy="1828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586719">
                          <w:pPr>
                            <w:pStyle w:val="19"/>
                            <w:rPr>
                              <w:sz w:val="23"/>
                              <w:szCs w:val="23"/>
                            </w:rPr>
                          </w:pPr>
                          <w:r>
                            <w:rPr>
                              <w:sz w:val="23"/>
                              <w:szCs w:val="23"/>
                            </w:rPr>
                            <w:fldChar w:fldCharType="begin"/>
                          </w:r>
                          <w:r>
                            <w:rPr>
                              <w:sz w:val="23"/>
                              <w:szCs w:val="23"/>
                            </w:rPr>
                            <w:instrText xml:space="preserve"> PAGE  \* MERGEFORMAT </w:instrText>
                          </w:r>
                          <w:r>
                            <w:rPr>
                              <w:sz w:val="23"/>
                              <w:szCs w:val="23"/>
                            </w:rPr>
                            <w:fldChar w:fldCharType="separate"/>
                          </w:r>
                          <w:r>
                            <w:rPr>
                              <w:sz w:val="23"/>
                              <w:szCs w:val="23"/>
                            </w:rPr>
                            <w:t>1</w:t>
                          </w:r>
                          <w:r>
                            <w:rPr>
                              <w:sz w:val="23"/>
                              <w:szCs w:val="23"/>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27.1pt;margin-top:-4.15pt;height:14.4pt;width:18.15pt;mso-position-horizontal-relative:margin;z-index:251662336;mso-width-relative:page;mso-height-relative:page;" filled="f" stroked="f" coordsize="21600,21600" o:gfxdata="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JfqR2AAAAAkBAAAPAAAAAAAAAAEAIAAAACIAAABkcnMvZG93bnJl&#10;di54bWxQSwECFAAUAAAACACHTuJAotkmxjYCAABhBAAADgAAAAAAAAABACAAAAAnAQAAZHJzL2Uy&#10;b0RvYy54bWxQSwUGAAAAAAYABgBZAQAAzwUAAAAA&#10;">
              <v:fill on="f" focussize="0,0"/>
              <v:stroke on="f" weight="0.5pt"/>
              <v:imagedata o:title=""/>
              <o:lock v:ext="edit" aspectratio="f"/>
              <v:textbox inset="0mm,0mm,0mm,0mm">
                <w:txbxContent>
                  <w:p w14:paraId="33586719">
                    <w:pPr>
                      <w:pStyle w:val="19"/>
                      <w:rPr>
                        <w:sz w:val="23"/>
                        <w:szCs w:val="23"/>
                      </w:rPr>
                    </w:pPr>
                    <w:r>
                      <w:rPr>
                        <w:sz w:val="23"/>
                        <w:szCs w:val="23"/>
                      </w:rPr>
                      <w:fldChar w:fldCharType="begin"/>
                    </w:r>
                    <w:r>
                      <w:rPr>
                        <w:sz w:val="23"/>
                        <w:szCs w:val="23"/>
                      </w:rPr>
                      <w:instrText xml:space="preserve"> PAGE  \* MERGEFORMAT </w:instrText>
                    </w:r>
                    <w:r>
                      <w:rPr>
                        <w:sz w:val="23"/>
                        <w:szCs w:val="23"/>
                      </w:rPr>
                      <w:fldChar w:fldCharType="separate"/>
                    </w:r>
                    <w:r>
                      <w:rPr>
                        <w:sz w:val="23"/>
                        <w:szCs w:val="23"/>
                      </w:rPr>
                      <w:t>1</w:t>
                    </w:r>
                    <w:r>
                      <w:rPr>
                        <w:sz w:val="23"/>
                        <w:szCs w:val="23"/>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35FD8">
    <w:pPr>
      <w:pStyle w:val="19"/>
      <w:jc w:val="center"/>
    </w:pPr>
    <w:r>
      <w:rPr>
        <w:sz w:val="18"/>
      </w:rPr>
      <mc:AlternateContent>
        <mc:Choice Requires="wps">
          <w:drawing>
            <wp:anchor distT="0" distB="0" distL="114300" distR="114300" simplePos="0" relativeHeight="251663360" behindDoc="0" locked="0" layoutInCell="1" allowOverlap="1">
              <wp:simplePos x="0" y="0"/>
              <wp:positionH relativeFrom="margin">
                <wp:posOffset>2790190</wp:posOffset>
              </wp:positionH>
              <wp:positionV relativeFrom="paragraph">
                <wp:posOffset>0</wp:posOffset>
              </wp:positionV>
              <wp:extent cx="237490" cy="189230"/>
              <wp:effectExtent l="0" t="0" r="0" b="0"/>
              <wp:wrapNone/>
              <wp:docPr id="9" name="文本框 9"/>
              <wp:cNvGraphicFramePr/>
              <a:graphic xmlns:a="http://schemas.openxmlformats.org/drawingml/2006/main">
                <a:graphicData uri="http://schemas.microsoft.com/office/word/2010/wordprocessingShape">
                  <wps:wsp>
                    <wps:cNvSpPr txBox="1"/>
                    <wps:spPr>
                      <a:xfrm>
                        <a:off x="0" y="0"/>
                        <a:ext cx="237490" cy="1892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7C4D42">
                          <w:pPr>
                            <w:pStyle w:val="19"/>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13</w:t>
                          </w:r>
                          <w:r>
                            <w:rPr>
                              <w:sz w:val="21"/>
                              <w:szCs w:val="21"/>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19.7pt;margin-top:0pt;height:14.9pt;width:18.7pt;mso-position-horizontal-relative:margin;z-index:251663360;mso-width-relative:page;mso-height-relative:page;" filled="f" stroked="f" coordsize="21600,21600" o:gfxdata="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Ku9drDWAAAABwEAAA8AAAAAAAAAAQAgAAAAIgAAAGRycy9kb3ducmV2&#10;LnhtbFBLAQIUABQAAAAIAIdO4kA0m3VdNwIAAGEEAAAOAAAAAAAAAAEAIAAAACUBAABkcnMvZTJv&#10;RG9jLnhtbFBLBQYAAAAABgAGAFkBAADOBQAAAAA=&#10;">
              <v:fill on="f" focussize="0,0"/>
              <v:stroke on="f" weight="0.5pt"/>
              <v:imagedata o:title=""/>
              <o:lock v:ext="edit" aspectratio="f"/>
              <v:textbox inset="0mm,0mm,0mm,0mm">
                <w:txbxContent>
                  <w:p w14:paraId="247C4D42">
                    <w:pPr>
                      <w:pStyle w:val="19"/>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13</w:t>
                    </w:r>
                    <w:r>
                      <w:rPr>
                        <w:sz w:val="21"/>
                        <w:szCs w:val="21"/>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8AD79">
    <w:pPr>
      <w:pStyle w:val="19"/>
      <w:jc w:val="center"/>
    </w:pPr>
    <w:r>
      <w:rPr>
        <w:sz w:val="18"/>
      </w:rPr>
      <mc:AlternateContent>
        <mc:Choice Requires="wps">
          <w:drawing>
            <wp:anchor distT="0" distB="0" distL="114300" distR="114300" simplePos="0" relativeHeight="251664384" behindDoc="0" locked="0" layoutInCell="1" allowOverlap="1">
              <wp:simplePos x="0" y="0"/>
              <wp:positionH relativeFrom="margin">
                <wp:posOffset>2865755</wp:posOffset>
              </wp:positionH>
              <wp:positionV relativeFrom="paragraph">
                <wp:posOffset>-7620</wp:posOffset>
              </wp:positionV>
              <wp:extent cx="192405" cy="16700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92405" cy="1670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1648BF">
                          <w:pPr>
                            <w:pStyle w:val="19"/>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64</w:t>
                          </w:r>
                          <w:r>
                            <w:rPr>
                              <w:sz w:val="21"/>
                              <w:szCs w:val="21"/>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25.65pt;margin-top:-0.6pt;height:13.15pt;width:15.15pt;mso-position-horizontal-relative:margin;z-index:251664384;mso-width-relative:page;mso-height-relative:page;" filled="f" stroked="f" coordsize="21600,21600" o:gfxdata="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QJG0h2AAAAAkBAAAPAAAAAAAAAAEAIAAAACIAAABkcnMvZG93bnJl&#10;di54bWxQSwECFAAUAAAACACHTuJAuZxLDDYCAABjBAAADgAAAAAAAAABACAAAAAnAQAAZHJzL2Uy&#10;b0RvYy54bWxQSwUGAAAAAAYABgBZAQAAzwUAAAAA&#10;">
              <v:fill on="f" focussize="0,0"/>
              <v:stroke on="f" weight="0.5pt"/>
              <v:imagedata o:title=""/>
              <o:lock v:ext="edit" aspectratio="f"/>
              <v:textbox inset="0mm,0mm,0mm,0mm">
                <w:txbxContent>
                  <w:p w14:paraId="151648BF">
                    <w:pPr>
                      <w:pStyle w:val="19"/>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64</w:t>
                    </w:r>
                    <w:r>
                      <w:rPr>
                        <w:sz w:val="21"/>
                        <w:szCs w:val="21"/>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6C822">
    <w:pPr>
      <w:pStyle w:val="1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_x0000_s2050"/>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21B8D40B">
                          <w:pPr>
                            <w:pStyle w:val="19"/>
                          </w:pPr>
                          <w:r>
                            <w:fldChar w:fldCharType="begin"/>
                          </w:r>
                          <w:r>
                            <w:instrText xml:space="preserve"> PAGE  \* MERGEFORMAT </w:instrText>
                          </w:r>
                          <w:r>
                            <w:fldChar w:fldCharType="separate"/>
                          </w:r>
                          <w:r>
                            <w:t>63</w:t>
                          </w:r>
                          <w:r>
                            <w:fldChar w:fldCharType="end"/>
                          </w:r>
                        </w:p>
                      </w:txbxContent>
                    </wps:txbx>
                    <wps:bodyPr rot="0" vert="horz" wrap="square" lIns="91440" tIns="45720" rIns="91440" bIns="45720" anchor="t" anchorCtr="0"/>
                  </wps:wsp>
                </a:graphicData>
              </a:graphic>
            </wp:anchor>
          </w:drawing>
        </mc:Choice>
        <mc:Fallback>
          <w:pict>
            <v:rect id="_x0000_s2050" o:spid="_x0000_s1026" o:spt="1"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NjGzwTTAAAABQEAAA8AAAAAAAAAAQAgAAAAIgAAAGRycy9kb3du&#10;cmV2LnhtbFBLAQIUABQAAAAIAIdO4kDsKBloywEAALcDAAAOAAAAAAAAAAEAIAAAACIBAABkcnMv&#10;ZTJvRG9jLnhtbFBLBQYAAAAABgAGAFkBAABfBQAAAAA=&#10;">
              <v:fill on="f" focussize="0,0"/>
              <v:stroke on="f"/>
              <v:imagedata o:title=""/>
              <o:lock v:ext="edit" aspectratio="f"/>
              <v:textbox>
                <w:txbxContent>
                  <w:p w14:paraId="21B8D40B">
                    <w:pPr>
                      <w:pStyle w:val="19"/>
                    </w:pPr>
                    <w:r>
                      <w:fldChar w:fldCharType="begin"/>
                    </w:r>
                    <w:r>
                      <w:instrText xml:space="preserve"> PAGE  \* MERGEFORMAT </w:instrText>
                    </w:r>
                    <w:r>
                      <w:fldChar w:fldCharType="separate"/>
                    </w:r>
                    <w:r>
                      <w:t>63</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0AB4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46D8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2766D2"/>
    <w:multiLevelType w:val="singleLevel"/>
    <w:tmpl w:val="8B2766D2"/>
    <w:lvl w:ilvl="0" w:tentative="0">
      <w:start w:val="1"/>
      <w:numFmt w:val="decimal"/>
      <w:suff w:val="nothing"/>
      <w:lvlText w:val="（%1）"/>
      <w:lvlJc w:val="left"/>
    </w:lvl>
  </w:abstractNum>
  <w:abstractNum w:abstractNumId="1">
    <w:nsid w:val="26303B4E"/>
    <w:multiLevelType w:val="singleLevel"/>
    <w:tmpl w:val="26303B4E"/>
    <w:lvl w:ilvl="0" w:tentative="0">
      <w:start w:val="4"/>
      <w:numFmt w:val="chineseCounting"/>
      <w:suff w:val="nothing"/>
      <w:lvlText w:val="%1、"/>
      <w:lvlJc w:val="left"/>
      <w:rPr>
        <w:rFonts w:hint="eastAsia"/>
      </w:rPr>
    </w:lvl>
  </w:abstractNum>
  <w:abstractNum w:abstractNumId="2">
    <w:nsid w:val="2A878CAC"/>
    <w:multiLevelType w:val="singleLevel"/>
    <w:tmpl w:val="2A878CAC"/>
    <w:lvl w:ilvl="0" w:tentative="0">
      <w:start w:val="7"/>
      <w:numFmt w:val="chineseCounting"/>
      <w:suff w:val="nothing"/>
      <w:lvlText w:val="（%1）"/>
      <w:lvlJc w:val="left"/>
      <w:rPr>
        <w:rFonts w:hint="eastAsia"/>
      </w:rPr>
    </w:lvl>
  </w:abstractNum>
  <w:abstractNum w:abstractNumId="3">
    <w:nsid w:val="55386FC9"/>
    <w:multiLevelType w:val="singleLevel"/>
    <w:tmpl w:val="55386FC9"/>
    <w:lvl w:ilvl="0" w:tentative="0">
      <w:start w:val="7"/>
      <w:numFmt w:val="chineseCounting"/>
      <w:suff w:val="space"/>
      <w:lvlText w:val="第%1章"/>
      <w:lvlJc w:val="left"/>
      <w:rPr>
        <w:rFonts w:hint="eastAsia"/>
      </w:rPr>
    </w:lvl>
  </w:abstractNum>
  <w:abstractNum w:abstractNumId="4">
    <w:nsid w:val="5F2CCB04"/>
    <w:multiLevelType w:val="singleLevel"/>
    <w:tmpl w:val="5F2CCB04"/>
    <w:lvl w:ilvl="0" w:tentative="0">
      <w:start w:val="3"/>
      <w:numFmt w:val="decimal"/>
      <w:suff w:val="space"/>
      <w:lvlText w:val="%1."/>
      <w:lvlJc w:val="left"/>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NhNzY5ZDUwOWVmNDRlZjliMTA4YzQ2MDFmY2EzNWUifQ=="/>
  </w:docVars>
  <w:rsids>
    <w:rsidRoot w:val="00FB4FE1"/>
    <w:rsid w:val="00006483"/>
    <w:rsid w:val="00012CFC"/>
    <w:rsid w:val="000719BD"/>
    <w:rsid w:val="00076E61"/>
    <w:rsid w:val="000854AC"/>
    <w:rsid w:val="000A78A5"/>
    <w:rsid w:val="000C249D"/>
    <w:rsid w:val="00116A1A"/>
    <w:rsid w:val="0011760F"/>
    <w:rsid w:val="00167873"/>
    <w:rsid w:val="00174BCF"/>
    <w:rsid w:val="001864E0"/>
    <w:rsid w:val="001E3D9B"/>
    <w:rsid w:val="001F7F81"/>
    <w:rsid w:val="002C0DB7"/>
    <w:rsid w:val="002F3455"/>
    <w:rsid w:val="00314A89"/>
    <w:rsid w:val="00341130"/>
    <w:rsid w:val="003550DE"/>
    <w:rsid w:val="0036073E"/>
    <w:rsid w:val="003623F8"/>
    <w:rsid w:val="00383802"/>
    <w:rsid w:val="004B0D73"/>
    <w:rsid w:val="004B2667"/>
    <w:rsid w:val="004C621B"/>
    <w:rsid w:val="004E640E"/>
    <w:rsid w:val="005031A4"/>
    <w:rsid w:val="0051044F"/>
    <w:rsid w:val="00511654"/>
    <w:rsid w:val="005208E7"/>
    <w:rsid w:val="00556FFF"/>
    <w:rsid w:val="00561D42"/>
    <w:rsid w:val="005A7208"/>
    <w:rsid w:val="005C43B3"/>
    <w:rsid w:val="00602762"/>
    <w:rsid w:val="0060283F"/>
    <w:rsid w:val="006233D6"/>
    <w:rsid w:val="00656756"/>
    <w:rsid w:val="00663068"/>
    <w:rsid w:val="00674827"/>
    <w:rsid w:val="00681F0D"/>
    <w:rsid w:val="00692B74"/>
    <w:rsid w:val="006B1A79"/>
    <w:rsid w:val="006C04D1"/>
    <w:rsid w:val="00700A96"/>
    <w:rsid w:val="00733386"/>
    <w:rsid w:val="0077659C"/>
    <w:rsid w:val="00795969"/>
    <w:rsid w:val="00796B30"/>
    <w:rsid w:val="007E168F"/>
    <w:rsid w:val="00822434"/>
    <w:rsid w:val="0088164A"/>
    <w:rsid w:val="008B149E"/>
    <w:rsid w:val="008D753A"/>
    <w:rsid w:val="008E2914"/>
    <w:rsid w:val="009103E6"/>
    <w:rsid w:val="00993C55"/>
    <w:rsid w:val="009A0415"/>
    <w:rsid w:val="009D7617"/>
    <w:rsid w:val="009E0DA1"/>
    <w:rsid w:val="009E3AA2"/>
    <w:rsid w:val="009E7739"/>
    <w:rsid w:val="00A31EFB"/>
    <w:rsid w:val="00A36C9C"/>
    <w:rsid w:val="00A6528F"/>
    <w:rsid w:val="00A65647"/>
    <w:rsid w:val="00A83369"/>
    <w:rsid w:val="00AB4ADD"/>
    <w:rsid w:val="00AD5548"/>
    <w:rsid w:val="00AF1B0F"/>
    <w:rsid w:val="00AF5B89"/>
    <w:rsid w:val="00B022B2"/>
    <w:rsid w:val="00B149DB"/>
    <w:rsid w:val="00B41DAD"/>
    <w:rsid w:val="00B45024"/>
    <w:rsid w:val="00B773F0"/>
    <w:rsid w:val="00BE4483"/>
    <w:rsid w:val="00C057B3"/>
    <w:rsid w:val="00C0735D"/>
    <w:rsid w:val="00C10D64"/>
    <w:rsid w:val="00C2136A"/>
    <w:rsid w:val="00C34019"/>
    <w:rsid w:val="00C41353"/>
    <w:rsid w:val="00C452BF"/>
    <w:rsid w:val="00C81FA6"/>
    <w:rsid w:val="00C868DA"/>
    <w:rsid w:val="00C936C4"/>
    <w:rsid w:val="00C93B57"/>
    <w:rsid w:val="00C94A8E"/>
    <w:rsid w:val="00C94D04"/>
    <w:rsid w:val="00CA5F67"/>
    <w:rsid w:val="00CB6B62"/>
    <w:rsid w:val="00CE4B50"/>
    <w:rsid w:val="00D03026"/>
    <w:rsid w:val="00D16E33"/>
    <w:rsid w:val="00D17B73"/>
    <w:rsid w:val="00D21ABF"/>
    <w:rsid w:val="00D310DF"/>
    <w:rsid w:val="00D42B17"/>
    <w:rsid w:val="00D75E5D"/>
    <w:rsid w:val="00D84D5A"/>
    <w:rsid w:val="00D85147"/>
    <w:rsid w:val="00D866FD"/>
    <w:rsid w:val="00D95552"/>
    <w:rsid w:val="00DD021D"/>
    <w:rsid w:val="00DE5AD2"/>
    <w:rsid w:val="00DF03A5"/>
    <w:rsid w:val="00E14B61"/>
    <w:rsid w:val="00E60A9C"/>
    <w:rsid w:val="00E8377F"/>
    <w:rsid w:val="00E87EC5"/>
    <w:rsid w:val="00EF4091"/>
    <w:rsid w:val="00F54219"/>
    <w:rsid w:val="00FB4FE1"/>
    <w:rsid w:val="00FD3314"/>
    <w:rsid w:val="0108730E"/>
    <w:rsid w:val="010F6211"/>
    <w:rsid w:val="012C38EF"/>
    <w:rsid w:val="015369BF"/>
    <w:rsid w:val="01657C13"/>
    <w:rsid w:val="01695484"/>
    <w:rsid w:val="01820EA5"/>
    <w:rsid w:val="01BA67DE"/>
    <w:rsid w:val="01BC772F"/>
    <w:rsid w:val="01C80D4E"/>
    <w:rsid w:val="01CC3898"/>
    <w:rsid w:val="02051AE6"/>
    <w:rsid w:val="0227311A"/>
    <w:rsid w:val="02380BBA"/>
    <w:rsid w:val="0247556A"/>
    <w:rsid w:val="028B36A9"/>
    <w:rsid w:val="02A429BD"/>
    <w:rsid w:val="02A62291"/>
    <w:rsid w:val="02C20722"/>
    <w:rsid w:val="02DD77F9"/>
    <w:rsid w:val="02DF3E57"/>
    <w:rsid w:val="03004097"/>
    <w:rsid w:val="030671D3"/>
    <w:rsid w:val="032A2EC2"/>
    <w:rsid w:val="03773C2D"/>
    <w:rsid w:val="039447DF"/>
    <w:rsid w:val="03D33559"/>
    <w:rsid w:val="03E012B8"/>
    <w:rsid w:val="04073203"/>
    <w:rsid w:val="04156DE5"/>
    <w:rsid w:val="0449597F"/>
    <w:rsid w:val="044D3001"/>
    <w:rsid w:val="04602913"/>
    <w:rsid w:val="047529FF"/>
    <w:rsid w:val="04AB0032"/>
    <w:rsid w:val="04C23A78"/>
    <w:rsid w:val="04C609C8"/>
    <w:rsid w:val="04DC01EC"/>
    <w:rsid w:val="05107E95"/>
    <w:rsid w:val="052D6C99"/>
    <w:rsid w:val="055E5996"/>
    <w:rsid w:val="05687CEB"/>
    <w:rsid w:val="057D1AFC"/>
    <w:rsid w:val="058B75C2"/>
    <w:rsid w:val="05937A34"/>
    <w:rsid w:val="05966B09"/>
    <w:rsid w:val="05B20F4D"/>
    <w:rsid w:val="05B747B5"/>
    <w:rsid w:val="05D42437"/>
    <w:rsid w:val="05E307C7"/>
    <w:rsid w:val="05F94DCD"/>
    <w:rsid w:val="06074925"/>
    <w:rsid w:val="063F4ED6"/>
    <w:rsid w:val="06423C72"/>
    <w:rsid w:val="06450013"/>
    <w:rsid w:val="067A5F0E"/>
    <w:rsid w:val="0689271A"/>
    <w:rsid w:val="06954AF6"/>
    <w:rsid w:val="0698721F"/>
    <w:rsid w:val="06C6344E"/>
    <w:rsid w:val="06D84AD0"/>
    <w:rsid w:val="06DB22F0"/>
    <w:rsid w:val="072E5A65"/>
    <w:rsid w:val="07397B77"/>
    <w:rsid w:val="07D01826"/>
    <w:rsid w:val="07E51AAD"/>
    <w:rsid w:val="07EB5F62"/>
    <w:rsid w:val="07F053D2"/>
    <w:rsid w:val="0805367D"/>
    <w:rsid w:val="081A78CC"/>
    <w:rsid w:val="082537F9"/>
    <w:rsid w:val="087B7477"/>
    <w:rsid w:val="08BD5E23"/>
    <w:rsid w:val="08C23A92"/>
    <w:rsid w:val="08E25FED"/>
    <w:rsid w:val="08FF0C82"/>
    <w:rsid w:val="09045F63"/>
    <w:rsid w:val="09753CB2"/>
    <w:rsid w:val="099217C1"/>
    <w:rsid w:val="09A84B40"/>
    <w:rsid w:val="09F2400E"/>
    <w:rsid w:val="09FC29F1"/>
    <w:rsid w:val="0A2751B5"/>
    <w:rsid w:val="0A3A1135"/>
    <w:rsid w:val="0A3B7763"/>
    <w:rsid w:val="0A726EFC"/>
    <w:rsid w:val="0A7F7F97"/>
    <w:rsid w:val="0AA90B70"/>
    <w:rsid w:val="0AC6043C"/>
    <w:rsid w:val="0AF049F1"/>
    <w:rsid w:val="0B143A4A"/>
    <w:rsid w:val="0B2621C1"/>
    <w:rsid w:val="0B2773D6"/>
    <w:rsid w:val="0B3C6DA8"/>
    <w:rsid w:val="0B424B21"/>
    <w:rsid w:val="0B4E7969"/>
    <w:rsid w:val="0B612385"/>
    <w:rsid w:val="0B7003AA"/>
    <w:rsid w:val="0B9E0DB5"/>
    <w:rsid w:val="0BA23811"/>
    <w:rsid w:val="0BCB3596"/>
    <w:rsid w:val="0BDD5C57"/>
    <w:rsid w:val="0BF04C00"/>
    <w:rsid w:val="0BFE6C9A"/>
    <w:rsid w:val="0C237FFE"/>
    <w:rsid w:val="0C5761EF"/>
    <w:rsid w:val="0C590D62"/>
    <w:rsid w:val="0C594818"/>
    <w:rsid w:val="0C756AC9"/>
    <w:rsid w:val="0C871CA3"/>
    <w:rsid w:val="0C9320DF"/>
    <w:rsid w:val="0C942E80"/>
    <w:rsid w:val="0C9D51A9"/>
    <w:rsid w:val="0CA041F5"/>
    <w:rsid w:val="0CA75FE9"/>
    <w:rsid w:val="0CAD6942"/>
    <w:rsid w:val="0CB657C6"/>
    <w:rsid w:val="0CB952B6"/>
    <w:rsid w:val="0CBE7DA9"/>
    <w:rsid w:val="0CC06F69"/>
    <w:rsid w:val="0CD8050E"/>
    <w:rsid w:val="0CE607ED"/>
    <w:rsid w:val="0D084B45"/>
    <w:rsid w:val="0D2E019B"/>
    <w:rsid w:val="0D6A32B9"/>
    <w:rsid w:val="0D6E2C3E"/>
    <w:rsid w:val="0D74110B"/>
    <w:rsid w:val="0D8A7FDB"/>
    <w:rsid w:val="0DCE6B40"/>
    <w:rsid w:val="0DD54633"/>
    <w:rsid w:val="0DDA3736"/>
    <w:rsid w:val="0DDA54E4"/>
    <w:rsid w:val="0DE1042A"/>
    <w:rsid w:val="0DE23B1F"/>
    <w:rsid w:val="0DFA7935"/>
    <w:rsid w:val="0E0837F8"/>
    <w:rsid w:val="0E164404"/>
    <w:rsid w:val="0E330F57"/>
    <w:rsid w:val="0E4F5ED2"/>
    <w:rsid w:val="0E7E0566"/>
    <w:rsid w:val="0E7E40C2"/>
    <w:rsid w:val="0E8536A2"/>
    <w:rsid w:val="0EB9334C"/>
    <w:rsid w:val="0EBC593B"/>
    <w:rsid w:val="0ECE5049"/>
    <w:rsid w:val="0EDD28AF"/>
    <w:rsid w:val="0F072309"/>
    <w:rsid w:val="0F276507"/>
    <w:rsid w:val="0F4F5A5E"/>
    <w:rsid w:val="0F6225C7"/>
    <w:rsid w:val="0FD01A45"/>
    <w:rsid w:val="0FE819E9"/>
    <w:rsid w:val="10140102"/>
    <w:rsid w:val="10152804"/>
    <w:rsid w:val="104B161C"/>
    <w:rsid w:val="106070C3"/>
    <w:rsid w:val="10D206F5"/>
    <w:rsid w:val="10DB0C75"/>
    <w:rsid w:val="10E01064"/>
    <w:rsid w:val="10E8195F"/>
    <w:rsid w:val="10ED3781"/>
    <w:rsid w:val="10FD070D"/>
    <w:rsid w:val="11194576"/>
    <w:rsid w:val="112C42A9"/>
    <w:rsid w:val="11447D7B"/>
    <w:rsid w:val="116F20C9"/>
    <w:rsid w:val="11845E93"/>
    <w:rsid w:val="11D168A8"/>
    <w:rsid w:val="11D63493"/>
    <w:rsid w:val="120E39AF"/>
    <w:rsid w:val="123420CD"/>
    <w:rsid w:val="123F625E"/>
    <w:rsid w:val="12506973"/>
    <w:rsid w:val="12533B03"/>
    <w:rsid w:val="125D0492"/>
    <w:rsid w:val="12816876"/>
    <w:rsid w:val="128E689D"/>
    <w:rsid w:val="12900868"/>
    <w:rsid w:val="1299596E"/>
    <w:rsid w:val="12B55E30"/>
    <w:rsid w:val="12D70244"/>
    <w:rsid w:val="130C5FE0"/>
    <w:rsid w:val="13190148"/>
    <w:rsid w:val="131E3683"/>
    <w:rsid w:val="132F62D2"/>
    <w:rsid w:val="134850E0"/>
    <w:rsid w:val="1356385F"/>
    <w:rsid w:val="136523E1"/>
    <w:rsid w:val="137454F5"/>
    <w:rsid w:val="137D5290"/>
    <w:rsid w:val="137E1E60"/>
    <w:rsid w:val="139879D4"/>
    <w:rsid w:val="13A169E8"/>
    <w:rsid w:val="13B11191"/>
    <w:rsid w:val="13B50586"/>
    <w:rsid w:val="13C22CA3"/>
    <w:rsid w:val="13E81052"/>
    <w:rsid w:val="14092680"/>
    <w:rsid w:val="141623FA"/>
    <w:rsid w:val="14214954"/>
    <w:rsid w:val="14333FD0"/>
    <w:rsid w:val="14454F7F"/>
    <w:rsid w:val="14494355"/>
    <w:rsid w:val="147B4BCC"/>
    <w:rsid w:val="14962256"/>
    <w:rsid w:val="149C7998"/>
    <w:rsid w:val="149D587C"/>
    <w:rsid w:val="14AB3737"/>
    <w:rsid w:val="14B00D4D"/>
    <w:rsid w:val="14C111AC"/>
    <w:rsid w:val="14D709D0"/>
    <w:rsid w:val="14DD7852"/>
    <w:rsid w:val="14E135FC"/>
    <w:rsid w:val="1515111C"/>
    <w:rsid w:val="15170F55"/>
    <w:rsid w:val="15477903"/>
    <w:rsid w:val="15741892"/>
    <w:rsid w:val="159B37AB"/>
    <w:rsid w:val="15AE34DE"/>
    <w:rsid w:val="15D5574D"/>
    <w:rsid w:val="16367E8C"/>
    <w:rsid w:val="16511225"/>
    <w:rsid w:val="166819BB"/>
    <w:rsid w:val="168459D5"/>
    <w:rsid w:val="168651C0"/>
    <w:rsid w:val="169C00D2"/>
    <w:rsid w:val="16A768D1"/>
    <w:rsid w:val="16AA643D"/>
    <w:rsid w:val="16B528E1"/>
    <w:rsid w:val="16B5427B"/>
    <w:rsid w:val="16BA47A9"/>
    <w:rsid w:val="16BC60CF"/>
    <w:rsid w:val="16CB6312"/>
    <w:rsid w:val="16D621CD"/>
    <w:rsid w:val="16FA2753"/>
    <w:rsid w:val="17147CB9"/>
    <w:rsid w:val="174A5489"/>
    <w:rsid w:val="174D4F79"/>
    <w:rsid w:val="177021AE"/>
    <w:rsid w:val="17AC7EF2"/>
    <w:rsid w:val="17E256C1"/>
    <w:rsid w:val="18075128"/>
    <w:rsid w:val="1811128B"/>
    <w:rsid w:val="181F06C4"/>
    <w:rsid w:val="182A30AB"/>
    <w:rsid w:val="182E0907"/>
    <w:rsid w:val="183875E2"/>
    <w:rsid w:val="185873EF"/>
    <w:rsid w:val="185E09CA"/>
    <w:rsid w:val="187B09E2"/>
    <w:rsid w:val="18AE1A47"/>
    <w:rsid w:val="18AF00E5"/>
    <w:rsid w:val="18B74BA4"/>
    <w:rsid w:val="18B95BD8"/>
    <w:rsid w:val="18D73984"/>
    <w:rsid w:val="18DD5F91"/>
    <w:rsid w:val="19020A55"/>
    <w:rsid w:val="19186DC4"/>
    <w:rsid w:val="193957B5"/>
    <w:rsid w:val="19397563"/>
    <w:rsid w:val="19467ED2"/>
    <w:rsid w:val="194A0BCA"/>
    <w:rsid w:val="19516FA3"/>
    <w:rsid w:val="19571BA8"/>
    <w:rsid w:val="196F11D7"/>
    <w:rsid w:val="197F0F89"/>
    <w:rsid w:val="1990114D"/>
    <w:rsid w:val="19A05834"/>
    <w:rsid w:val="19A54BF8"/>
    <w:rsid w:val="19A76BC3"/>
    <w:rsid w:val="19F34E52"/>
    <w:rsid w:val="1A27385F"/>
    <w:rsid w:val="1A371E6D"/>
    <w:rsid w:val="1A593DF8"/>
    <w:rsid w:val="1A907657"/>
    <w:rsid w:val="1AD12A78"/>
    <w:rsid w:val="1AE14356"/>
    <w:rsid w:val="1B005AA2"/>
    <w:rsid w:val="1B1C6848"/>
    <w:rsid w:val="1B3A43AD"/>
    <w:rsid w:val="1B50328A"/>
    <w:rsid w:val="1B6D7998"/>
    <w:rsid w:val="1B747AF5"/>
    <w:rsid w:val="1B8371BB"/>
    <w:rsid w:val="1BA84E74"/>
    <w:rsid w:val="1BE50197"/>
    <w:rsid w:val="1BF82468"/>
    <w:rsid w:val="1BFB1A4D"/>
    <w:rsid w:val="1C026332"/>
    <w:rsid w:val="1C136BED"/>
    <w:rsid w:val="1C4F52EF"/>
    <w:rsid w:val="1C782A98"/>
    <w:rsid w:val="1CA90EA4"/>
    <w:rsid w:val="1CAD5787"/>
    <w:rsid w:val="1CB3587E"/>
    <w:rsid w:val="1CB87AB1"/>
    <w:rsid w:val="1CC21C23"/>
    <w:rsid w:val="1CCA6588"/>
    <w:rsid w:val="1CD35F20"/>
    <w:rsid w:val="1CE27F12"/>
    <w:rsid w:val="1CF66D5C"/>
    <w:rsid w:val="1D1A6E90"/>
    <w:rsid w:val="1D61177E"/>
    <w:rsid w:val="1D7D620F"/>
    <w:rsid w:val="1D7F5576"/>
    <w:rsid w:val="1DA813B5"/>
    <w:rsid w:val="1DBE68E3"/>
    <w:rsid w:val="1DC55869"/>
    <w:rsid w:val="1DC77AD1"/>
    <w:rsid w:val="1DC928BA"/>
    <w:rsid w:val="1E262080"/>
    <w:rsid w:val="1E401394"/>
    <w:rsid w:val="1E4D6D50"/>
    <w:rsid w:val="1E6C0104"/>
    <w:rsid w:val="1E90231B"/>
    <w:rsid w:val="1EA77665"/>
    <w:rsid w:val="1EAC6EF9"/>
    <w:rsid w:val="1ECC70CB"/>
    <w:rsid w:val="1EE33A55"/>
    <w:rsid w:val="1F01504A"/>
    <w:rsid w:val="1F260691"/>
    <w:rsid w:val="1F922DF9"/>
    <w:rsid w:val="1F9F033C"/>
    <w:rsid w:val="1FAB0A8F"/>
    <w:rsid w:val="1FB922B6"/>
    <w:rsid w:val="1FE12702"/>
    <w:rsid w:val="1FEB532F"/>
    <w:rsid w:val="1FF2B9D8"/>
    <w:rsid w:val="201D6424"/>
    <w:rsid w:val="20217D4B"/>
    <w:rsid w:val="203839CB"/>
    <w:rsid w:val="205D447F"/>
    <w:rsid w:val="207E1451"/>
    <w:rsid w:val="2082367E"/>
    <w:rsid w:val="20E95D13"/>
    <w:rsid w:val="20EB1A8B"/>
    <w:rsid w:val="212154AC"/>
    <w:rsid w:val="21227122"/>
    <w:rsid w:val="21380A48"/>
    <w:rsid w:val="213B4094"/>
    <w:rsid w:val="214116AB"/>
    <w:rsid w:val="216361B0"/>
    <w:rsid w:val="21695896"/>
    <w:rsid w:val="21731A80"/>
    <w:rsid w:val="21865B26"/>
    <w:rsid w:val="21A1039B"/>
    <w:rsid w:val="21C97F2F"/>
    <w:rsid w:val="21E92244"/>
    <w:rsid w:val="222C54E8"/>
    <w:rsid w:val="223905D4"/>
    <w:rsid w:val="22525B39"/>
    <w:rsid w:val="22557E77"/>
    <w:rsid w:val="227710FC"/>
    <w:rsid w:val="227E5313"/>
    <w:rsid w:val="2281342D"/>
    <w:rsid w:val="228D6B72"/>
    <w:rsid w:val="228F33A1"/>
    <w:rsid w:val="22B83BEE"/>
    <w:rsid w:val="22C16C88"/>
    <w:rsid w:val="22CA6707"/>
    <w:rsid w:val="22EC5858"/>
    <w:rsid w:val="2305495A"/>
    <w:rsid w:val="232C59A7"/>
    <w:rsid w:val="23430EA0"/>
    <w:rsid w:val="237F295E"/>
    <w:rsid w:val="2383244E"/>
    <w:rsid w:val="23887A65"/>
    <w:rsid w:val="23C76FD2"/>
    <w:rsid w:val="23D700A4"/>
    <w:rsid w:val="23FF0526"/>
    <w:rsid w:val="24013373"/>
    <w:rsid w:val="24155071"/>
    <w:rsid w:val="24212F0F"/>
    <w:rsid w:val="244E08E6"/>
    <w:rsid w:val="24523BCF"/>
    <w:rsid w:val="245558EE"/>
    <w:rsid w:val="24590DC1"/>
    <w:rsid w:val="247B23D8"/>
    <w:rsid w:val="24883A94"/>
    <w:rsid w:val="24A81A41"/>
    <w:rsid w:val="24A85EE5"/>
    <w:rsid w:val="24B46637"/>
    <w:rsid w:val="24BE1992"/>
    <w:rsid w:val="255A0F8D"/>
    <w:rsid w:val="256B0B11"/>
    <w:rsid w:val="25CB448C"/>
    <w:rsid w:val="25E17ECF"/>
    <w:rsid w:val="25F453F8"/>
    <w:rsid w:val="2621364C"/>
    <w:rsid w:val="26336079"/>
    <w:rsid w:val="263D2D53"/>
    <w:rsid w:val="263E08AF"/>
    <w:rsid w:val="26445859"/>
    <w:rsid w:val="264D0AF2"/>
    <w:rsid w:val="26610446"/>
    <w:rsid w:val="26A05F85"/>
    <w:rsid w:val="26A36964"/>
    <w:rsid w:val="26AF70B6"/>
    <w:rsid w:val="26B97F35"/>
    <w:rsid w:val="26D14496"/>
    <w:rsid w:val="26D20FF7"/>
    <w:rsid w:val="26D47194"/>
    <w:rsid w:val="26ED6741"/>
    <w:rsid w:val="27B72E2A"/>
    <w:rsid w:val="27BA11F6"/>
    <w:rsid w:val="27E9484A"/>
    <w:rsid w:val="28020243"/>
    <w:rsid w:val="281A0EA7"/>
    <w:rsid w:val="28235FAE"/>
    <w:rsid w:val="286A6BC0"/>
    <w:rsid w:val="28700291"/>
    <w:rsid w:val="28752564"/>
    <w:rsid w:val="28812CD5"/>
    <w:rsid w:val="288422FF"/>
    <w:rsid w:val="28AC24C6"/>
    <w:rsid w:val="28DA4193"/>
    <w:rsid w:val="29015BC3"/>
    <w:rsid w:val="290A2CCA"/>
    <w:rsid w:val="293509E1"/>
    <w:rsid w:val="2976210D"/>
    <w:rsid w:val="29930F11"/>
    <w:rsid w:val="29982084"/>
    <w:rsid w:val="299B2824"/>
    <w:rsid w:val="299E7928"/>
    <w:rsid w:val="29AE0266"/>
    <w:rsid w:val="29D56F2D"/>
    <w:rsid w:val="29E4176D"/>
    <w:rsid w:val="29F37742"/>
    <w:rsid w:val="2A0F7F3F"/>
    <w:rsid w:val="2A3A313B"/>
    <w:rsid w:val="2A585A8F"/>
    <w:rsid w:val="2A7478B3"/>
    <w:rsid w:val="2AA333D6"/>
    <w:rsid w:val="2ACA5E2A"/>
    <w:rsid w:val="2ACB6489"/>
    <w:rsid w:val="2ADC1140"/>
    <w:rsid w:val="2AE5579D"/>
    <w:rsid w:val="2AF61758"/>
    <w:rsid w:val="2B035C23"/>
    <w:rsid w:val="2B2A1401"/>
    <w:rsid w:val="2B3C521A"/>
    <w:rsid w:val="2B5A3016"/>
    <w:rsid w:val="2B5A30FE"/>
    <w:rsid w:val="2B6C0686"/>
    <w:rsid w:val="2B8723B0"/>
    <w:rsid w:val="2B9D7E25"/>
    <w:rsid w:val="2BAD0090"/>
    <w:rsid w:val="2BB313F7"/>
    <w:rsid w:val="2BDC7CE9"/>
    <w:rsid w:val="2BE143C7"/>
    <w:rsid w:val="2BE607ED"/>
    <w:rsid w:val="2BEF3214"/>
    <w:rsid w:val="2BF33EE9"/>
    <w:rsid w:val="2C0A2AEC"/>
    <w:rsid w:val="2C254FE6"/>
    <w:rsid w:val="2C5F50DB"/>
    <w:rsid w:val="2C8763E0"/>
    <w:rsid w:val="2C8965FC"/>
    <w:rsid w:val="2CD5539D"/>
    <w:rsid w:val="2CE87EAA"/>
    <w:rsid w:val="2D044742"/>
    <w:rsid w:val="2D074E2D"/>
    <w:rsid w:val="2D447E18"/>
    <w:rsid w:val="2D6D7CCB"/>
    <w:rsid w:val="2D9B2A83"/>
    <w:rsid w:val="2DEC6E42"/>
    <w:rsid w:val="2E1E4B22"/>
    <w:rsid w:val="2E29021A"/>
    <w:rsid w:val="2E2D6601"/>
    <w:rsid w:val="2E3D0928"/>
    <w:rsid w:val="2E406C74"/>
    <w:rsid w:val="2E556795"/>
    <w:rsid w:val="2EC41B6D"/>
    <w:rsid w:val="2ECA26A8"/>
    <w:rsid w:val="2EDE49DD"/>
    <w:rsid w:val="2EE23DA1"/>
    <w:rsid w:val="2EEA16A4"/>
    <w:rsid w:val="2EF158AD"/>
    <w:rsid w:val="2EF304FE"/>
    <w:rsid w:val="2F1A79DF"/>
    <w:rsid w:val="2F2A7C22"/>
    <w:rsid w:val="2F367926"/>
    <w:rsid w:val="2F3C5BA7"/>
    <w:rsid w:val="2F454A5C"/>
    <w:rsid w:val="2F457322"/>
    <w:rsid w:val="2F495AD7"/>
    <w:rsid w:val="2F6D3FB3"/>
    <w:rsid w:val="2F6F1AD9"/>
    <w:rsid w:val="2F921139"/>
    <w:rsid w:val="2F9718C9"/>
    <w:rsid w:val="300C7328"/>
    <w:rsid w:val="30202DD3"/>
    <w:rsid w:val="307A6987"/>
    <w:rsid w:val="30810A3D"/>
    <w:rsid w:val="30846C60"/>
    <w:rsid w:val="3095556F"/>
    <w:rsid w:val="30A112E4"/>
    <w:rsid w:val="30A457B2"/>
    <w:rsid w:val="30BF25EC"/>
    <w:rsid w:val="30C51E78"/>
    <w:rsid w:val="30C60521"/>
    <w:rsid w:val="30DD6F16"/>
    <w:rsid w:val="31164E6E"/>
    <w:rsid w:val="311B7998"/>
    <w:rsid w:val="311D51E8"/>
    <w:rsid w:val="31295488"/>
    <w:rsid w:val="313E4873"/>
    <w:rsid w:val="31400994"/>
    <w:rsid w:val="314B20D2"/>
    <w:rsid w:val="314B3E80"/>
    <w:rsid w:val="31510669"/>
    <w:rsid w:val="3176738D"/>
    <w:rsid w:val="317C04DD"/>
    <w:rsid w:val="31880C30"/>
    <w:rsid w:val="319F7D92"/>
    <w:rsid w:val="31A55782"/>
    <w:rsid w:val="31AF08B2"/>
    <w:rsid w:val="31C860F8"/>
    <w:rsid w:val="31CA1248"/>
    <w:rsid w:val="31E0117F"/>
    <w:rsid w:val="31E562C3"/>
    <w:rsid w:val="325E1D1C"/>
    <w:rsid w:val="326E5D1B"/>
    <w:rsid w:val="3291620A"/>
    <w:rsid w:val="32B64511"/>
    <w:rsid w:val="32E60304"/>
    <w:rsid w:val="32ED1692"/>
    <w:rsid w:val="330662B0"/>
    <w:rsid w:val="330A36DA"/>
    <w:rsid w:val="331D184C"/>
    <w:rsid w:val="33242BDA"/>
    <w:rsid w:val="333F7A14"/>
    <w:rsid w:val="33446DD8"/>
    <w:rsid w:val="33482D6D"/>
    <w:rsid w:val="334943EF"/>
    <w:rsid w:val="337E1035"/>
    <w:rsid w:val="337E3FFB"/>
    <w:rsid w:val="33865643"/>
    <w:rsid w:val="33A05EA0"/>
    <w:rsid w:val="33D171EB"/>
    <w:rsid w:val="33D60464"/>
    <w:rsid w:val="3425052C"/>
    <w:rsid w:val="343468C1"/>
    <w:rsid w:val="343A0036"/>
    <w:rsid w:val="34550EDA"/>
    <w:rsid w:val="34556473"/>
    <w:rsid w:val="34697122"/>
    <w:rsid w:val="346F2076"/>
    <w:rsid w:val="34AE0240"/>
    <w:rsid w:val="34BC414A"/>
    <w:rsid w:val="34CC7220"/>
    <w:rsid w:val="35011425"/>
    <w:rsid w:val="350C3926"/>
    <w:rsid w:val="35365462"/>
    <w:rsid w:val="355F18D8"/>
    <w:rsid w:val="35812872"/>
    <w:rsid w:val="35947759"/>
    <w:rsid w:val="35A316E4"/>
    <w:rsid w:val="35B20971"/>
    <w:rsid w:val="35B244CD"/>
    <w:rsid w:val="35F965A0"/>
    <w:rsid w:val="36160F00"/>
    <w:rsid w:val="364863F0"/>
    <w:rsid w:val="364D069A"/>
    <w:rsid w:val="366003CD"/>
    <w:rsid w:val="36664FD3"/>
    <w:rsid w:val="36950882"/>
    <w:rsid w:val="36A743DD"/>
    <w:rsid w:val="36F17F74"/>
    <w:rsid w:val="37337890"/>
    <w:rsid w:val="37355BF1"/>
    <w:rsid w:val="374C252E"/>
    <w:rsid w:val="3754429B"/>
    <w:rsid w:val="37751C56"/>
    <w:rsid w:val="3776777C"/>
    <w:rsid w:val="37895702"/>
    <w:rsid w:val="381059C0"/>
    <w:rsid w:val="381B27FE"/>
    <w:rsid w:val="38327B47"/>
    <w:rsid w:val="385B709E"/>
    <w:rsid w:val="38635F53"/>
    <w:rsid w:val="388C36FB"/>
    <w:rsid w:val="38B14F10"/>
    <w:rsid w:val="38BA7EDE"/>
    <w:rsid w:val="38D504B3"/>
    <w:rsid w:val="38FF6F23"/>
    <w:rsid w:val="39186D3D"/>
    <w:rsid w:val="392456E2"/>
    <w:rsid w:val="39440937"/>
    <w:rsid w:val="39475874"/>
    <w:rsid w:val="39771A1E"/>
    <w:rsid w:val="397D4DF2"/>
    <w:rsid w:val="39A86313"/>
    <w:rsid w:val="39C72511"/>
    <w:rsid w:val="39F257E0"/>
    <w:rsid w:val="3A0945E8"/>
    <w:rsid w:val="3A0B4AF4"/>
    <w:rsid w:val="3A18683F"/>
    <w:rsid w:val="3A204AEC"/>
    <w:rsid w:val="3A267238"/>
    <w:rsid w:val="3A32526F"/>
    <w:rsid w:val="3AB111F7"/>
    <w:rsid w:val="3AB31AA7"/>
    <w:rsid w:val="3ACF78CF"/>
    <w:rsid w:val="3AF630AE"/>
    <w:rsid w:val="3B06606E"/>
    <w:rsid w:val="3B111C96"/>
    <w:rsid w:val="3B141B02"/>
    <w:rsid w:val="3B2C4D22"/>
    <w:rsid w:val="3B2D006D"/>
    <w:rsid w:val="3B5F50F7"/>
    <w:rsid w:val="3B655A63"/>
    <w:rsid w:val="3B820D98"/>
    <w:rsid w:val="3BCA1E78"/>
    <w:rsid w:val="3BCD19E7"/>
    <w:rsid w:val="3BDA652C"/>
    <w:rsid w:val="3C017DF2"/>
    <w:rsid w:val="3C084020"/>
    <w:rsid w:val="3C28373B"/>
    <w:rsid w:val="3C2D7DA5"/>
    <w:rsid w:val="3C4B742A"/>
    <w:rsid w:val="3C720E5A"/>
    <w:rsid w:val="3CAA23A2"/>
    <w:rsid w:val="3CD3200E"/>
    <w:rsid w:val="3CDE029E"/>
    <w:rsid w:val="3CE138EA"/>
    <w:rsid w:val="3CEA09F1"/>
    <w:rsid w:val="3D23371B"/>
    <w:rsid w:val="3D672041"/>
    <w:rsid w:val="3D8C5F4C"/>
    <w:rsid w:val="3DAD746C"/>
    <w:rsid w:val="3DB17760"/>
    <w:rsid w:val="3DCE52C5"/>
    <w:rsid w:val="3DD23226"/>
    <w:rsid w:val="3DFE0E07"/>
    <w:rsid w:val="3E515386"/>
    <w:rsid w:val="3E5C147A"/>
    <w:rsid w:val="3E600292"/>
    <w:rsid w:val="3E657DC2"/>
    <w:rsid w:val="3EAE3AD2"/>
    <w:rsid w:val="3EBB386F"/>
    <w:rsid w:val="3EBC016B"/>
    <w:rsid w:val="3EF12066"/>
    <w:rsid w:val="3EF70CE6"/>
    <w:rsid w:val="3F051B12"/>
    <w:rsid w:val="3F275F2C"/>
    <w:rsid w:val="3F3423F7"/>
    <w:rsid w:val="3F4B4AE3"/>
    <w:rsid w:val="3F536F89"/>
    <w:rsid w:val="3F9F5315"/>
    <w:rsid w:val="3FB05F21"/>
    <w:rsid w:val="3FB6A1D0"/>
    <w:rsid w:val="3FC53168"/>
    <w:rsid w:val="3FC75019"/>
    <w:rsid w:val="3FDC2527"/>
    <w:rsid w:val="40365BB4"/>
    <w:rsid w:val="40420DA3"/>
    <w:rsid w:val="40470FDD"/>
    <w:rsid w:val="40602A21"/>
    <w:rsid w:val="40AB16DE"/>
    <w:rsid w:val="40AB66E9"/>
    <w:rsid w:val="40E1035D"/>
    <w:rsid w:val="40E568A6"/>
    <w:rsid w:val="40E8793D"/>
    <w:rsid w:val="412065EA"/>
    <w:rsid w:val="41232723"/>
    <w:rsid w:val="41524D35"/>
    <w:rsid w:val="41735E73"/>
    <w:rsid w:val="41A56E8E"/>
    <w:rsid w:val="41AB0AB2"/>
    <w:rsid w:val="41AF68E0"/>
    <w:rsid w:val="41CC4B69"/>
    <w:rsid w:val="41E974C9"/>
    <w:rsid w:val="41EC4E19"/>
    <w:rsid w:val="41EF0857"/>
    <w:rsid w:val="41FD4D22"/>
    <w:rsid w:val="4208730F"/>
    <w:rsid w:val="42185D72"/>
    <w:rsid w:val="421E702D"/>
    <w:rsid w:val="4226071D"/>
    <w:rsid w:val="42291FBB"/>
    <w:rsid w:val="425132C0"/>
    <w:rsid w:val="4253528A"/>
    <w:rsid w:val="42610D7D"/>
    <w:rsid w:val="426353EF"/>
    <w:rsid w:val="42660B19"/>
    <w:rsid w:val="42754064"/>
    <w:rsid w:val="428E62C2"/>
    <w:rsid w:val="42B37AD7"/>
    <w:rsid w:val="42C06631"/>
    <w:rsid w:val="42D96A6F"/>
    <w:rsid w:val="42E465B0"/>
    <w:rsid w:val="42EB256B"/>
    <w:rsid w:val="42F20F80"/>
    <w:rsid w:val="42F500EF"/>
    <w:rsid w:val="43155968"/>
    <w:rsid w:val="432A3CA1"/>
    <w:rsid w:val="43382A65"/>
    <w:rsid w:val="43996CCD"/>
    <w:rsid w:val="43AE1C06"/>
    <w:rsid w:val="43B3AD8B"/>
    <w:rsid w:val="43B65AD0"/>
    <w:rsid w:val="43E21F24"/>
    <w:rsid w:val="43EC504E"/>
    <w:rsid w:val="44223166"/>
    <w:rsid w:val="442762AE"/>
    <w:rsid w:val="44793385"/>
    <w:rsid w:val="449D30F4"/>
    <w:rsid w:val="44AA3B64"/>
    <w:rsid w:val="44F04486"/>
    <w:rsid w:val="44FD0CFE"/>
    <w:rsid w:val="452758AE"/>
    <w:rsid w:val="45345603"/>
    <w:rsid w:val="453A003B"/>
    <w:rsid w:val="453D3A02"/>
    <w:rsid w:val="454113CA"/>
    <w:rsid w:val="4550785F"/>
    <w:rsid w:val="45605813"/>
    <w:rsid w:val="4565311D"/>
    <w:rsid w:val="45794D21"/>
    <w:rsid w:val="459E681C"/>
    <w:rsid w:val="45B846D6"/>
    <w:rsid w:val="45CC3389"/>
    <w:rsid w:val="45CF2E79"/>
    <w:rsid w:val="45D1546A"/>
    <w:rsid w:val="45D16BF2"/>
    <w:rsid w:val="45DE30BD"/>
    <w:rsid w:val="45E16709"/>
    <w:rsid w:val="45F34DBA"/>
    <w:rsid w:val="46086E79"/>
    <w:rsid w:val="46667ACD"/>
    <w:rsid w:val="468C42DA"/>
    <w:rsid w:val="46A26D6F"/>
    <w:rsid w:val="46C8737D"/>
    <w:rsid w:val="46C95B1B"/>
    <w:rsid w:val="46EE37D3"/>
    <w:rsid w:val="46FE3A16"/>
    <w:rsid w:val="471D14BA"/>
    <w:rsid w:val="473D3E13"/>
    <w:rsid w:val="473E06AE"/>
    <w:rsid w:val="4746716B"/>
    <w:rsid w:val="474A6180"/>
    <w:rsid w:val="47527A52"/>
    <w:rsid w:val="478A62C0"/>
    <w:rsid w:val="47A143A2"/>
    <w:rsid w:val="47A8284F"/>
    <w:rsid w:val="47D6229D"/>
    <w:rsid w:val="4800731A"/>
    <w:rsid w:val="480B6EBC"/>
    <w:rsid w:val="480E5EDB"/>
    <w:rsid w:val="488E50F1"/>
    <w:rsid w:val="48AA7221"/>
    <w:rsid w:val="48B620CF"/>
    <w:rsid w:val="48D06654"/>
    <w:rsid w:val="48DA113E"/>
    <w:rsid w:val="48DD2725"/>
    <w:rsid w:val="491237A9"/>
    <w:rsid w:val="492E6511"/>
    <w:rsid w:val="4950607F"/>
    <w:rsid w:val="495518E8"/>
    <w:rsid w:val="49A33E79"/>
    <w:rsid w:val="49A5461D"/>
    <w:rsid w:val="49E76C62"/>
    <w:rsid w:val="49EB5DA8"/>
    <w:rsid w:val="49FF11D4"/>
    <w:rsid w:val="4A020216"/>
    <w:rsid w:val="4A0F0E22"/>
    <w:rsid w:val="4A136062"/>
    <w:rsid w:val="4A203CA4"/>
    <w:rsid w:val="4A235542"/>
    <w:rsid w:val="4A305126"/>
    <w:rsid w:val="4A3414FD"/>
    <w:rsid w:val="4A3F1EAC"/>
    <w:rsid w:val="4A4200BE"/>
    <w:rsid w:val="4A99106D"/>
    <w:rsid w:val="4AB84CE2"/>
    <w:rsid w:val="4ABF34BD"/>
    <w:rsid w:val="4AF200BC"/>
    <w:rsid w:val="4AF3760A"/>
    <w:rsid w:val="4B0709C0"/>
    <w:rsid w:val="4B1B3FFF"/>
    <w:rsid w:val="4B71276A"/>
    <w:rsid w:val="4B725159"/>
    <w:rsid w:val="4BB70DD3"/>
    <w:rsid w:val="4BB87388"/>
    <w:rsid w:val="4BB9615E"/>
    <w:rsid w:val="4BE04CF3"/>
    <w:rsid w:val="4BE60001"/>
    <w:rsid w:val="4BE80006"/>
    <w:rsid w:val="4BF947AC"/>
    <w:rsid w:val="4C1635B0"/>
    <w:rsid w:val="4C1C11EA"/>
    <w:rsid w:val="4C24189E"/>
    <w:rsid w:val="4C602A7D"/>
    <w:rsid w:val="4C8E6F59"/>
    <w:rsid w:val="4C910E89"/>
    <w:rsid w:val="4CA24E44"/>
    <w:rsid w:val="4CBD57DA"/>
    <w:rsid w:val="4CE00687"/>
    <w:rsid w:val="4CFB48EC"/>
    <w:rsid w:val="4D1829A9"/>
    <w:rsid w:val="4D1E2857"/>
    <w:rsid w:val="4D457367"/>
    <w:rsid w:val="4D5048A0"/>
    <w:rsid w:val="4D543566"/>
    <w:rsid w:val="4D7C38E7"/>
    <w:rsid w:val="4D7E3ACD"/>
    <w:rsid w:val="4D8A592A"/>
    <w:rsid w:val="4DBA440F"/>
    <w:rsid w:val="4DC112FA"/>
    <w:rsid w:val="4DC40DEA"/>
    <w:rsid w:val="4DCE0226"/>
    <w:rsid w:val="4DD566FC"/>
    <w:rsid w:val="4DD76D6F"/>
    <w:rsid w:val="4DFE254E"/>
    <w:rsid w:val="4E135DA0"/>
    <w:rsid w:val="4E1E04FA"/>
    <w:rsid w:val="4E6A373F"/>
    <w:rsid w:val="4E761A7B"/>
    <w:rsid w:val="4E7B594C"/>
    <w:rsid w:val="4E9F0C87"/>
    <w:rsid w:val="4EAE2B79"/>
    <w:rsid w:val="4EB35CF1"/>
    <w:rsid w:val="4ED35615"/>
    <w:rsid w:val="4EEC684A"/>
    <w:rsid w:val="4F1E09DB"/>
    <w:rsid w:val="4F1E3FF2"/>
    <w:rsid w:val="4F343EF7"/>
    <w:rsid w:val="4F371833"/>
    <w:rsid w:val="4F831051"/>
    <w:rsid w:val="4F976C0B"/>
    <w:rsid w:val="4FB01626"/>
    <w:rsid w:val="4FFD3D1D"/>
    <w:rsid w:val="500A718E"/>
    <w:rsid w:val="506021C9"/>
    <w:rsid w:val="50B05655"/>
    <w:rsid w:val="50C75131"/>
    <w:rsid w:val="50F934A0"/>
    <w:rsid w:val="511107EA"/>
    <w:rsid w:val="513E0EB3"/>
    <w:rsid w:val="5144319F"/>
    <w:rsid w:val="51452929"/>
    <w:rsid w:val="514F4E6E"/>
    <w:rsid w:val="51556994"/>
    <w:rsid w:val="515661FD"/>
    <w:rsid w:val="51A611AB"/>
    <w:rsid w:val="51DA01C5"/>
    <w:rsid w:val="51E2489F"/>
    <w:rsid w:val="51F06651"/>
    <w:rsid w:val="520311A2"/>
    <w:rsid w:val="52035D13"/>
    <w:rsid w:val="52132340"/>
    <w:rsid w:val="5228116F"/>
    <w:rsid w:val="522E0F28"/>
    <w:rsid w:val="52302EF2"/>
    <w:rsid w:val="523F1387"/>
    <w:rsid w:val="5257047F"/>
    <w:rsid w:val="525E4D9D"/>
    <w:rsid w:val="526D3D56"/>
    <w:rsid w:val="529F1910"/>
    <w:rsid w:val="52A4687F"/>
    <w:rsid w:val="52AC6530"/>
    <w:rsid w:val="52B9356C"/>
    <w:rsid w:val="52C33D66"/>
    <w:rsid w:val="52E71802"/>
    <w:rsid w:val="52E76653"/>
    <w:rsid w:val="52FC4B82"/>
    <w:rsid w:val="533B7DA0"/>
    <w:rsid w:val="53996AFD"/>
    <w:rsid w:val="53DD2AFE"/>
    <w:rsid w:val="53E36049"/>
    <w:rsid w:val="53EB5326"/>
    <w:rsid w:val="54060074"/>
    <w:rsid w:val="54071A30"/>
    <w:rsid w:val="5447476F"/>
    <w:rsid w:val="54812E09"/>
    <w:rsid w:val="54846196"/>
    <w:rsid w:val="549F610D"/>
    <w:rsid w:val="54A36678"/>
    <w:rsid w:val="54B020C8"/>
    <w:rsid w:val="54CA6544"/>
    <w:rsid w:val="54DC3569"/>
    <w:rsid w:val="55102B67"/>
    <w:rsid w:val="551E7F21"/>
    <w:rsid w:val="55797A50"/>
    <w:rsid w:val="558F46A6"/>
    <w:rsid w:val="55A61910"/>
    <w:rsid w:val="55B55408"/>
    <w:rsid w:val="55DB13C7"/>
    <w:rsid w:val="55DC2092"/>
    <w:rsid w:val="56074F90"/>
    <w:rsid w:val="56077881"/>
    <w:rsid w:val="560D1DBC"/>
    <w:rsid w:val="561D378D"/>
    <w:rsid w:val="56632B92"/>
    <w:rsid w:val="56680EAC"/>
    <w:rsid w:val="567D6A41"/>
    <w:rsid w:val="567F7FA4"/>
    <w:rsid w:val="56821842"/>
    <w:rsid w:val="56940E35"/>
    <w:rsid w:val="56981066"/>
    <w:rsid w:val="56AC391A"/>
    <w:rsid w:val="56B17B49"/>
    <w:rsid w:val="56D77DE0"/>
    <w:rsid w:val="56F97D56"/>
    <w:rsid w:val="56FC33A3"/>
    <w:rsid w:val="570C1DA5"/>
    <w:rsid w:val="572430DA"/>
    <w:rsid w:val="57361052"/>
    <w:rsid w:val="57392849"/>
    <w:rsid w:val="574975DB"/>
    <w:rsid w:val="574C432A"/>
    <w:rsid w:val="57711FE2"/>
    <w:rsid w:val="57877110"/>
    <w:rsid w:val="57923085"/>
    <w:rsid w:val="57A05D54"/>
    <w:rsid w:val="57B73F3C"/>
    <w:rsid w:val="57EA3B43"/>
    <w:rsid w:val="57F16C7F"/>
    <w:rsid w:val="582F0470"/>
    <w:rsid w:val="583B5E9D"/>
    <w:rsid w:val="584D3288"/>
    <w:rsid w:val="58680CEE"/>
    <w:rsid w:val="58C63E11"/>
    <w:rsid w:val="58CA64DB"/>
    <w:rsid w:val="58D97E3F"/>
    <w:rsid w:val="58F22CAF"/>
    <w:rsid w:val="58F9403E"/>
    <w:rsid w:val="592A0E05"/>
    <w:rsid w:val="593037D7"/>
    <w:rsid w:val="59343BF3"/>
    <w:rsid w:val="596361DB"/>
    <w:rsid w:val="59A26483"/>
    <w:rsid w:val="59D70FAC"/>
    <w:rsid w:val="59D95C1D"/>
    <w:rsid w:val="59DE1485"/>
    <w:rsid w:val="59F367F2"/>
    <w:rsid w:val="59FB5B93"/>
    <w:rsid w:val="5A141A90"/>
    <w:rsid w:val="5A184997"/>
    <w:rsid w:val="5A361E12"/>
    <w:rsid w:val="5A394AB7"/>
    <w:rsid w:val="5A4A08C9"/>
    <w:rsid w:val="5A5654C0"/>
    <w:rsid w:val="5A5E1E7B"/>
    <w:rsid w:val="5A6776CD"/>
    <w:rsid w:val="5A797AC8"/>
    <w:rsid w:val="5A84202D"/>
    <w:rsid w:val="5A8A202A"/>
    <w:rsid w:val="5AB141BB"/>
    <w:rsid w:val="5ABF4E13"/>
    <w:rsid w:val="5ACA4B83"/>
    <w:rsid w:val="5AE95B55"/>
    <w:rsid w:val="5AEE394A"/>
    <w:rsid w:val="5B123195"/>
    <w:rsid w:val="5B264E92"/>
    <w:rsid w:val="5B2B4256"/>
    <w:rsid w:val="5B7D467C"/>
    <w:rsid w:val="5BA74539"/>
    <w:rsid w:val="5BAC1760"/>
    <w:rsid w:val="5BF000A7"/>
    <w:rsid w:val="5C0D47C2"/>
    <w:rsid w:val="5C602626"/>
    <w:rsid w:val="5C800A73"/>
    <w:rsid w:val="5C803350"/>
    <w:rsid w:val="5CB87D6C"/>
    <w:rsid w:val="5CBB4C65"/>
    <w:rsid w:val="5D107BA8"/>
    <w:rsid w:val="5D311EF2"/>
    <w:rsid w:val="5D7E7207"/>
    <w:rsid w:val="5D8A4132"/>
    <w:rsid w:val="5DB61A46"/>
    <w:rsid w:val="5DD76917"/>
    <w:rsid w:val="5DE352BC"/>
    <w:rsid w:val="5DEB0648"/>
    <w:rsid w:val="5E3B2A02"/>
    <w:rsid w:val="5E5E4943"/>
    <w:rsid w:val="5E735200"/>
    <w:rsid w:val="5E890B2C"/>
    <w:rsid w:val="5F013C4C"/>
    <w:rsid w:val="5F032DEC"/>
    <w:rsid w:val="5F125E59"/>
    <w:rsid w:val="5F13572D"/>
    <w:rsid w:val="5F1D65AC"/>
    <w:rsid w:val="5F217848"/>
    <w:rsid w:val="5F304531"/>
    <w:rsid w:val="5F337B7D"/>
    <w:rsid w:val="5F3D09FC"/>
    <w:rsid w:val="5F690147"/>
    <w:rsid w:val="5FB94527"/>
    <w:rsid w:val="5FC16D40"/>
    <w:rsid w:val="5FDC6467"/>
    <w:rsid w:val="5FF3286F"/>
    <w:rsid w:val="5FFB2F6E"/>
    <w:rsid w:val="600867EC"/>
    <w:rsid w:val="600F4147"/>
    <w:rsid w:val="60417AC7"/>
    <w:rsid w:val="60600E46"/>
    <w:rsid w:val="60733667"/>
    <w:rsid w:val="60DF08A8"/>
    <w:rsid w:val="60F4333C"/>
    <w:rsid w:val="611C2FBF"/>
    <w:rsid w:val="613C71BD"/>
    <w:rsid w:val="614116FE"/>
    <w:rsid w:val="6145338A"/>
    <w:rsid w:val="61505D6B"/>
    <w:rsid w:val="615D0EE2"/>
    <w:rsid w:val="6162299C"/>
    <w:rsid w:val="61712C70"/>
    <w:rsid w:val="617D1584"/>
    <w:rsid w:val="6195300F"/>
    <w:rsid w:val="61B52ACC"/>
    <w:rsid w:val="61CB22EF"/>
    <w:rsid w:val="61CE3B8D"/>
    <w:rsid w:val="61D11B21"/>
    <w:rsid w:val="61FB227B"/>
    <w:rsid w:val="62287742"/>
    <w:rsid w:val="62402CDD"/>
    <w:rsid w:val="62417EFE"/>
    <w:rsid w:val="624327CD"/>
    <w:rsid w:val="62970423"/>
    <w:rsid w:val="629923ED"/>
    <w:rsid w:val="62A0552A"/>
    <w:rsid w:val="62A768B8"/>
    <w:rsid w:val="62AF39BF"/>
    <w:rsid w:val="62B65129"/>
    <w:rsid w:val="62DC29EF"/>
    <w:rsid w:val="62E73159"/>
    <w:rsid w:val="62FB730F"/>
    <w:rsid w:val="62FF2765"/>
    <w:rsid w:val="630E6937"/>
    <w:rsid w:val="63392C64"/>
    <w:rsid w:val="6353259C"/>
    <w:rsid w:val="63750765"/>
    <w:rsid w:val="63827325"/>
    <w:rsid w:val="638C3D00"/>
    <w:rsid w:val="639E50C7"/>
    <w:rsid w:val="63B10704"/>
    <w:rsid w:val="63B75221"/>
    <w:rsid w:val="63BA6ABF"/>
    <w:rsid w:val="63E91B93"/>
    <w:rsid w:val="63F4603A"/>
    <w:rsid w:val="63FC70D8"/>
    <w:rsid w:val="640D6102"/>
    <w:rsid w:val="64270A9F"/>
    <w:rsid w:val="645962D8"/>
    <w:rsid w:val="645C7B76"/>
    <w:rsid w:val="64747D3B"/>
    <w:rsid w:val="647E7AED"/>
    <w:rsid w:val="648570CD"/>
    <w:rsid w:val="64B32242"/>
    <w:rsid w:val="64E8140A"/>
    <w:rsid w:val="65531E34"/>
    <w:rsid w:val="65590B63"/>
    <w:rsid w:val="655B2536"/>
    <w:rsid w:val="65752C9E"/>
    <w:rsid w:val="65933620"/>
    <w:rsid w:val="659770B8"/>
    <w:rsid w:val="66157FDD"/>
    <w:rsid w:val="664971B2"/>
    <w:rsid w:val="664C2331"/>
    <w:rsid w:val="664F1741"/>
    <w:rsid w:val="6666140D"/>
    <w:rsid w:val="66822C7A"/>
    <w:rsid w:val="668313EA"/>
    <w:rsid w:val="670D6F06"/>
    <w:rsid w:val="673F502F"/>
    <w:rsid w:val="67446DCC"/>
    <w:rsid w:val="675863D3"/>
    <w:rsid w:val="67683ED3"/>
    <w:rsid w:val="678A67A9"/>
    <w:rsid w:val="67980EC5"/>
    <w:rsid w:val="67A860B4"/>
    <w:rsid w:val="67C16124"/>
    <w:rsid w:val="67C43A69"/>
    <w:rsid w:val="67D77C40"/>
    <w:rsid w:val="67F26C39"/>
    <w:rsid w:val="68040309"/>
    <w:rsid w:val="68273FF7"/>
    <w:rsid w:val="684B23DC"/>
    <w:rsid w:val="68546F36"/>
    <w:rsid w:val="688A18E7"/>
    <w:rsid w:val="689063CF"/>
    <w:rsid w:val="689D05E0"/>
    <w:rsid w:val="689E075E"/>
    <w:rsid w:val="689F0032"/>
    <w:rsid w:val="68A75232"/>
    <w:rsid w:val="68F44821"/>
    <w:rsid w:val="68F7727E"/>
    <w:rsid w:val="68FB3A5E"/>
    <w:rsid w:val="68FBB2B3"/>
    <w:rsid w:val="69072444"/>
    <w:rsid w:val="69076303"/>
    <w:rsid w:val="69202CA9"/>
    <w:rsid w:val="692B60C8"/>
    <w:rsid w:val="69401815"/>
    <w:rsid w:val="69474951"/>
    <w:rsid w:val="695F613F"/>
    <w:rsid w:val="69777056"/>
    <w:rsid w:val="6985191D"/>
    <w:rsid w:val="699B2EEF"/>
    <w:rsid w:val="69B63885"/>
    <w:rsid w:val="69E421A0"/>
    <w:rsid w:val="6A34183F"/>
    <w:rsid w:val="6A3D1DC1"/>
    <w:rsid w:val="6A4C5F38"/>
    <w:rsid w:val="6A58073A"/>
    <w:rsid w:val="6A6D6639"/>
    <w:rsid w:val="6A75729C"/>
    <w:rsid w:val="6AD2649C"/>
    <w:rsid w:val="6AD541DF"/>
    <w:rsid w:val="6AEA1A38"/>
    <w:rsid w:val="6B065463"/>
    <w:rsid w:val="6B150582"/>
    <w:rsid w:val="6B286A04"/>
    <w:rsid w:val="6B4849B1"/>
    <w:rsid w:val="6B7834E8"/>
    <w:rsid w:val="6B7951A8"/>
    <w:rsid w:val="6B880F07"/>
    <w:rsid w:val="6B970619"/>
    <w:rsid w:val="6BADD995"/>
    <w:rsid w:val="6BBA746D"/>
    <w:rsid w:val="6BE26BB3"/>
    <w:rsid w:val="6BF87B65"/>
    <w:rsid w:val="6C0024CA"/>
    <w:rsid w:val="6C0134DD"/>
    <w:rsid w:val="6C4D6722"/>
    <w:rsid w:val="6C684438"/>
    <w:rsid w:val="6C8E0AE9"/>
    <w:rsid w:val="6C9854C4"/>
    <w:rsid w:val="6CED1CB3"/>
    <w:rsid w:val="6CF3094C"/>
    <w:rsid w:val="6D0271B6"/>
    <w:rsid w:val="6D1F1741"/>
    <w:rsid w:val="6D321474"/>
    <w:rsid w:val="6D73789E"/>
    <w:rsid w:val="6D997745"/>
    <w:rsid w:val="6D9E3F65"/>
    <w:rsid w:val="6DA06D26"/>
    <w:rsid w:val="6DC347C2"/>
    <w:rsid w:val="6DDB3FF2"/>
    <w:rsid w:val="6DF851F2"/>
    <w:rsid w:val="6E041063"/>
    <w:rsid w:val="6E096679"/>
    <w:rsid w:val="6E531FEA"/>
    <w:rsid w:val="6E560BE9"/>
    <w:rsid w:val="6E677B42"/>
    <w:rsid w:val="6E6D3909"/>
    <w:rsid w:val="6E7D0909"/>
    <w:rsid w:val="6E845E31"/>
    <w:rsid w:val="6EA6211A"/>
    <w:rsid w:val="6EAD34A8"/>
    <w:rsid w:val="6EBE2ED6"/>
    <w:rsid w:val="6EC23D70"/>
    <w:rsid w:val="6EF9118A"/>
    <w:rsid w:val="6F394D8D"/>
    <w:rsid w:val="6F79782E"/>
    <w:rsid w:val="6FAE7784"/>
    <w:rsid w:val="6FB72105"/>
    <w:rsid w:val="6FCE1E96"/>
    <w:rsid w:val="6FDB5FC7"/>
    <w:rsid w:val="6FE27182"/>
    <w:rsid w:val="6FF00AC7"/>
    <w:rsid w:val="6FFB6495"/>
    <w:rsid w:val="70121F4E"/>
    <w:rsid w:val="701D01BA"/>
    <w:rsid w:val="70227EC6"/>
    <w:rsid w:val="70333E81"/>
    <w:rsid w:val="70383246"/>
    <w:rsid w:val="705B5186"/>
    <w:rsid w:val="705F4C76"/>
    <w:rsid w:val="707C4A5B"/>
    <w:rsid w:val="70893D25"/>
    <w:rsid w:val="70A86DA3"/>
    <w:rsid w:val="70AC59E2"/>
    <w:rsid w:val="70CB6663"/>
    <w:rsid w:val="70DD3DED"/>
    <w:rsid w:val="70E37655"/>
    <w:rsid w:val="70E77FCC"/>
    <w:rsid w:val="71213CDA"/>
    <w:rsid w:val="71520337"/>
    <w:rsid w:val="717E5165"/>
    <w:rsid w:val="71893A24"/>
    <w:rsid w:val="71A375BB"/>
    <w:rsid w:val="71B0505E"/>
    <w:rsid w:val="71C024A1"/>
    <w:rsid w:val="71D40D4C"/>
    <w:rsid w:val="71E86B40"/>
    <w:rsid w:val="720D425E"/>
    <w:rsid w:val="72190E55"/>
    <w:rsid w:val="72231CD3"/>
    <w:rsid w:val="727A0E5E"/>
    <w:rsid w:val="72842772"/>
    <w:rsid w:val="72BD1CC8"/>
    <w:rsid w:val="72C677F4"/>
    <w:rsid w:val="72DB610A"/>
    <w:rsid w:val="72ED42FD"/>
    <w:rsid w:val="72FC1A3D"/>
    <w:rsid w:val="732950C8"/>
    <w:rsid w:val="733A5527"/>
    <w:rsid w:val="73500851"/>
    <w:rsid w:val="73530396"/>
    <w:rsid w:val="73577E87"/>
    <w:rsid w:val="7358359C"/>
    <w:rsid w:val="73AD7AA7"/>
    <w:rsid w:val="73AE701B"/>
    <w:rsid w:val="73E506F8"/>
    <w:rsid w:val="73EB6821"/>
    <w:rsid w:val="740D2766"/>
    <w:rsid w:val="744114FF"/>
    <w:rsid w:val="747B5DF7"/>
    <w:rsid w:val="74884070"/>
    <w:rsid w:val="748DC5A3"/>
    <w:rsid w:val="74936C9D"/>
    <w:rsid w:val="74B92BD0"/>
    <w:rsid w:val="74CF4657"/>
    <w:rsid w:val="75053AEC"/>
    <w:rsid w:val="75071439"/>
    <w:rsid w:val="752062B5"/>
    <w:rsid w:val="75412B9C"/>
    <w:rsid w:val="758B3E18"/>
    <w:rsid w:val="759C7DD3"/>
    <w:rsid w:val="759F4AB9"/>
    <w:rsid w:val="75A4312B"/>
    <w:rsid w:val="75AF6E66"/>
    <w:rsid w:val="75B13DA7"/>
    <w:rsid w:val="75BC2223"/>
    <w:rsid w:val="75BC4DB1"/>
    <w:rsid w:val="75D03F20"/>
    <w:rsid w:val="75FB611F"/>
    <w:rsid w:val="7657019E"/>
    <w:rsid w:val="766703E1"/>
    <w:rsid w:val="767107EC"/>
    <w:rsid w:val="767D5E56"/>
    <w:rsid w:val="768A0573"/>
    <w:rsid w:val="76F105F2"/>
    <w:rsid w:val="76F679B7"/>
    <w:rsid w:val="77062109"/>
    <w:rsid w:val="770B16B4"/>
    <w:rsid w:val="77106CCA"/>
    <w:rsid w:val="77185D9B"/>
    <w:rsid w:val="773A5AF5"/>
    <w:rsid w:val="77536BB7"/>
    <w:rsid w:val="775748F9"/>
    <w:rsid w:val="77602701"/>
    <w:rsid w:val="77984B48"/>
    <w:rsid w:val="77A613DD"/>
    <w:rsid w:val="77BA13CB"/>
    <w:rsid w:val="77C875A5"/>
    <w:rsid w:val="77D17A87"/>
    <w:rsid w:val="77D221D2"/>
    <w:rsid w:val="77D426E8"/>
    <w:rsid w:val="77D62F36"/>
    <w:rsid w:val="77DB0A40"/>
    <w:rsid w:val="77DF0049"/>
    <w:rsid w:val="780B56E4"/>
    <w:rsid w:val="784E4535"/>
    <w:rsid w:val="785830AA"/>
    <w:rsid w:val="785E3A65"/>
    <w:rsid w:val="78646FCD"/>
    <w:rsid w:val="78CD4648"/>
    <w:rsid w:val="78F60642"/>
    <w:rsid w:val="79022643"/>
    <w:rsid w:val="79075EAB"/>
    <w:rsid w:val="790939D1"/>
    <w:rsid w:val="79283DED"/>
    <w:rsid w:val="793A6280"/>
    <w:rsid w:val="79492020"/>
    <w:rsid w:val="794A4FAE"/>
    <w:rsid w:val="795B7FA5"/>
    <w:rsid w:val="797D616D"/>
    <w:rsid w:val="798D7F66"/>
    <w:rsid w:val="799040F2"/>
    <w:rsid w:val="79A656C4"/>
    <w:rsid w:val="79B53B59"/>
    <w:rsid w:val="79BE763A"/>
    <w:rsid w:val="79BF6786"/>
    <w:rsid w:val="79C60E0B"/>
    <w:rsid w:val="79CB6ED9"/>
    <w:rsid w:val="79EF4346"/>
    <w:rsid w:val="79F0693F"/>
    <w:rsid w:val="79FC1788"/>
    <w:rsid w:val="7A0D74F1"/>
    <w:rsid w:val="7A0E1EB5"/>
    <w:rsid w:val="7A1C5986"/>
    <w:rsid w:val="7A28257D"/>
    <w:rsid w:val="7A4E6849"/>
    <w:rsid w:val="7A6D7F90"/>
    <w:rsid w:val="7A7255A6"/>
    <w:rsid w:val="7A7E3F4B"/>
    <w:rsid w:val="7A7F2793"/>
    <w:rsid w:val="7A8552D9"/>
    <w:rsid w:val="7A8F7F06"/>
    <w:rsid w:val="7ACF1C89"/>
    <w:rsid w:val="7B2D132A"/>
    <w:rsid w:val="7B426EB7"/>
    <w:rsid w:val="7B4C161C"/>
    <w:rsid w:val="7B560EC2"/>
    <w:rsid w:val="7B7470FC"/>
    <w:rsid w:val="7B7517F2"/>
    <w:rsid w:val="7B8C5067"/>
    <w:rsid w:val="7BA2700B"/>
    <w:rsid w:val="7BAF5AAF"/>
    <w:rsid w:val="7BBC11CF"/>
    <w:rsid w:val="7BDF6C6B"/>
    <w:rsid w:val="7BEE5100"/>
    <w:rsid w:val="7BF86DC2"/>
    <w:rsid w:val="7C042470"/>
    <w:rsid w:val="7C7309E2"/>
    <w:rsid w:val="7CBB1D1E"/>
    <w:rsid w:val="7CC85951"/>
    <w:rsid w:val="7CE92D02"/>
    <w:rsid w:val="7D16490F"/>
    <w:rsid w:val="7D362FDA"/>
    <w:rsid w:val="7D364FB1"/>
    <w:rsid w:val="7D4476CE"/>
    <w:rsid w:val="7D741635"/>
    <w:rsid w:val="7D7E4262"/>
    <w:rsid w:val="7D8C697F"/>
    <w:rsid w:val="7D9046C1"/>
    <w:rsid w:val="7D941585"/>
    <w:rsid w:val="7D970872"/>
    <w:rsid w:val="7DA561D5"/>
    <w:rsid w:val="7DBB7264"/>
    <w:rsid w:val="7DF033B2"/>
    <w:rsid w:val="7DF22338"/>
    <w:rsid w:val="7DFA6951"/>
    <w:rsid w:val="7DFE2FAC"/>
    <w:rsid w:val="7E0D7A07"/>
    <w:rsid w:val="7E573431"/>
    <w:rsid w:val="7E5912A5"/>
    <w:rsid w:val="7E677E64"/>
    <w:rsid w:val="7E7275B9"/>
    <w:rsid w:val="7E8458A8"/>
    <w:rsid w:val="7E9F0EEE"/>
    <w:rsid w:val="7EA877E8"/>
    <w:rsid w:val="7EB40C0B"/>
    <w:rsid w:val="7EC363D0"/>
    <w:rsid w:val="7ED21F55"/>
    <w:rsid w:val="7EE06F82"/>
    <w:rsid w:val="7EF154EA"/>
    <w:rsid w:val="7F063EEE"/>
    <w:rsid w:val="7F2A6FBF"/>
    <w:rsid w:val="7F6D9E0F"/>
    <w:rsid w:val="7F7E679B"/>
    <w:rsid w:val="7FD24A52"/>
    <w:rsid w:val="7FD50C43"/>
    <w:rsid w:val="7FDD39BD"/>
    <w:rsid w:val="7FE355DF"/>
    <w:rsid w:val="7FFF2453"/>
    <w:rsid w:val="8BFDAB26"/>
    <w:rsid w:val="9FB727FD"/>
    <w:rsid w:val="AE9E16AE"/>
    <w:rsid w:val="B2FFF696"/>
    <w:rsid w:val="BFFDC0E1"/>
    <w:rsid w:val="CDCBFE36"/>
    <w:rsid w:val="CFFB5426"/>
    <w:rsid w:val="F4FF7E66"/>
    <w:rsid w:val="F5EB3201"/>
    <w:rsid w:val="F7EE548D"/>
    <w:rsid w:val="F93FFDC0"/>
    <w:rsid w:val="FEA5E1AA"/>
    <w:rsid w:val="FFBB387E"/>
    <w:rsid w:val="FFD99496"/>
    <w:rsid w:val="FFDF252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0" w:name="heading 6"/>
    <w:lsdException w:qFormat="1" w:uiPriority="0" w:name="heading 7"/>
    <w:lsdException w:qFormat="1" w:unhideWhenUsed="0" w:uiPriority="9"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99"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qFormat="1" w:unhideWhenUsed="0" w:uiPriority="99"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99" w:semiHidden="0" w:name="List"/>
    <w:lsdException w:unhideWhenUsed="0" w:uiPriority="0" w:semiHidden="0" w:name="List Bullet"/>
    <w:lsdException w:qFormat="1" w:unhideWhenUsed="0" w:uiPriority="0" w:semiHidden="0" w:name="List Number"/>
    <w:lsdException w:qFormat="1" w:unhideWhenUsed="0"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9"/>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40"/>
    <w:qFormat/>
    <w:uiPriority w:val="9"/>
    <w:pPr>
      <w:keepNext/>
      <w:keepLines/>
      <w:spacing w:before="260" w:after="260" w:line="416" w:lineRule="auto"/>
      <w:outlineLvl w:val="2"/>
    </w:pPr>
    <w:rPr>
      <w:b/>
      <w:bCs/>
      <w:sz w:val="32"/>
      <w:szCs w:val="32"/>
    </w:rPr>
  </w:style>
  <w:style w:type="paragraph" w:styleId="5">
    <w:name w:val="heading 4"/>
    <w:basedOn w:val="1"/>
    <w:next w:val="1"/>
    <w:link w:val="41"/>
    <w:qFormat/>
    <w:uiPriority w:val="9"/>
    <w:pPr>
      <w:spacing w:before="100" w:beforeAutospacing="1" w:after="100" w:afterAutospacing="1"/>
      <w:jc w:val="left"/>
      <w:outlineLvl w:val="3"/>
    </w:pPr>
    <w:rPr>
      <w:rFonts w:hint="eastAsia" w:ascii="宋体" w:hAnsi="宋体"/>
      <w:b/>
      <w:bCs/>
      <w:kern w:val="0"/>
      <w:sz w:val="24"/>
    </w:rPr>
  </w:style>
  <w:style w:type="paragraph" w:styleId="6">
    <w:name w:val="heading 5"/>
    <w:basedOn w:val="1"/>
    <w:next w:val="1"/>
    <w:link w:val="42"/>
    <w:qFormat/>
    <w:uiPriority w:val="9"/>
    <w:pPr>
      <w:keepNext/>
      <w:keepLines/>
      <w:spacing w:before="280" w:after="290" w:line="376" w:lineRule="auto"/>
      <w:outlineLvl w:val="4"/>
    </w:pPr>
    <w:rPr>
      <w:b/>
      <w:bCs/>
      <w:sz w:val="28"/>
      <w:szCs w:val="28"/>
    </w:rPr>
  </w:style>
  <w:style w:type="paragraph" w:styleId="7">
    <w:name w:val="heading 8"/>
    <w:basedOn w:val="1"/>
    <w:next w:val="1"/>
    <w:link w:val="43"/>
    <w:qFormat/>
    <w:uiPriority w:val="9"/>
    <w:pPr>
      <w:keepNext/>
      <w:keepLines/>
      <w:spacing w:before="240" w:after="64" w:line="320" w:lineRule="auto"/>
      <w:outlineLvl w:val="7"/>
    </w:pPr>
    <w:rPr>
      <w:rFonts w:ascii="等线 Light" w:hAnsi="等线 Light" w:eastAsia="等线 Light"/>
      <w:sz w:val="24"/>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8">
    <w:name w:val="index 8"/>
    <w:basedOn w:val="1"/>
    <w:next w:val="1"/>
    <w:qFormat/>
    <w:uiPriority w:val="99"/>
    <w:pPr>
      <w:ind w:left="2940"/>
    </w:pPr>
    <w:rPr>
      <w:rFonts w:ascii="Calibri" w:hAnsi="Calibri" w:eastAsia="宋体" w:cs="Times New Roman"/>
      <w:szCs w:val="22"/>
    </w:rPr>
  </w:style>
  <w:style w:type="paragraph" w:styleId="9">
    <w:name w:val="List Number"/>
    <w:basedOn w:val="1"/>
    <w:qFormat/>
    <w:uiPriority w:val="0"/>
    <w:pPr>
      <w:widowControl/>
      <w:tabs>
        <w:tab w:val="left" w:pos="454"/>
        <w:tab w:val="left" w:pos="720"/>
        <w:tab w:val="left" w:pos="840"/>
      </w:tabs>
      <w:spacing w:afterLines="50"/>
      <w:ind w:left="454" w:hanging="284"/>
      <w:jc w:val="left"/>
    </w:pPr>
    <w:rPr>
      <w:kern w:val="0"/>
      <w:sz w:val="24"/>
      <w:szCs w:val="20"/>
    </w:rPr>
  </w:style>
  <w:style w:type="paragraph" w:styleId="10">
    <w:name w:val="Normal Indent"/>
    <w:basedOn w:val="1"/>
    <w:next w:val="1"/>
    <w:qFormat/>
    <w:uiPriority w:val="0"/>
    <w:pPr>
      <w:ind w:firstLine="420"/>
    </w:pPr>
    <w:rPr>
      <w:szCs w:val="20"/>
    </w:rPr>
  </w:style>
  <w:style w:type="paragraph" w:styleId="11">
    <w:name w:val="annotation text"/>
    <w:basedOn w:val="1"/>
    <w:link w:val="113"/>
    <w:qFormat/>
    <w:uiPriority w:val="99"/>
    <w:pPr>
      <w:jc w:val="left"/>
    </w:pPr>
  </w:style>
  <w:style w:type="paragraph" w:styleId="12">
    <w:name w:val="Body Text 3"/>
    <w:basedOn w:val="1"/>
    <w:link w:val="45"/>
    <w:qFormat/>
    <w:uiPriority w:val="99"/>
    <w:pPr>
      <w:spacing w:after="120"/>
    </w:pPr>
    <w:rPr>
      <w:sz w:val="16"/>
      <w:szCs w:val="16"/>
    </w:rPr>
  </w:style>
  <w:style w:type="paragraph" w:styleId="13">
    <w:name w:val="Body Text"/>
    <w:basedOn w:val="1"/>
    <w:link w:val="46"/>
    <w:qFormat/>
    <w:uiPriority w:val="0"/>
    <w:pPr>
      <w:spacing w:after="120"/>
    </w:pPr>
  </w:style>
  <w:style w:type="paragraph" w:styleId="14">
    <w:name w:val="Body Text Indent"/>
    <w:basedOn w:val="1"/>
    <w:link w:val="47"/>
    <w:qFormat/>
    <w:uiPriority w:val="0"/>
    <w:pPr>
      <w:ind w:firstLine="830" w:firstLineChars="352"/>
    </w:pPr>
    <w:rPr>
      <w:rFonts w:ascii="仿宋_GB2312" w:eastAsia="仿宋_GB2312"/>
      <w:kern w:val="0"/>
      <w:sz w:val="32"/>
      <w:szCs w:val="20"/>
    </w:rPr>
  </w:style>
  <w:style w:type="paragraph" w:styleId="15">
    <w:name w:val="List 2"/>
    <w:basedOn w:val="1"/>
    <w:qFormat/>
    <w:uiPriority w:val="99"/>
    <w:pPr>
      <w:ind w:left="100" w:leftChars="200" w:hanging="200" w:hangingChars="200"/>
      <w:contextualSpacing/>
    </w:pPr>
  </w:style>
  <w:style w:type="paragraph" w:styleId="16">
    <w:name w:val="Plain Text"/>
    <w:basedOn w:val="1"/>
    <w:next w:val="5"/>
    <w:link w:val="114"/>
    <w:qFormat/>
    <w:uiPriority w:val="0"/>
    <w:rPr>
      <w:rFonts w:ascii="宋体" w:hAnsi="Courier New"/>
      <w:kern w:val="0"/>
      <w:sz w:val="20"/>
      <w:szCs w:val="21"/>
    </w:rPr>
  </w:style>
  <w:style w:type="paragraph" w:styleId="17">
    <w:name w:val="Date"/>
    <w:basedOn w:val="1"/>
    <w:next w:val="1"/>
    <w:link w:val="49"/>
    <w:qFormat/>
    <w:uiPriority w:val="99"/>
    <w:pPr>
      <w:ind w:left="100" w:leftChars="2500"/>
    </w:pPr>
  </w:style>
  <w:style w:type="paragraph" w:styleId="18">
    <w:name w:val="Balloon Text"/>
    <w:basedOn w:val="1"/>
    <w:link w:val="50"/>
    <w:qFormat/>
    <w:uiPriority w:val="0"/>
    <w:rPr>
      <w:sz w:val="18"/>
      <w:szCs w:val="18"/>
    </w:rPr>
  </w:style>
  <w:style w:type="paragraph" w:styleId="19">
    <w:name w:val="footer"/>
    <w:basedOn w:val="1"/>
    <w:next w:val="1"/>
    <w:link w:val="51"/>
    <w:qFormat/>
    <w:uiPriority w:val="99"/>
    <w:pPr>
      <w:tabs>
        <w:tab w:val="center" w:pos="4153"/>
        <w:tab w:val="right" w:pos="8306"/>
      </w:tabs>
      <w:snapToGrid w:val="0"/>
      <w:jc w:val="left"/>
    </w:pPr>
    <w:rPr>
      <w:kern w:val="0"/>
      <w:sz w:val="18"/>
      <w:szCs w:val="18"/>
    </w:rPr>
  </w:style>
  <w:style w:type="paragraph" w:styleId="20">
    <w:name w:val="header"/>
    <w:basedOn w:val="1"/>
    <w:link w:val="52"/>
    <w:qFormat/>
    <w:uiPriority w:val="99"/>
    <w:pPr>
      <w:pBdr>
        <w:bottom w:val="single" w:color="auto" w:sz="6" w:space="1"/>
      </w:pBdr>
      <w:tabs>
        <w:tab w:val="center" w:pos="4153"/>
        <w:tab w:val="right" w:pos="8306"/>
      </w:tabs>
      <w:snapToGrid w:val="0"/>
      <w:jc w:val="center"/>
    </w:pPr>
    <w:rPr>
      <w:kern w:val="0"/>
      <w:sz w:val="18"/>
      <w:szCs w:val="18"/>
    </w:rPr>
  </w:style>
  <w:style w:type="paragraph" w:styleId="21">
    <w:name w:val="toc 1"/>
    <w:basedOn w:val="1"/>
    <w:next w:val="1"/>
    <w:unhideWhenUsed/>
    <w:qFormat/>
    <w:uiPriority w:val="39"/>
  </w:style>
  <w:style w:type="paragraph" w:styleId="22">
    <w:name w:val="List"/>
    <w:basedOn w:val="1"/>
    <w:qFormat/>
    <w:uiPriority w:val="99"/>
    <w:pPr>
      <w:ind w:left="200" w:hanging="200" w:hangingChars="200"/>
      <w:contextualSpacing/>
    </w:pPr>
  </w:style>
  <w:style w:type="paragraph" w:styleId="23">
    <w:name w:val="Normal (Web)"/>
    <w:basedOn w:val="1"/>
    <w:qFormat/>
    <w:uiPriority w:val="99"/>
    <w:rPr>
      <w:rFonts w:ascii="Calibri" w:hAnsi="Calibri"/>
      <w:kern w:val="0"/>
      <w:sz w:val="24"/>
    </w:rPr>
  </w:style>
  <w:style w:type="paragraph" w:styleId="24">
    <w:name w:val="Title"/>
    <w:basedOn w:val="1"/>
    <w:qFormat/>
    <w:uiPriority w:val="99"/>
    <w:pPr>
      <w:spacing w:before="240" w:after="60"/>
      <w:jc w:val="center"/>
      <w:outlineLvl w:val="0"/>
    </w:pPr>
    <w:rPr>
      <w:rFonts w:ascii="Calibri Light" w:hAnsi="Calibri Light"/>
      <w:b/>
      <w:bCs/>
    </w:rPr>
  </w:style>
  <w:style w:type="paragraph" w:styleId="25">
    <w:name w:val="annotation subject"/>
    <w:basedOn w:val="11"/>
    <w:next w:val="11"/>
    <w:link w:val="53"/>
    <w:qFormat/>
    <w:uiPriority w:val="99"/>
    <w:rPr>
      <w:b/>
      <w:bCs/>
    </w:rPr>
  </w:style>
  <w:style w:type="table" w:styleId="27">
    <w:name w:val="Table Grid"/>
    <w:basedOn w:val="2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9">
    <w:name w:val="Strong"/>
    <w:basedOn w:val="28"/>
    <w:qFormat/>
    <w:uiPriority w:val="0"/>
    <w:rPr>
      <w:b/>
    </w:rPr>
  </w:style>
  <w:style w:type="character" w:styleId="30">
    <w:name w:val="endnote reference"/>
    <w:qFormat/>
    <w:uiPriority w:val="99"/>
    <w:rPr>
      <w:vertAlign w:val="superscript"/>
    </w:rPr>
  </w:style>
  <w:style w:type="character" w:styleId="31">
    <w:name w:val="page number"/>
    <w:qFormat/>
    <w:uiPriority w:val="0"/>
  </w:style>
  <w:style w:type="character" w:styleId="32">
    <w:name w:val="FollowedHyperlink"/>
    <w:qFormat/>
    <w:uiPriority w:val="99"/>
    <w:rPr>
      <w:color w:val="800080"/>
      <w:u w:val="single"/>
    </w:rPr>
  </w:style>
  <w:style w:type="character" w:styleId="33">
    <w:name w:val="Emphasis"/>
    <w:basedOn w:val="28"/>
    <w:qFormat/>
    <w:uiPriority w:val="0"/>
    <w:rPr>
      <w:i/>
    </w:rPr>
  </w:style>
  <w:style w:type="character" w:styleId="34">
    <w:name w:val="Hyperlink"/>
    <w:qFormat/>
    <w:uiPriority w:val="99"/>
    <w:rPr>
      <w:color w:val="0000FF"/>
      <w:u w:val="single"/>
    </w:rPr>
  </w:style>
  <w:style w:type="character" w:styleId="35">
    <w:name w:val="annotation reference"/>
    <w:qFormat/>
    <w:uiPriority w:val="99"/>
    <w:rPr>
      <w:sz w:val="21"/>
      <w:szCs w:val="21"/>
    </w:rPr>
  </w:style>
  <w:style w:type="character" w:styleId="36">
    <w:name w:val="HTML Sample"/>
    <w:basedOn w:val="28"/>
    <w:qFormat/>
    <w:uiPriority w:val="0"/>
    <w:rPr>
      <w:rFonts w:ascii="Courier New" w:hAnsi="Courier New"/>
    </w:rPr>
  </w:style>
  <w:style w:type="paragraph" w:customStyle="1" w:styleId="37">
    <w:name w:val="表格文字"/>
    <w:basedOn w:val="14"/>
    <w:qFormat/>
    <w:uiPriority w:val="0"/>
    <w:pPr>
      <w:jc w:val="left"/>
    </w:pPr>
    <w:rPr>
      <w:rFonts w:ascii="Times New Roman" w:hAnsi="Times New Roman"/>
      <w:bCs/>
      <w:spacing w:val="10"/>
      <w:kern w:val="0"/>
      <w:sz w:val="24"/>
    </w:rPr>
  </w:style>
  <w:style w:type="character" w:customStyle="1" w:styleId="38">
    <w:name w:val="标题 1 Char1"/>
    <w:link w:val="2"/>
    <w:qFormat/>
    <w:uiPriority w:val="9"/>
    <w:rPr>
      <w:b/>
      <w:bCs/>
      <w:kern w:val="44"/>
      <w:sz w:val="44"/>
      <w:szCs w:val="44"/>
    </w:rPr>
  </w:style>
  <w:style w:type="character" w:customStyle="1" w:styleId="39">
    <w:name w:val="标题 2 Char1"/>
    <w:link w:val="3"/>
    <w:qFormat/>
    <w:uiPriority w:val="9"/>
    <w:rPr>
      <w:rFonts w:ascii="Cambria" w:hAnsi="Cambria" w:eastAsia="宋体" w:cs="Times New Roman"/>
      <w:b/>
      <w:bCs/>
      <w:kern w:val="2"/>
      <w:sz w:val="32"/>
      <w:szCs w:val="32"/>
    </w:rPr>
  </w:style>
  <w:style w:type="character" w:customStyle="1" w:styleId="40">
    <w:name w:val="标题 3 Char"/>
    <w:link w:val="4"/>
    <w:qFormat/>
    <w:uiPriority w:val="9"/>
    <w:rPr>
      <w:b/>
      <w:bCs/>
      <w:kern w:val="2"/>
      <w:sz w:val="32"/>
      <w:szCs w:val="32"/>
    </w:rPr>
  </w:style>
  <w:style w:type="character" w:customStyle="1" w:styleId="41">
    <w:name w:val="标题 4 Char"/>
    <w:link w:val="5"/>
    <w:qFormat/>
    <w:uiPriority w:val="9"/>
    <w:rPr>
      <w:rFonts w:ascii="宋体" w:hAnsi="宋体"/>
      <w:b/>
      <w:bCs/>
      <w:sz w:val="24"/>
      <w:szCs w:val="24"/>
    </w:rPr>
  </w:style>
  <w:style w:type="character" w:customStyle="1" w:styleId="42">
    <w:name w:val="标题 5 Char"/>
    <w:link w:val="6"/>
    <w:qFormat/>
    <w:uiPriority w:val="9"/>
    <w:rPr>
      <w:rFonts w:ascii="Times New Roman" w:hAnsi="Times New Roman"/>
      <w:b/>
      <w:bCs/>
      <w:kern w:val="2"/>
      <w:sz w:val="28"/>
      <w:szCs w:val="28"/>
    </w:rPr>
  </w:style>
  <w:style w:type="character" w:customStyle="1" w:styleId="43">
    <w:name w:val="标题 8 Char1"/>
    <w:link w:val="7"/>
    <w:qFormat/>
    <w:uiPriority w:val="9"/>
    <w:rPr>
      <w:rFonts w:ascii="等线 Light" w:hAnsi="等线 Light" w:eastAsia="等线 Light" w:cs="Times New Roman"/>
      <w:kern w:val="2"/>
      <w:sz w:val="24"/>
      <w:szCs w:val="24"/>
    </w:rPr>
  </w:style>
  <w:style w:type="character" w:customStyle="1" w:styleId="44">
    <w:name w:val="Comment Text Char"/>
    <w:qFormat/>
    <w:uiPriority w:val="0"/>
    <w:rPr>
      <w:rFonts w:ascii="Times New Roman" w:hAnsi="Times New Roman"/>
      <w:kern w:val="2"/>
      <w:sz w:val="21"/>
      <w:szCs w:val="24"/>
    </w:rPr>
  </w:style>
  <w:style w:type="character" w:customStyle="1" w:styleId="45">
    <w:name w:val="正文文本 3 Char"/>
    <w:link w:val="12"/>
    <w:qFormat/>
    <w:uiPriority w:val="99"/>
    <w:rPr>
      <w:kern w:val="2"/>
      <w:sz w:val="16"/>
      <w:szCs w:val="16"/>
    </w:rPr>
  </w:style>
  <w:style w:type="character" w:customStyle="1" w:styleId="46">
    <w:name w:val="正文文本 Char2"/>
    <w:link w:val="13"/>
    <w:qFormat/>
    <w:uiPriority w:val="0"/>
    <w:rPr>
      <w:rFonts w:ascii="Times New Roman" w:hAnsi="Times New Roman"/>
      <w:kern w:val="2"/>
      <w:sz w:val="21"/>
      <w:szCs w:val="24"/>
    </w:rPr>
  </w:style>
  <w:style w:type="character" w:customStyle="1" w:styleId="47">
    <w:name w:val="正文文本缩进 Char1"/>
    <w:link w:val="14"/>
    <w:qFormat/>
    <w:uiPriority w:val="0"/>
    <w:rPr>
      <w:rFonts w:ascii="仿宋_GB2312" w:hAnsi="Times New Roman" w:eastAsia="仿宋_GB2312" w:cs="Times New Roman"/>
      <w:sz w:val="32"/>
      <w:szCs w:val="20"/>
    </w:rPr>
  </w:style>
  <w:style w:type="character" w:customStyle="1" w:styleId="48">
    <w:name w:val="Plain Text Char"/>
    <w:qFormat/>
    <w:uiPriority w:val="0"/>
    <w:rPr>
      <w:rFonts w:ascii="宋体" w:hAnsi="Courier New" w:eastAsia="宋体" w:cs="Courier New"/>
      <w:szCs w:val="21"/>
    </w:rPr>
  </w:style>
  <w:style w:type="character" w:customStyle="1" w:styleId="49">
    <w:name w:val="日期 Char"/>
    <w:link w:val="17"/>
    <w:qFormat/>
    <w:uiPriority w:val="99"/>
    <w:rPr>
      <w:rFonts w:ascii="Times New Roman" w:hAnsi="Times New Roman"/>
      <w:kern w:val="2"/>
      <w:sz w:val="21"/>
      <w:szCs w:val="24"/>
    </w:rPr>
  </w:style>
  <w:style w:type="character" w:customStyle="1" w:styleId="50">
    <w:name w:val="批注框文本 Char"/>
    <w:link w:val="18"/>
    <w:qFormat/>
    <w:uiPriority w:val="0"/>
    <w:rPr>
      <w:kern w:val="2"/>
      <w:sz w:val="18"/>
      <w:szCs w:val="18"/>
    </w:rPr>
  </w:style>
  <w:style w:type="character" w:customStyle="1" w:styleId="51">
    <w:name w:val="页脚 Char"/>
    <w:link w:val="19"/>
    <w:qFormat/>
    <w:uiPriority w:val="99"/>
    <w:rPr>
      <w:sz w:val="18"/>
      <w:szCs w:val="18"/>
    </w:rPr>
  </w:style>
  <w:style w:type="character" w:customStyle="1" w:styleId="52">
    <w:name w:val="页眉 Char"/>
    <w:link w:val="20"/>
    <w:qFormat/>
    <w:uiPriority w:val="99"/>
    <w:rPr>
      <w:sz w:val="18"/>
      <w:szCs w:val="18"/>
    </w:rPr>
  </w:style>
  <w:style w:type="character" w:customStyle="1" w:styleId="53">
    <w:name w:val="批注主题 Char"/>
    <w:link w:val="25"/>
    <w:qFormat/>
    <w:uiPriority w:val="99"/>
    <w:rPr>
      <w:rFonts w:ascii="Times New Roman" w:hAnsi="Times New Roman"/>
      <w:b/>
      <w:bCs/>
      <w:kern w:val="2"/>
      <w:sz w:val="21"/>
      <w:szCs w:val="24"/>
    </w:rPr>
  </w:style>
  <w:style w:type="paragraph" w:customStyle="1" w:styleId="54">
    <w:name w:val="TOC 31"/>
    <w:basedOn w:val="1"/>
    <w:qFormat/>
    <w:uiPriority w:val="39"/>
    <w:pPr>
      <w:ind w:left="840" w:leftChars="400"/>
    </w:pPr>
  </w:style>
  <w:style w:type="paragraph" w:customStyle="1" w:styleId="55">
    <w:name w:val="TOC 11"/>
    <w:basedOn w:val="1"/>
    <w:qFormat/>
    <w:uiPriority w:val="39"/>
  </w:style>
  <w:style w:type="paragraph" w:customStyle="1" w:styleId="56">
    <w:name w:val="TOC 21"/>
    <w:basedOn w:val="1"/>
    <w:qFormat/>
    <w:uiPriority w:val="39"/>
    <w:pPr>
      <w:tabs>
        <w:tab w:val="right" w:leader="dot" w:pos="8296"/>
      </w:tabs>
      <w:ind w:left="420" w:leftChars="200"/>
    </w:pPr>
  </w:style>
  <w:style w:type="character" w:customStyle="1" w:styleId="57">
    <w:name w:val="纯文本 字符2"/>
    <w:qFormat/>
    <w:uiPriority w:val="0"/>
    <w:rPr>
      <w:rFonts w:ascii="宋体" w:hAnsi="Courier New" w:eastAsia="宋体" w:cs="Courier New"/>
      <w:szCs w:val="21"/>
    </w:rPr>
  </w:style>
  <w:style w:type="character" w:customStyle="1" w:styleId="58">
    <w:name w:val="apple-style-span"/>
    <w:qFormat/>
    <w:uiPriority w:val="0"/>
  </w:style>
  <w:style w:type="character" w:customStyle="1" w:styleId="59">
    <w:name w:val="标题 2 Char"/>
    <w:qFormat/>
    <w:uiPriority w:val="9"/>
    <w:rPr>
      <w:rFonts w:ascii="Cambria" w:hAnsi="Cambria" w:eastAsia="宋体" w:cs="Times New Roman"/>
      <w:b/>
      <w:bCs/>
      <w:kern w:val="2"/>
      <w:sz w:val="32"/>
      <w:szCs w:val="32"/>
    </w:rPr>
  </w:style>
  <w:style w:type="character" w:customStyle="1" w:styleId="60">
    <w:name w:val="纯文本 字符"/>
    <w:qFormat/>
    <w:uiPriority w:val="0"/>
    <w:rPr>
      <w:rFonts w:ascii="宋体" w:hAnsi="Courier New" w:eastAsia="宋体" w:cs="Courier New"/>
      <w:szCs w:val="21"/>
    </w:rPr>
  </w:style>
  <w:style w:type="character" w:customStyle="1" w:styleId="61">
    <w:name w:val="纯文本 字符1"/>
    <w:qFormat/>
    <w:uiPriority w:val="0"/>
    <w:rPr>
      <w:rFonts w:ascii="宋体" w:hAnsi="Courier New"/>
    </w:rPr>
  </w:style>
  <w:style w:type="character" w:customStyle="1" w:styleId="62">
    <w:name w:val="标题 8 Char"/>
    <w:qFormat/>
    <w:uiPriority w:val="0"/>
    <w:rPr>
      <w:rFonts w:ascii="Arial" w:hAnsi="Arial" w:eastAsia="黑体"/>
      <w:kern w:val="2"/>
      <w:sz w:val="24"/>
      <w:szCs w:val="24"/>
    </w:rPr>
  </w:style>
  <w:style w:type="character" w:customStyle="1" w:styleId="63">
    <w:name w:val="纯文本 Char"/>
    <w:qFormat/>
    <w:uiPriority w:val="0"/>
    <w:rPr>
      <w:rFonts w:ascii="宋体" w:hAnsi="Courier New" w:eastAsia="宋体" w:cs="Courier New"/>
      <w:szCs w:val="21"/>
    </w:rPr>
  </w:style>
  <w:style w:type="character" w:customStyle="1" w:styleId="64">
    <w:name w:val="正文文本 Char"/>
    <w:qFormat/>
    <w:uiPriority w:val="0"/>
    <w:rPr>
      <w:rFonts w:ascii="Times New Roman" w:hAnsi="Times New Roman"/>
      <w:kern w:val="2"/>
      <w:sz w:val="21"/>
      <w:szCs w:val="24"/>
    </w:rPr>
  </w:style>
  <w:style w:type="character" w:customStyle="1" w:styleId="65">
    <w:name w:val="批注文字 字符1"/>
    <w:qFormat/>
    <w:uiPriority w:val="0"/>
    <w:rPr>
      <w:rFonts w:ascii="Times New Roman" w:hAnsi="Times New Roman"/>
      <w:kern w:val="2"/>
      <w:sz w:val="21"/>
      <w:szCs w:val="24"/>
    </w:rPr>
  </w:style>
  <w:style w:type="character" w:customStyle="1" w:styleId="66">
    <w:name w:val="正文文本 (26) + 间距 0 pt"/>
    <w:qFormat/>
    <w:uiPriority w:val="0"/>
    <w:rPr>
      <w:rFonts w:ascii="宋体" w:hAnsi="宋体" w:eastAsia="宋体" w:cs="宋体"/>
      <w:color w:val="000000"/>
      <w:spacing w:val="0"/>
      <w:w w:val="100"/>
      <w:sz w:val="22"/>
      <w:szCs w:val="22"/>
      <w:u w:val="none"/>
      <w:lang w:val="zh-CN" w:eastAsia="zh-CN" w:bidi="zh-CN"/>
    </w:rPr>
  </w:style>
  <w:style w:type="character" w:customStyle="1" w:styleId="67">
    <w:name w:val="标题 1 字符1"/>
    <w:qFormat/>
    <w:uiPriority w:val="0"/>
    <w:rPr>
      <w:b/>
      <w:bCs/>
      <w:kern w:val="44"/>
      <w:sz w:val="44"/>
      <w:szCs w:val="44"/>
    </w:rPr>
  </w:style>
  <w:style w:type="character" w:customStyle="1" w:styleId="68">
    <w:name w:val="正文文本 字符"/>
    <w:qFormat/>
    <w:uiPriority w:val="0"/>
    <w:rPr>
      <w:rFonts w:ascii="Times New Roman" w:hAnsi="Times New Roman"/>
      <w:kern w:val="2"/>
      <w:sz w:val="21"/>
      <w:szCs w:val="24"/>
    </w:rPr>
  </w:style>
  <w:style w:type="character" w:customStyle="1" w:styleId="69">
    <w:name w:val="批注文字 字符"/>
    <w:qFormat/>
    <w:uiPriority w:val="99"/>
    <w:rPr>
      <w:rFonts w:ascii="Times New Roman" w:hAnsi="Times New Roman"/>
      <w:kern w:val="2"/>
      <w:sz w:val="21"/>
      <w:szCs w:val="24"/>
    </w:rPr>
  </w:style>
  <w:style w:type="character" w:customStyle="1" w:styleId="70">
    <w:name w:val="textcontents"/>
    <w:qFormat/>
    <w:uiPriority w:val="0"/>
  </w:style>
  <w:style w:type="character" w:customStyle="1" w:styleId="71">
    <w:name w:val="批注文字 Char"/>
    <w:qFormat/>
    <w:uiPriority w:val="0"/>
    <w:rPr>
      <w:rFonts w:ascii="Times New Roman" w:hAnsi="Times New Roman"/>
      <w:kern w:val="2"/>
      <w:sz w:val="21"/>
      <w:szCs w:val="24"/>
    </w:rPr>
  </w:style>
  <w:style w:type="paragraph" w:customStyle="1" w:styleId="72">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73">
    <w:name w:val="列表段落1"/>
    <w:basedOn w:val="1"/>
    <w:qFormat/>
    <w:uiPriority w:val="34"/>
    <w:pPr>
      <w:ind w:firstLine="420" w:firstLineChars="200"/>
    </w:pPr>
  </w:style>
  <w:style w:type="paragraph" w:customStyle="1" w:styleId="74">
    <w:name w:val="默认段落字体 Para Char Char Char Char Char Char Char Char Char1 Char Char Char Char"/>
    <w:basedOn w:val="1"/>
    <w:qFormat/>
    <w:uiPriority w:val="0"/>
    <w:rPr>
      <w:rFonts w:ascii="Tahoma" w:hAnsi="Tahoma"/>
      <w:sz w:val="24"/>
      <w:szCs w:val="20"/>
    </w:rPr>
  </w:style>
  <w:style w:type="paragraph" w:customStyle="1" w:styleId="75">
    <w:name w:val="Table Paragraph"/>
    <w:basedOn w:val="1"/>
    <w:qFormat/>
    <w:uiPriority w:val="1"/>
    <w:pPr>
      <w:jc w:val="left"/>
    </w:pPr>
    <w:rPr>
      <w:rFonts w:ascii="Calibri" w:hAnsi="Calibri"/>
      <w:kern w:val="0"/>
      <w:sz w:val="22"/>
      <w:szCs w:val="22"/>
      <w:lang w:eastAsia="en-US"/>
    </w:rPr>
  </w:style>
  <w:style w:type="paragraph" w:customStyle="1" w:styleId="76">
    <w:name w:val="Char Char Char Char"/>
    <w:basedOn w:val="1"/>
    <w:qFormat/>
    <w:uiPriority w:val="0"/>
    <w:pPr>
      <w:widowControl/>
      <w:spacing w:after="160" w:line="240" w:lineRule="exact"/>
      <w:jc w:val="left"/>
    </w:pPr>
  </w:style>
  <w:style w:type="character" w:customStyle="1" w:styleId="77">
    <w:name w:val="未处理的提及1"/>
    <w:qFormat/>
    <w:uiPriority w:val="99"/>
    <w:rPr>
      <w:color w:val="605E5C"/>
      <w:shd w:val="clear" w:color="auto" w:fill="E1DFDD"/>
    </w:rPr>
  </w:style>
  <w:style w:type="paragraph" w:customStyle="1" w:styleId="78">
    <w:name w:val="TOC 标题1"/>
    <w:basedOn w:val="2"/>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character" w:customStyle="1" w:styleId="79">
    <w:name w:val="正文2 Char Char"/>
    <w:link w:val="80"/>
    <w:qFormat/>
    <w:uiPriority w:val="0"/>
    <w:rPr>
      <w:sz w:val="24"/>
    </w:rPr>
  </w:style>
  <w:style w:type="paragraph" w:customStyle="1" w:styleId="80">
    <w:name w:val="正文2"/>
    <w:basedOn w:val="1"/>
    <w:link w:val="79"/>
    <w:qFormat/>
    <w:uiPriority w:val="0"/>
    <w:pPr>
      <w:adjustRightInd w:val="0"/>
      <w:spacing w:before="156" w:line="360" w:lineRule="auto"/>
      <w:ind w:firstLine="510" w:firstLineChars="200"/>
    </w:pPr>
    <w:rPr>
      <w:kern w:val="0"/>
      <w:sz w:val="24"/>
      <w:szCs w:val="20"/>
    </w:rPr>
  </w:style>
  <w:style w:type="paragraph" w:customStyle="1" w:styleId="81">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82">
    <w:name w:val="正文缩进1"/>
    <w:basedOn w:val="1"/>
    <w:qFormat/>
    <w:uiPriority w:val="0"/>
    <w:pPr>
      <w:autoSpaceDE w:val="0"/>
      <w:autoSpaceDN w:val="0"/>
      <w:adjustRightInd w:val="0"/>
      <w:snapToGrid w:val="0"/>
      <w:spacing w:after="120" w:line="360" w:lineRule="auto"/>
      <w:ind w:left="420" w:leftChars="200" w:firstLine="480" w:firstLineChars="200"/>
    </w:pPr>
    <w:rPr>
      <w:sz w:val="24"/>
      <w:szCs w:val="21"/>
    </w:rPr>
  </w:style>
  <w:style w:type="character" w:customStyle="1" w:styleId="83">
    <w:name w:val="标题 1 字符"/>
    <w:qFormat/>
    <w:uiPriority w:val="9"/>
    <w:rPr>
      <w:b/>
      <w:bCs/>
      <w:kern w:val="44"/>
      <w:sz w:val="44"/>
      <w:szCs w:val="44"/>
    </w:rPr>
  </w:style>
  <w:style w:type="character" w:customStyle="1" w:styleId="84">
    <w:name w:val="标题 2 字符"/>
    <w:qFormat/>
    <w:uiPriority w:val="9"/>
    <w:rPr>
      <w:rFonts w:ascii="Cambria" w:hAnsi="Cambria"/>
      <w:b/>
      <w:bCs/>
      <w:kern w:val="2"/>
      <w:sz w:val="32"/>
      <w:szCs w:val="32"/>
    </w:rPr>
  </w:style>
  <w:style w:type="character" w:customStyle="1" w:styleId="85">
    <w:name w:val="标题 3 字符"/>
    <w:qFormat/>
    <w:uiPriority w:val="9"/>
    <w:rPr>
      <w:b/>
      <w:bCs/>
      <w:kern w:val="2"/>
      <w:sz w:val="32"/>
      <w:szCs w:val="32"/>
    </w:rPr>
  </w:style>
  <w:style w:type="character" w:customStyle="1" w:styleId="86">
    <w:name w:val="标题 5 字符"/>
    <w:qFormat/>
    <w:uiPriority w:val="9"/>
    <w:rPr>
      <w:b/>
      <w:bCs/>
      <w:kern w:val="2"/>
      <w:sz w:val="28"/>
      <w:szCs w:val="28"/>
    </w:rPr>
  </w:style>
  <w:style w:type="character" w:customStyle="1" w:styleId="87">
    <w:name w:val="标题 8 字符"/>
    <w:qFormat/>
    <w:uiPriority w:val="9"/>
    <w:rPr>
      <w:rFonts w:ascii="等线 Light" w:hAnsi="等线 Light" w:eastAsia="等线 Light"/>
      <w:kern w:val="2"/>
      <w:sz w:val="24"/>
      <w:szCs w:val="24"/>
    </w:rPr>
  </w:style>
  <w:style w:type="character" w:customStyle="1" w:styleId="88">
    <w:name w:val="批注文字 字符2"/>
    <w:qFormat/>
    <w:uiPriority w:val="99"/>
    <w:rPr>
      <w:kern w:val="2"/>
      <w:sz w:val="21"/>
      <w:szCs w:val="24"/>
    </w:rPr>
  </w:style>
  <w:style w:type="character" w:customStyle="1" w:styleId="89">
    <w:name w:val="正文文本 3 字符"/>
    <w:qFormat/>
    <w:uiPriority w:val="99"/>
    <w:rPr>
      <w:kern w:val="2"/>
      <w:sz w:val="16"/>
      <w:szCs w:val="16"/>
    </w:rPr>
  </w:style>
  <w:style w:type="character" w:customStyle="1" w:styleId="90">
    <w:name w:val="正文文本 字符1"/>
    <w:qFormat/>
    <w:uiPriority w:val="0"/>
    <w:rPr>
      <w:kern w:val="2"/>
      <w:sz w:val="21"/>
      <w:szCs w:val="24"/>
    </w:rPr>
  </w:style>
  <w:style w:type="character" w:customStyle="1" w:styleId="91">
    <w:name w:val="正文文本缩进 字符"/>
    <w:qFormat/>
    <w:uiPriority w:val="0"/>
    <w:rPr>
      <w:rFonts w:ascii="仿宋_GB2312" w:eastAsia="仿宋_GB2312"/>
      <w:sz w:val="32"/>
    </w:rPr>
  </w:style>
  <w:style w:type="character" w:customStyle="1" w:styleId="92">
    <w:name w:val="纯文本 字符3"/>
    <w:qFormat/>
    <w:uiPriority w:val="0"/>
    <w:rPr>
      <w:rFonts w:ascii="宋体" w:hAnsi="Courier New"/>
      <w:szCs w:val="21"/>
    </w:rPr>
  </w:style>
  <w:style w:type="character" w:customStyle="1" w:styleId="93">
    <w:name w:val="日期 字符"/>
    <w:qFormat/>
    <w:uiPriority w:val="99"/>
    <w:rPr>
      <w:kern w:val="2"/>
      <w:sz w:val="21"/>
      <w:szCs w:val="24"/>
    </w:rPr>
  </w:style>
  <w:style w:type="character" w:customStyle="1" w:styleId="94">
    <w:name w:val="页脚 字符"/>
    <w:qFormat/>
    <w:uiPriority w:val="99"/>
    <w:rPr>
      <w:sz w:val="18"/>
      <w:szCs w:val="18"/>
    </w:rPr>
  </w:style>
  <w:style w:type="character" w:customStyle="1" w:styleId="95">
    <w:name w:val="页眉 字符"/>
    <w:qFormat/>
    <w:uiPriority w:val="99"/>
    <w:rPr>
      <w:sz w:val="18"/>
      <w:szCs w:val="18"/>
    </w:rPr>
  </w:style>
  <w:style w:type="character" w:customStyle="1" w:styleId="96">
    <w:name w:val="批注主题 字符"/>
    <w:qFormat/>
    <w:uiPriority w:val="99"/>
    <w:rPr>
      <w:rFonts w:ascii="Times New Roman" w:hAnsi="Times New Roman"/>
      <w:b/>
      <w:bCs/>
      <w:kern w:val="2"/>
      <w:sz w:val="21"/>
      <w:szCs w:val="24"/>
    </w:rPr>
  </w:style>
  <w:style w:type="paragraph" w:customStyle="1" w:styleId="97">
    <w:name w:val="_Style 94"/>
    <w:basedOn w:val="1"/>
    <w:qFormat/>
    <w:uiPriority w:val="99"/>
  </w:style>
  <w:style w:type="paragraph" w:customStyle="1" w:styleId="98">
    <w:name w:val="_Style 95"/>
    <w:basedOn w:val="1"/>
    <w:qFormat/>
    <w:uiPriority w:val="99"/>
  </w:style>
  <w:style w:type="paragraph" w:customStyle="1" w:styleId="99">
    <w:name w:val="msonormal"/>
    <w:basedOn w:val="1"/>
    <w:qFormat/>
    <w:uiPriority w:val="99"/>
    <w:rPr>
      <w:rFonts w:ascii="Calibri" w:hAnsi="Calibri"/>
      <w:kern w:val="0"/>
      <w:sz w:val="24"/>
    </w:rPr>
  </w:style>
  <w:style w:type="paragraph" w:customStyle="1" w:styleId="100">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character" w:customStyle="1" w:styleId="101">
    <w:name w:val="未处理的提及11"/>
    <w:qFormat/>
    <w:uiPriority w:val="99"/>
    <w:rPr>
      <w:color w:val="605E5C"/>
      <w:shd w:val="clear" w:color="auto" w:fill="E1DFDD"/>
    </w:rPr>
  </w:style>
  <w:style w:type="paragraph" w:customStyle="1" w:styleId="102">
    <w:name w:val="TOC 标题11"/>
    <w:basedOn w:val="2"/>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character" w:customStyle="1" w:styleId="103">
    <w:name w:val="纯文本 Char1"/>
    <w:qFormat/>
    <w:uiPriority w:val="0"/>
    <w:rPr>
      <w:rFonts w:ascii="宋体" w:hAnsi="Courier New"/>
      <w:szCs w:val="21"/>
    </w:rPr>
  </w:style>
  <w:style w:type="character" w:customStyle="1" w:styleId="104">
    <w:name w:val="批注文字 Char1"/>
    <w:qFormat/>
    <w:uiPriority w:val="0"/>
    <w:rPr>
      <w:kern w:val="2"/>
      <w:sz w:val="21"/>
      <w:szCs w:val="24"/>
    </w:rPr>
  </w:style>
  <w:style w:type="character" w:customStyle="1" w:styleId="105">
    <w:name w:val="标题 1 Char"/>
    <w:qFormat/>
    <w:uiPriority w:val="9"/>
    <w:rPr>
      <w:b/>
      <w:bCs/>
      <w:kern w:val="44"/>
      <w:sz w:val="44"/>
      <w:szCs w:val="44"/>
    </w:rPr>
  </w:style>
  <w:style w:type="character" w:customStyle="1" w:styleId="106">
    <w:name w:val="正文文本 Char1"/>
    <w:qFormat/>
    <w:uiPriority w:val="0"/>
    <w:rPr>
      <w:kern w:val="2"/>
      <w:sz w:val="21"/>
      <w:szCs w:val="24"/>
    </w:rPr>
  </w:style>
  <w:style w:type="character" w:customStyle="1" w:styleId="107">
    <w:name w:val="正文文本缩进 Char"/>
    <w:qFormat/>
    <w:uiPriority w:val="0"/>
    <w:rPr>
      <w:rFonts w:ascii="仿宋_GB2312" w:eastAsia="仿宋_GB2312"/>
      <w:sz w:val="32"/>
    </w:rPr>
  </w:style>
  <w:style w:type="paragraph" w:customStyle="1" w:styleId="108">
    <w:name w:val="修订1"/>
    <w:qFormat/>
    <w:uiPriority w:val="99"/>
    <w:rPr>
      <w:rFonts w:ascii="Times New Roman" w:hAnsi="Times New Roman" w:eastAsia="宋体" w:cs="Times New Roman"/>
      <w:kern w:val="2"/>
      <w:sz w:val="21"/>
      <w:szCs w:val="24"/>
      <w:lang w:val="en-US" w:eastAsia="zh-CN" w:bidi="ar-SA"/>
    </w:rPr>
  </w:style>
  <w:style w:type="character" w:customStyle="1" w:styleId="109">
    <w:name w:val="未处理的提及2"/>
    <w:qFormat/>
    <w:uiPriority w:val="99"/>
    <w:rPr>
      <w:color w:val="605E5C"/>
      <w:shd w:val="clear" w:color="auto" w:fill="E1DFDD"/>
    </w:rPr>
  </w:style>
  <w:style w:type="paragraph" w:customStyle="1" w:styleId="110">
    <w:name w:val="修订2"/>
    <w:qFormat/>
    <w:uiPriority w:val="99"/>
    <w:rPr>
      <w:rFonts w:ascii="Times New Roman" w:hAnsi="Times New Roman" w:eastAsia="宋体" w:cs="Times New Roman"/>
      <w:kern w:val="2"/>
      <w:sz w:val="21"/>
      <w:szCs w:val="24"/>
      <w:lang w:val="en-US" w:eastAsia="zh-CN" w:bidi="ar-SA"/>
    </w:rPr>
  </w:style>
  <w:style w:type="character" w:customStyle="1" w:styleId="111">
    <w:name w:val="未处理的提及3"/>
    <w:qFormat/>
    <w:uiPriority w:val="99"/>
    <w:rPr>
      <w:color w:val="605E5C"/>
      <w:shd w:val="clear" w:color="auto" w:fill="E1DFDD"/>
    </w:rPr>
  </w:style>
  <w:style w:type="paragraph" w:customStyle="1" w:styleId="112">
    <w:name w:val="修订3"/>
    <w:hidden/>
    <w:unhideWhenUsed/>
    <w:qFormat/>
    <w:uiPriority w:val="99"/>
    <w:rPr>
      <w:rFonts w:ascii="Times New Roman" w:hAnsi="Times New Roman" w:eastAsia="宋体" w:cs="Times New Roman"/>
      <w:kern w:val="2"/>
      <w:sz w:val="21"/>
      <w:szCs w:val="24"/>
      <w:lang w:val="en-US" w:eastAsia="zh-CN" w:bidi="ar-SA"/>
    </w:rPr>
  </w:style>
  <w:style w:type="character" w:customStyle="1" w:styleId="113">
    <w:name w:val="批注文字 Char2"/>
    <w:basedOn w:val="28"/>
    <w:link w:val="11"/>
    <w:qFormat/>
    <w:uiPriority w:val="0"/>
    <w:rPr>
      <w:kern w:val="2"/>
      <w:sz w:val="21"/>
      <w:szCs w:val="24"/>
    </w:rPr>
  </w:style>
  <w:style w:type="character" w:customStyle="1" w:styleId="114">
    <w:name w:val="纯文本 Char2"/>
    <w:basedOn w:val="28"/>
    <w:link w:val="16"/>
    <w:qFormat/>
    <w:uiPriority w:val="0"/>
    <w:rPr>
      <w:rFonts w:hint="eastAsia" w:ascii="宋体" w:hAnsi="Courier New" w:eastAsia="宋体" w:cs="宋体"/>
      <w:szCs w:val="21"/>
    </w:rPr>
  </w:style>
  <w:style w:type="paragraph" w:customStyle="1" w:styleId="115">
    <w:name w:val="Char Char Char3"/>
    <w:basedOn w:val="1"/>
    <w:qFormat/>
    <w:uiPriority w:val="0"/>
    <w:pPr>
      <w:widowControl/>
      <w:spacing w:after="160" w:line="240" w:lineRule="exact"/>
      <w:jc w:val="left"/>
    </w:pPr>
    <w:rPr>
      <w:rFonts w:ascii="Verdana" w:hAnsi="Verdana"/>
      <w:kern w:val="0"/>
      <w:sz w:val="20"/>
      <w:szCs w:val="20"/>
      <w:lang w:eastAsia="en-US"/>
    </w:rPr>
  </w:style>
  <w:style w:type="paragraph" w:customStyle="1" w:styleId="116">
    <w:name w:val="Table Text"/>
    <w:basedOn w:val="1"/>
    <w:semiHidden/>
    <w:qFormat/>
    <w:uiPriority w:val="0"/>
    <w:rPr>
      <w:rFonts w:ascii="宋体" w:hAnsi="宋体" w:eastAsia="宋体" w:cs="宋体"/>
      <w:sz w:val="20"/>
      <w:szCs w:val="20"/>
    </w:rPr>
  </w:style>
  <w:style w:type="table" w:customStyle="1" w:styleId="117">
    <w:name w:val="Table Normal"/>
    <w:semiHidden/>
    <w:unhideWhenUsed/>
    <w:qFormat/>
    <w:uiPriority w:val="0"/>
    <w:tblPr>
      <w:tblCellMar>
        <w:top w:w="0" w:type="dxa"/>
        <w:left w:w="0" w:type="dxa"/>
        <w:bottom w:w="0" w:type="dxa"/>
        <w:right w:w="0" w:type="dxa"/>
      </w:tblCellMar>
    </w:tblPr>
  </w:style>
  <w:style w:type="paragraph" w:customStyle="1" w:styleId="118">
    <w:name w:val="标题 2  同行"/>
    <w:basedOn w:val="3"/>
    <w:next w:val="1"/>
    <w:qFormat/>
    <w:uiPriority w:val="0"/>
    <w:pPr>
      <w:keepNext w:val="0"/>
      <w:keepLines w:val="0"/>
      <w:tabs>
        <w:tab w:val="left" w:pos="0"/>
      </w:tabs>
      <w:jc w:val="left"/>
    </w:pPr>
    <w:rPr>
      <w:rFonts w:ascii="仿宋_GB2312" w:hAnsi="仿宋_GB2312" w:eastAsia="仿宋_GB2312"/>
    </w:rPr>
  </w:style>
  <w:style w:type="character" w:customStyle="1" w:styleId="119">
    <w:name w:val="font31"/>
    <w:basedOn w:val="28"/>
    <w:qFormat/>
    <w:uiPriority w:val="0"/>
    <w:rPr>
      <w:rFonts w:hint="eastAsia" w:ascii="宋体" w:hAnsi="宋体" w:eastAsia="宋体" w:cs="宋体"/>
      <w:color w:val="000000"/>
      <w:sz w:val="20"/>
      <w:szCs w:val="20"/>
      <w:u w:val="none"/>
    </w:rPr>
  </w:style>
  <w:style w:type="paragraph" w:customStyle="1" w:styleId="120">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21">
    <w:name w:val="List Paragraph"/>
    <w:basedOn w:val="1"/>
    <w:qFormat/>
    <w:uiPriority w:val="0"/>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2.jpe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861f8616-b3f2-4a35-b9e0-f8dc0cb48718</errorID>
      <errorWord>，</errorWord>
      <group>L1_Punc</group>
      <groupName>标点问题</groupName>
      <ability>L2_Punc_CN</ability>
      <abilityName>标点符号问题</abilityName>
      <candidateList>
        <item>。</item>
      </candidateList>
      <explain/>
      <paraID>72D7A5AE</paraID>
      <start>41</start>
      <end>42</end>
      <status>unmodified</status>
      <modifiedWord/>
      <trackRevisions>false</trackRevisions>
    </reviewItem>
    <reviewItem>
      <errorID>a5dbe22a-df16-4630-8d68-6d4ae9ad0a68</errorID>
      <errorWord>2026年09月15日</errorWord>
      <group>L1_Knowledge</group>
      <groupName>知识性问题</groupName>
      <ability>L2_Time</ability>
      <abilityName>日期时间</abilityName>
      <candidateList>
        <item>2026年9月15日</item>
      </candidateList>
      <explain>根据日常书写习惯，月份一般会省略前导零。</explain>
      <paraID>72D7A5AE</paraID>
      <start>44</start>
      <end>55</end>
      <status>unmodified</status>
      <modifiedWord/>
      <trackRevisions>false</trackRevisions>
    </reviewItem>
    <reviewItem>
      <errorID>73b4754f-534d-4e70-aa34-e4f81c9512e4</errorID>
      <errorWord>签订之日起至</errorWord>
      <group>L1_Word</group>
      <groupName>字词问题</groupName>
      <ability>L2_Typo</ability>
      <abilityName>字词错误</abilityName>
      <candidateList>
        <item>签订之日起</item>
      </candidateList>
      <explain/>
      <paraID>2F95BB69</paraID>
      <start>12</start>
      <end>18</end>
      <status>unmodified</status>
      <modifiedWord/>
      <trackRevisions>false</trackRevisions>
    </reviewItem>
    <reviewItem>
      <errorID>89deccd3-77fd-4a2b-a6c0-ccf2c68d95ec</errorID>
      <errorWord>2026年09月04日</errorWord>
      <group>L1_Knowledge</group>
      <groupName>知识性问题</groupName>
      <ability>L2_Time</ability>
      <abilityName>日期时间</abilityName>
      <candidateList>
        <item>2026年9月4日</item>
      </candidateList>
      <explain>根据日常书写习惯，月份和日期一般会省略前导零。</explain>
      <paraID>34BD466B</paraID>
      <start>3</start>
      <end>14</end>
      <status>unmodified</status>
      <modifiedWord/>
      <trackRevisions>false</trackRevisions>
    </reviewItem>
    <reviewItem>
      <errorID>7b876d12-4ac8-4b1a-a8f8-b0bba5c9071f</errorID>
      <errorWord>2026年09月11日</errorWord>
      <group>L1_Knowledge</group>
      <groupName>知识性问题</groupName>
      <ability>L2_Time</ability>
      <abilityName>日期时间</abilityName>
      <candidateList>
        <item>2026年9月11日</item>
      </candidateList>
      <explain>根据日常书写习惯，月份一般会省略前导零。</explain>
      <paraID>34BD466B</paraID>
      <start>15</start>
      <end>26</end>
      <status>unmodified</status>
      <modifiedWord/>
      <trackRevisions>false</trackRevisions>
    </reviewItem>
    <reviewItem>
      <errorID>b15e30c9-4d44-4936-b46e-6cd46d1d5809</errorID>
      <errorWord>上午00:00</errorWord>
      <group>L1_Knowledge</group>
      <groupName>知识性问题</groupName>
      <ability>L2_Time</ability>
      <abilityName>日期时间</abilityName>
      <candidateList/>
      <explain>时间与前缀不匹配，可能的时间前缀有“下午、晚上、凌晨、午夜”。</explain>
      <paraID>34BD466B</paraID>
      <start>29</start>
      <end>36</end>
      <status>unmodified</status>
      <modifiedWord/>
      <trackRevisions>false</trackRevisions>
    </reviewItem>
    <reviewItem>
      <errorID>2fea9912-2064-4606-944d-c9a2b6e1b314</errorID>
      <errorWord>2026年09月15日</errorWord>
      <group>L1_Knowledge</group>
      <groupName>知识性问题</groupName>
      <ability>L2_Time</ability>
      <abilityName>日期时间</abilityName>
      <candidateList>
        <item>2026年9月15日</item>
      </candidateList>
      <explain>根据日常书写习惯，月份一般会省略前导零。</explain>
      <paraID>2F5A39E7</paraID>
      <start>5</start>
      <end>16</end>
      <status>unmodified</status>
      <modifiedWord/>
      <trackRevisions>false</trackRevisions>
    </reviewItem>
    <reviewItem>
      <errorID>3a360389-fea9-4368-b21c-1e22dc36d330</errorID>
      <errorWord>2026年09月15日</errorWord>
      <group>L1_Knowledge</group>
      <groupName>知识性问题</groupName>
      <ability>L2_Time</ability>
      <abilityName>日期时间</abilityName>
      <candidateList>
        <item>2026年9月15日</item>
      </candidateList>
      <explain>根据日常书写习惯，月份一般会省略前导零。</explain>
      <paraID>1441D2C2</paraID>
      <start>5</start>
      <end>16</end>
      <status>unmodified</status>
      <modifiedWord/>
      <trackRevisions>false</trackRevisions>
    </reviewItem>
    <reviewItem>
      <errorID>25e0fad2-cfa9-4bc3-87ed-46948a24db99</errorID>
      <errorWord>热线服务帮助</errorWord>
      <group>L1_Grammar</group>
      <groupName>语法问题</groupName>
      <ability>L2_Grammar</ability>
      <abilityName>语法错误</abilityName>
      <candidateList>
        <item>热线服务</item>
      </candidateList>
      <explain/>
      <paraID>59F07EE9</paraID>
      <start>116</start>
      <end>122</end>
      <status>unmodified</status>
      <modifiedWord/>
      <trackRevisions>false</trackRevisions>
    </reviewItem>
    <reviewItem>
      <errorID>ecf2357e-c613-497e-9d11-cfdc8735c4f6</errorID>
      <errorWord>2026年09月04日</errorWord>
      <group>L1_Knowledge</group>
      <groupName>知识性问题</groupName>
      <ability>L2_Time</ability>
      <abilityName>日期时间</abilityName>
      <candidateList>
        <item>2026年9月4日</item>
      </candidateList>
      <explain>根据日常书写习惯，月份和日期一般会省略前导零。</explain>
      <paraID>7F01A4A6</paraID>
      <start>54</start>
      <end>65</end>
      <status>unmodified</status>
      <modifiedWord/>
      <trackRevisions>false</trackRevisions>
    </reviewItem>
    <reviewItem>
      <errorID>8cc11d5f-372b-426a-8e46-9683e8c89fc0</errorID>
      <errorWord>(</errorWord>
      <group>L1_Format</group>
      <groupName>格式问题</groupName>
      <ability>L2_HalfPunc_CN</ability>
      <abilityName>全半角问题</abilityName>
      <candidateList>
        <item>（</item>
      </candidateList>
      <explain>文本全半角错误。</explain>
      <paraID>79647D63</paraID>
      <start>247</start>
      <end>248</end>
      <status>modified</status>
      <modifiedWord>（</modifiedWord>
      <trackRevisions>false</trackRevisions>
    </reviewItem>
    <reviewItem>
      <errorID>6f85b289-7013-41fa-a0fe-f636cd1e65c5</errorID>
      <errorWord>)</errorWord>
      <group>L1_Format</group>
      <groupName>格式问题</groupName>
      <ability>L2_HalfPunc_CN</ability>
      <abilityName>全半角问题</abilityName>
      <candidateList>
        <item>）</item>
      </candidateList>
      <explain>文本全半角错误。</explain>
      <paraID>79647D63</paraID>
      <start>258</start>
      <end>259</end>
      <status>modified</status>
      <modifiedWord>）</modifiedWord>
      <trackRevisions>false</trackRevisions>
    </reviewItem>
    <reviewItem>
      <errorID>939a6a50-32bf-4c25-90d1-b5a07c80b7cc</errorID>
      <errorWord>(</errorWord>
      <group>L1_Format</group>
      <groupName>格式问题</groupName>
      <ability>L2_HalfPunc_CN</ability>
      <abilityName>全半角问题</abilityName>
      <candidateList>
        <item>（</item>
      </candidateList>
      <explain>文本全半角错误。</explain>
      <paraID>79647D63</paraID>
      <start>330</start>
      <end>331</end>
      <status>modified</status>
      <modifiedWord>（</modifiedWord>
      <trackRevisions>false</trackRevisions>
    </reviewItem>
    <reviewItem>
      <errorID>7e11b79d-496a-4817-ba06-d197e557cc2a</errorID>
      <errorWord>)</errorWord>
      <group>L1_Format</group>
      <groupName>格式问题</groupName>
      <ability>L2_HalfPunc_CN</ability>
      <abilityName>全半角问题</abilityName>
      <candidateList>
        <item>）</item>
      </candidateList>
      <explain>文本全半角错误。</explain>
      <paraID>79647D63</paraID>
      <start>341</start>
      <end>342</end>
      <status>modified</status>
      <modifiedWord>）</modifiedWord>
      <trackRevisions>false</trackRevisions>
    </reviewItem>
    <reviewItem>
      <errorID>1d5dd6f5-ef6d-40be-860d-c97ccac9265e</errorID>
      <errorWord>签订之日起至</errorWord>
      <group>L1_Word</group>
      <groupName>字词问题</groupName>
      <ability>L2_Typo</ability>
      <abilityName>字词错误</abilityName>
      <candidateList>
        <item>签订之日起</item>
      </candidateList>
      <explain/>
      <paraID>7ED99F80</paraID>
      <start>13</start>
      <end>19</end>
      <status>unmodified</status>
      <modifiedWord/>
      <trackRevisions>false</trackRevisions>
    </reviewItem>
    <reviewItem>
      <errorID>93e634be-eb40-4ccf-aba1-09922d03a6a3</errorID>
      <errorWord>法律、法规</errorWord>
      <group>L1_Word</group>
      <groupName>字词问题</groupName>
      <ability>L2_Typo</ability>
      <abilityName>字词错误</abilityName>
      <candidateList>
        <item>法律法规</item>
      </candidateList>
      <explain/>
      <paraID>163E8069</paraID>
      <start>18</start>
      <end>22</end>
      <status>modified</status>
      <modifiedWord>法律法规</modifiedWord>
      <trackRevisions>false</trackRevisions>
    </reviewItem>
    <reviewItem>
      <errorID>73b07ed9-592f-4f77-a431-29ce8dd9cf01</errorID>
      <errorWord>法律、法规</errorWord>
      <group>L1_Word</group>
      <groupName>字词问题</groupName>
      <ability>L2_Typo</ability>
      <abilityName>字词错误</abilityName>
      <candidateList>
        <item>法律法规</item>
      </candidateList>
      <explain/>
      <paraID>163E8069</paraID>
      <start>52</start>
      <end>56</end>
      <status>modified</status>
      <modifiedWord>法律法规</modifiedWord>
      <trackRevisions>false</trackRevisions>
    </reviewItem>
    <reviewItem>
      <errorID>9b308d2e-52d9-4fe9-96ac-6c06023a045c</errorID>
      <errorWord>(</errorWord>
      <group>L1_Format</group>
      <groupName>格式问题</groupName>
      <ability>L2_HalfPunc_CN</ability>
      <abilityName>全半角问题</abilityName>
      <candidateList>
        <item>（</item>
      </candidateList>
      <explain>文本全半角错误。</explain>
      <paraID>44C2C757</paraID>
      <start>4</start>
      <end>5</end>
      <status>modified</status>
      <modifiedWord>（</modifiedWord>
      <trackRevisions>false</trackRevisions>
    </reviewItem>
    <reviewItem>
      <errorID>c555b78a-7ed1-4d9a-91dd-6061e4fc2f97</errorID>
      <errorWord>)</errorWord>
      <group>L1_Format</group>
      <groupName>格式问题</groupName>
      <ability>L2_HalfPunc_CN</ability>
      <abilityName>全半角问题</abilityName>
      <candidateList>
        <item>）</item>
      </candidateList>
      <explain>文本全半角错误。</explain>
      <paraID>44C2C757</paraID>
      <start>14</start>
      <end>15</end>
      <status>modified</status>
      <modifiedWord>）</modifiedWord>
      <trackRevisions>false</trackRevisions>
    </reviewItem>
    <reviewItem>
      <errorID>3bc0f006-a77d-4c02-b196-306cd48abfa6</errorID>
      <errorWord>(</errorWord>
      <group>L1_Format</group>
      <groupName>格式问题</groupName>
      <ability>L2_HalfPunc_CN</ability>
      <abilityName>全半角问题</abilityName>
      <candidateList>
        <item>（</item>
      </candidateList>
      <explain>文本全半角错误。</explain>
      <paraID>44C2C757</paraID>
      <start>17</start>
      <end>18</end>
      <status>modified</status>
      <modifiedWord>（</modifiedWord>
      <trackRevisions>false</trackRevisions>
    </reviewItem>
    <reviewItem>
      <errorID>670d432b-8c20-45cc-bcc0-feed14b9db36</errorID>
      <errorWord>)</errorWord>
      <group>L1_Format</group>
      <groupName>格式问题</groupName>
      <ability>L2_HalfPunc_CN</ability>
      <abilityName>全半角问题</abilityName>
      <candidateList>
        <item>）</item>
      </candidateList>
      <explain>文本全半角错误。</explain>
      <paraID>44C2C757</paraID>
      <start>28</start>
      <end>29</end>
      <status>modified</status>
      <modifiedWord>）</modifiedWord>
      <trackRevisions>false</trackRevisions>
    </reviewItem>
    <reviewItem>
      <errorID>ecacfc6f-7eaa-4ef2-9e6d-88f51bfc2385</errorID>
      <errorWord>,</errorWord>
      <group>L1_Format</group>
      <groupName>格式问题</groupName>
      <ability>L2_HalfPunc_CN</ability>
      <abilityName>全半角问题</abilityName>
      <candidateList>
        <item>，</item>
      </candidateList>
      <explain>文本全半角错误。</explain>
      <paraID>568B2522</paraID>
      <start>34</start>
      <end>35</end>
      <status>modified</status>
      <modifiedWord>，</modifiedWord>
      <trackRevisions>false</trackRevisions>
    </reviewItem>
    <reviewItem>
      <errorID>f00aeb29-06ab-4850-af7e-a7c575694cb2</errorID>
      <errorWord>超</errorWord>
      <group>L1_Word</group>
      <groupName>字词问题</groupName>
      <ability>L2_Typo</ability>
      <abilityName>字词错误</abilityName>
      <candidateList>
        <item>超过</item>
      </candidateList>
      <explain/>
      <paraID>2089A824</paraID>
      <start>7</start>
      <end>9</end>
      <status>modified</status>
      <modifiedWord>超过</modifiedWord>
      <trackRevisions>false</trackRevisions>
    </reviewItem>
    <reviewItem>
      <errorID>17d83e04-4471-4a48-8a2a-a1096fc35a76</errorID>
      <errorWord>,</errorWord>
      <group>L1_Format</group>
      <groupName>格式问题</groupName>
      <ability>L2_HalfPunc_CN</ability>
      <abilityName>全半角问题</abilityName>
      <candidateList>
        <item>，</item>
      </candidateList>
      <explain>文本全半角错误。</explain>
      <paraID>2089A824</paraID>
      <start>119</start>
      <end>120</end>
      <status>modified</status>
      <modifiedWord>，</modifiedWord>
      <trackRevisions>false</trackRevisions>
    </reviewItem>
    <reviewItem>
      <errorID>da8d09e9-7866-43a8-bf23-ea0ea12449a5</errorID>
      <errorWord>)</errorWord>
      <group>L1_Format</group>
      <groupName>格式问题</groupName>
      <ability>L2_HalfPunc_CN</ability>
      <abilityName>全半角问题</abilityName>
      <candidateList>
        <item>）</item>
      </candidateList>
      <explain>文本全半角错误。</explain>
      <paraID>4396FE0B</paraID>
      <start>9</start>
      <end>10</end>
      <status>modified</status>
      <modifiedWord>）</modifiedWord>
      <trackRevisions>false</trackRevisions>
    </reviewItem>
    <reviewItem>
      <errorID>1a4fc159-0480-40dc-8e1c-1c9e1bf3b223</errorID>
      <errorWord>)(</errorWord>
      <group>L1_Format</group>
      <groupName>格式问题</groupName>
      <ability>L2_HalfPunc_CN</ability>
      <abilityName>全半角问题</abilityName>
      <candidateList>
        <item>）（</item>
      </candidateList>
      <explain>文本全半角错误。</explain>
      <paraID>2F2D6883</paraID>
      <start>9</start>
      <end>11</end>
      <status>modified</status>
      <modifiedWord>）（</modifiedWord>
      <trackRevisions>false</trackRevisions>
    </reviewItem>
    <reviewItem>
      <errorID>bb5d30fb-a30b-425c-a6b1-d181561a3bc2</errorID>
      <errorWord>连二楼层</errorWord>
      <group>L1_Word</group>
      <groupName>字词问题</groupName>
      <ability>L2_Typo</ability>
      <abilityName>字词错误</abilityName>
      <candidateList>
        <item>两楼层</item>
      </candidateList>
      <explain/>
      <paraID>2C1B0F23</paraID>
      <start>48</start>
      <end>52</end>
      <status>unmodified</status>
      <modifiedWord/>
      <trackRevisions>false</trackRevisions>
    </reviewItem>
    <reviewItem>
      <errorID>fd8f2c3c-72f8-4040-944a-02b3a6addf9f</errorID>
      <errorWord>份</errorWord>
      <group>L1_Knowledge</group>
      <groupName>知识性问题</groupName>
      <ability>L2_Knowledge</ability>
      <abilityName>其他知识</abilityName>
      <candidateList>
        <item>分</item>
      </candidateList>
      <explain>请检查“份”是否为量词使用错误，建议修改为“分”。</explain>
      <paraID>7AF067C4</paraID>
      <start>26</start>
      <end>27</end>
      <status>unmodified</status>
      <modifiedWord/>
      <trackRevisions>false</trackRevisions>
    </reviewItem>
    <reviewItem>
      <errorID>cf78dfd9-e515-413c-ad07-2749673bd951</errorID>
      <errorWord>粘结强度</errorWord>
      <group>L1_Knowledge</group>
      <groupName>知识性问题</groupName>
      <ability>L2_Term</ability>
      <abilityName>专业术语</abilityName>
      <candidateList>
        <item>粘接强度</item>
      </candidateList>
      <explain/>
      <paraID>1F42EB70</paraID>
      <start>0</start>
      <end>4</end>
      <status>unmodified</status>
      <modifiedWord/>
      <trackRevisions>false</trackRevisions>
    </reviewItem>
    <reviewItem>
      <errorID>8cb981b7-a5ab-45df-963a-311f13bf9948</errorID>
      <errorWord>(</errorWord>
      <group>L1_Format</group>
      <groupName>格式问题</groupName>
      <ability>L2_HalfPunc_CN</ability>
      <abilityName>全半角问题</abilityName>
      <candidateList>
        <item>（</item>
      </candidateList>
      <explain>文本全半角错误。</explain>
      <paraID>5E10F76A</paraID>
      <start>4</start>
      <end>5</end>
      <status>modified</status>
      <modifiedWord>（</modifiedWord>
      <trackRevisions>false</trackRevisions>
    </reviewItem>
    <reviewItem>
      <errorID>d67a0ee2-8b63-41af-86a9-7d332fab95a6</errorID>
      <errorWord>)</errorWord>
      <group>L1_Format</group>
      <groupName>格式问题</groupName>
      <ability>L2_HalfPunc_CN</ability>
      <abilityName>全半角问题</abilityName>
      <candidateList>
        <item>）</item>
      </candidateList>
      <explain>文本全半角错误。</explain>
      <paraID>5E10F76A</paraID>
      <start>9</start>
      <end>10</end>
      <status>modified</status>
      <modifiedWord>）</modifiedWord>
      <trackRevisions>false</trackRevisions>
    </reviewItem>
    <reviewItem>
      <errorID>9213ce20-c6c3-4c65-8f6e-275c1515e14c</errorID>
      <errorWord>PH值</errorWord>
      <group>L1_Word</group>
      <groupName>字词问题</groupName>
      <ability>L2_Typo</ability>
      <abilityName>字词错误</abilityName>
      <candidateList>
        <item>pH值</item>
      </candidateList>
      <explain/>
      <paraID>117DCE9D</paraID>
      <start>0</start>
      <end>3</end>
      <status>modified</status>
      <modifiedWord>pH值</modifiedWord>
      <trackRevisions>false</trackRevisions>
    </reviewItem>
    <reviewItem>
      <errorID>cf2cb367-867d-4049-9f4d-c44b00824f06</errorID>
      <errorWord>粘结强度</errorWord>
      <group>L1_Knowledge</group>
      <groupName>知识性问题</groupName>
      <ability>L2_Term</ability>
      <abilityName>专业术语</abilityName>
      <candidateList>
        <item>粘接强度</item>
      </candidateList>
      <explain/>
      <paraID>66E47CF4</paraID>
      <start>0</start>
      <end>4</end>
      <status>unmodified</status>
      <modifiedWord/>
      <trackRevisions>false</trackRevisions>
    </reviewItem>
    <reviewItem>
      <errorID>5d93c92e-6e4d-4a97-9a44-335e0eb0436f</errorID>
      <errorWord>粘结强度</errorWord>
      <group>L1_Knowledge</group>
      <groupName>知识性问题</groupName>
      <ability>L2_Term</ability>
      <abilityName>专业术语</abilityName>
      <candidateList>
        <item>粘接强度</item>
      </candidateList>
      <explain/>
      <paraID>4D32C301</paraID>
      <start>4</start>
      <end>8</end>
      <status>unmodified</status>
      <modifiedWord/>
      <trackRevisions>false</trackRevisions>
    </reviewItem>
    <reviewItem>
      <errorID>2577a2d4-0ecc-4c6c-aab1-aaf4f36aad81</errorID>
      <errorWord>(</errorWord>
      <group>L1_Format</group>
      <groupName>格式问题</groupName>
      <ability>L2_HalfPunc_CN</ability>
      <abilityName>全半角问题</abilityName>
      <candidateList>
        <item>（</item>
      </candidateList>
      <explain>文本全半角错误。</explain>
      <paraID> 7034CF6</paraID>
      <start>2</start>
      <end>3</end>
      <status>modified</status>
      <modifiedWord>（</modifiedWord>
      <trackRevisions>false</trackRevisions>
    </reviewItem>
    <reviewItem>
      <errorID>52968824-8d92-4f47-acd4-e5f07fdfad01</errorID>
      <errorWord>)</errorWord>
      <group>L1_Format</group>
      <groupName>格式问题</groupName>
      <ability>L2_HalfPunc_CN</ability>
      <abilityName>全半角问题</abilityName>
      <candidateList>
        <item>）</item>
      </candidateList>
      <explain>文本全半角错误。</explain>
      <paraID> 7034CF6</paraID>
      <start>4</start>
      <end>5</end>
      <status>modified</status>
      <modifiedWord>）</modifiedWord>
      <trackRevisions>false</trackRevisions>
    </reviewItem>
    <reviewItem>
      <errorID>de2fd74d-b094-408e-8286-deb7b732f557</errorID>
      <errorWord>(</errorWord>
      <group>L1_Format</group>
      <groupName>格式问题</groupName>
      <ability>L2_HalfPunc_CN</ability>
      <abilityName>全半角问题</abilityName>
      <candidateList>
        <item>（</item>
      </candidateList>
      <explain>文本全半角错误。</explain>
      <paraID>7C9DA30D</paraID>
      <start>0</start>
      <end>1</end>
      <status>modified</status>
      <modifiedWord>（</modifiedWord>
      <trackRevisions>false</trackRevisions>
    </reviewItem>
    <reviewItem>
      <errorID>f6fdc1ef-2da7-4bab-aada-42724b52fbed</errorID>
      <errorWord>)</errorWord>
      <group>L1_Format</group>
      <groupName>格式问题</groupName>
      <ability>L2_HalfPunc_CN</ability>
      <abilityName>全半角问题</abilityName>
      <candidateList>
        <item>）</item>
      </candidateList>
      <explain>文本全半角错误。</explain>
      <paraID>7C9DA30D</paraID>
      <start>6</start>
      <end>7</end>
      <status>modified</status>
      <modifiedWord>）</modifiedWord>
      <trackRevisions>false</trackRevisions>
    </reviewItem>
    <reviewItem>
      <errorID>b0bc7439-a3ab-4a9b-8c72-444332351eb5</errorID>
      <errorWord>是为</errorWord>
      <group>L1_Word</group>
      <groupName>字词问题</groupName>
      <ability>L2_Typo</ability>
      <abilityName>字词错误</abilityName>
      <candidateList>
        <item>视为</item>
      </candidateList>
      <explain/>
      <paraID>4A6660E3</paraID>
      <start>110</start>
      <end>112</end>
      <status>modified</status>
      <modifiedWord>视为</modifiedWord>
      <trackRevisions>false</trackRevisions>
    </reviewItem>
    <reviewItem>
      <errorID>feddf1f7-0da4-46df-b809-469ddff42424</errorID>
      <errorWord>(</errorWord>
      <group>L1_Format</group>
      <groupName>格式问题</groupName>
      <ability>L2_HalfPunc_CN</ability>
      <abilityName>全半角问题</abilityName>
      <candidateList>
        <item>（</item>
      </candidateList>
      <explain>文本全半角错误。</explain>
      <paraID>16847A5F</paraID>
      <start>4</start>
      <end>5</end>
      <status>modified</status>
      <modifiedWord>（</modifiedWord>
      <trackRevisions>false</trackRevisions>
    </reviewItem>
    <reviewItem>
      <errorID>665ca678-925c-49d7-a2dd-c101a79f9f79</errorID>
      <errorWord>(</errorWord>
      <group>L1_Format</group>
      <groupName>格式问题</groupName>
      <ability>L2_HalfPunc_CN</ability>
      <abilityName>全半角问题</abilityName>
      <candidateList>
        <item>（</item>
      </candidateList>
      <explain>文本全半角错误。</explain>
      <paraID> 7B8E7E1</paraID>
      <start>4</start>
      <end>5</end>
      <status>modified</status>
      <modifiedWord>（</modifiedWord>
      <trackRevisions>false</trackRevisions>
    </reviewItem>
    <reviewItem>
      <errorID>812b3be5-5619-4fd8-8195-01aaf495c192</errorID>
      <errorWord>粘结强度</errorWord>
      <group>L1_Knowledge</group>
      <groupName>知识性问题</groupName>
      <ability>L2_Term</ability>
      <abilityName>专业术语</abilityName>
      <candidateList>
        <item>粘接强度</item>
      </candidateList>
      <explain/>
      <paraID>61E299CD</paraID>
      <start>2</start>
      <end>6</end>
      <status>unmodified</status>
      <modifiedWord/>
      <trackRevisions>false</trackRevisions>
    </reviewItem>
    <reviewItem>
      <errorID>c35bf7a2-334a-40e5-afa8-0daf49448299</errorID>
      <errorWord>(</errorWord>
      <group>L1_Format</group>
      <groupName>格式问题</groupName>
      <ability>L2_HalfPunc_CN</ability>
      <abilityName>全半角问题</abilityName>
      <candidateList>
        <item>（</item>
      </candidateList>
      <explain>文本全半角错误。</explain>
      <paraID>23CF2F05</paraID>
      <start>9</start>
      <end>10</end>
      <status>modified</status>
      <modifiedWord>（</modifiedWord>
      <trackRevisions>false</trackRevisions>
    </reviewItem>
    <reviewItem>
      <errorID>002a823e-fb5f-401d-af5a-95a078eea7e0</errorID>
      <errorWord>)</errorWord>
      <group>L1_Format</group>
      <groupName>格式问题</groupName>
      <ability>L2_HalfPunc_CN</ability>
      <abilityName>全半角问题</abilityName>
      <candidateList>
        <item>）</item>
      </candidateList>
      <explain>文本全半角错误。</explain>
      <paraID>23CF2F05</paraID>
      <start>14</start>
      <end>15</end>
      <status>modified</status>
      <modifiedWord>）</modifiedWord>
      <trackRevisions>false</trackRevisions>
    </reviewItem>
    <reviewItem>
      <errorID>18c3207a-f351-478e-a56d-31b28d89234b</errorID>
      <errorWord>1000m2</errorWord>
      <group>L1_Word</group>
      <groupName>字词问题</groupName>
      <ability>L2_Typo</ability>
      <abilityName>字词错误</abilityName>
      <candidateList>
        <item>1000㎡</item>
      </candidateList>
      <explain/>
      <paraID>564C6BAD</paraID>
      <start>3</start>
      <end>9</end>
      <status>unmodified</status>
      <modifiedWord/>
      <trackRevisions>false</trackRevisions>
    </reviewItem>
    <reviewItem>
      <errorID>b4500c88-3618-4d9e-b100-5cf5c0ebe1a6</errorID>
      <errorWord>为</errorWord>
      <group>L1_Grammar</group>
      <groupName>语法问题</groupName>
      <ability>L2_Grammar</ability>
      <abilityName>语法错误</abilityName>
      <candidateList>
        <item>批次为</item>
      </candidateList>
      <explain/>
      <paraID>7FBEAA85</paraID>
      <start>19</start>
      <end>20</end>
      <status>unmodified</status>
      <modifiedWord/>
      <trackRevisions>false</trackRevisions>
    </reviewItem>
    <reviewItem>
      <errorID>caf3b555-0d44-4ba4-9820-94487a97ffc9</errorID>
      <errorWord>,</errorWord>
      <group>L1_Format</group>
      <groupName>格式问题</groupName>
      <ability>L2_HalfPunc_CN</ability>
      <abilityName>全半角问题</abilityName>
      <candidateList>
        <item>，</item>
      </candidateList>
      <explain>文本全半角错误。</explain>
      <paraID>17299B02</paraID>
      <start>7</start>
      <end>8</end>
      <status>modified</status>
      <modifiedWord>，</modifiedWord>
      <trackRevisions>false</trackRevisions>
    </reviewItem>
    <reviewItem>
      <errorID>9d3caa94-bf1e-4da8-a779-46ebd22ce1ba</errorID>
      <errorWord>;</errorWord>
      <group>L1_Punc</group>
      <groupName>标点问题</groupName>
      <ability>L2_Punc_CN</ability>
      <abilityName>标点符号问题</abilityName>
      <candidateList>
        <item>；</item>
      </candidateList>
      <explain/>
      <paraID>17299B02</paraID>
      <start>22</start>
      <end>23</end>
      <status>modified</status>
      <modifiedWord>；</modifiedWord>
      <trackRevisions>false</trackRevisions>
    </reviewItem>
    <reviewItem>
      <errorID>8e8b69b5-7d1f-49c2-865d-0f3b7b45ba3f</errorID>
      <errorWord>的</errorWord>
      <group>L1_Word</group>
      <groupName>字词问题</groupName>
      <ability>L2_DDD</ability>
      <abilityName>的地得用法</abilityName>
      <candidateList>
        <item>得</item>
      </candidateList>
      <explain/>
      <paraID> 2E6E7CD</paraID>
      <start>7</start>
      <end>8</end>
      <status>modified</status>
      <modifiedWord>得</modifiedWord>
      <trackRevisions>false</trackRevisions>
    </reviewItem>
    <reviewItem>
      <errorID>453cf503-bd9c-4e12-914f-95d64a687f93</errorID>
      <errorWord>(</errorWord>
      <group>L1_Format</group>
      <groupName>格式问题</groupName>
      <ability>L2_HalfPunc_CN</ability>
      <abilityName>全半角问题</abilityName>
      <candidateList>
        <item>（</item>
      </candidateList>
      <explain>文本全半角错误。</explain>
      <paraID>1D6D8910</paraID>
      <start>2</start>
      <end>3</end>
      <status>modified</status>
      <modifiedWord>（</modifiedWord>
      <trackRevisions>false</trackRevisions>
    </reviewItem>
    <reviewItem>
      <errorID>d3e340fe-a0bf-43c3-8dcb-68bb2d7b0f23</errorID>
      <errorWord>)</errorWord>
      <group>L1_Format</group>
      <groupName>格式问题</groupName>
      <ability>L2_HalfPunc_CN</ability>
      <abilityName>全半角问题</abilityName>
      <candidateList>
        <item>）</item>
      </candidateList>
      <explain>文本全半角错误。</explain>
      <paraID>1D6D8910</paraID>
      <start>4</start>
      <end>5</end>
      <status>modified</status>
      <modifiedWord>）</modifiedWord>
      <trackRevisions>false</trackRevisions>
    </reviewItem>
    <reviewItem>
      <errorID>a19f824d-c10a-4f84-9271-6c753745f887</errorID>
      <errorWord>(</errorWord>
      <group>L1_Format</group>
      <groupName>格式问题</groupName>
      <ability>L2_HalfPunc_CN</ability>
      <abilityName>全半角问题</abilityName>
      <candidateList>
        <item>（</item>
      </candidateList>
      <explain>文本全半角错误。</explain>
      <paraID>77B0C17F</paraID>
      <start>2</start>
      <end>3</end>
      <status>unmodified</status>
      <modifiedWord/>
      <trackRevisions>false</trackRevisions>
    </reviewItem>
    <reviewItem>
      <errorID>2ddd360c-f7e6-4c85-b939-580ef59972c6</errorID>
      <errorWord>)</errorWord>
      <group>L1_Format</group>
      <groupName>格式问题</groupName>
      <ability>L2_HalfPunc_CN</ability>
      <abilityName>全半角问题</abilityName>
      <candidateList>
        <item>）</item>
      </candidateList>
      <explain>文本全半角错误。</explain>
      <paraID>77B0C17F</paraID>
      <start>5</start>
      <end>6</end>
      <status>unmodified</status>
      <modifiedWord/>
      <trackRevisions>false</trackRevisions>
    </reviewItem>
    <reviewItem>
      <errorID>b3e64423-bcc0-4f2a-9aba-b324b69c8619</errorID>
      <errorWord>(</errorWord>
      <group>L1_Format</group>
      <groupName>格式问题</groupName>
      <ability>L2_HalfPunc_CN</ability>
      <abilityName>全半角问题</abilityName>
      <candidateList>
        <item>（</item>
      </candidateList>
      <explain>文本全半角错误。</explain>
      <paraID>4E319D7F</paraID>
      <start>4</start>
      <end>5</end>
      <status>unmodified</status>
      <modifiedWord/>
      <trackRevisions>false</trackRevisions>
    </reviewItem>
    <reviewItem>
      <errorID>704eb3d5-747f-4413-b38c-ed655c737221</errorID>
      <errorWord>)</errorWord>
      <group>L1_Format</group>
      <groupName>格式问题</groupName>
      <ability>L2_HalfPunc_CN</ability>
      <abilityName>全半角问题</abilityName>
      <candidateList>
        <item>）</item>
      </candidateList>
      <explain>文本全半角错误。</explain>
      <paraID>4E319D7F</paraID>
      <start>8</start>
      <end>9</end>
      <status>unmodified</status>
      <modifiedWord/>
      <trackRevisions>false</trackRevisions>
    </reviewItem>
    <reviewItem>
      <errorID>12e4839b-7e78-4266-9aab-ae9c4d96d8d5</errorID>
      <errorWord>，</errorWord>
      <group>L1_Grammar</group>
      <groupName>语法问题</groupName>
      <ability>L2_Grammar</ability>
      <abilityName>语法错误</abilityName>
      <candidateList>
        <item>个检测点，</item>
      </candidateList>
      <explain/>
      <paraID>5B2B14E2</paraID>
      <start>159</start>
      <end>160</end>
      <status>unmodified</status>
      <modifiedWord/>
      <trackRevisions>false</trackRevisions>
    </reviewItem>
    <reviewItem>
      <errorID>4a1bfc8c-3449-41ae-b5b8-08767caf73c8</errorID>
      <errorWord>(</errorWord>
      <group>L1_Format</group>
      <groupName>格式问题</groupName>
      <ability>L2_HalfPunc_CN</ability>
      <abilityName>全半角问题</abilityName>
      <candidateList>
        <item>（</item>
      </candidateList>
      <explain>文本全半角错误。</explain>
      <paraID>23EE797E</paraID>
      <start>0</start>
      <end>1</end>
      <status>unmodified</status>
      <modifiedWord/>
      <trackRevisions>false</trackRevisions>
    </reviewItem>
    <reviewItem>
      <errorID>56391aab-74a0-4a8a-940a-cce8ef6355c3</errorID>
      <errorWord>)</errorWord>
      <group>L1_Format</group>
      <groupName>格式问题</groupName>
      <ability>L2_HalfPunc_CN</ability>
      <abilityName>全半角问题</abilityName>
      <candidateList>
        <item>）</item>
      </candidateList>
      <explain>文本全半角错误。</explain>
      <paraID>23EE797E</paraID>
      <start>4</start>
      <end>5</end>
      <status>unmodified</status>
      <modifiedWord/>
      <trackRevisions>false</trackRevisions>
    </reviewItem>
    <reviewItem>
      <errorID>74e91337-4f34-4377-a6f7-2c8494098e3e</errorID>
      <errorWord>2#大门</errorWord>
      <group>L1_Other</group>
      <groupName>其他问题</groupName>
      <ability>L2_Consistency</ability>
      <abilityName>一致性检查</abilityName>
      <candidateList>
        <item>2#门卫室</item>
      </candidateList>
      <explain>实体一致性，消防查验章节的单体名称与前文项目建设内容提及的单体名称不一致，统一为前文使用的2#门卫室</explain>
      <paraID> CBA67BB</paraID>
      <start>0</start>
      <end>4</end>
      <status>unmodified</status>
      <modifiedWord/>
      <trackRevisions>false</trackRevisions>
    </reviewItem>
    <reviewItem>
      <errorID>bc79e184-6ea9-4626-84d8-e06abed2d502</errorID>
      <errorWord>提供</errorWord>
      <group>L1_Punc</group>
      <groupName>标点问题</groupName>
      <ability>L2_Punc_CN</ability>
      <abilityName>标点符号问题</abilityName>
      <candidateList>
        <item>，提供</item>
      </candidateList>
      <explain/>
      <paraID>133DA63B</paraID>
      <start>15</start>
      <end>17</end>
      <status>unmodified</status>
      <modifiedWord/>
      <trackRevisions>false</trackRevisions>
    </reviewItem>
    <reviewItem>
      <errorID>8b6191b9-0633-45c4-8899-e99b2ca51c67</errorID>
      <errorWord>，</errorWord>
      <group>L1_Punc</group>
      <groupName>标点问题</groupName>
      <ability>L2_Punc_CN</ability>
      <abilityName>标点符号问题</abilityName>
      <candidateList>
        <item>；</item>
      </candidateList>
      <explain/>
      <paraID>133DA63B</paraID>
      <start>52</start>
      <end>53</end>
      <status>unmodified</status>
      <modifiedWord/>
      <trackRevisions>false</trackRevisions>
    </reviewItem>
    <reviewItem>
      <errorID>d46a7f25-056b-4f47-8cbd-18089e806185</errorID>
      <errorWord>提供</errorWord>
      <group>L1_Punc</group>
      <groupName>标点问题</groupName>
      <ability>L2_Punc_CN</ability>
      <abilityName>标点符号问题</abilityName>
      <candidateList>
        <item>，提供</item>
      </candidateList>
      <explain/>
      <paraID>133DA63B</paraID>
      <start>61</start>
      <end>63</end>
      <status>unmodified</status>
      <modifiedWord/>
      <trackRevisions>false</trackRevisions>
    </reviewItem>
    <reviewItem>
      <errorID>9112e2b2-8822-404a-9466-951becdf9d9f</errorID>
      <errorWord>；</errorWord>
      <group>L1_Punc</group>
      <groupName>标点问题</groupName>
      <ability>L2_Punc_CN</ability>
      <abilityName>标点符号问题</abilityName>
      <candidateList>
        <item>。</item>
      </candidateList>
      <explain/>
      <paraID>133DA63B</paraID>
      <start>70</start>
      <end>71</end>
      <status>unmodified</status>
      <modifiedWord/>
      <trackRevisions>false</trackRevisions>
    </reviewItem>
    <reviewItem>
      <errorID>bfa6a59e-88fe-4462-989d-f3c8d631c014</errorID>
      <errorWord>2026年02月</errorWord>
      <group>L1_Knowledge</group>
      <groupName>知识性问题</groupName>
      <ability>L2_Time</ability>
      <abilityName>日期时间</abilityName>
      <candidateList>
        <item>2026年2月</item>
      </candidateList>
      <explain>根据日常书写习惯，月份一般会省略前导零。</explain>
      <paraID>297BCC54</paraID>
      <start>17</start>
      <end>25</end>
      <status>unmodified</status>
      <modifiedWord/>
      <trackRevisions>false</trackRevisions>
    </reviewItem>
    <reviewItem>
      <errorID>b90f329f-81b3-4e7e-8ffe-da5ce0c88689</errorID>
      <errorWord>2026年08月</errorWord>
      <group>L1_Knowledge</group>
      <groupName>知识性问题</groupName>
      <ability>L2_Time</ability>
      <abilityName>日期时间</abilityName>
      <candidateList>
        <item>2026年8月</item>
      </candidateList>
      <explain>根据日常书写习惯，月份一般会省略前导零。</explain>
      <paraID>297BCC54</paraID>
      <start>26</start>
      <end>34</end>
      <status>unmodified</status>
      <modifiedWord/>
      <trackRevisions>false</trackRevisions>
    </reviewItem>
    <reviewItem>
      <errorID>ea716d81-257f-498a-a2d6-3a9b14fef025</errorID>
      <errorWord>）；</errorWord>
      <group>L1_Punc</group>
      <groupName>标点问题</groupName>
      <ability>L2_Punc_CN</ability>
      <abilityName>标点符号问题</abilityName>
      <candidateList>
        <item>。</item>
      </candidateList>
      <explain/>
      <paraID>297BCC54</paraID>
      <start>143</start>
      <end>145</end>
      <status>unmodified</status>
      <modifiedWord/>
      <trackRevisions>false</trackRevisions>
    </reviewItem>
    <reviewItem>
      <errorID>495ce6aa-20b4-4f1c-a7ea-2e096ec7fa93</errorID>
      <errorWord>2026年02月</errorWord>
      <group>L1_Knowledge</group>
      <groupName>知识性问题</groupName>
      <ability>L2_Time</ability>
      <abilityName>日期时间</abilityName>
      <candidateList>
        <item>2026年2月</item>
      </candidateList>
      <explain>根据日常书写习惯，月份一般会省略前导零。</explain>
      <paraID> 631DDE4</paraID>
      <start>21</start>
      <end>29</end>
      <status>unmodified</status>
      <modifiedWord/>
      <trackRevisions>false</trackRevisions>
    </reviewItem>
    <reviewItem>
      <errorID>1085f29c-ba83-4a54-8d09-9da1b2cdf658</errorID>
      <errorWord>2026年08月</errorWord>
      <group>L1_Knowledge</group>
      <groupName>知识性问题</groupName>
      <ability>L2_Time</ability>
      <abilityName>日期时间</abilityName>
      <candidateList>
        <item>2026年8月</item>
      </candidateList>
      <explain>根据日常书写习惯，月份一般会省略前导零。</explain>
      <paraID> 631DDE4</paraID>
      <start>30</start>
      <end>38</end>
      <status>unmodified</status>
      <modifiedWord/>
      <trackRevisions>false</trackRevisions>
    </reviewItem>
    <reviewItem>
      <errorID>bb61ad76-d4fb-454f-9d0c-d74978855952</errorID>
      <errorWord>；</errorWord>
      <group>L1_Punc</group>
      <groupName>标点问题</groupName>
      <ability>L2_Punc_CN</ability>
      <abilityName>标点符号问题</abilityName>
      <candidateList>
        <item>。</item>
      </candidateList>
      <explain/>
      <paraID> 631DDE4</paraID>
      <start>184</start>
      <end>185</end>
      <status>unmodified</status>
      <modifiedWord/>
      <trackRevisions>false</trackRevisions>
    </reviewItem>
    <reviewItem>
      <errorID>a8b95e43-ea54-42ca-ae71-6d16b733bf9a</errorID>
      <errorWord>应按</errorWord>
      <group>L1_Word</group>
      <groupName>字词问题</groupName>
      <ability>L2_Typo</ability>
      <abilityName>字词错误</abilityName>
      <candidateList>
        <item>，应</item>
      </candidateList>
      <explain/>
      <paraID>76F3D72E</paraID>
      <start>38</start>
      <end>40</end>
      <status>unmodified</status>
      <modifiedWord/>
      <trackRevisions>false</trackRevisions>
    </reviewItem>
    <reviewItem>
      <errorID>f944e596-96d1-4b9a-ac2b-aef41c5a802c</errorID>
      <errorWord>；</errorWord>
      <group>L1_Punc</group>
      <groupName>标点问题</groupName>
      <ability>L2_Punc_CN</ability>
      <abilityName>标点符号问题</abilityName>
      <candidateList>
        <item/>
      </candidateList>
      <explain/>
      <paraID>35B6412A</paraID>
      <start>40</start>
      <end>41</end>
      <status>unmodified</status>
      <modifiedWord/>
      <trackRevisions>false</trackRevisions>
    </reviewItem>
    <reviewItem>
      <errorID>76b89e0f-2b9d-46bf-8597-164742db0638</errorID>
      <errorWord>摁手指</errorWord>
      <group>L1_Grammar</group>
      <groupName>语法问题</groupName>
      <ability>L2_Grammar</ability>
      <abilityName>语法错误</abilityName>
      <candidateList>
        <item>摁</item>
      </candidateList>
      <explain/>
      <paraID> 6595CAD</paraID>
      <start>23</start>
      <end>26</end>
      <status>unmodified</status>
      <modifiedWord/>
      <trackRevisions>false</trackRevisions>
    </reviewItem>
    <reviewItem>
      <errorID>68cdd3d1-c8c9-40bf-b5a0-5cd124b1eb75</errorID>
      <errorWord>纠纷时</errorWord>
      <group>L1_Word</group>
      <groupName>字词问题</groupName>
      <ability>L2_Typo</ability>
      <abilityName>字词错误</abilityName>
      <candidateList>
        <item>纠纷</item>
      </candidateList>
      <explain/>
      <paraID>3F1EDFF2</paraID>
      <start>144</start>
      <end>147</end>
      <status>unmodified</status>
      <modifiedWord/>
      <trackRevisions>false</trackRevisions>
    </reviewItem>
    <reviewItem>
      <errorID>8f5bbff8-1c32-4301-a9a4-9891a85d1530</errorID>
      <errorWord>、</errorWord>
      <group>L1_Punc</group>
      <groupName>标点问题</groupName>
      <ability>L2_Punc_CN</ability>
      <abilityName>标点符号问题</abilityName>
      <candidateList>
        <item/>
      </candidateList>
      <explain/>
      <paraID>315DAAEC</paraID>
      <start>28</start>
      <end>29</end>
      <status>unmodified</status>
      <modifiedWord/>
      <trackRevisions>false</trackRevisions>
    </reviewItem>
    <reviewItem>
      <errorID>359c3559-9ee6-45a1-b04b-3ecb37c8882b</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483DBC0A</paraID>
      <start>166</start>
      <end>171</end>
      <status>unmodified</status>
      <modifiedWord/>
      <trackRevisions>false</trackRevisions>
    </reviewItem>
    <reviewItem>
      <errorID>5ba9430a-b8a8-4a29-8331-cd9e110d75f2</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41AB6C74</paraID>
      <start>175</start>
      <end>180</end>
      <status>unmodified</status>
      <modifiedWord/>
      <trackRevisions>false</trackRevisions>
    </reviewItem>
    <reviewItem>
      <errorID>50931efd-c2c5-40b0-a9ff-679d38be5e67</errorID>
      <errorWord>；</errorWord>
      <group>L1_Punc</group>
      <groupName>标点问题</groupName>
      <ability>L2_Punc_CN</ability>
      <abilityName>标点符号问题</abilityName>
      <candidateList>
        <item>，</item>
      </candidateList>
      <explain/>
      <paraID>6AABE9F1</paraID>
      <start>24</start>
      <end>25</end>
      <status>unmodified</status>
      <modifiedWord/>
      <trackRevisions>false</trackRevisions>
    </reviewItem>
    <reviewItem>
      <errorID>bbfbfdce-afd6-4199-9cde-ceb4787167a7</errorID>
      <errorWord>的；</errorWord>
      <group>L1_Word</group>
      <groupName>字词问题</groupName>
      <ability>L2_Typo</ability>
      <abilityName>字词错误</abilityName>
      <candidateList>
        <item>，</item>
      </candidateList>
      <explain/>
      <paraID>6AABE9F1</paraID>
      <start>41</start>
      <end>43</end>
      <status>unmodified</status>
      <modifiedWord/>
      <trackRevisions>false</trackRevisions>
    </reviewItem>
    <reviewItem>
      <errorID>cfed1612-2c6d-4511-a61e-ffd8aea52cc2</errorID>
      <errorWord>一致的情况</errorWord>
      <group>L1_Grammar</group>
      <groupName>语法问题</groupName>
      <ability>L2_Grammar</ability>
      <abilityName>语法错误</abilityName>
      <candidateList>
        <item>一致</item>
      </candidateList>
      <explain/>
      <paraID>6AABE9F1</paraID>
      <start>70</start>
      <end>75</end>
      <status>unmodified</status>
      <modifiedWord/>
      <trackRevisions>false</trackRevisions>
    </reviewItem>
    <reviewItem>
      <errorID>dd34d5ca-dfd3-4d2e-8cec-039b10b476e5</errorID>
      <errorWord>响应</errorWord>
      <group>L1_Word</group>
      <groupName>字词问题</groupName>
      <ability>L2_Typo</ability>
      <abilityName>字词错误</abilityName>
      <candidateList>
        <item> 响应</item>
      </candidateList>
      <explain/>
      <paraID> 1CDE0DF</paraID>
      <start>4</start>
      <end>6</end>
      <status>unmodified</status>
      <modifiedWord/>
      <trackRevisions>false</trackRevisions>
    </reviewItem>
    <reviewItem>
      <errorID>8a4e9655-ef84-4a4e-9099-3290517369f9</errorID>
      <errorWord>资格</errorWord>
      <group>L1_Word</group>
      <groupName>字词问题</groupName>
      <ability>L2_Typo</ability>
      <abilityName>字词错误</abilityName>
      <candidateList>
        <item> 资格</item>
      </candidateList>
      <explain/>
      <paraID>6396B970</paraID>
      <start>6</start>
      <end>8</end>
      <status>unmodified</status>
      <modifiedWord/>
      <trackRevisions>false</trackRevisions>
    </reviewItem>
    <reviewItem>
      <errorID>dbb08871-115a-4376-b253-795e4726b378</errorID>
      <errorWord>商务</errorWord>
      <group>L1_Word</group>
      <groupName>字词问题</groupName>
      <ability>L2_Typo</ability>
      <abilityName>字词错误</abilityName>
      <candidateList>
        <item> 商务</item>
      </candidateList>
      <explain/>
      <paraID>41A8E3F0</paraID>
      <start>6</start>
      <end>8</end>
      <status>unmodified</status>
      <modifiedWord/>
      <trackRevisions>false</trackRevisions>
    </reviewItem>
    <reviewItem>
      <errorID>48839e97-872b-4eaf-9fcb-c8ed515ad495</errorID>
      <errorWord>报价</errorWord>
      <group>L1_Word</group>
      <groupName>字词问题</groupName>
      <ability>L2_Typo</ability>
      <abilityName>字词错误</abilityName>
      <candidateList>
        <item> 报价</item>
      </candidateList>
      <explain/>
      <paraID>5BB65D5B</paraID>
      <start>6</start>
      <end>8</end>
      <status>unmodified</status>
      <modifiedWord/>
      <trackRevisions>false</trackRevisions>
    </reviewItem>
    <reviewItem>
      <errorID>65d8b62e-335a-4b7f-a713-526872ffc75c</errorID>
      <errorWord>响应</errorWord>
      <group>L1_Word</group>
      <groupName>字词问题</groupName>
      <ability>L2_Typo</ability>
      <abilityName>字词错误</abilityName>
      <candidateList>
        <item> 响应</item>
      </candidateList>
      <explain/>
      <paraID>1F8757C8</paraID>
      <start>4</start>
      <end>6</end>
      <status>unmodified</status>
      <modifiedWord/>
      <trackRevisions>false</trackRevisions>
    </reviewItem>
    <reviewItem>
      <errorID>e82aaf70-45b5-4271-a25e-91ae7852a5a3</errorID>
      <errorWord>操作合</errorWord>
      <group>L1_Word</group>
      <groupName>字词问题</groupName>
      <ability>L2_Typo</ability>
      <abilityName>字词错误</abilityName>
      <candidateList>
        <item>操作台</item>
      </candidateList>
      <explain/>
      <paraID>557A4218</paraID>
      <start>9</start>
      <end>12</end>
      <status>unmodified</status>
      <modifiedWord/>
      <trackRevisions>false</trackRevisions>
    </reviewItem>
    <reviewItem>
      <errorID>e88cfea4-523f-40c3-9a5c-65af35e1ee34</errorID>
      <errorWord>电子</errorWord>
      <group>L1_Punc</group>
      <groupName>标点问题</groupName>
      <ability>L2_Punc_CN</ability>
      <abilityName>标点符号问题</abilityName>
      <candidateList>
        <item>，电子</item>
      </candidateList>
      <explain/>
      <paraID>16C2DE8A</paraID>
      <start>29</start>
      <end>31</end>
      <status>unmodified</status>
      <modifiedWord/>
      <trackRevisions>false</trackRevisions>
    </reviewItem>
    <reviewItem>
      <errorID>39555f41-d094-43b1-ab0c-f5486e08db99</errorID>
      <errorWord>共</errorWord>
      <group>L1_Grammar</group>
      <groupName>语法问题</groupName>
      <ability>L2_Grammar</ability>
      <abilityName>语法错误</abilityName>
      <candidateList>
        <item>组成，人数为</item>
      </candidateList>
      <explain/>
      <paraID>7D2119F2</paraID>
      <start>19</start>
      <end>20</end>
      <status>unmodified</status>
      <modifiedWord/>
      <trackRevisions>false</trackRevisions>
    </reviewItem>
    <reviewItem>
      <errorID>380cc81a-9cac-4257-817e-5f6c11211b8a</errorID>
      <errorWord>单数组成</errorWord>
      <group>L1_Grammar</group>
      <groupName>语法问题</groupName>
      <ability>L2_Grammar</ability>
      <abilityName>语法错误</abilityName>
      <candidateList>
        <item>单数</item>
      </candidateList>
      <explain/>
      <paraID>7D2119F2</paraID>
      <start>24</start>
      <end>28</end>
      <status>unmodified</status>
      <modifiedWord/>
      <trackRevisions>false</trackRevisions>
    </reviewItem>
    <reviewItem>
      <errorID>b640e890-4391-47a4-a2dd-a63e73aee918</errorID>
      <errorWord>发起开始</errorWord>
      <group>L1_Grammar</group>
      <groupName>语法问题</groupName>
      <ability>L2_Grammar</ability>
      <abilityName>语法错误</abilityName>
      <candidateList>
        <item>发起</item>
      </candidateList>
      <explain/>
      <paraID>6EA51AC0</paraID>
      <start>52</start>
      <end>56</end>
      <status>unmodified</status>
      <modifiedWord/>
      <trackRevisions>false</trackRevisions>
    </reviewItem>
    <reviewItem>
      <errorID>6d68244a-549f-4d5c-832d-89ad3fcf8bbb</errorID>
      <errorWord>相应</errorWord>
      <group>L1_Word</group>
      <groupName>字词问题</groupName>
      <ability>L2_Typo</ability>
      <abilityName>字词错误</abilityName>
      <candidateList>
        <item>响应</item>
      </candidateList>
      <explain/>
      <paraID>7B0E8BA4</paraID>
      <start>19</start>
      <end>21</end>
      <status>unmodified</status>
      <modifiedWord/>
      <trackRevisions>false</trackRevisions>
    </reviewItem>
    <reviewItem>
      <errorID>65201ded-fa26-4069-87b1-4d6b3fd7f84d</errorID>
      <errorWord>-</errorWord>
      <group>L1_Format</group>
      <groupName>格式问题</groupName>
      <ability>L2_HalfPunc_CN</ability>
      <abilityName>全半角问题</abilityName>
      <candidateList>
        <item>－</item>
      </candidateList>
      <explain>文本全半角错误。</explain>
      <paraID>533B4B70</paraID>
      <start>20</start>
      <end>21</end>
      <status>unmodified</status>
      <modifiedWord/>
      <trackRevisions>false</trackRevisions>
    </reviewItem>
    <reviewItem>
      <errorID>75e1c95b-b586-4c6c-b44e-a3961cd2e4df</errorID>
      <errorWord>&lt;</errorWord>
      <group>L1_Format</group>
      <groupName>格式问题</groupName>
      <ability>L2_HalfPunc_CN</ability>
      <abilityName>全半角问题</abilityName>
      <candidateList>
        <item>〈</item>
      </candidateList>
      <explain>文本全半角错误。</explain>
      <paraID>25556A45</paraID>
      <start>35</start>
      <end>36</end>
      <status>unmodified</status>
      <modifiedWord/>
      <trackRevisions>false</trackRevisions>
    </reviewItem>
    <reviewItem>
      <errorID>c6430ecf-7a98-4e8a-a4cd-3a2582fa05e6</errorID>
      <errorWord>&lt;</errorWord>
      <group>L1_Format</group>
      <groupName>格式问题</groupName>
      <ability>L2_HalfPunc_CN</ability>
      <abilityName>全半角问题</abilityName>
      <candidateList>
        <item>〈</item>
      </candidateList>
      <explain>文本全半角错误。</explain>
      <paraID>148DEE5D</paraID>
      <start>35</start>
      <end>36</end>
      <status>unmodified</status>
      <modifiedWord/>
      <trackRevisions>false</trackRevisions>
    </reviewItem>
    <reviewItem>
      <errorID>b31eaacd-20ad-4540-8cc3-68c2769996eb</errorID>
      <errorWord>&lt;</errorWord>
      <group>L1_Format</group>
      <groupName>格式问题</groupName>
      <ability>L2_HalfPunc_CN</ability>
      <abilityName>全半角问题</abilityName>
      <candidateList>
        <item>〈</item>
      </candidateList>
      <explain>文本全半角错误。</explain>
      <paraID>199868EC</paraID>
      <start>24</start>
      <end>25</end>
      <status>unmodified</status>
      <modifiedWord/>
      <trackRevisions>false</trackRevisions>
    </reviewItem>
    <reviewItem>
      <errorID>ab7e8f98-3501-4c5a-a2de-90f89734d4be</errorID>
      <errorWord>间</errorWord>
      <group>L1_Word</group>
      <groupName>字词问题</groupName>
      <ability>L2_Typo</ability>
      <abilityName>字词错误</abilityName>
      <candidateList>
        <item>间之</item>
      </candidateList>
      <explain/>
      <paraID>52E3B9A8</paraID>
      <start>11</start>
      <end>12</end>
      <status>unmodified</status>
      <modifiedWord/>
      <trackRevisions>false</trackRevisions>
    </reviewItem>
    <reviewItem>
      <errorID>5bca3fec-bd1d-473a-9f1f-d97f885d55f3</errorID>
      <errorWord>………</errorWord>
      <group>L1_Punc</group>
      <groupName>标点问题</groupName>
      <ability>L2_Punc_CN</ability>
      <abilityName>标点符号问题</abilityName>
      <candidateList>
        <item>……</item>
      </candidateList>
      <explain/>
      <paraID>66994C31</paraID>
      <start>32</start>
      <end>35</end>
      <status>unmodified</status>
      <modifiedWord/>
      <trackRevisions>false</trackRevisions>
    </reviewItem>
    <reviewItem>
      <errorID>bff3bfbf-b814-492f-bb5f-43467fd5674a</errorID>
      <errorWord>股东大会</errorWord>
      <group>L1_Knowledge</group>
      <groupName>知识性问题</groupName>
      <ability>L2_Knowledge</ability>
      <abilityName>其他知识</abilityName>
      <candidateList>
        <item>股东会</item>
      </candidateList>
      <explain/>
      <paraID>20F2036C</paraID>
      <start>113</start>
      <end>117</end>
      <status>unmodified</status>
      <modifiedWord/>
      <trackRevisions>false</trackRevisions>
    </reviewItem>
    <reviewItem>
      <errorID>1214a7d7-d265-4b0f-b8d1-d4dfd1ef42c2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F094C4E</paraID>
      <start>50</start>
      <end>51</end>
      <status>unmodified</status>
      <modifiedWord/>
      <trackRevisions>false</trackRevisions>
    </reviewItem>
    <reviewItem>
      <errorID>f8479476-4baa-45bf-80c5-25cbdd25357d</errorID>
      <errorWord>…………</errorWord>
      <group>L1_Punc</group>
      <groupName>标点问题</groupName>
      <ability>L2_Punc_CN</ability>
      <abilityName>标点符号问题</abilityName>
      <candidateList>
        <item>……</item>
      </candidateList>
      <explain/>
      <paraID>1A5C28C0</paraID>
      <start>28</start>
      <end>32</end>
      <status>unmodified</status>
      <modifiedWord/>
      <trackRevisions>false</trackRevisions>
    </reviewItem>
    <reviewItem>
      <errorID>8283b1b2-1d00-4914-9a69-311c98cbf3d4</errorID>
      <errorWord>法律、法规</errorWord>
      <group>L1_Word</group>
      <groupName>字词问题</groupName>
      <ability>L2_Typo</ability>
      <abilityName>字词错误</abilityName>
      <candidateList>
        <item>法律法规</item>
      </candidateList>
      <explain/>
      <paraID>16E38633</paraID>
      <start>46</start>
      <end>51</end>
      <status>unmodified</status>
      <modifiedWord/>
      <trackRevisions>false</trackRevisions>
    </reviewItem>
    <reviewItem>
      <errorID>8298cb23-93f5-42c2-9401-de0162f95f83</errorID>
      <errorWord>法律、法规</errorWord>
      <group>L1_Word</group>
      <groupName>字词问题</groupName>
      <ability>L2_Typo</ability>
      <abilityName>字词错误</abilityName>
      <candidateList>
        <item>法律法规</item>
      </candidateList>
      <explain/>
      <paraID>16E38633</paraID>
      <start>123</start>
      <end>127</end>
      <status>modified</status>
      <modifiedWord>法律法规</modifiedWord>
      <trackRevisions>false</trackRevisions>
    </reviewItem>
    <reviewItem>
      <errorID>f76588b8-430b-4107-bd1a-6ab83e0f3cda</errorID>
      <errorWord>[2026]2020号</errorWord>
      <group>L1_Knowledge</group>
      <groupName>知识性问题</groupName>
      <ability>L2_Knowledge</ability>
      <abilityName>其他知识</abilityName>
      <candidateList>
        <item>〔2026〕2020号</item>
      </candidateList>
      <explain>发文字号格式错误。</explain>
      <paraID>245FDAF0</paraID>
      <start>10</start>
      <end>21</end>
      <status>modified</status>
      <modifiedWord>〔2026〕2020号</modifiedWord>
      <trackRevisions>false</trackRevisions>
    </reviewItem>
    <reviewItem>
      <errorID>7536e08b-a989-4018-af31-607d559f9f53</errorID>
      <errorWord>(</errorWord>
      <group>L1_Format</group>
      <groupName>格式问题</groupName>
      <ability>L2_HalfPunc_CN</ability>
      <abilityName>全半角问题</abilityName>
      <candidateList>
        <item>（</item>
      </candidateList>
      <explain>文本全半角错误。</explain>
      <paraID>225014F3</paraID>
      <start>186</start>
      <end>187</end>
      <status>modified</status>
      <modifiedWord>（</modifiedWord>
      <trackRevisions>false</trackRevisions>
    </reviewItem>
    <reviewItem>
      <errorID>1e858030-ca67-4f33-8fb8-0b35117bb175</errorID>
      <errorWord>)</errorWord>
      <group>L1_Format</group>
      <groupName>格式问题</groupName>
      <ability>L2_HalfPunc_CN</ability>
      <abilityName>全半角问题</abilityName>
      <candidateList>
        <item>）</item>
      </candidateList>
      <explain>文本全半角错误。</explain>
      <paraID>225014F3</paraID>
      <start>197</start>
      <end>198</end>
      <status>modified</status>
      <modifiedWord>）</modifiedWord>
      <trackRevisions>false</trackRevisions>
    </reviewItem>
    <reviewItem>
      <errorID>1a3d4fa9-8011-465c-ba69-859c84e1f944</errorID>
      <errorWord>(</errorWord>
      <group>L1_Format</group>
      <groupName>格式问题</groupName>
      <ability>L2_HalfPunc_CN</ability>
      <abilityName>全半角问题</abilityName>
      <candidateList>
        <item>（</item>
      </candidateList>
      <explain>文本全半角错误。</explain>
      <paraID>225014F3</paraID>
      <start>269</start>
      <end>270</end>
      <status>modified</status>
      <modifiedWord>（</modifiedWord>
      <trackRevisions>false</trackRevisions>
    </reviewItem>
    <reviewItem>
      <errorID>96a4926a-953f-4ef3-9b52-8b569e627ca0</errorID>
      <errorWord>)</errorWord>
      <group>L1_Format</group>
      <groupName>格式问题</groupName>
      <ability>L2_HalfPunc_CN</ability>
      <abilityName>全半角问题</abilityName>
      <candidateList>
        <item>）</item>
      </candidateList>
      <explain>文本全半角错误。</explain>
      <paraID>225014F3</paraID>
      <start>280</start>
      <end>281</end>
      <status>modified</status>
      <modifiedWord>）</modifiedWord>
      <trackRevisions>false</trackRevisions>
    </reviewItem>
    <reviewItem>
      <errorID>56c1a617-88d7-4f5e-8b21-e523889c1bf1</errorID>
      <errorWord>造成损失的，乙方</errorWord>
      <group>L1_Word</group>
      <groupName>字词问题</groupName>
      <ability>L2_Typo</ability>
      <abilityName>字词错误</abilityName>
      <candidateList>
        <item>造成损失的，由乙方</item>
      </candidateList>
      <explain/>
      <paraID>710AE9DD</paraID>
      <start>19</start>
      <end>27</end>
      <status>unmodified</status>
      <modifiedWord/>
      <trackRevisions>false</trackRevisions>
    </reviewItem>
    <reviewItem>
      <errorID>ff8a63e1-e247-4075-b583-4e5403a53d86</errorID>
      <errorWord>造成的损失，乙方</errorWord>
      <group>L1_Word</group>
      <groupName>字词问题</groupName>
      <ability>L2_Typo</ability>
      <abilityName>字词错误</abilityName>
      <candidateList>
        <item>造成的损失，由乙方</item>
      </candidateList>
      <explain/>
      <paraID>17EEF6E5</paraID>
      <start>34</start>
      <end>42</end>
      <status>unmodified</status>
      <modifiedWord/>
      <trackRevisions>false</trackRevisions>
    </reviewItem>
    <reviewItem>
      <errorID>2876af1c-3a57-42c3-8a0e-d80680d7183d</errorID>
      <errorWord>并盖单位章后</errorWord>
      <group>L1_Word</group>
      <groupName>字词问题</groupName>
      <ability>L2_Typo</ability>
      <abilityName>字词错误</abilityName>
      <candidateList>
        <item>并加盖单位章后</item>
      </candidateList>
      <explain/>
      <paraID> AB58C4F</paraID>
      <start>44</start>
      <end>50</end>
      <status>unmodified</status>
      <modifiedWord/>
      <trackRevisions>false</trackRevisions>
    </reviewItem>
    <reviewItem>
      <errorID>6f7651df-ed8c-4491-be48-68a38c2efd5b</errorID>
      <errorWord>广西壮族自治建设工程质量管理的规定</errorWord>
      <group>L1_Knowledge</group>
      <groupName>知识性问题</groupName>
      <ability>L2_Knowledge</ability>
      <abilityName>其他知识</abilityName>
      <candidateList/>
      <explain>当前法律法规未收录或尚未生效，注意核查是否正确。</explain>
      <paraID>33D05979</paraID>
      <start>41</start>
      <end>58</end>
      <status>unmodified</status>
      <modifiedWord/>
      <trackRevisions>false</trackRevisions>
    </reviewItem>
    <reviewItem>
      <errorID>7de2bb47-5c27-43db-995d-219021b8a89b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33D05979</paraID>
      <start>59</start>
      <end>60</end>
      <status>unmodified</status>
      <modifiedWord/>
      <trackRevisions>false</trackRevisions>
    </reviewItem>
    <reviewItem>
      <errorID>1e41c81a-9efe-47b1-93cc-801f43ebb5f3</errorID>
      <errorWord>。</errorWord>
      <group>L1_Punc</group>
      <groupName>标点问题</groupName>
      <ability>L2_Punc_CN</ability>
      <abilityName>标点符号问题</abilityName>
      <candidateList/>
      <explain/>
      <paraID>7F235696</paraID>
      <start>84</start>
      <end>85</end>
      <status>unmodified</status>
      <modifiedWord/>
      <trackRevisions>false</trackRevisions>
    </reviewItem>
    <reviewItem>
      <errorID>a80015b4-6859-4153-9c46-d9a2ed5b9d0a</errorID>
      <errorWord>并要求做出决定的事宜</errorWord>
      <group>L1_Word</group>
      <groupName>字词问题</groupName>
      <ability>L2_Typo</ability>
      <abilityName>字词错误</abilityName>
      <candidateList>
        <item>并要求作出决定的事宜</item>
      </candidateList>
      <explain/>
      <paraID>655C6274</paraID>
      <start>23</start>
      <end>33</end>
      <status>unmodified</status>
      <modifiedWord/>
      <trackRevisions>false</trackRevisions>
    </reviewItem>
    <reviewItem>
      <errorID>6e0ff30b-7cc0-459b-8996-68f17d7d08bf</errorID>
      <errorWord>。</errorWord>
      <group>L1_Punc</group>
      <groupName>标点问题</groupName>
      <ability>L2_Punc_CN</ability>
      <abilityName>标点符号问题</abilityName>
      <candidateList/>
      <explain/>
      <paraID>6CDDB119</paraID>
      <start>73</start>
      <end>74</end>
      <status>unmodified</status>
      <modifiedWord/>
      <trackRevisions>false</trackRevisions>
    </reviewItem>
    <reviewItem>
      <errorID>5389d7e7-f345-45db-9289-d9fa8ec0d949</errorID>
      <errorWord>。</errorWord>
      <group>L1_Punc</group>
      <groupName>标点问题</groupName>
      <ability>L2_Punc_CN</ability>
      <abilityName>标点符号问题</abilityName>
      <candidateList/>
      <explain/>
      <paraID>783AFBA1</paraID>
      <start>51</start>
      <end>52</end>
      <status>unmodified</status>
      <modifiedWord/>
      <trackRevisions>false</trackRevisions>
    </reviewItem>
    <reviewItem>
      <errorID>9ead44eb-fe54-4171-adc6-fb6a993d181c</errorID>
      <errorWord>必需对</errorWord>
      <group>L1_Word</group>
      <groupName>字词问题</groupName>
      <ability>L2_Typo</ability>
      <abilityName>字词错误</abilityName>
      <candidateList>
        <item>必须对</item>
      </candidateList>
      <explain/>
      <paraID> E848891</paraID>
      <start>19</start>
      <end>22</end>
      <status>unmodified</status>
      <modifiedWord/>
      <trackRevisions>false</trackRevisions>
    </reviewItem>
    <reviewItem>
      <errorID>04af436f-74e0-466c-846e-2634bd4f8d8e</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1BB40237</paraID>
      <start>50</start>
      <end>54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8b36bfc-2c07-4323-8a05-f0756ce1b205}">
  <ds:schemaRefs/>
</ds:datastoreItem>
</file>

<file path=docProps/app.xml><?xml version="1.0" encoding="utf-8"?>
<Properties xmlns="http://schemas.openxmlformats.org/officeDocument/2006/extended-properties" xmlns:vt="http://schemas.openxmlformats.org/officeDocument/2006/docPropsVTypes">
  <Template>Normal.dotm</Template>
  <Company>广西云龙招标有限公司</Company>
  <Pages>94</Pages>
  <Words>2194</Words>
  <Characters>2567</Characters>
  <Lines>436</Lines>
  <Paragraphs>122</Paragraphs>
  <TotalTime>20</TotalTime>
  <ScaleCrop>false</ScaleCrop>
  <LinksUpToDate>false</LinksUpToDate>
  <CharactersWithSpaces>2735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2024-04-30T17:12:00Z</dcterms:created>
  <dc:creator>唐冰</dc:creator>
  <cp:lastModifiedBy>幽幽</cp:lastModifiedBy>
  <cp:lastPrinted>2026-04-10T07:16:00Z</cp:lastPrinted>
  <dcterms:modified xsi:type="dcterms:W3CDTF">2026-09-04T10:55:30Z</dcterms:modified>
  <dc:title>竞争性谈判文件规范</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A3456FA8666D493EAC4C4FF6CA29664C_13</vt:lpwstr>
  </property>
  <property fmtid="{D5CDD505-2E9C-101B-9397-08002B2CF9AE}" pid="4" name="KSOTemplateDocerSaveRecord">
    <vt:lpwstr>eyJoZGlkIjoiODQ1MzhiNjUxZGFmZWY0NTYyMzVhZTZhZGU0ZjhmNmIiLCJ1c2VySWQiOiI5MzYwMjI4NzEifQ==</vt:lpwstr>
  </property>
</Properties>
</file>