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7A764">
      <w:pPr>
        <w:keepNext w:val="0"/>
        <w:keepLines w:val="0"/>
        <w:pageBreakBefore w:val="0"/>
        <w:kinsoku/>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i w:val="0"/>
          <w:iCs w:val="0"/>
          <w:caps w:val="0"/>
          <w:color w:val="333333"/>
          <w:spacing w:val="0"/>
          <w:sz w:val="36"/>
          <w:szCs w:val="36"/>
          <w:shd w:val="clear" w:fill="FFFFFF"/>
          <w:lang w:eastAsia="zh-CN"/>
        </w:rPr>
      </w:pPr>
      <w:bookmarkStart w:id="0" w:name="_GoBack"/>
      <w:r>
        <w:rPr>
          <w:rFonts w:hint="eastAsia" w:asciiTheme="minorEastAsia" w:hAnsiTheme="minorEastAsia" w:eastAsiaTheme="minorEastAsia" w:cstheme="minorEastAsia"/>
          <w:b/>
          <w:bCs/>
          <w:i w:val="0"/>
          <w:iCs w:val="0"/>
          <w:caps w:val="0"/>
          <w:color w:val="333333"/>
          <w:spacing w:val="0"/>
          <w:sz w:val="36"/>
          <w:szCs w:val="36"/>
          <w:shd w:val="clear" w:fill="FFFFFF"/>
        </w:rPr>
        <w:t>广西天柱建设管理有限公司关于岑溪市义修至竹瓦公路硬化工程项目的更正公告</w:t>
      </w:r>
      <w:r>
        <w:rPr>
          <w:rFonts w:hint="eastAsia" w:asciiTheme="minorEastAsia" w:hAnsiTheme="minorEastAsia" w:cstheme="minorEastAsia"/>
          <w:b/>
          <w:bCs/>
          <w:i w:val="0"/>
          <w:iCs w:val="0"/>
          <w:caps w:val="0"/>
          <w:color w:val="333333"/>
          <w:spacing w:val="0"/>
          <w:sz w:val="36"/>
          <w:szCs w:val="36"/>
          <w:shd w:val="clear" w:fill="FFFFFF"/>
          <w:lang w:eastAsia="zh-CN"/>
        </w:rPr>
        <w:t>（</w:t>
      </w:r>
      <w:r>
        <w:rPr>
          <w:rFonts w:hint="eastAsia" w:asciiTheme="minorEastAsia" w:hAnsiTheme="minorEastAsia" w:cstheme="minorEastAsia"/>
          <w:b/>
          <w:bCs/>
          <w:i w:val="0"/>
          <w:iCs w:val="0"/>
          <w:caps w:val="0"/>
          <w:color w:val="333333"/>
          <w:spacing w:val="0"/>
          <w:sz w:val="36"/>
          <w:szCs w:val="36"/>
          <w:shd w:val="clear" w:fill="FFFFFF"/>
          <w:lang w:val="en-US" w:eastAsia="zh-CN"/>
        </w:rPr>
        <w:t>三</w:t>
      </w:r>
      <w:r>
        <w:rPr>
          <w:rFonts w:hint="eastAsia" w:asciiTheme="minorEastAsia" w:hAnsiTheme="minorEastAsia" w:cstheme="minorEastAsia"/>
          <w:b/>
          <w:bCs/>
          <w:i w:val="0"/>
          <w:iCs w:val="0"/>
          <w:caps w:val="0"/>
          <w:color w:val="333333"/>
          <w:spacing w:val="0"/>
          <w:sz w:val="36"/>
          <w:szCs w:val="36"/>
          <w:shd w:val="clear" w:fill="FFFFFF"/>
          <w:lang w:eastAsia="zh-CN"/>
        </w:rPr>
        <w:t>）</w:t>
      </w:r>
    </w:p>
    <w:bookmarkEnd w:id="0"/>
    <w:p w14:paraId="4EAF4657">
      <w:pPr>
        <w:keepNext w:val="0"/>
        <w:keepLines w:val="0"/>
        <w:pageBreakBefore w:val="0"/>
        <w:kinsoku/>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i w:val="0"/>
          <w:iCs w:val="0"/>
          <w:caps w:val="0"/>
          <w:color w:val="333333"/>
          <w:spacing w:val="0"/>
          <w:sz w:val="24"/>
          <w:szCs w:val="24"/>
          <w:shd w:val="clear" w:fill="FFFFFF"/>
        </w:rPr>
      </w:pPr>
    </w:p>
    <w:p w14:paraId="7CE0D9A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i w:val="0"/>
          <w:iCs w:val="0"/>
          <w:caps w:val="0"/>
          <w:color w:val="000000"/>
          <w:spacing w:val="0"/>
          <w:sz w:val="24"/>
          <w:szCs w:val="24"/>
        </w:rPr>
      </w:pPr>
      <w:r>
        <w:rPr>
          <w:rStyle w:val="7"/>
          <w:rFonts w:hint="eastAsia" w:asciiTheme="minorEastAsia" w:hAnsiTheme="minorEastAsia" w:eastAsiaTheme="minorEastAsia" w:cstheme="minorEastAsia"/>
          <w:i w:val="0"/>
          <w:iCs w:val="0"/>
          <w:caps w:val="0"/>
          <w:color w:val="000000"/>
          <w:spacing w:val="0"/>
          <w:sz w:val="24"/>
          <w:szCs w:val="24"/>
          <w:shd w:val="clear" w:fill="FFFFFF"/>
        </w:rPr>
        <w:t>一、项目基本情况</w:t>
      </w:r>
      <w:r>
        <w:rPr>
          <w:rFonts w:hint="eastAsia" w:asciiTheme="minorEastAsia" w:hAnsiTheme="minorEastAsia" w:eastAsiaTheme="minorEastAsia" w:cstheme="minorEastAsia"/>
          <w:i w:val="0"/>
          <w:iCs w:val="0"/>
          <w:caps w:val="0"/>
          <w:color w:val="000000"/>
          <w:spacing w:val="0"/>
          <w:sz w:val="24"/>
          <w:szCs w:val="24"/>
          <w:shd w:val="clear" w:fill="FFFFFF"/>
        </w:rPr>
        <w:t>                </w:t>
      </w:r>
    </w:p>
    <w:p w14:paraId="27CFBE5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rPr>
        <w:t>原公告的采购项目编号：WZZC2026-C2-810094-GXT</w:t>
      </w:r>
    </w:p>
    <w:p w14:paraId="12AA21B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rPr>
        <w:t>原公告的采购项目名称：岑溪市义修至竹瓦公路硬化工程项目</w:t>
      </w:r>
    </w:p>
    <w:p w14:paraId="23A1587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rPr>
        <w:t>首次公告日期：2026年08月04日                    </w:t>
      </w:r>
    </w:p>
    <w:p w14:paraId="5AF25B7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i w:val="0"/>
          <w:iCs w:val="0"/>
          <w:caps w:val="0"/>
          <w:color w:val="000000"/>
          <w:spacing w:val="0"/>
          <w:sz w:val="24"/>
          <w:szCs w:val="24"/>
        </w:rPr>
      </w:pPr>
      <w:r>
        <w:rPr>
          <w:rStyle w:val="7"/>
          <w:rFonts w:hint="eastAsia" w:asciiTheme="minorEastAsia" w:hAnsiTheme="minorEastAsia" w:eastAsiaTheme="minorEastAsia" w:cstheme="minorEastAsia"/>
          <w:i w:val="0"/>
          <w:iCs w:val="0"/>
          <w:caps w:val="0"/>
          <w:color w:val="000000"/>
          <w:spacing w:val="0"/>
          <w:sz w:val="24"/>
          <w:szCs w:val="24"/>
          <w:shd w:val="clear" w:fill="FFFFFF"/>
        </w:rPr>
        <w:t>二、更正信息</w:t>
      </w:r>
      <w:r>
        <w:rPr>
          <w:rFonts w:hint="eastAsia" w:asciiTheme="minorEastAsia" w:hAnsiTheme="minorEastAsia" w:eastAsiaTheme="minorEastAsia" w:cstheme="minorEastAsia"/>
          <w:i w:val="0"/>
          <w:iCs w:val="0"/>
          <w:caps w:val="0"/>
          <w:color w:val="000000"/>
          <w:spacing w:val="0"/>
          <w:sz w:val="24"/>
          <w:szCs w:val="24"/>
          <w:shd w:val="clear" w:fill="FFFFFF"/>
        </w:rPr>
        <w:t>                </w:t>
      </w:r>
    </w:p>
    <w:p w14:paraId="08EFE04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rPr>
        <w:t>更正事项：更正采购文件                    </w:t>
      </w:r>
    </w:p>
    <w:p w14:paraId="02E34B5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rPr>
        <w:t>更正内容：                    </w:t>
      </w: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973"/>
        <w:gridCol w:w="1391"/>
        <w:gridCol w:w="3211"/>
        <w:gridCol w:w="4363"/>
      </w:tblGrid>
      <w:tr w14:paraId="4A54C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973" w:type="dxa"/>
            <w:tcBorders>
              <w:top w:val="single" w:color="auto" w:sz="4"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14:paraId="296D991C">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firstLine="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val="en-US" w:eastAsia="zh-CN" w:bidi="ar"/>
              </w:rPr>
              <w:t>序号</w:t>
            </w:r>
          </w:p>
        </w:tc>
        <w:tc>
          <w:tcPr>
            <w:tcW w:w="1391" w:type="dxa"/>
            <w:tcBorders>
              <w:top w:val="single" w:color="auto" w:sz="4"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14:paraId="4D2528C1">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firstLine="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val="en-US" w:eastAsia="zh-CN" w:bidi="ar"/>
              </w:rPr>
              <w:t>更正项</w:t>
            </w:r>
          </w:p>
        </w:tc>
        <w:tc>
          <w:tcPr>
            <w:tcW w:w="3211" w:type="dxa"/>
            <w:tcBorders>
              <w:top w:val="single" w:color="auto" w:sz="4"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14:paraId="36455F51">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firstLine="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val="en-US" w:eastAsia="zh-CN" w:bidi="ar"/>
              </w:rPr>
              <w:t>更正前内容</w:t>
            </w:r>
          </w:p>
        </w:tc>
        <w:tc>
          <w:tcPr>
            <w:tcW w:w="4363" w:type="dxa"/>
            <w:tcBorders>
              <w:top w:val="single" w:color="auto" w:sz="4"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14:paraId="5F8BA857">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firstLine="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val="en-US" w:eastAsia="zh-CN" w:bidi="ar"/>
              </w:rPr>
              <w:t>更正后内容</w:t>
            </w:r>
          </w:p>
        </w:tc>
      </w:tr>
      <w:tr w14:paraId="0A179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973" w:type="dxa"/>
            <w:tcBorders>
              <w:top w:val="single" w:color="auto" w:sz="4"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14:paraId="785983EC">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firstLine="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val="en-US" w:eastAsia="zh-CN" w:bidi="ar"/>
              </w:rPr>
              <w:t>1</w:t>
            </w:r>
          </w:p>
        </w:tc>
        <w:tc>
          <w:tcPr>
            <w:tcW w:w="1391" w:type="dxa"/>
            <w:tcBorders>
              <w:top w:val="single" w:color="auto" w:sz="4"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14:paraId="5E3109FB">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firstLine="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val="en-US" w:eastAsia="zh-CN" w:bidi="ar"/>
              </w:rPr>
              <w:t>图纸</w:t>
            </w:r>
          </w:p>
        </w:tc>
        <w:tc>
          <w:tcPr>
            <w:tcW w:w="3211" w:type="dxa"/>
            <w:tcBorders>
              <w:top w:val="single" w:color="auto" w:sz="4"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14:paraId="58BECB15">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val="en-US" w:eastAsia="zh-CN" w:bidi="ar"/>
              </w:rPr>
              <w:t>/</w:t>
            </w:r>
          </w:p>
        </w:tc>
        <w:tc>
          <w:tcPr>
            <w:tcW w:w="4363" w:type="dxa"/>
            <w:tcBorders>
              <w:top w:val="single" w:color="auto" w:sz="4"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14:paraId="08B53E1E">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val="en-US" w:eastAsia="zh-CN" w:bidi="ar"/>
              </w:rPr>
              <w:t>详见附件</w:t>
            </w:r>
          </w:p>
        </w:tc>
      </w:tr>
      <w:tr w14:paraId="09345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973" w:type="dxa"/>
            <w:tcBorders>
              <w:top w:val="single" w:color="auto" w:sz="4"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14:paraId="6820D4E9">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firstLine="0"/>
              <w:jc w:val="center"/>
              <w:textAlignment w:val="auto"/>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val="en-US" w:eastAsia="zh-CN" w:bidi="ar"/>
              </w:rPr>
              <w:t>2</w:t>
            </w:r>
          </w:p>
        </w:tc>
        <w:tc>
          <w:tcPr>
            <w:tcW w:w="1391" w:type="dxa"/>
            <w:tcBorders>
              <w:top w:val="single" w:color="auto" w:sz="4"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14:paraId="6872AADA">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firstLine="0"/>
              <w:jc w:val="center"/>
              <w:textAlignment w:val="auto"/>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val="en-US" w:eastAsia="zh-CN" w:bidi="ar"/>
              </w:rPr>
              <w:t>招标文件“第八章  评标办法”2.8 确保文明施工的技术组织措施</w:t>
            </w:r>
          </w:p>
        </w:tc>
        <w:tc>
          <w:tcPr>
            <w:tcW w:w="3211" w:type="dxa"/>
            <w:tcBorders>
              <w:top w:val="single" w:color="auto" w:sz="4"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14:paraId="119B8B7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在施工工艺、施工方法、材料选用、劳动力安排、技术等方面有保证工期的具体措施且措施得当。有控制工期的施工进度计划。应有施工总进度表或施工网络图，各项计划图表编制完善，安排科学合理，符合本项目施工实际要求。</w:t>
            </w:r>
          </w:p>
          <w:p w14:paraId="35B9986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五档（6分）：在施工工艺、施工方法、材料选用、劳动力安排、技术等方面有保证工期的具体措施且措施得当。有控制工期的施工进度计划。有施工总进度表或施工网络图，各项计划图表编制完善，安排科学合理，完全能确保工期要求。</w:t>
            </w:r>
          </w:p>
          <w:p w14:paraId="3B0767A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四档（4.5分）：在施工工艺、施工方法、材料选用、劳动力安排、技术等方面有保证工期的措施。有控制工期的施工进度计划。有施工总进度表或施工网络图，各项计划图表编制一般，安排合理，能确保工期要求。 </w:t>
            </w:r>
          </w:p>
          <w:p w14:paraId="4EBC2D1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三档（3分）：在施工工艺、施工方法、材料选用、劳动力安排、技术等方面有保证工期的措施但措施一般。有控制工期的施工进度计划。有施工总进度表或施工网络图，各项计划图表编制一般，安排合理，基本能确保工期要求。</w:t>
            </w:r>
          </w:p>
          <w:p w14:paraId="72295FA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二档（1.5分）：在施工工艺、施工方法、材料选用、劳动力安排、技术等方面无保证工期的措施。无控制工期的施工进度计划。无施工总进度表或施工网络图，不能确保工期要求。</w:t>
            </w:r>
          </w:p>
          <w:p w14:paraId="1E732E67">
            <w:pPr>
              <w:pStyle w:val="10"/>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color w:val="auto"/>
                <w:sz w:val="24"/>
                <w:szCs w:val="24"/>
                <w:highlight w:val="none"/>
                <w:lang w:val="en-US" w:eastAsia="zh-CN"/>
              </w:rPr>
              <w:t>一档</w:t>
            </w:r>
            <w:r>
              <w:rPr>
                <w:rFonts w:hint="eastAsia" w:asciiTheme="minorEastAsia" w:hAnsiTheme="minorEastAsia" w:eastAsiaTheme="minorEastAsia" w:cstheme="minorEastAsia"/>
                <w:color w:val="auto"/>
                <w:sz w:val="24"/>
                <w:szCs w:val="24"/>
                <w:highlight w:val="none"/>
              </w:rPr>
              <w:t>（0分）：未提供或在施工工艺、施工方法、材料选用、劳动力安排、技术等方面有保证工期的措施但措施不可行。无控制工期的施工进度计划。无施工总进度表或施工网络图，不符合本项目施工实际要求。</w:t>
            </w:r>
          </w:p>
        </w:tc>
        <w:tc>
          <w:tcPr>
            <w:tcW w:w="4363" w:type="dxa"/>
            <w:tcBorders>
              <w:top w:val="single" w:color="auto" w:sz="4"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14:paraId="63C138A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针对本工程项目特点，应有现场文明施工、环境保护措施，且措施内容应达到《建筑施工安全生产检查标准》（JGJ59-2011）合格标准并符合《广西壮族自治区建筑工程文明施工导则》要求，文明施工管理制度完善，建立有施工现场管理、环境保护管理、行为规范制度、文明施工管理、施工现场道路维护、施工现场消防安全管理、施工应急预案与演练、文明施工检查与考核等文明施工管理规章制度。各项措施周全、具体、有效。</w:t>
            </w:r>
          </w:p>
          <w:p w14:paraId="409F9E8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四档（4.5分）：针对本工程项目特点，有现场文明施工、环境保护措施，且措施内容达到《建筑施工安全生产检查标准》（JGJ59-2011）合格标准并符合《广西壮族自治区建筑工程文明施工导则》要求。提供具体要求中全部文明施工管理制度且环境保护管理、行为规范管理、文明施工管理、施工现场规范管理、施工应急预案与演练、文明施工检查与考核方案全面、具体、有效。有具体实现现场文明施工目标的承诺，并明确承诺文明施工达到《建筑施工安全生产检查标准》（JGJ59-2011）合格标准并符合《广西壮族自治区建筑工程文明施工导则》要求。</w:t>
            </w:r>
          </w:p>
          <w:p w14:paraId="6987D10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三档（3分）：有现场文明施工、环境保护措施，且措施内容达到《建筑施工安全生产检查标准》（JGJ59-2011）合格标准并符合《广西壮族自治区建筑工程文明施工导则》要求。提供具体要求中全部文明施工管理制度且环境保护管理、行为规范管理、文明施工管理、文明施工检查与考核方案全面、各项措施合理。有具体实现现场文明施工目标的承诺。并明确承诺文明施工达到《建筑施工安全生产检查标准》（JGJ59-2011）合格标准并符合《广西壮族自治区建筑工程文明施工导则》要求。</w:t>
            </w:r>
          </w:p>
          <w:p w14:paraId="46D4904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二档（1.5分）：针对本工程项目特点，应有现场文明施工、环境保护措施，且措施内容应达到《建筑施工安全生产检查标准》（JGJ59-2011）合格标准并符合《广西壮族自治区建筑工程文明施工导则》要求。各项措施一般。无具体实现现场文明施工目标的承诺。</w:t>
            </w:r>
          </w:p>
          <w:p w14:paraId="1E81B793">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firstLine="0"/>
              <w:jc w:val="left"/>
              <w:textAlignment w:val="auto"/>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color w:val="auto"/>
                <w:sz w:val="24"/>
                <w:szCs w:val="24"/>
                <w:highlight w:val="none"/>
                <w:lang w:val="en-US" w:eastAsia="zh-CN"/>
              </w:rPr>
              <w:t>一档</w:t>
            </w:r>
            <w:r>
              <w:rPr>
                <w:rFonts w:hint="eastAsia" w:asciiTheme="minorEastAsia" w:hAnsiTheme="minorEastAsia" w:eastAsiaTheme="minorEastAsia" w:cstheme="minorEastAsia"/>
                <w:color w:val="auto"/>
                <w:sz w:val="24"/>
                <w:szCs w:val="24"/>
                <w:highlight w:val="none"/>
              </w:rPr>
              <w:t>（0分）</w:t>
            </w:r>
            <w:r>
              <w:rPr>
                <w:rFonts w:hint="eastAsia" w:asciiTheme="minorEastAsia" w:hAnsiTheme="minorEastAsia" w:eastAsiaTheme="minorEastAsia" w:cstheme="minorEastAsia"/>
                <w:color w:val="auto"/>
                <w:sz w:val="24"/>
                <w:szCs w:val="24"/>
                <w:highlight w:val="none"/>
                <w:lang w:val="en-US" w:eastAsia="zh-CN"/>
              </w:rPr>
              <w:t>：针对本工程项目特点，应有现场文明施工、环境保护措施，且措施内容应达到《建筑施工安全生产检查标准》（JGJ59-2011）合格标准并符合《广西壮族自治区建筑工程文明施工导则》要求。有基本的文明施工管理制度，各项措施不合理。无具体实现现场文明施工目标的承诺。</w:t>
            </w:r>
          </w:p>
        </w:tc>
      </w:tr>
      <w:tr w14:paraId="25BA8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973" w:type="dxa"/>
            <w:tcBorders>
              <w:top w:val="single" w:color="auto" w:sz="4"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14:paraId="2A656B24">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firstLine="0"/>
              <w:jc w:val="center"/>
              <w:textAlignment w:val="auto"/>
              <w:rPr>
                <w:rFonts w:hint="default" w:asciiTheme="minorEastAsia" w:hAnsiTheme="minorEastAsia" w:eastAsiaTheme="minorEastAsia" w:cstheme="minorEastAsia"/>
                <w:kern w:val="0"/>
                <w:sz w:val="24"/>
                <w:szCs w:val="24"/>
                <w:lang w:val="en-US" w:eastAsia="zh-CN" w:bidi="ar"/>
              </w:rPr>
            </w:pPr>
            <w:r>
              <w:rPr>
                <w:rFonts w:hint="eastAsia" w:asciiTheme="minorEastAsia" w:hAnsiTheme="minorEastAsia" w:cstheme="minorEastAsia"/>
                <w:kern w:val="0"/>
                <w:sz w:val="24"/>
                <w:szCs w:val="24"/>
                <w:lang w:val="en-US" w:eastAsia="zh-CN" w:bidi="ar"/>
              </w:rPr>
              <w:t>3</w:t>
            </w:r>
          </w:p>
        </w:tc>
        <w:tc>
          <w:tcPr>
            <w:tcW w:w="1391" w:type="dxa"/>
            <w:tcBorders>
              <w:top w:val="single" w:color="auto" w:sz="4"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14:paraId="123E43D5">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firstLine="0"/>
              <w:jc w:val="center"/>
              <w:textAlignment w:val="auto"/>
              <w:rPr>
                <w:rFonts w:hint="default" w:asciiTheme="minorEastAsia" w:hAnsiTheme="minorEastAsia" w:eastAsiaTheme="minorEastAsia" w:cstheme="minorEastAsia"/>
                <w:kern w:val="0"/>
                <w:sz w:val="24"/>
                <w:szCs w:val="24"/>
                <w:lang w:val="en-US" w:eastAsia="zh-CN" w:bidi="ar"/>
              </w:rPr>
            </w:pPr>
            <w:r>
              <w:rPr>
                <w:rFonts w:hint="eastAsia" w:asciiTheme="minorEastAsia" w:hAnsiTheme="minorEastAsia" w:cstheme="minorEastAsia"/>
                <w:kern w:val="0"/>
                <w:sz w:val="24"/>
                <w:szCs w:val="24"/>
                <w:lang w:val="en-US" w:eastAsia="zh-CN" w:bidi="ar"/>
              </w:rPr>
              <w:t>开标时间</w:t>
            </w:r>
          </w:p>
        </w:tc>
        <w:tc>
          <w:tcPr>
            <w:tcW w:w="3211" w:type="dxa"/>
            <w:tcBorders>
              <w:top w:val="single" w:color="auto" w:sz="4"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14:paraId="1485CF94">
            <w:pPr>
              <w:pStyle w:val="10"/>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2026年08月18日09时00分</w:t>
            </w:r>
          </w:p>
        </w:tc>
        <w:tc>
          <w:tcPr>
            <w:tcW w:w="4363" w:type="dxa"/>
            <w:tcBorders>
              <w:top w:val="single" w:color="auto" w:sz="4"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14:paraId="22134B3A">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2026年08月</w:t>
            </w:r>
            <w:r>
              <w:rPr>
                <w:rFonts w:hint="eastAsia" w:asciiTheme="minorEastAsia" w:hAnsiTheme="minorEastAsia" w:cstheme="minorEastAsia"/>
                <w:color w:val="auto"/>
                <w:sz w:val="24"/>
                <w:szCs w:val="24"/>
                <w:highlight w:val="none"/>
                <w:lang w:val="en-US" w:eastAsia="zh-CN"/>
              </w:rPr>
              <w:t>20</w:t>
            </w:r>
            <w:r>
              <w:rPr>
                <w:rFonts w:hint="eastAsia" w:asciiTheme="minorEastAsia" w:hAnsiTheme="minorEastAsia" w:eastAsiaTheme="minorEastAsia" w:cstheme="minorEastAsia"/>
                <w:color w:val="auto"/>
                <w:sz w:val="24"/>
                <w:szCs w:val="24"/>
                <w:highlight w:val="none"/>
                <w:lang w:val="en-US" w:eastAsia="zh-CN"/>
              </w:rPr>
              <w:t>日09时00分</w:t>
            </w:r>
          </w:p>
        </w:tc>
      </w:tr>
    </w:tbl>
    <w:p w14:paraId="24E56C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Autospacing="0" w:afterAutospacing="0" w:line="360" w:lineRule="auto"/>
        <w:ind w:left="0" w:right="0" w:firstLine="0"/>
        <w:jc w:val="left"/>
        <w:textAlignment w:val="auto"/>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kern w:val="0"/>
          <w:sz w:val="24"/>
          <w:szCs w:val="24"/>
          <w:shd w:val="clear" w:fill="FFFFFF"/>
          <w:lang w:val="en-US" w:eastAsia="zh-CN" w:bidi="ar"/>
        </w:rPr>
        <w:t>                   </w:t>
      </w:r>
    </w:p>
    <w:p w14:paraId="33494DA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rPr>
        <w:t>更正日期：</w:t>
      </w:r>
      <w:r>
        <w:rPr>
          <w:rFonts w:hint="eastAsia" w:asciiTheme="minorEastAsia" w:hAnsiTheme="minorEastAsia" w:eastAsiaTheme="minorEastAsia" w:cstheme="minorEastAsia"/>
          <w:i w:val="0"/>
          <w:iCs w:val="0"/>
          <w:caps w:val="0"/>
          <w:color w:val="000000"/>
          <w:spacing w:val="0"/>
          <w:sz w:val="24"/>
          <w:szCs w:val="24"/>
          <w:u w:val="none"/>
          <w:shd w:val="clear" w:fill="FFFFFF"/>
        </w:rPr>
        <w:t>2026年08月1</w:t>
      </w:r>
      <w:r>
        <w:rPr>
          <w:rFonts w:hint="eastAsia" w:asciiTheme="minorEastAsia" w:hAnsiTheme="minorEastAsia" w:cstheme="minorEastAsia"/>
          <w:i w:val="0"/>
          <w:iCs w:val="0"/>
          <w:caps w:val="0"/>
          <w:color w:val="000000"/>
          <w:spacing w:val="0"/>
          <w:sz w:val="24"/>
          <w:szCs w:val="24"/>
          <w:u w:val="none"/>
          <w:shd w:val="clear" w:fill="FFFFFF"/>
          <w:lang w:val="en-US" w:eastAsia="zh-CN"/>
        </w:rPr>
        <w:t>3</w:t>
      </w:r>
      <w:r>
        <w:rPr>
          <w:rFonts w:hint="eastAsia" w:asciiTheme="minorEastAsia" w:hAnsiTheme="minorEastAsia" w:eastAsiaTheme="minorEastAsia" w:cstheme="minorEastAsia"/>
          <w:i w:val="0"/>
          <w:iCs w:val="0"/>
          <w:caps w:val="0"/>
          <w:color w:val="000000"/>
          <w:spacing w:val="0"/>
          <w:sz w:val="24"/>
          <w:szCs w:val="24"/>
          <w:u w:val="none"/>
          <w:shd w:val="clear" w:fill="FFFFFF"/>
        </w:rPr>
        <w:t>日</w:t>
      </w:r>
      <w:r>
        <w:rPr>
          <w:rFonts w:hint="eastAsia" w:asciiTheme="minorEastAsia" w:hAnsiTheme="minorEastAsia" w:eastAsiaTheme="minorEastAsia" w:cstheme="minorEastAsia"/>
          <w:i w:val="0"/>
          <w:iCs w:val="0"/>
          <w:caps w:val="0"/>
          <w:color w:val="000000"/>
          <w:spacing w:val="0"/>
          <w:sz w:val="24"/>
          <w:szCs w:val="24"/>
          <w:shd w:val="clear" w:fill="FFFFFF"/>
        </w:rPr>
        <w:t>　　　                    </w:t>
      </w:r>
    </w:p>
    <w:p w14:paraId="7475B7B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i w:val="0"/>
          <w:iCs w:val="0"/>
          <w:caps w:val="0"/>
          <w:color w:val="000000"/>
          <w:spacing w:val="0"/>
          <w:sz w:val="24"/>
          <w:szCs w:val="24"/>
        </w:rPr>
      </w:pPr>
      <w:r>
        <w:rPr>
          <w:rStyle w:val="7"/>
          <w:rFonts w:hint="eastAsia" w:asciiTheme="minorEastAsia" w:hAnsiTheme="minorEastAsia" w:eastAsiaTheme="minorEastAsia" w:cstheme="minorEastAsia"/>
          <w:i w:val="0"/>
          <w:iCs w:val="0"/>
          <w:caps w:val="0"/>
          <w:color w:val="000000"/>
          <w:spacing w:val="0"/>
          <w:sz w:val="24"/>
          <w:szCs w:val="24"/>
          <w:shd w:val="clear" w:fill="FFFFFF"/>
        </w:rPr>
        <w:t>三、其他补充事宜</w:t>
      </w:r>
      <w:r>
        <w:rPr>
          <w:rFonts w:hint="eastAsia" w:asciiTheme="minorEastAsia" w:hAnsiTheme="minorEastAsia" w:eastAsiaTheme="minorEastAsia" w:cstheme="minorEastAsia"/>
          <w:i w:val="0"/>
          <w:iCs w:val="0"/>
          <w:caps w:val="0"/>
          <w:color w:val="000000"/>
          <w:spacing w:val="0"/>
          <w:sz w:val="24"/>
          <w:szCs w:val="24"/>
          <w:shd w:val="clear" w:fill="FFFFFF"/>
        </w:rPr>
        <w:t>                </w:t>
      </w:r>
    </w:p>
    <w:p w14:paraId="0E21605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i w:val="0"/>
          <w:iCs w:val="0"/>
          <w:caps w:val="0"/>
          <w:color w:val="000000"/>
          <w:spacing w:val="0"/>
          <w:sz w:val="24"/>
          <w:szCs w:val="24"/>
        </w:rPr>
      </w:pPr>
      <w:r>
        <w:rPr>
          <w:rStyle w:val="8"/>
          <w:rFonts w:hint="eastAsia" w:asciiTheme="minorEastAsia" w:hAnsiTheme="minorEastAsia" w:eastAsiaTheme="minorEastAsia" w:cstheme="minorEastAsia"/>
          <w:i w:val="0"/>
          <w:iCs w:val="0"/>
          <w:caps w:val="0"/>
          <w:color w:val="000000"/>
          <w:spacing w:val="0"/>
          <w:sz w:val="24"/>
          <w:szCs w:val="24"/>
          <w:shd w:val="clear" w:fill="FFFFFF"/>
        </w:rPr>
        <w:t>/</w:t>
      </w:r>
      <w:r>
        <w:rPr>
          <w:rFonts w:hint="eastAsia" w:asciiTheme="minorEastAsia" w:hAnsiTheme="minorEastAsia" w:eastAsiaTheme="minorEastAsia" w:cstheme="minorEastAsia"/>
          <w:i w:val="0"/>
          <w:iCs w:val="0"/>
          <w:caps w:val="0"/>
          <w:color w:val="000000"/>
          <w:spacing w:val="0"/>
          <w:sz w:val="24"/>
          <w:szCs w:val="24"/>
          <w:shd w:val="clear" w:fill="FFFFFF"/>
        </w:rPr>
        <w:t>                </w:t>
      </w:r>
    </w:p>
    <w:p w14:paraId="58F075C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i w:val="0"/>
          <w:iCs w:val="0"/>
          <w:caps w:val="0"/>
          <w:color w:val="000000"/>
          <w:spacing w:val="0"/>
          <w:sz w:val="24"/>
          <w:szCs w:val="24"/>
        </w:rPr>
      </w:pPr>
      <w:r>
        <w:rPr>
          <w:rStyle w:val="7"/>
          <w:rFonts w:hint="eastAsia" w:asciiTheme="minorEastAsia" w:hAnsiTheme="minorEastAsia" w:eastAsiaTheme="minorEastAsia" w:cstheme="minorEastAsia"/>
          <w:i w:val="0"/>
          <w:iCs w:val="0"/>
          <w:caps w:val="0"/>
          <w:color w:val="000000"/>
          <w:spacing w:val="0"/>
          <w:sz w:val="24"/>
          <w:szCs w:val="24"/>
          <w:shd w:val="clear" w:fill="FFFFFF"/>
        </w:rPr>
        <w:t>四、对本次公告提出询问，请按以下方式联系。</w:t>
      </w:r>
      <w:r>
        <w:rPr>
          <w:rFonts w:hint="eastAsia" w:asciiTheme="minorEastAsia" w:hAnsiTheme="minorEastAsia" w:eastAsiaTheme="minorEastAsia" w:cstheme="minorEastAsia"/>
          <w:i w:val="0"/>
          <w:iCs w:val="0"/>
          <w:caps w:val="0"/>
          <w:color w:val="000000"/>
          <w:spacing w:val="0"/>
          <w:sz w:val="24"/>
          <w:szCs w:val="24"/>
          <w:shd w:val="clear" w:fill="FFFFFF"/>
        </w:rPr>
        <w:t>　　　            </w:t>
      </w:r>
    </w:p>
    <w:p w14:paraId="3C61782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rPr>
        <w:t>1.采购人信息                        </w:t>
      </w:r>
    </w:p>
    <w:p w14:paraId="22D0C9E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rPr>
        <w:t>名    称：岑溪市交通运输服务中心</w:t>
      </w:r>
    </w:p>
    <w:p w14:paraId="67DEE98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rPr>
        <w:t>地    址：广西壮族自治区梧州市岑溪市大中路37号</w:t>
      </w:r>
    </w:p>
    <w:p w14:paraId="74A68B9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rPr>
        <w:t>联系方式：0774-8224339                          </w:t>
      </w:r>
    </w:p>
    <w:p w14:paraId="593123D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rPr>
        <w:t>2.采购代理机构信息 </w:t>
      </w:r>
    </w:p>
    <w:p w14:paraId="3B34085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rPr>
        <w:t>名    称：广西天柱建设管理有限公司</w:t>
      </w:r>
    </w:p>
    <w:p w14:paraId="079555D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rPr>
        <w:t>地    址：岑溪市城北文教区育才路25米街(实验小学东门右侧刘枝新屋三楼)</w:t>
      </w:r>
    </w:p>
    <w:p w14:paraId="40EA5B1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rPr>
        <w:t>联系方式：0774-5122336</w:t>
      </w:r>
    </w:p>
    <w:p w14:paraId="26FEC3A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rPr>
        <w:t>3.项目联系方式                        </w:t>
      </w:r>
    </w:p>
    <w:p w14:paraId="4032C14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rPr>
        <w:t>项目联系人：</w:t>
      </w:r>
      <w:r>
        <w:rPr>
          <w:rStyle w:val="8"/>
          <w:rFonts w:hint="eastAsia" w:asciiTheme="minorEastAsia" w:hAnsiTheme="minorEastAsia" w:eastAsiaTheme="minorEastAsia" w:cstheme="minorEastAsia"/>
          <w:i w:val="0"/>
          <w:iCs w:val="0"/>
          <w:caps w:val="0"/>
          <w:color w:val="000000"/>
          <w:spacing w:val="0"/>
          <w:sz w:val="24"/>
          <w:szCs w:val="24"/>
          <w:shd w:val="clear" w:fill="FFFFFF"/>
        </w:rPr>
        <w:t>何东凌</w:t>
      </w:r>
      <w:r>
        <w:rPr>
          <w:rFonts w:hint="eastAsia" w:asciiTheme="minorEastAsia" w:hAnsiTheme="minorEastAsia" w:eastAsiaTheme="minorEastAsia" w:cstheme="minorEastAsia"/>
          <w:i w:val="0"/>
          <w:iCs w:val="0"/>
          <w:caps w:val="0"/>
          <w:color w:val="000000"/>
          <w:spacing w:val="0"/>
          <w:sz w:val="24"/>
          <w:szCs w:val="24"/>
          <w:shd w:val="clear" w:fill="FFFFFF"/>
        </w:rPr>
        <w:t>  </w:t>
      </w:r>
    </w:p>
    <w:p w14:paraId="699EAF1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rPr>
        <w:t>电      话：</w:t>
      </w:r>
      <w:r>
        <w:rPr>
          <w:rStyle w:val="8"/>
          <w:rFonts w:hint="eastAsia" w:asciiTheme="minorEastAsia" w:hAnsiTheme="minorEastAsia" w:eastAsiaTheme="minorEastAsia" w:cstheme="minorEastAsia"/>
          <w:i w:val="0"/>
          <w:iCs w:val="0"/>
          <w:caps w:val="0"/>
          <w:color w:val="000000"/>
          <w:spacing w:val="0"/>
          <w:sz w:val="24"/>
          <w:szCs w:val="24"/>
          <w:shd w:val="clear" w:fill="FFFFFF"/>
        </w:rPr>
        <w:t>0774-5122336</w:t>
      </w:r>
    </w:p>
    <w:p w14:paraId="7AA08C54">
      <w:pPr>
        <w:rPr>
          <w:rFonts w:ascii="微软雅黑" w:hAnsi="微软雅黑" w:eastAsia="微软雅黑" w:cs="微软雅黑"/>
          <w:b/>
          <w:bCs/>
          <w:i w:val="0"/>
          <w:iCs w:val="0"/>
          <w:caps w:val="0"/>
          <w:color w:val="333333"/>
          <w:spacing w:val="0"/>
          <w:sz w:val="30"/>
          <w:szCs w:val="30"/>
          <w:shd w:val="clear" w:fill="FFFFFF"/>
        </w:rPr>
      </w:pPr>
    </w:p>
    <w:sectPr>
      <w:pgSz w:w="11906" w:h="16838"/>
      <w:pgMar w:top="113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4D7C21"/>
    <w:rsid w:val="5EDA55A6"/>
    <w:rsid w:val="747F2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1"/>
    <w:qFormat/>
    <w:uiPriority w:val="0"/>
    <w:pPr>
      <w:keepNext/>
      <w:keepLines/>
      <w:widowControl w:val="0"/>
      <w:spacing w:before="340" w:after="330" w:line="578" w:lineRule="auto"/>
      <w:jc w:val="both"/>
      <w:outlineLvl w:val="0"/>
    </w:pPr>
    <w:rPr>
      <w:rFonts w:ascii="Times New Roman" w:hAnsi="Times New Roman" w:eastAsia="宋体" w:cs="Times New Roman"/>
      <w:b/>
      <w:bCs/>
      <w:kern w:val="44"/>
      <w:sz w:val="44"/>
      <w:szCs w:val="4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left" w:pos="0"/>
        <w:tab w:val="right" w:leader="dot" w:pos="9435"/>
      </w:tabs>
      <w:spacing w:line="440" w:lineRule="exact"/>
      <w:jc w:val="left"/>
    </w:pPr>
    <w:rPr>
      <w:rFonts w:ascii="Calibri" w:hAnsi="Calibri" w:eastAsia="宋体" w:cs="Times New Roman"/>
      <w:kern w:val="0"/>
      <w:sz w:val="22"/>
      <w:szCs w:val="22"/>
      <w:lang w:val="en-US" w:eastAsia="zh-CN"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TML Sample"/>
    <w:basedOn w:val="6"/>
    <w:qFormat/>
    <w:uiPriority w:val="0"/>
    <w:rPr>
      <w:rFonts w:ascii="Courier New" w:hAnsi="Courier New"/>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20"/>
      <w:szCs w:val="20"/>
      <w:lang w:val="en-US" w:eastAsia="en-US" w:bidi="ar-SA"/>
    </w:rPr>
  </w:style>
  <w:style w:type="character" w:customStyle="1" w:styleId="11">
    <w:name w:val="标题 1 Char"/>
    <w:link w:val="3"/>
    <w:qFormat/>
    <w:uiPriority w:val="0"/>
    <w:rPr>
      <w:rFonts w:ascii="Times New Roman" w:hAnsi="Times New Roman" w:eastAsia="宋体" w:cs="Times New Roman"/>
      <w:b/>
      <w:bCs/>
      <w:kern w:val="44"/>
      <w:sz w:val="44"/>
      <w:szCs w:val="4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1805</Words>
  <Characters>1961</Characters>
  <Lines>0</Lines>
  <Paragraphs>0</Paragraphs>
  <TotalTime>0</TotalTime>
  <ScaleCrop>false</ScaleCrop>
  <LinksUpToDate>false</LinksUpToDate>
  <CharactersWithSpaces>2245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2026-08-13T07:10:00Z</dcterms:created>
  <dc:creator>Administrator</dc:creator>
  <cp:lastModifiedBy>小D</cp:lastModifiedBy>
  <dcterms:modified xsi:type="dcterms:W3CDTF">2026-08-13T07:29:49Z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eyJoZGlkIjoiYjI1OWQxMGE3OGU3MmJmZDdkZTY3NzgxMzhlNDQyN2YiLCJ1c2VySWQiOiI1NjA4MDY0NDUifQ==</vt:lpwstr>
  </property>
  <property fmtid="{D5CDD505-2E9C-101B-9397-08002B2CF9AE}" pid="4" name="ICV">
    <vt:lpwstr>DA282EB2914A4CA5B3F9E36DB582A9BF_12</vt:lpwstr>
  </property>
</Properties>
</file>