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97819">
      <w:pPr>
        <w:widowControl w:val="0"/>
        <w:spacing w:line="360" w:lineRule="auto"/>
        <w:ind w:left="3" w:leftChars="-95" w:right="-275" w:rightChars="-131" w:hanging="202" w:hangingChars="28"/>
        <w:jc w:val="center"/>
        <w:rPr>
          <w:rFonts w:hint="eastAsia" w:ascii="Times New Roman" w:hAnsi="Times New Roman" w:eastAsia="宋体" w:cs="Times New Roman"/>
          <w:b/>
          <w:bCs/>
          <w:color w:val="auto"/>
          <w:sz w:val="72"/>
          <w:szCs w:val="72"/>
          <w:highlight w:val="none"/>
          <w:lang w:eastAsia="zh-CN"/>
        </w:rPr>
      </w:pPr>
    </w:p>
    <w:p w14:paraId="2C3F9698">
      <w:pPr>
        <w:pStyle w:val="29"/>
        <w:rPr>
          <w:rFonts w:hint="eastAsia"/>
          <w:color w:val="auto"/>
          <w:lang w:eastAsia="zh-CN"/>
        </w:rPr>
      </w:pPr>
    </w:p>
    <w:p w14:paraId="180895D4">
      <w:pPr>
        <w:widowControl w:val="0"/>
        <w:spacing w:line="360" w:lineRule="auto"/>
        <w:ind w:left="3" w:leftChars="-95" w:right="-275" w:rightChars="-131" w:hanging="202" w:hangingChars="28"/>
        <w:jc w:val="center"/>
        <w:rPr>
          <w:rFonts w:ascii="Times New Roman" w:hAnsi="Times New Roman" w:eastAsia="宋体" w:cs="Times New Roman"/>
          <w:color w:val="auto"/>
          <w:sz w:val="72"/>
          <w:szCs w:val="72"/>
          <w:highlight w:val="none"/>
          <w:lang w:eastAsia="zh-CN"/>
        </w:rPr>
      </w:pPr>
      <w:r>
        <w:rPr>
          <w:rFonts w:hint="eastAsia" w:ascii="Times New Roman" w:hAnsi="Times New Roman" w:eastAsia="宋体" w:cs="Times New Roman"/>
          <w:b/>
          <w:bCs/>
          <w:color w:val="auto"/>
          <w:sz w:val="72"/>
          <w:szCs w:val="72"/>
          <w:highlight w:val="none"/>
          <w:lang w:eastAsia="zh-CN"/>
        </w:rPr>
        <w:t>广西邕政采购代理有限公司</w:t>
      </w:r>
    </w:p>
    <w:p w14:paraId="63F0A966">
      <w:pPr>
        <w:pStyle w:val="8"/>
        <w:widowControl w:val="0"/>
        <w:spacing w:line="360" w:lineRule="auto"/>
        <w:ind w:firstLine="420" w:firstLineChars="200"/>
        <w:rPr>
          <w:rFonts w:ascii="Times New Roman" w:hAnsi="Times New Roman" w:cs="Times New Roman"/>
          <w:color w:val="auto"/>
          <w:highlight w:val="none"/>
          <w:lang w:eastAsia="zh-CN"/>
        </w:rPr>
      </w:pPr>
    </w:p>
    <w:p w14:paraId="229F9C93">
      <w:pPr>
        <w:pStyle w:val="8"/>
        <w:widowControl w:val="0"/>
        <w:spacing w:line="360" w:lineRule="auto"/>
        <w:rPr>
          <w:rFonts w:ascii="Times New Roman" w:hAnsi="Times New Roman" w:cs="Times New Roman"/>
          <w:color w:val="auto"/>
          <w:highlight w:val="none"/>
          <w:lang w:eastAsia="zh-CN"/>
        </w:rPr>
      </w:pPr>
    </w:p>
    <w:p w14:paraId="60468A2B">
      <w:pPr>
        <w:pStyle w:val="8"/>
        <w:widowControl w:val="0"/>
        <w:spacing w:line="360" w:lineRule="auto"/>
        <w:ind w:firstLine="420" w:firstLineChars="200"/>
        <w:rPr>
          <w:rFonts w:ascii="Times New Roman" w:hAnsi="Times New Roman" w:cs="Times New Roman"/>
          <w:color w:val="auto"/>
          <w:highlight w:val="none"/>
          <w:lang w:eastAsia="zh-CN"/>
        </w:rPr>
      </w:pPr>
    </w:p>
    <w:p w14:paraId="0D2F7A80">
      <w:pPr>
        <w:pStyle w:val="8"/>
        <w:widowControl w:val="0"/>
        <w:spacing w:line="360" w:lineRule="auto"/>
        <w:ind w:firstLine="420" w:firstLineChars="200"/>
        <w:rPr>
          <w:rFonts w:ascii="Times New Roman" w:hAnsi="Times New Roman" w:cs="Times New Roman"/>
          <w:color w:val="auto"/>
          <w:highlight w:val="none"/>
          <w:lang w:eastAsia="zh-CN"/>
        </w:rPr>
      </w:pPr>
    </w:p>
    <w:p w14:paraId="717B4309">
      <w:pPr>
        <w:widowControl w:val="0"/>
        <w:spacing w:line="360" w:lineRule="auto"/>
        <w:ind w:firstLine="1666" w:firstLineChars="200"/>
        <w:rPr>
          <w:rFonts w:ascii="Times New Roman" w:hAnsi="Times New Roman" w:eastAsia="宋体" w:cs="Times New Roman"/>
          <w:color w:val="auto"/>
          <w:sz w:val="83"/>
          <w:szCs w:val="83"/>
          <w:highlight w:val="none"/>
          <w:lang w:eastAsia="zh-CN"/>
        </w:rPr>
      </w:pPr>
      <w:r>
        <w:rPr>
          <w:rFonts w:ascii="Times New Roman" w:hAnsi="Times New Roman" w:eastAsia="宋体" w:cs="Times New Roman"/>
          <w:b/>
          <w:bCs/>
          <w:color w:val="auto"/>
          <w:sz w:val="83"/>
          <w:szCs w:val="83"/>
          <w:highlight w:val="none"/>
          <w:lang w:eastAsia="zh-CN"/>
        </w:rPr>
        <w:t>竞争性谈判文件</w:t>
      </w:r>
    </w:p>
    <w:p w14:paraId="23BF1243">
      <w:pPr>
        <w:widowControl w:val="0"/>
        <w:spacing w:line="360" w:lineRule="auto"/>
        <w:rPr>
          <w:rFonts w:ascii="Times New Roman" w:hAnsi="Times New Roman" w:eastAsia="宋体" w:cs="Times New Roman"/>
          <w:b/>
          <w:bCs/>
          <w:color w:val="auto"/>
          <w:sz w:val="31"/>
          <w:szCs w:val="31"/>
          <w:highlight w:val="none"/>
          <w:lang w:eastAsia="zh-CN"/>
        </w:rPr>
      </w:pPr>
    </w:p>
    <w:p w14:paraId="742C681B">
      <w:pPr>
        <w:widowControl w:val="0"/>
        <w:spacing w:line="360" w:lineRule="auto"/>
        <w:ind w:firstLine="1245" w:firstLineChars="400"/>
        <w:rPr>
          <w:rFonts w:ascii="Times New Roman" w:hAnsi="Times New Roman" w:eastAsia="宋体" w:cs="Times New Roman"/>
          <w:b/>
          <w:bCs/>
          <w:color w:val="auto"/>
          <w:sz w:val="31"/>
          <w:szCs w:val="31"/>
          <w:highlight w:val="none"/>
          <w:lang w:eastAsia="zh-CN"/>
        </w:rPr>
      </w:pPr>
    </w:p>
    <w:p w14:paraId="66A2D6DB">
      <w:pPr>
        <w:widowControl w:val="0"/>
        <w:spacing w:line="360" w:lineRule="auto"/>
        <w:ind w:firstLine="1245" w:firstLineChars="400"/>
        <w:rPr>
          <w:rFonts w:ascii="Times New Roman" w:hAnsi="Times New Roman" w:eastAsia="宋体" w:cs="Times New Roman"/>
          <w:b/>
          <w:bCs/>
          <w:color w:val="auto"/>
          <w:sz w:val="31"/>
          <w:szCs w:val="31"/>
          <w:highlight w:val="none"/>
          <w:lang w:eastAsia="zh-CN"/>
        </w:rPr>
      </w:pPr>
    </w:p>
    <w:p w14:paraId="101983ED">
      <w:pPr>
        <w:widowControl w:val="0"/>
        <w:spacing w:line="360" w:lineRule="auto"/>
        <w:ind w:left="0" w:leftChars="0" w:firstLine="0" w:firstLineChars="0"/>
        <w:jc w:val="center"/>
        <w:rPr>
          <w:rFonts w:ascii="Times New Roman" w:hAnsi="Times New Roman" w:eastAsia="宋体" w:cs="Times New Roman"/>
          <w:b/>
          <w:bCs/>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项目名称</w:t>
      </w:r>
      <w:r>
        <w:rPr>
          <w:rFonts w:ascii="Times New Roman" w:hAnsi="Times New Roman" w:eastAsia="宋体" w:cs="Times New Roman"/>
          <w:color w:val="auto"/>
          <w:sz w:val="31"/>
          <w:szCs w:val="31"/>
          <w:highlight w:val="none"/>
          <w:lang w:eastAsia="zh-CN"/>
        </w:rPr>
        <w:t>：</w:t>
      </w:r>
      <w:r>
        <w:rPr>
          <w:rFonts w:hint="eastAsia" w:ascii="Times New Roman" w:hAnsi="Times New Roman" w:eastAsia="宋体" w:cs="Times New Roman"/>
          <w:b/>
          <w:bCs/>
          <w:color w:val="auto"/>
          <w:sz w:val="31"/>
          <w:szCs w:val="31"/>
          <w:highlight w:val="none"/>
          <w:lang w:eastAsia="zh-CN"/>
        </w:rPr>
        <w:t>桂林技师学院实训室建设项目</w:t>
      </w:r>
    </w:p>
    <w:p w14:paraId="3DE6D1F2">
      <w:pPr>
        <w:widowControl w:val="0"/>
        <w:spacing w:line="360" w:lineRule="auto"/>
        <w:ind w:left="0" w:leftChars="0" w:firstLine="0" w:firstLineChars="0"/>
        <w:jc w:val="center"/>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项目编号：</w:t>
      </w:r>
      <w:r>
        <w:rPr>
          <w:rFonts w:hint="eastAsia" w:ascii="Times New Roman" w:hAnsi="Times New Roman" w:eastAsia="宋体" w:cs="Times New Roman"/>
          <w:b/>
          <w:bCs/>
          <w:color w:val="auto"/>
          <w:sz w:val="31"/>
          <w:szCs w:val="31"/>
          <w:highlight w:val="none"/>
          <w:lang w:eastAsia="zh-CN"/>
        </w:rPr>
        <w:t>GLZC2026-J1-990366-GXYZ</w:t>
      </w:r>
    </w:p>
    <w:p w14:paraId="5B110941">
      <w:pPr>
        <w:pStyle w:val="8"/>
        <w:widowControl w:val="0"/>
        <w:spacing w:line="360" w:lineRule="auto"/>
        <w:ind w:left="0" w:leftChars="0" w:firstLine="0" w:firstLineChars="0"/>
        <w:jc w:val="center"/>
        <w:rPr>
          <w:rFonts w:ascii="Times New Roman" w:hAnsi="Times New Roman" w:cs="Times New Roman"/>
          <w:color w:val="auto"/>
          <w:highlight w:val="none"/>
          <w:lang w:eastAsia="zh-CN"/>
        </w:rPr>
      </w:pPr>
    </w:p>
    <w:p w14:paraId="379CE25F">
      <w:pPr>
        <w:widowControl w:val="0"/>
        <w:spacing w:line="360" w:lineRule="auto"/>
        <w:ind w:left="0" w:leftChars="0" w:firstLine="0" w:firstLineChars="0"/>
        <w:jc w:val="center"/>
        <w:rPr>
          <w:rFonts w:ascii="Times New Roman" w:hAnsi="Times New Roman" w:eastAsia="宋体" w:cs="Times New Roman"/>
          <w:b/>
          <w:bCs/>
          <w:color w:val="auto"/>
          <w:sz w:val="31"/>
          <w:szCs w:val="31"/>
          <w:highlight w:val="none"/>
          <w:lang w:eastAsia="zh-CN"/>
        </w:rPr>
      </w:pPr>
    </w:p>
    <w:p w14:paraId="1505F551">
      <w:pPr>
        <w:widowControl w:val="0"/>
        <w:spacing w:line="360" w:lineRule="auto"/>
        <w:ind w:left="0" w:leftChars="0" w:firstLine="0" w:firstLineChars="0"/>
        <w:jc w:val="both"/>
        <w:rPr>
          <w:rFonts w:ascii="Times New Roman" w:hAnsi="Times New Roman" w:eastAsia="宋体" w:cs="Times New Roman"/>
          <w:b/>
          <w:bCs/>
          <w:color w:val="auto"/>
          <w:sz w:val="31"/>
          <w:szCs w:val="31"/>
          <w:highlight w:val="none"/>
          <w:lang w:eastAsia="zh-CN"/>
        </w:rPr>
      </w:pPr>
    </w:p>
    <w:p w14:paraId="20A0E9E3">
      <w:pPr>
        <w:widowControl w:val="0"/>
        <w:spacing w:line="360" w:lineRule="auto"/>
        <w:ind w:left="0" w:leftChars="0" w:firstLine="0" w:firstLineChars="0"/>
        <w:jc w:val="center"/>
        <w:rPr>
          <w:rFonts w:ascii="Times New Roman" w:hAnsi="Times New Roman" w:eastAsia="宋体" w:cs="Times New Roman"/>
          <w:b/>
          <w:bCs/>
          <w:color w:val="auto"/>
          <w:sz w:val="31"/>
          <w:szCs w:val="31"/>
          <w:highlight w:val="none"/>
          <w:lang w:eastAsia="zh-CN"/>
        </w:rPr>
      </w:pPr>
    </w:p>
    <w:p w14:paraId="58396B8D">
      <w:pPr>
        <w:widowControl w:val="0"/>
        <w:spacing w:line="360" w:lineRule="auto"/>
        <w:ind w:left="0" w:leftChars="0" w:firstLine="0" w:firstLineChars="0"/>
        <w:jc w:val="center"/>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采购代理机构：</w:t>
      </w:r>
      <w:r>
        <w:rPr>
          <w:rFonts w:hint="eastAsia" w:ascii="Times New Roman" w:hAnsi="Times New Roman" w:eastAsia="宋体" w:cs="Times New Roman"/>
          <w:b/>
          <w:bCs/>
          <w:color w:val="auto"/>
          <w:sz w:val="31"/>
          <w:szCs w:val="31"/>
          <w:highlight w:val="none"/>
          <w:lang w:eastAsia="zh-CN"/>
        </w:rPr>
        <w:t>广西邕政采购代理有限公司</w:t>
      </w:r>
    </w:p>
    <w:p w14:paraId="2DDFE201">
      <w:pPr>
        <w:widowControl w:val="0"/>
        <w:spacing w:line="360" w:lineRule="auto"/>
        <w:ind w:left="0" w:leftChars="0" w:firstLine="0" w:firstLineChars="0"/>
        <w:jc w:val="center"/>
        <w:rPr>
          <w:rFonts w:hint="default" w:ascii="Times New Roman" w:hAnsi="Times New Roman" w:eastAsia="宋体" w:cs="Times New Roman"/>
          <w:b/>
          <w:bCs/>
          <w:color w:val="auto"/>
          <w:sz w:val="31"/>
          <w:szCs w:val="31"/>
          <w:highlight w:val="none"/>
          <w:lang w:val="en-US" w:eastAsia="zh-CN"/>
        </w:rPr>
      </w:pPr>
      <w:r>
        <w:rPr>
          <w:rFonts w:ascii="Times New Roman" w:hAnsi="Times New Roman" w:eastAsia="宋体" w:cs="Times New Roman"/>
          <w:b/>
          <w:bCs/>
          <w:color w:val="auto"/>
          <w:sz w:val="31"/>
          <w:szCs w:val="31"/>
          <w:highlight w:val="none"/>
          <w:lang w:eastAsia="zh-CN"/>
        </w:rPr>
        <w:t>2026年</w:t>
      </w:r>
      <w:r>
        <w:rPr>
          <w:rFonts w:hint="eastAsia" w:ascii="Times New Roman" w:hAnsi="Times New Roman" w:eastAsia="宋体" w:cs="Times New Roman"/>
          <w:b/>
          <w:bCs/>
          <w:color w:val="auto"/>
          <w:sz w:val="31"/>
          <w:szCs w:val="31"/>
          <w:highlight w:val="none"/>
          <w:lang w:val="en-US" w:eastAsia="zh-CN"/>
        </w:rPr>
        <w:t>8</w:t>
      </w:r>
      <w:r>
        <w:rPr>
          <w:rFonts w:ascii="Times New Roman" w:hAnsi="Times New Roman" w:eastAsia="宋体" w:cs="Times New Roman"/>
          <w:b/>
          <w:bCs/>
          <w:color w:val="auto"/>
          <w:sz w:val="31"/>
          <w:szCs w:val="31"/>
          <w:highlight w:val="none"/>
          <w:lang w:eastAsia="zh-CN"/>
        </w:rPr>
        <w:t>月</w:t>
      </w:r>
      <w:r>
        <w:rPr>
          <w:rFonts w:hint="eastAsia" w:ascii="Times New Roman" w:hAnsi="Times New Roman" w:eastAsia="宋体" w:cs="Times New Roman"/>
          <w:b/>
          <w:bCs/>
          <w:color w:val="auto"/>
          <w:sz w:val="31"/>
          <w:szCs w:val="31"/>
          <w:highlight w:val="none"/>
          <w:lang w:val="en-US" w:eastAsia="zh-CN"/>
        </w:rPr>
        <w:t>17日</w:t>
      </w:r>
    </w:p>
    <w:p w14:paraId="20F14F72">
      <w:pPr>
        <w:widowControl w:val="0"/>
        <w:spacing w:line="360" w:lineRule="auto"/>
        <w:ind w:left="0" w:leftChars="0" w:firstLine="0" w:firstLineChars="0"/>
        <w:jc w:val="center"/>
        <w:rPr>
          <w:rFonts w:ascii="Times New Roman" w:hAnsi="Times New Roman" w:eastAsia="宋体" w:cs="Times New Roman"/>
          <w:color w:val="auto"/>
          <w:sz w:val="31"/>
          <w:szCs w:val="31"/>
          <w:highlight w:val="none"/>
        </w:rPr>
        <w:sectPr>
          <w:pgSz w:w="11906" w:h="16839"/>
          <w:pgMar w:top="1247" w:right="1247" w:bottom="1247" w:left="1247" w:header="0" w:footer="822" w:gutter="0"/>
          <w:cols w:space="0" w:num="1"/>
        </w:sectPr>
      </w:pPr>
    </w:p>
    <w:sdt>
      <w:sdtPr>
        <w:rPr>
          <w:rFonts w:ascii="Times New Roman" w:hAnsi="Times New Roman" w:eastAsia="宋体" w:cs="Times New Roman"/>
          <w:color w:val="auto"/>
          <w:sz w:val="44"/>
          <w:szCs w:val="44"/>
          <w:highlight w:val="none"/>
        </w:rPr>
        <w:id w:val="147470290"/>
        <w15:color w:val="DBDBDB"/>
        <w:docPartObj>
          <w:docPartGallery w:val="Table of Contents"/>
          <w:docPartUnique/>
        </w:docPartObj>
      </w:sdtPr>
      <w:sdtEndPr>
        <w:rPr>
          <w:rFonts w:ascii="Times New Roman" w:hAnsi="Times New Roman" w:eastAsia="Calibri" w:cs="Times New Roman"/>
          <w:color w:val="auto"/>
          <w:sz w:val="21"/>
          <w:szCs w:val="31"/>
          <w:highlight w:val="none"/>
        </w:rPr>
      </w:sdtEndPr>
      <w:sdtContent>
        <w:p w14:paraId="49AC6BD9">
          <w:pPr>
            <w:widowControl w:val="0"/>
            <w:spacing w:line="360" w:lineRule="auto"/>
            <w:jc w:val="center"/>
            <w:rPr>
              <w:rFonts w:ascii="Times New Roman" w:hAnsi="Times New Roman" w:eastAsia="宋体" w:cs="Times New Roman"/>
              <w:color w:val="auto"/>
              <w:sz w:val="44"/>
              <w:szCs w:val="44"/>
              <w:highlight w:val="none"/>
            </w:rPr>
          </w:pPr>
        </w:p>
        <w:p w14:paraId="76B23367">
          <w:pPr>
            <w:widowControl w:val="0"/>
            <w:spacing w:line="360" w:lineRule="auto"/>
            <w:jc w:val="center"/>
            <w:rPr>
              <w:rFonts w:ascii="Times New Roman" w:hAnsi="Times New Roman" w:cs="Times New Roman"/>
              <w:b/>
              <w:bCs/>
              <w:color w:val="auto"/>
              <w:sz w:val="44"/>
              <w:szCs w:val="44"/>
              <w:highlight w:val="none"/>
            </w:rPr>
          </w:pPr>
          <w:r>
            <w:rPr>
              <w:rFonts w:ascii="Times New Roman" w:hAnsi="Times New Roman" w:eastAsia="宋体" w:cs="Times New Roman"/>
              <w:b/>
              <w:bCs/>
              <w:color w:val="auto"/>
              <w:sz w:val="44"/>
              <w:szCs w:val="44"/>
              <w:highlight w:val="none"/>
            </w:rPr>
            <w:t>目</w:t>
          </w:r>
          <w:r>
            <w:rPr>
              <w:rFonts w:ascii="Times New Roman" w:hAnsi="Times New Roman" w:eastAsia="宋体" w:cs="Times New Roman"/>
              <w:b/>
              <w:bCs/>
              <w:color w:val="auto"/>
              <w:sz w:val="44"/>
              <w:szCs w:val="44"/>
              <w:highlight w:val="none"/>
              <w:lang w:eastAsia="zh-CN"/>
            </w:rPr>
            <w:t xml:space="preserve">  </w:t>
          </w:r>
          <w:r>
            <w:rPr>
              <w:rFonts w:ascii="Times New Roman" w:hAnsi="Times New Roman" w:eastAsia="宋体" w:cs="Times New Roman"/>
              <w:b/>
              <w:bCs/>
              <w:color w:val="auto"/>
              <w:sz w:val="44"/>
              <w:szCs w:val="44"/>
              <w:highlight w:val="none"/>
            </w:rPr>
            <w:t>录</w:t>
          </w:r>
        </w:p>
        <w:p w14:paraId="4C404EAA">
          <w:pPr>
            <w:pStyle w:val="15"/>
            <w:tabs>
              <w:tab w:val="right" w:leader="dot" w:pos="9412"/>
            </w:tabs>
            <w:spacing w:line="360" w:lineRule="auto"/>
            <w:rPr>
              <w:rFonts w:hint="eastAsia" w:ascii="宋体" w:hAnsi="宋体" w:eastAsia="宋体" w:cs="宋体"/>
              <w:color w:val="auto"/>
              <w:sz w:val="32"/>
              <w:szCs w:val="32"/>
              <w:highlight w:val="none"/>
            </w:rPr>
          </w:pPr>
          <w:r>
            <w:rPr>
              <w:rFonts w:ascii="Times New Roman" w:hAnsi="Times New Roman" w:eastAsia="Calibri" w:cs="Times New Roman"/>
              <w:color w:val="auto"/>
              <w:sz w:val="30"/>
              <w:szCs w:val="30"/>
              <w:highlight w:val="none"/>
            </w:rPr>
            <w:fldChar w:fldCharType="begin"/>
          </w:r>
          <w:r>
            <w:rPr>
              <w:rFonts w:ascii="Times New Roman" w:hAnsi="Times New Roman" w:eastAsia="Calibri" w:cs="Times New Roman"/>
              <w:color w:val="auto"/>
              <w:sz w:val="30"/>
              <w:szCs w:val="30"/>
              <w:highlight w:val="none"/>
            </w:rPr>
            <w:instrText xml:space="preserve">TOC \o "1-1" \h \u </w:instrText>
          </w:r>
          <w:r>
            <w:rPr>
              <w:rFonts w:ascii="Times New Roman" w:hAnsi="Times New Roman" w:eastAsia="Calibri" w:cs="Times New Roman"/>
              <w:color w:val="auto"/>
              <w:sz w:val="30"/>
              <w:szCs w:val="30"/>
              <w:highlight w:val="none"/>
            </w:rPr>
            <w:fldChar w:fldCharType="separate"/>
          </w: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_Toc15176 </w:instrText>
          </w:r>
          <w:r>
            <w:rPr>
              <w:rFonts w:hint="eastAsia" w:ascii="宋体" w:hAnsi="宋体" w:eastAsia="宋体" w:cs="宋体"/>
              <w:color w:val="auto"/>
              <w:sz w:val="32"/>
              <w:szCs w:val="44"/>
              <w:highlight w:val="none"/>
            </w:rPr>
            <w:fldChar w:fldCharType="separate"/>
          </w:r>
          <w:r>
            <w:rPr>
              <w:rFonts w:hint="eastAsia" w:ascii="宋体" w:hAnsi="宋体" w:eastAsia="宋体" w:cs="宋体"/>
              <w:bCs/>
              <w:color w:val="auto"/>
              <w:sz w:val="32"/>
              <w:szCs w:val="44"/>
              <w:highlight w:val="none"/>
            </w:rPr>
            <w:t>第一章</w:t>
          </w:r>
          <w:r>
            <w:rPr>
              <w:rFonts w:hint="eastAsia" w:ascii="宋体" w:hAnsi="宋体" w:eastAsia="宋体" w:cs="宋体"/>
              <w:color w:val="auto"/>
              <w:sz w:val="32"/>
              <w:szCs w:val="44"/>
              <w:highlight w:val="none"/>
            </w:rPr>
            <w:t xml:space="preserve"> </w:t>
          </w:r>
          <w:r>
            <w:rPr>
              <w:rFonts w:hint="eastAsia" w:ascii="宋体" w:hAnsi="宋体" w:eastAsia="宋体" w:cs="宋体"/>
              <w:bCs/>
              <w:color w:val="auto"/>
              <w:sz w:val="32"/>
              <w:szCs w:val="44"/>
              <w:highlight w:val="none"/>
            </w:rPr>
            <w:t>竞争性谈判公告</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_Toc15176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1</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44"/>
              <w:highlight w:val="none"/>
            </w:rPr>
            <w:fldChar w:fldCharType="end"/>
          </w:r>
        </w:p>
        <w:p w14:paraId="65D41F48">
          <w:pPr>
            <w:pStyle w:val="15"/>
            <w:tabs>
              <w:tab w:val="right" w:leader="dot" w:pos="9412"/>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_Toc31975 </w:instrText>
          </w:r>
          <w:r>
            <w:rPr>
              <w:rFonts w:hint="eastAsia" w:ascii="宋体" w:hAnsi="宋体" w:eastAsia="宋体" w:cs="宋体"/>
              <w:color w:val="auto"/>
              <w:sz w:val="32"/>
              <w:szCs w:val="44"/>
              <w:highlight w:val="none"/>
            </w:rPr>
            <w:fldChar w:fldCharType="separate"/>
          </w:r>
          <w:r>
            <w:rPr>
              <w:rFonts w:hint="eastAsia" w:ascii="宋体" w:hAnsi="宋体" w:eastAsia="宋体" w:cs="宋体"/>
              <w:bCs/>
              <w:color w:val="auto"/>
              <w:sz w:val="32"/>
              <w:szCs w:val="44"/>
              <w:highlight w:val="none"/>
              <w:lang w:eastAsia="zh-CN"/>
            </w:rPr>
            <w:t>第二章</w:t>
          </w:r>
          <w:r>
            <w:rPr>
              <w:rFonts w:hint="eastAsia" w:ascii="宋体" w:hAnsi="宋体" w:eastAsia="宋体" w:cs="宋体"/>
              <w:color w:val="auto"/>
              <w:sz w:val="32"/>
              <w:szCs w:val="44"/>
              <w:highlight w:val="none"/>
              <w:lang w:eastAsia="zh-CN"/>
            </w:rPr>
            <w:t xml:space="preserve"> </w:t>
          </w:r>
          <w:r>
            <w:rPr>
              <w:rFonts w:hint="eastAsia" w:ascii="宋体" w:hAnsi="宋体" w:eastAsia="宋体" w:cs="宋体"/>
              <w:bCs/>
              <w:color w:val="auto"/>
              <w:sz w:val="32"/>
              <w:szCs w:val="44"/>
              <w:highlight w:val="none"/>
              <w:lang w:eastAsia="zh-CN"/>
            </w:rPr>
            <w:t>供应商须知</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_Toc31975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5</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44"/>
              <w:highlight w:val="none"/>
            </w:rPr>
            <w:fldChar w:fldCharType="end"/>
          </w:r>
        </w:p>
        <w:p w14:paraId="0BBA8973">
          <w:pPr>
            <w:pStyle w:val="15"/>
            <w:tabs>
              <w:tab w:val="right" w:leader="dot" w:pos="9412"/>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_Toc11093 </w:instrText>
          </w:r>
          <w:r>
            <w:rPr>
              <w:rFonts w:hint="eastAsia" w:ascii="宋体" w:hAnsi="宋体" w:eastAsia="宋体" w:cs="宋体"/>
              <w:color w:val="auto"/>
              <w:sz w:val="32"/>
              <w:szCs w:val="44"/>
              <w:highlight w:val="none"/>
            </w:rPr>
            <w:fldChar w:fldCharType="separate"/>
          </w:r>
          <w:r>
            <w:rPr>
              <w:rFonts w:hint="eastAsia" w:ascii="宋体" w:hAnsi="宋体" w:eastAsia="宋体" w:cs="宋体"/>
              <w:bCs/>
              <w:color w:val="auto"/>
              <w:sz w:val="32"/>
              <w:szCs w:val="44"/>
              <w:highlight w:val="none"/>
              <w:lang w:eastAsia="zh-CN"/>
            </w:rPr>
            <w:t>第三章 采购需求</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_Toc11093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29</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44"/>
              <w:highlight w:val="none"/>
            </w:rPr>
            <w:fldChar w:fldCharType="end"/>
          </w:r>
        </w:p>
        <w:p w14:paraId="55E8BCAC">
          <w:pPr>
            <w:pStyle w:val="15"/>
            <w:tabs>
              <w:tab w:val="right" w:leader="dot" w:pos="9412"/>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_Toc29533 </w:instrText>
          </w:r>
          <w:r>
            <w:rPr>
              <w:rFonts w:hint="eastAsia" w:ascii="宋体" w:hAnsi="宋体" w:eastAsia="宋体" w:cs="宋体"/>
              <w:color w:val="auto"/>
              <w:sz w:val="32"/>
              <w:szCs w:val="44"/>
              <w:highlight w:val="none"/>
            </w:rPr>
            <w:fldChar w:fldCharType="separate"/>
          </w:r>
          <w:r>
            <w:rPr>
              <w:rFonts w:hint="eastAsia" w:ascii="宋体" w:hAnsi="宋体" w:eastAsia="宋体" w:cs="宋体"/>
              <w:bCs/>
              <w:color w:val="auto"/>
              <w:sz w:val="32"/>
              <w:szCs w:val="44"/>
              <w:highlight w:val="none"/>
              <w:lang w:eastAsia="zh-CN"/>
            </w:rPr>
            <w:t>第四章 评审办法</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_Toc29533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61</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44"/>
              <w:highlight w:val="none"/>
            </w:rPr>
            <w:fldChar w:fldCharType="end"/>
          </w:r>
        </w:p>
        <w:p w14:paraId="2E6798AC">
          <w:pPr>
            <w:pStyle w:val="15"/>
            <w:tabs>
              <w:tab w:val="right" w:leader="dot" w:pos="9412"/>
            </w:tabs>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_Toc22972 </w:instrText>
          </w:r>
          <w:r>
            <w:rPr>
              <w:rFonts w:hint="eastAsia" w:ascii="宋体" w:hAnsi="宋体" w:eastAsia="宋体" w:cs="宋体"/>
              <w:color w:val="auto"/>
              <w:sz w:val="32"/>
              <w:szCs w:val="44"/>
              <w:highlight w:val="none"/>
            </w:rPr>
            <w:fldChar w:fldCharType="separate"/>
          </w:r>
          <w:r>
            <w:rPr>
              <w:rFonts w:hint="eastAsia" w:ascii="宋体" w:hAnsi="宋体" w:eastAsia="宋体" w:cs="宋体"/>
              <w:bCs/>
              <w:color w:val="auto"/>
              <w:sz w:val="32"/>
              <w:szCs w:val="44"/>
              <w:highlight w:val="none"/>
              <w:lang w:eastAsia="zh-CN"/>
            </w:rPr>
            <w:t>第五章</w:t>
          </w:r>
          <w:r>
            <w:rPr>
              <w:rFonts w:hint="eastAsia" w:ascii="宋体" w:hAnsi="宋体" w:eastAsia="宋体" w:cs="宋体"/>
              <w:color w:val="auto"/>
              <w:sz w:val="32"/>
              <w:szCs w:val="44"/>
              <w:highlight w:val="none"/>
              <w:lang w:eastAsia="zh-CN"/>
            </w:rPr>
            <w:t xml:space="preserve">  </w:t>
          </w:r>
          <w:r>
            <w:rPr>
              <w:rFonts w:hint="eastAsia" w:ascii="宋体" w:hAnsi="宋体" w:eastAsia="宋体" w:cs="宋体"/>
              <w:bCs/>
              <w:color w:val="auto"/>
              <w:sz w:val="32"/>
              <w:szCs w:val="44"/>
              <w:highlight w:val="none"/>
              <w:lang w:eastAsia="zh-CN"/>
            </w:rPr>
            <w:t>政府采购合同（合同主要条款及格式）</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_Toc22972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63</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44"/>
              <w:highlight w:val="none"/>
            </w:rPr>
            <w:fldChar w:fldCharType="end"/>
          </w:r>
        </w:p>
        <w:p w14:paraId="1A0B4745">
          <w:pPr>
            <w:pStyle w:val="15"/>
            <w:tabs>
              <w:tab w:val="right" w:leader="dot" w:pos="9412"/>
            </w:tabs>
            <w:spacing w:line="360" w:lineRule="auto"/>
            <w:rPr>
              <w:color w:val="auto"/>
              <w:highlight w:val="none"/>
            </w:rPr>
          </w:pPr>
          <w:r>
            <w:rPr>
              <w:rFonts w:hint="eastAsia" w:ascii="宋体" w:hAnsi="宋体" w:eastAsia="宋体" w:cs="宋体"/>
              <w:color w:val="auto"/>
              <w:sz w:val="32"/>
              <w:szCs w:val="44"/>
              <w:highlight w:val="none"/>
            </w:rPr>
            <w:fldChar w:fldCharType="begin"/>
          </w:r>
          <w:r>
            <w:rPr>
              <w:rFonts w:hint="eastAsia" w:ascii="宋体" w:hAnsi="宋体" w:eastAsia="宋体" w:cs="宋体"/>
              <w:color w:val="auto"/>
              <w:sz w:val="32"/>
              <w:szCs w:val="44"/>
              <w:highlight w:val="none"/>
            </w:rPr>
            <w:instrText xml:space="preserve"> HYPERLINK \l _Toc492 </w:instrText>
          </w:r>
          <w:r>
            <w:rPr>
              <w:rFonts w:hint="eastAsia" w:ascii="宋体" w:hAnsi="宋体" w:eastAsia="宋体" w:cs="宋体"/>
              <w:color w:val="auto"/>
              <w:sz w:val="32"/>
              <w:szCs w:val="44"/>
              <w:highlight w:val="none"/>
            </w:rPr>
            <w:fldChar w:fldCharType="separate"/>
          </w:r>
          <w:r>
            <w:rPr>
              <w:rFonts w:hint="eastAsia" w:ascii="宋体" w:hAnsi="宋体" w:eastAsia="宋体" w:cs="宋体"/>
              <w:bCs/>
              <w:color w:val="auto"/>
              <w:sz w:val="32"/>
              <w:szCs w:val="44"/>
              <w:highlight w:val="none"/>
              <w:lang w:eastAsia="zh-CN"/>
            </w:rPr>
            <w:t>第六章</w:t>
          </w:r>
          <w:r>
            <w:rPr>
              <w:rFonts w:hint="eastAsia" w:ascii="宋体" w:hAnsi="宋体" w:eastAsia="宋体" w:cs="宋体"/>
              <w:color w:val="auto"/>
              <w:sz w:val="32"/>
              <w:szCs w:val="44"/>
              <w:highlight w:val="none"/>
              <w:lang w:eastAsia="zh-CN"/>
            </w:rPr>
            <w:t xml:space="preserve"> </w:t>
          </w:r>
          <w:r>
            <w:rPr>
              <w:rFonts w:hint="eastAsia" w:ascii="宋体" w:hAnsi="宋体" w:eastAsia="宋体" w:cs="宋体"/>
              <w:bCs/>
              <w:color w:val="auto"/>
              <w:sz w:val="32"/>
              <w:szCs w:val="44"/>
              <w:highlight w:val="none"/>
              <w:lang w:eastAsia="zh-CN"/>
            </w:rPr>
            <w:t>响应文件（格式）</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_Toc492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67</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44"/>
              <w:highlight w:val="none"/>
            </w:rPr>
            <w:fldChar w:fldCharType="end"/>
          </w:r>
        </w:p>
        <w:p w14:paraId="165D4B86">
          <w:pPr>
            <w:widowControl w:val="0"/>
            <w:spacing w:line="360" w:lineRule="auto"/>
            <w:ind w:firstLine="420" w:firstLineChars="200"/>
            <w:rPr>
              <w:rFonts w:ascii="Times New Roman" w:hAnsi="Times New Roman" w:eastAsia="Calibri" w:cs="Times New Roman"/>
              <w:color w:val="auto"/>
              <w:szCs w:val="31"/>
              <w:highlight w:val="none"/>
            </w:rPr>
          </w:pPr>
          <w:r>
            <w:rPr>
              <w:rFonts w:ascii="Times New Roman" w:hAnsi="Times New Roman" w:eastAsia="Calibri" w:cs="Times New Roman"/>
              <w:color w:val="auto"/>
              <w:szCs w:val="30"/>
              <w:highlight w:val="none"/>
            </w:rPr>
            <w:fldChar w:fldCharType="end"/>
          </w:r>
        </w:p>
      </w:sdtContent>
    </w:sdt>
    <w:p w14:paraId="28A20F72">
      <w:pPr>
        <w:widowControl w:val="0"/>
        <w:spacing w:line="400" w:lineRule="exact"/>
        <w:ind w:firstLine="420" w:firstLineChars="200"/>
        <w:rPr>
          <w:rFonts w:ascii="Times New Roman" w:hAnsi="Times New Roman" w:eastAsia="Calibri" w:cs="Times New Roman"/>
          <w:color w:val="auto"/>
          <w:szCs w:val="31"/>
          <w:highlight w:val="none"/>
        </w:rPr>
        <w:sectPr>
          <w:footerReference r:id="rId3" w:type="default"/>
          <w:pgSz w:w="11906" w:h="16839"/>
          <w:pgMar w:top="1247" w:right="1247" w:bottom="1247" w:left="1247" w:header="0" w:footer="822" w:gutter="0"/>
          <w:cols w:space="0" w:num="1"/>
        </w:sectPr>
      </w:pPr>
    </w:p>
    <w:p w14:paraId="39E568B6">
      <w:pPr>
        <w:widowControl w:val="0"/>
        <w:spacing w:line="400" w:lineRule="exact"/>
        <w:jc w:val="center"/>
        <w:outlineLvl w:val="0"/>
        <w:rPr>
          <w:rFonts w:ascii="Times New Roman" w:hAnsi="Times New Roman" w:eastAsia="宋体" w:cs="Times New Roman"/>
          <w:color w:val="auto"/>
          <w:sz w:val="31"/>
          <w:szCs w:val="31"/>
          <w:highlight w:val="none"/>
        </w:rPr>
      </w:pPr>
      <w:bookmarkStart w:id="0" w:name="bookmark1"/>
      <w:bookmarkEnd w:id="0"/>
      <w:bookmarkStart w:id="1" w:name="bookmark2"/>
      <w:bookmarkEnd w:id="1"/>
      <w:bookmarkStart w:id="2" w:name="_Toc15176"/>
      <w:r>
        <w:rPr>
          <w:rFonts w:ascii="Times New Roman" w:hAnsi="Times New Roman" w:eastAsia="宋体" w:cs="Times New Roman"/>
          <w:b/>
          <w:bCs/>
          <w:color w:val="auto"/>
          <w:sz w:val="31"/>
          <w:szCs w:val="31"/>
          <w:highlight w:val="none"/>
        </w:rPr>
        <w:t>第一章</w:t>
      </w:r>
      <w:r>
        <w:rPr>
          <w:rFonts w:ascii="Times New Roman" w:hAnsi="Times New Roman" w:eastAsia="宋体" w:cs="Times New Roman"/>
          <w:color w:val="auto"/>
          <w:sz w:val="31"/>
          <w:szCs w:val="31"/>
          <w:highlight w:val="none"/>
        </w:rPr>
        <w:t xml:space="preserve"> </w:t>
      </w:r>
      <w:r>
        <w:rPr>
          <w:rFonts w:ascii="Times New Roman" w:hAnsi="Times New Roman" w:eastAsia="宋体" w:cs="Times New Roman"/>
          <w:b/>
          <w:bCs/>
          <w:color w:val="auto"/>
          <w:sz w:val="31"/>
          <w:szCs w:val="31"/>
          <w:highlight w:val="none"/>
        </w:rPr>
        <w:t>竞争性谈判公告</w:t>
      </w:r>
      <w:bookmarkEnd w:id="2"/>
    </w:p>
    <w:p w14:paraId="30EED9A5">
      <w:pPr>
        <w:widowControl w:val="0"/>
        <w:spacing w:line="400" w:lineRule="exact"/>
        <w:ind w:firstLine="420" w:firstLineChars="200"/>
        <w:rPr>
          <w:rFonts w:ascii="Times New Roman" w:hAnsi="Times New Roman" w:cs="Times New Roman"/>
          <w:color w:val="auto"/>
          <w:highlight w:val="none"/>
        </w:rPr>
      </w:pPr>
    </w:p>
    <w:tbl>
      <w:tblPr>
        <w:tblStyle w:val="31"/>
        <w:tblW w:w="947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71"/>
      </w:tblGrid>
      <w:tr w14:paraId="250E54A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10" w:hRule="atLeast"/>
        </w:trPr>
        <w:tc>
          <w:tcPr>
            <w:tcW w:w="9471" w:type="dxa"/>
          </w:tcPr>
          <w:p w14:paraId="56206C60">
            <w:pPr>
              <w:pStyle w:val="32"/>
              <w:widowControl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项目概况</w:t>
            </w:r>
          </w:p>
          <w:p w14:paraId="34EA8C1F">
            <w:pPr>
              <w:pStyle w:val="32"/>
              <w:widowControl w:val="0"/>
              <w:spacing w:line="400" w:lineRule="exact"/>
              <w:ind w:firstLine="420" w:firstLineChars="200"/>
              <w:rPr>
                <w:rFonts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桂林技师学院实训室建设项目</w:t>
            </w:r>
            <w:r>
              <w:rPr>
                <w:rFonts w:ascii="Times New Roman" w:hAnsi="Times New Roman" w:cs="Times New Roman"/>
                <w:color w:val="auto"/>
                <w:sz w:val="21"/>
                <w:szCs w:val="21"/>
                <w:highlight w:val="none"/>
                <w:lang w:eastAsia="zh-CN"/>
              </w:rPr>
              <w:t>的潜在供应商应在广西政府采购云平台线上获取获取采购文件，并于</w:t>
            </w:r>
            <w:r>
              <w:rPr>
                <w:rFonts w:hint="eastAsia" w:ascii="Times New Roman" w:hAnsi="Times New Roman" w:cs="Times New Roman"/>
                <w:color w:val="auto"/>
                <w:sz w:val="21"/>
                <w:szCs w:val="21"/>
                <w:highlight w:val="none"/>
                <w:lang w:eastAsia="zh-CN"/>
              </w:rPr>
              <w:t>2026年8月25日9:30</w:t>
            </w:r>
            <w:r>
              <w:rPr>
                <w:rFonts w:ascii="Times New Roman" w:hAnsi="Times New Roman" w:cs="Times New Roman"/>
                <w:color w:val="auto"/>
                <w:sz w:val="21"/>
                <w:szCs w:val="21"/>
                <w:highlight w:val="none"/>
                <w:lang w:eastAsia="zh-CN"/>
              </w:rPr>
              <w:t>（北京时间）前提交响应文件。</w:t>
            </w:r>
          </w:p>
        </w:tc>
      </w:tr>
    </w:tbl>
    <w:p w14:paraId="31D2913E">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一、项目基本情况</w:t>
      </w:r>
    </w:p>
    <w:p w14:paraId="761AB3B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项目编号：</w:t>
      </w:r>
      <w:r>
        <w:rPr>
          <w:rFonts w:hint="eastAsia" w:ascii="Times New Roman" w:hAnsi="Times New Roman" w:eastAsia="宋体" w:cs="Times New Roman"/>
          <w:color w:val="auto"/>
          <w:highlight w:val="none"/>
          <w:lang w:eastAsia="zh-CN"/>
        </w:rPr>
        <w:t>GLZC2026-J1-990366-GXYZ</w:t>
      </w:r>
    </w:p>
    <w:p w14:paraId="796C61A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项目名称：</w:t>
      </w:r>
      <w:r>
        <w:rPr>
          <w:rFonts w:hint="eastAsia" w:ascii="Times New Roman" w:hAnsi="Times New Roman" w:eastAsia="宋体" w:cs="Times New Roman"/>
          <w:color w:val="auto"/>
          <w:highlight w:val="none"/>
          <w:lang w:eastAsia="zh-CN"/>
        </w:rPr>
        <w:t>桂林技师学院实训室建设项目</w:t>
      </w:r>
    </w:p>
    <w:p w14:paraId="4DEBCB5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采购方式：竞争性谈判</w:t>
      </w:r>
    </w:p>
    <w:p w14:paraId="69E4A9E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预算总金额（元）：</w:t>
      </w:r>
      <w:r>
        <w:rPr>
          <w:rFonts w:hint="eastAsia" w:ascii="Times New Roman" w:hAnsi="Times New Roman" w:eastAsia="宋体" w:cs="Times New Roman"/>
          <w:color w:val="auto"/>
          <w:highlight w:val="none"/>
          <w:lang w:eastAsia="zh-CN"/>
        </w:rPr>
        <w:t>1400000.00</w:t>
      </w:r>
      <w:r>
        <w:rPr>
          <w:rFonts w:ascii="Times New Roman" w:hAnsi="Times New Roman" w:eastAsia="宋体" w:cs="Times New Roman"/>
          <w:color w:val="auto"/>
          <w:highlight w:val="none"/>
          <w:lang w:eastAsia="zh-CN"/>
        </w:rPr>
        <w:t>元</w:t>
      </w:r>
    </w:p>
    <w:p w14:paraId="04583428">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采购需求：</w:t>
      </w:r>
    </w:p>
    <w:p w14:paraId="30DC0737">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标项一</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标项名称:</w:t>
      </w:r>
      <w:r>
        <w:rPr>
          <w:rFonts w:hint="default" w:ascii="宋体" w:hAnsi="宋体" w:eastAsia="宋体" w:cs="宋体"/>
          <w:b w:val="0"/>
          <w:bCs w:val="0"/>
          <w:color w:val="auto"/>
          <w:highlight w:val="none"/>
          <w:lang w:eastAsia="zh-CN"/>
        </w:rPr>
        <w:t>六角模块化教学实操工作站1及建设1项</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数量:</w:t>
      </w:r>
      <w:r>
        <w:rPr>
          <w:rFonts w:hint="default" w:ascii="宋体" w:hAnsi="宋体" w:eastAsia="宋体" w:cs="宋体"/>
          <w:b w:val="0"/>
          <w:bCs w:val="0"/>
          <w:color w:val="auto"/>
          <w:highlight w:val="none"/>
          <w:lang w:eastAsia="zh-CN"/>
        </w:rPr>
        <w:t>1</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预算金额（元）:</w:t>
      </w:r>
      <w:r>
        <w:rPr>
          <w:rFonts w:hint="default" w:ascii="宋体" w:hAnsi="宋体" w:eastAsia="宋体" w:cs="宋体"/>
          <w:b w:val="0"/>
          <w:bCs w:val="0"/>
          <w:color w:val="auto"/>
          <w:highlight w:val="none"/>
          <w:lang w:eastAsia="zh-CN"/>
        </w:rPr>
        <w:t>250000</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简要规格描述或项目基本概况介绍、用途：</w:t>
      </w:r>
      <w:r>
        <w:rPr>
          <w:rFonts w:hint="default" w:ascii="宋体" w:hAnsi="宋体" w:eastAsia="宋体" w:cs="宋体"/>
          <w:b w:val="0"/>
          <w:bCs w:val="0"/>
          <w:color w:val="auto"/>
          <w:highlight w:val="none"/>
          <w:lang w:eastAsia="zh-CN"/>
        </w:rPr>
        <w:t>六角模块化教学实操工作站1及建设1项，如需进一步了解详细内容，具体详见竞争性谈判文件。</w:t>
      </w:r>
    </w:p>
    <w:p w14:paraId="5807E7E7">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最高限价（元）：250000  </w:t>
      </w:r>
    </w:p>
    <w:p w14:paraId="28C35782">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合同履约期限：交付时间：自签订合同之日起10个工作日必须到货全部安装调试合格并验收完毕。</w:t>
      </w:r>
    </w:p>
    <w:p w14:paraId="2C896E9C">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本项目（否）接受联合体竞标</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备注：</w:t>
      </w:r>
    </w:p>
    <w:p w14:paraId="3BD3C1C6">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 xml:space="preserve"> </w:t>
      </w:r>
    </w:p>
    <w:p w14:paraId="05844B49">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标项二</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标项名称:</w:t>
      </w:r>
      <w:r>
        <w:rPr>
          <w:rFonts w:hint="default" w:ascii="宋体" w:hAnsi="宋体" w:eastAsia="宋体" w:cs="宋体"/>
          <w:b w:val="0"/>
          <w:bCs w:val="0"/>
          <w:color w:val="auto"/>
          <w:highlight w:val="none"/>
          <w:lang w:eastAsia="zh-CN"/>
        </w:rPr>
        <w:t>具身智能机器人2台</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数量:</w:t>
      </w:r>
      <w:r>
        <w:rPr>
          <w:rFonts w:hint="default" w:ascii="宋体" w:hAnsi="宋体" w:eastAsia="宋体" w:cs="宋体"/>
          <w:b w:val="0"/>
          <w:bCs w:val="0"/>
          <w:color w:val="auto"/>
          <w:highlight w:val="none"/>
          <w:lang w:eastAsia="zh-CN"/>
        </w:rPr>
        <w:t>1</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预算金额（元）:</w:t>
      </w:r>
      <w:r>
        <w:rPr>
          <w:rFonts w:hint="default" w:ascii="宋体" w:hAnsi="宋体" w:eastAsia="宋体" w:cs="宋体"/>
          <w:b w:val="0"/>
          <w:bCs w:val="0"/>
          <w:color w:val="auto"/>
          <w:highlight w:val="none"/>
          <w:lang w:eastAsia="zh-CN"/>
        </w:rPr>
        <w:t>460000</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简要规格描述或项目基本概况介绍、用途：</w:t>
      </w:r>
      <w:r>
        <w:rPr>
          <w:rFonts w:hint="default" w:ascii="宋体" w:hAnsi="宋体" w:eastAsia="宋体" w:cs="宋体"/>
          <w:b w:val="0"/>
          <w:bCs w:val="0"/>
          <w:color w:val="auto"/>
          <w:highlight w:val="none"/>
          <w:lang w:eastAsia="zh-CN"/>
        </w:rPr>
        <w:t>具身智能机器人2台，如需进一步了解详细内容，具体详见竞争性谈判文件。</w:t>
      </w:r>
    </w:p>
    <w:p w14:paraId="254A5CB3">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最高限价（元）：460000  </w:t>
      </w:r>
    </w:p>
    <w:p w14:paraId="3A202835">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合同履约期限：交付时间：自签订合同之日起10个工作日必须到货全部安装调试合格并验收完毕。</w:t>
      </w:r>
    </w:p>
    <w:p w14:paraId="05E5871D">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本项目（否）接受联合体竞标</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备注：</w:t>
      </w:r>
    </w:p>
    <w:p w14:paraId="7E0322B1">
      <w:pPr>
        <w:widowControl w:val="0"/>
        <w:spacing w:line="400" w:lineRule="exact"/>
        <w:ind w:firstLine="420" w:firstLineChars="200"/>
        <w:rPr>
          <w:rFonts w:ascii="Times New Roman" w:hAnsi="Times New Roman" w:eastAsia="宋体" w:cs="Times New Roman"/>
          <w:b w:val="0"/>
          <w:bCs w:val="0"/>
          <w:color w:val="auto"/>
          <w:highlight w:val="none"/>
          <w:lang w:eastAsia="zh-CN"/>
        </w:rPr>
      </w:pPr>
      <w:r>
        <w:rPr>
          <w:rFonts w:hint="eastAsia" w:ascii="Times New Roman" w:hAnsi="Times New Roman" w:eastAsia="宋体" w:cs="Times New Roman"/>
          <w:b w:val="0"/>
          <w:bCs w:val="0"/>
          <w:color w:val="auto"/>
          <w:highlight w:val="none"/>
          <w:lang w:val="en-US" w:eastAsia="zh-CN"/>
        </w:rPr>
        <w:t xml:space="preserve"> </w:t>
      </w:r>
      <w:r>
        <w:rPr>
          <w:rFonts w:ascii="Times New Roman" w:hAnsi="Times New Roman" w:eastAsia="宋体" w:cs="Times New Roman"/>
          <w:b w:val="0"/>
          <w:bCs w:val="0"/>
          <w:color w:val="auto"/>
          <w:highlight w:val="none"/>
          <w:lang w:eastAsia="zh-CN"/>
        </w:rPr>
        <w:t xml:space="preserve"> </w:t>
      </w:r>
    </w:p>
    <w:p w14:paraId="25E717D2">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标项三</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标项名称:</w:t>
      </w:r>
      <w:r>
        <w:rPr>
          <w:rFonts w:hint="default" w:ascii="宋体" w:hAnsi="宋体" w:eastAsia="宋体" w:cs="宋体"/>
          <w:b w:val="0"/>
          <w:bCs w:val="0"/>
          <w:color w:val="auto"/>
          <w:highlight w:val="none"/>
          <w:lang w:eastAsia="zh-CN"/>
        </w:rPr>
        <w:t>加工中心1台</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数量:</w:t>
      </w:r>
      <w:r>
        <w:rPr>
          <w:rFonts w:hint="default" w:ascii="宋体" w:hAnsi="宋体" w:eastAsia="宋体" w:cs="宋体"/>
          <w:b w:val="0"/>
          <w:bCs w:val="0"/>
          <w:color w:val="auto"/>
          <w:highlight w:val="none"/>
          <w:lang w:eastAsia="zh-CN"/>
        </w:rPr>
        <w:t>1</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预算金额（元）:</w:t>
      </w:r>
      <w:r>
        <w:rPr>
          <w:rFonts w:hint="default" w:ascii="宋体" w:hAnsi="宋体" w:eastAsia="宋体" w:cs="宋体"/>
          <w:b w:val="0"/>
          <w:bCs w:val="0"/>
          <w:color w:val="auto"/>
          <w:highlight w:val="none"/>
          <w:lang w:eastAsia="zh-CN"/>
        </w:rPr>
        <w:t>320000</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简要规格描述或项目基本概况介绍、用途：</w:t>
      </w:r>
      <w:r>
        <w:rPr>
          <w:rFonts w:hint="default" w:ascii="宋体" w:hAnsi="宋体" w:eastAsia="宋体" w:cs="宋体"/>
          <w:b w:val="0"/>
          <w:bCs w:val="0"/>
          <w:color w:val="auto"/>
          <w:highlight w:val="none"/>
          <w:lang w:eastAsia="zh-CN"/>
        </w:rPr>
        <w:t>加工中心1台，如需进一步了解详细内容，具体详见竞争性谈判文件。</w:t>
      </w:r>
    </w:p>
    <w:p w14:paraId="79FC278E">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最高限价（元）：320000  </w:t>
      </w:r>
    </w:p>
    <w:p w14:paraId="47F62407">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合同履约期限：交付时间：自签订合同之日起10个工作日必须到货全部安装调试合格并验收完毕。</w:t>
      </w:r>
    </w:p>
    <w:p w14:paraId="1F435713">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本项目（否）接受联合体竞标</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备注：</w:t>
      </w:r>
    </w:p>
    <w:p w14:paraId="3C43234C">
      <w:pPr>
        <w:widowControl w:val="0"/>
        <w:spacing w:line="400" w:lineRule="exact"/>
        <w:ind w:firstLine="420" w:firstLineChars="20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 xml:space="preserve"> </w:t>
      </w:r>
    </w:p>
    <w:p w14:paraId="548E1413">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标项四</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标项名称:</w:t>
      </w:r>
      <w:r>
        <w:rPr>
          <w:rFonts w:hint="default" w:ascii="宋体" w:hAnsi="宋体" w:eastAsia="宋体" w:cs="宋体"/>
          <w:b w:val="0"/>
          <w:bCs w:val="0"/>
          <w:color w:val="auto"/>
          <w:highlight w:val="none"/>
          <w:lang w:eastAsia="zh-CN"/>
        </w:rPr>
        <w:t>六角模块化教学实操工作站2及建设1项</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数量:</w:t>
      </w:r>
      <w:r>
        <w:rPr>
          <w:rFonts w:hint="default" w:ascii="宋体" w:hAnsi="宋体" w:eastAsia="宋体" w:cs="宋体"/>
          <w:b w:val="0"/>
          <w:bCs w:val="0"/>
          <w:color w:val="auto"/>
          <w:highlight w:val="none"/>
          <w:lang w:eastAsia="zh-CN"/>
        </w:rPr>
        <w:t>1</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预算金额（元）:</w:t>
      </w:r>
      <w:r>
        <w:rPr>
          <w:rFonts w:hint="default" w:ascii="宋体" w:hAnsi="宋体" w:eastAsia="宋体" w:cs="宋体"/>
          <w:b w:val="0"/>
          <w:bCs w:val="0"/>
          <w:color w:val="auto"/>
          <w:highlight w:val="none"/>
          <w:lang w:eastAsia="zh-CN"/>
        </w:rPr>
        <w:t>370000</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简要规格描述或项目基本概况介绍、用途：</w:t>
      </w:r>
      <w:r>
        <w:rPr>
          <w:rFonts w:hint="default" w:ascii="宋体" w:hAnsi="宋体" w:eastAsia="宋体" w:cs="宋体"/>
          <w:b w:val="0"/>
          <w:bCs w:val="0"/>
          <w:color w:val="auto"/>
          <w:highlight w:val="none"/>
          <w:lang w:eastAsia="zh-CN"/>
        </w:rPr>
        <w:t>六角模块化教学实操工作站2及建设1项、编程系统升级设备一批，如需进一步了解详细内容，具体详见竞争性谈判文件。</w:t>
      </w:r>
    </w:p>
    <w:p w14:paraId="486D8AC3">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最高限价（元）：370000  </w:t>
      </w:r>
    </w:p>
    <w:p w14:paraId="02453F29">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合同履约期限：交付时间：自签订合同之日起10个工作日必须到货全部安装调试合格并验收完毕。</w:t>
      </w:r>
    </w:p>
    <w:p w14:paraId="7BD1BD8A">
      <w:pPr>
        <w:widowControl w:val="0"/>
        <w:spacing w:line="400" w:lineRule="exact"/>
        <w:ind w:left="420" w:leftChars="200" w:firstLine="0" w:firstLineChars="0"/>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本项目（否）接受联合体竞标</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备注：</w:t>
      </w:r>
    </w:p>
    <w:p w14:paraId="45BD9FC6">
      <w:pPr>
        <w:widowControl w:val="0"/>
        <w:spacing w:line="400" w:lineRule="exact"/>
        <w:ind w:firstLine="420" w:firstLineChars="200"/>
        <w:rPr>
          <w:rFonts w:ascii="Times New Roman" w:hAnsi="Times New Roman" w:eastAsia="宋体" w:cs="Times New Roman"/>
          <w:color w:val="auto"/>
          <w:highlight w:val="none"/>
          <w:lang w:eastAsia="zh-CN"/>
        </w:rPr>
      </w:pPr>
    </w:p>
    <w:p w14:paraId="16A7366A">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二、</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申请人的资格要求：</w:t>
      </w:r>
    </w:p>
    <w:p w14:paraId="27DF3EE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1.满足《中华人民共和国政府采购法》第二十二条规定；</w:t>
      </w:r>
    </w:p>
    <w:p w14:paraId="3A7DC956">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2.落实政府采购政策需满足的资格要求：</w:t>
      </w:r>
      <w:r>
        <w:rPr>
          <w:rFonts w:hint="eastAsia" w:ascii="Times New Roman" w:hAnsi="Times New Roman" w:eastAsia="宋体" w:cs="Times New Roman"/>
          <w:color w:val="auto"/>
          <w:highlight w:val="none"/>
          <w:lang w:eastAsia="zh-CN"/>
        </w:rPr>
        <w:t>无；无；无；无 ；</w:t>
      </w:r>
    </w:p>
    <w:p w14:paraId="06A1CDC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3.本项目的特定资格要求：</w:t>
      </w:r>
      <w:r>
        <w:rPr>
          <w:rFonts w:hint="eastAsia" w:ascii="Times New Roman" w:hAnsi="Times New Roman" w:eastAsia="宋体" w:cs="Times New Roman"/>
          <w:color w:val="auto"/>
          <w:highlight w:val="none"/>
          <w:lang w:eastAsia="zh-CN"/>
        </w:rPr>
        <w:t xml:space="preserve">分标1：无；分标2：无；分标3：无；分标4：无 </w:t>
      </w:r>
      <w:r>
        <w:rPr>
          <w:rFonts w:ascii="Times New Roman" w:hAnsi="Times New Roman" w:eastAsia="宋体" w:cs="Times New Roman"/>
          <w:color w:val="auto"/>
          <w:highlight w:val="none"/>
          <w:lang w:eastAsia="zh-CN"/>
        </w:rPr>
        <w:t>。</w:t>
      </w:r>
    </w:p>
    <w:p w14:paraId="085FDD21">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三、获取采购文件</w:t>
      </w:r>
    </w:p>
    <w:p w14:paraId="60B2F74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时间：</w:t>
      </w:r>
      <w:r>
        <w:rPr>
          <w:rFonts w:hint="eastAsia" w:ascii="Times New Roman" w:hAnsi="Times New Roman" w:eastAsia="宋体" w:cs="Times New Roman"/>
          <w:color w:val="auto"/>
          <w:highlight w:val="none"/>
          <w:lang w:val="en-US" w:eastAsia="zh-CN"/>
        </w:rPr>
        <w:t>/</w:t>
      </w:r>
      <w:r>
        <w:rPr>
          <w:rFonts w:ascii="Times New Roman" w:hAnsi="Times New Roman" w:eastAsia="宋体" w:cs="Times New Roman"/>
          <w:color w:val="auto"/>
          <w:highlight w:val="none"/>
          <w:lang w:eastAsia="zh-CN"/>
        </w:rPr>
        <w:t xml:space="preserve">至 </w:t>
      </w:r>
      <w:r>
        <w:rPr>
          <w:rFonts w:hint="eastAsia" w:ascii="Times New Roman" w:hAnsi="Times New Roman" w:eastAsia="宋体" w:cs="Times New Roman"/>
          <w:color w:val="auto"/>
          <w:highlight w:val="none"/>
          <w:lang w:eastAsia="zh-CN"/>
        </w:rPr>
        <w:t>2026年8月</w:t>
      </w:r>
      <w:r>
        <w:rPr>
          <w:rFonts w:hint="eastAsia" w:ascii="Times New Roman" w:hAnsi="Times New Roman" w:eastAsia="宋体" w:cs="Times New Roman"/>
          <w:color w:val="auto"/>
          <w:highlight w:val="none"/>
          <w:lang w:val="en-US" w:eastAsia="zh-CN"/>
        </w:rPr>
        <w:t>25日截标时间前</w:t>
      </w:r>
      <w:r>
        <w:rPr>
          <w:rFonts w:ascii="Times New Roman" w:hAnsi="Times New Roman" w:eastAsia="宋体" w:cs="Times New Roman"/>
          <w:color w:val="auto"/>
          <w:highlight w:val="none"/>
          <w:lang w:eastAsia="zh-CN"/>
        </w:rPr>
        <w:t>，每天上午 00:00 至 12:00，下午 12:00 至 23:59（北京时间， 法定节假日除外）</w:t>
      </w:r>
    </w:p>
    <w:p w14:paraId="4CC64DA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地点（网址）：广西政府采购云平台线上获取</w:t>
      </w:r>
    </w:p>
    <w:p w14:paraId="6E9D726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 xml:space="preserve">方式：供应商登录广西政府采购云平台 </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Times New Roman" w:hAnsi="Times New Roman" w:eastAsia="宋体" w:cs="Times New Roman"/>
          <w:color w:val="auto"/>
          <w:highlight w:val="none"/>
          <w:lang w:eastAsia="zh-CN"/>
        </w:rPr>
        <w:t>https://www.gcy.zfcg.gxzf.gov.cn/</w:t>
      </w:r>
      <w:r>
        <w:rPr>
          <w:rFonts w:ascii="Times New Roman" w:hAnsi="Times New Roman" w:eastAsia="宋体" w:cs="Times New Roman"/>
          <w:color w:val="auto"/>
          <w:highlight w:val="none"/>
          <w:lang w:eastAsia="zh-CN"/>
        </w:rPr>
        <w:fldChar w:fldCharType="end"/>
      </w:r>
      <w:r>
        <w:rPr>
          <w:rFonts w:ascii="Times New Roman" w:hAnsi="Times New Roman" w:eastAsia="宋体" w:cs="Times New Roman"/>
          <w:color w:val="auto"/>
          <w:highlight w:val="none"/>
          <w:lang w:eastAsia="zh-CN"/>
        </w:rPr>
        <w:t>在线申请获取采购 文件（进入“项目采购 ”应用，在获取采购文件菜单中选择项目， 申请获取采购文件）</w:t>
      </w:r>
    </w:p>
    <w:p w14:paraId="293AD3D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售价（元）：0</w:t>
      </w:r>
    </w:p>
    <w:p w14:paraId="50DE248A">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四、响应文件提交</w:t>
      </w:r>
    </w:p>
    <w:p w14:paraId="752CB3D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截止时间：</w:t>
      </w:r>
      <w:r>
        <w:rPr>
          <w:rFonts w:hint="eastAsia" w:ascii="Times New Roman" w:hAnsi="Times New Roman" w:eastAsia="宋体" w:cs="Times New Roman"/>
          <w:color w:val="auto"/>
          <w:highlight w:val="none"/>
          <w:lang w:eastAsia="zh-CN"/>
        </w:rPr>
        <w:t>2026年8月25日9:30</w:t>
      </w:r>
      <w:r>
        <w:rPr>
          <w:rFonts w:ascii="Times New Roman" w:hAnsi="Times New Roman" w:eastAsia="宋体" w:cs="Times New Roman"/>
          <w:color w:val="auto"/>
          <w:highlight w:val="none"/>
          <w:lang w:eastAsia="zh-CN"/>
        </w:rPr>
        <w:t>（北京时间）</w:t>
      </w:r>
    </w:p>
    <w:p w14:paraId="4EFD67E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地点（网址）：请登录广西政府采购云平台投标客户端投标</w:t>
      </w:r>
    </w:p>
    <w:p w14:paraId="143D8E67">
      <w:pPr>
        <w:widowControl w:val="0"/>
        <w:spacing w:line="400" w:lineRule="exact"/>
        <w:ind w:firstLine="420" w:firstLineChars="200"/>
        <w:rPr>
          <w:rFonts w:ascii="Times New Roman" w:hAnsi="Times New Roman" w:eastAsia="宋体" w:cs="Times New Roman"/>
          <w:color w:val="auto"/>
          <w:highlight w:val="none"/>
          <w:lang w:eastAsia="zh-CN"/>
        </w:rPr>
      </w:pPr>
    </w:p>
    <w:p w14:paraId="6A86CB92">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五、响应文件开启</w:t>
      </w:r>
    </w:p>
    <w:p w14:paraId="503CA00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开启时间：</w:t>
      </w:r>
      <w:r>
        <w:rPr>
          <w:rFonts w:hint="eastAsia" w:ascii="Times New Roman" w:hAnsi="Times New Roman" w:eastAsia="宋体" w:cs="Times New Roman"/>
          <w:color w:val="auto"/>
          <w:highlight w:val="none"/>
          <w:lang w:eastAsia="zh-CN"/>
        </w:rPr>
        <w:t>2026年8月25日9:30</w:t>
      </w:r>
      <w:r>
        <w:rPr>
          <w:rFonts w:ascii="Times New Roman" w:hAnsi="Times New Roman" w:eastAsia="宋体" w:cs="Times New Roman"/>
          <w:color w:val="auto"/>
          <w:highlight w:val="none"/>
          <w:lang w:eastAsia="zh-CN"/>
        </w:rPr>
        <w:t>（北京时间）</w:t>
      </w:r>
    </w:p>
    <w:p w14:paraId="40D39C9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地点：通过广西政府采购云平台在线解密开启</w:t>
      </w:r>
    </w:p>
    <w:p w14:paraId="112AE5E2">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六、公告期限</w:t>
      </w:r>
    </w:p>
    <w:p w14:paraId="35C1DC3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自本公告发布之日起</w:t>
      </w:r>
      <w:r>
        <w:rPr>
          <w:rFonts w:hint="eastAsia" w:ascii="Times New Roman" w:hAnsi="Times New Roman" w:eastAsia="宋体" w:cs="Times New Roman"/>
          <w:color w:val="auto"/>
          <w:highlight w:val="none"/>
          <w:lang w:val="en-US" w:eastAsia="zh-CN"/>
        </w:rPr>
        <w:t>3</w:t>
      </w:r>
      <w:r>
        <w:rPr>
          <w:rFonts w:ascii="Times New Roman" w:hAnsi="Times New Roman" w:eastAsia="宋体" w:cs="Times New Roman"/>
          <w:color w:val="auto"/>
          <w:highlight w:val="none"/>
          <w:lang w:eastAsia="zh-CN"/>
        </w:rPr>
        <w:t>个工作日。</w:t>
      </w:r>
    </w:p>
    <w:p w14:paraId="69298D35">
      <w:pPr>
        <w:widowControl w:val="0"/>
        <w:spacing w:line="400" w:lineRule="exact"/>
        <w:rPr>
          <w:rFonts w:ascii="Times New Roman" w:hAnsi="Times New Roman" w:eastAsia="宋体" w:cs="Times New Roman"/>
          <w:color w:val="auto"/>
          <w:highlight w:val="none"/>
        </w:rPr>
      </w:pPr>
      <w:r>
        <w:rPr>
          <w:rFonts w:ascii="Times New Roman" w:hAnsi="Times New Roman" w:eastAsia="宋体" w:cs="Times New Roman"/>
          <w:b/>
          <w:bCs/>
          <w:color w:val="auto"/>
          <w:highlight w:val="none"/>
        </w:rPr>
        <w:t>七、其他补充事宜</w:t>
      </w:r>
    </w:p>
    <w:p w14:paraId="7A1B0DAE">
      <w:pPr>
        <w:widowControl w:val="0"/>
        <w:spacing w:line="400" w:lineRule="exact"/>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1.信息公告发布媒体：http://www.ccgp.gov.cn（中国政府采购网）、http://zfcg.gxzf.gov.cn（广西壮族自治区政府采购网）、http://gl.zfcg.zcygov.cn/（桂林市政府采购网）。</w:t>
      </w:r>
    </w:p>
    <w:p w14:paraId="7AE8CDD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2.本项目需要落实的政府采购政策：</w:t>
      </w:r>
    </w:p>
    <w:p w14:paraId="502D6DD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（1）《政府采购促进中小企业发展管理办法》（财库[2020]46 号）。</w:t>
      </w:r>
    </w:p>
    <w:p w14:paraId="79DCE9D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（2）《关于政府采购支持监狱企业发展有关问题的通知》（财库[2014]68 号）。</w:t>
      </w:r>
    </w:p>
    <w:p w14:paraId="2B03B12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（3）《关于促进残疾人就业政府采购政策的通知》（财库[2017]141 号）。</w:t>
      </w:r>
    </w:p>
    <w:p w14:paraId="47B0DDB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（4）《关于调整优化节能产品、环境标志产品政府采购执行机制的通知》（财库〔2019〕9 号）。</w:t>
      </w:r>
    </w:p>
    <w:p w14:paraId="6735C10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 政府采购扶持不发达地区和少数民族地区。</w:t>
      </w:r>
    </w:p>
    <w:p w14:paraId="143B927F">
      <w:pPr>
        <w:pStyle w:val="8"/>
        <w:spacing w:line="400" w:lineRule="exact"/>
        <w:ind w:left="425"/>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6"/>
          <w:highlight w:val="none"/>
          <w:lang w:eastAsia="zh-CN"/>
        </w:rPr>
        <w:t>3.</w:t>
      </w:r>
      <w:r>
        <w:rPr>
          <w:rFonts w:ascii="Times New Roman" w:hAnsi="Times New Roman" w:eastAsia="宋体" w:cs="Times New Roman"/>
          <w:color w:val="auto"/>
          <w:spacing w:val="8"/>
          <w:highlight w:val="none"/>
          <w:lang w:eastAsia="zh-CN"/>
        </w:rPr>
        <w:t>本项目中小企业划分标准所属为：</w:t>
      </w:r>
      <w:r>
        <w:rPr>
          <w:rFonts w:ascii="Times New Roman" w:hAnsi="Times New Roman" w:eastAsia="宋体" w:cs="Times New Roman"/>
          <w:color w:val="auto"/>
          <w:spacing w:val="8"/>
          <w:highlight w:val="none"/>
          <w:u w:val="single"/>
          <w:lang w:eastAsia="zh-CN"/>
        </w:rPr>
        <w:t xml:space="preserve"> 工业</w:t>
      </w:r>
      <w:r>
        <w:rPr>
          <w:rFonts w:ascii="Times New Roman" w:hAnsi="Times New Roman" w:eastAsia="宋体" w:cs="Times New Roman"/>
          <w:color w:val="auto"/>
          <w:spacing w:val="8"/>
          <w:highlight w:val="none"/>
          <w:lang w:eastAsia="zh-CN"/>
        </w:rPr>
        <w:t xml:space="preserve"> </w:t>
      </w:r>
      <w:r>
        <w:rPr>
          <w:rFonts w:hint="eastAsia" w:ascii="Times New Roman" w:hAnsi="Times New Roman" w:eastAsia="宋体" w:cs="Times New Roman"/>
          <w:color w:val="auto"/>
          <w:spacing w:val="8"/>
          <w:highlight w:val="none"/>
          <w:lang w:eastAsia="zh-CN"/>
        </w:rPr>
        <w:t>。</w:t>
      </w:r>
    </w:p>
    <w:p w14:paraId="4C6FE14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4.资格条件特别说明：</w:t>
      </w:r>
    </w:p>
    <w:p w14:paraId="7B2199F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531D3FCC">
      <w:pPr>
        <w:widowControl w:val="0"/>
        <w:spacing w:line="400" w:lineRule="exact"/>
        <w:ind w:firstLine="34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20"/>
          <w:highlight w:val="none"/>
          <w:lang w:eastAsia="zh-CN"/>
        </w:rPr>
        <w:t>（2）</w:t>
      </w:r>
      <w:r>
        <w:rPr>
          <w:rFonts w:ascii="Times New Roman" w:hAnsi="Times New Roman" w:eastAsia="宋体" w:cs="Times New Roman"/>
          <w:color w:val="auto"/>
          <w:highlight w:val="none"/>
          <w:lang w:eastAsia="zh-CN"/>
        </w:rPr>
        <w:t>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Times New Roman" w:hAnsi="Times New Roman" w:eastAsia="宋体" w:cs="Times New Roman"/>
          <w:color w:val="auto"/>
          <w:highlight w:val="none"/>
          <w:lang w:eastAsia="zh-CN"/>
        </w:rPr>
        <w:t>www.creditchina.gov.cn</w:t>
      </w:r>
      <w:r>
        <w:rPr>
          <w:rFonts w:ascii="Times New Roman" w:hAnsi="Times New Roman" w:eastAsia="宋体" w:cs="Times New Roman"/>
          <w:color w:val="auto"/>
          <w:highlight w:val="none"/>
          <w:lang w:eastAsia="zh-CN"/>
        </w:rPr>
        <w:fldChar w:fldCharType="end"/>
      </w:r>
      <w:r>
        <w:rPr>
          <w:rFonts w:ascii="Times New Roman" w:hAnsi="Times New Roman" w:eastAsia="宋体" w:cs="Times New Roman"/>
          <w:color w:val="auto"/>
          <w:highlight w:val="none"/>
          <w:lang w:eastAsia="zh-CN"/>
        </w:rPr>
        <w:t>) 、中国政府采购网(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Times New Roman" w:hAnsi="Times New Roman" w:eastAsia="宋体" w:cs="Times New Roman"/>
          <w:color w:val="auto"/>
          <w:highlight w:val="none"/>
          <w:lang w:eastAsia="zh-CN"/>
        </w:rPr>
        <w:t>www.ccgp.gov.cn</w:t>
      </w:r>
      <w:r>
        <w:rPr>
          <w:rFonts w:ascii="Times New Roman" w:hAnsi="Times New Roman" w:eastAsia="宋体" w:cs="Times New Roman"/>
          <w:color w:val="auto"/>
          <w:highlight w:val="none"/>
          <w:lang w:eastAsia="zh-CN"/>
        </w:rPr>
        <w:fldChar w:fldCharType="end"/>
      </w:r>
      <w:r>
        <w:rPr>
          <w:rFonts w:ascii="Times New Roman" w:hAnsi="Times New Roman" w:eastAsia="宋体" w:cs="Times New Roman"/>
          <w:color w:val="auto"/>
          <w:highlight w:val="none"/>
          <w:lang w:eastAsia="zh-CN"/>
        </w:rPr>
        <w:t>)被列入 失信被执行人、</w:t>
      </w:r>
      <w:r>
        <w:rPr>
          <w:rFonts w:hint="eastAsia" w:ascii="Times New Roman" w:hAnsi="Times New Roman" w:eastAsia="宋体" w:cs="Times New Roman"/>
          <w:color w:val="auto"/>
          <w:highlight w:val="none"/>
          <w:lang w:eastAsia="zh-CN"/>
        </w:rPr>
        <w:t>重大税收违法失信主体</w:t>
      </w:r>
      <w:r>
        <w:rPr>
          <w:rFonts w:ascii="Times New Roman" w:hAnsi="Times New Roman" w:eastAsia="宋体" w:cs="Times New Roman"/>
          <w:color w:val="auto"/>
          <w:highlight w:val="none"/>
          <w:lang w:eastAsia="zh-CN"/>
        </w:rPr>
        <w:t>、政府采购严重违法失信行为记录名单及其他不符合《中 华人民共和国政府采购法》第二十二条规定条件的供应商，不得参与政府采购活动。</w:t>
      </w:r>
    </w:p>
    <w:p w14:paraId="24255AA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5.广西政府采购云平台电子竞标相关事宜：</w:t>
      </w:r>
    </w:p>
    <w:p w14:paraId="4812FDC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 CA 证书申领和绑定（费用由供应商自行承担，办理流程详见广西 壮族自治区政府采购网—办事服务—下载专区，完成CA证书办理预计一周左右，建议供应商尽快办理</w:t>
      </w:r>
      <w:r>
        <w:rPr>
          <w:rFonts w:ascii="Times New Roman" w:hAnsi="Times New Roman" w:eastAsia="宋体" w:cs="Times New Roman"/>
          <w:color w:val="auto"/>
          <w:w w:val="89"/>
          <w:highlight w:val="none"/>
          <w:lang w:eastAsia="zh-CN"/>
        </w:rPr>
        <w:t>）；</w:t>
      </w:r>
      <w:r>
        <w:rPr>
          <w:rFonts w:ascii="Times New Roman" w:hAnsi="Times New Roman" w:eastAsia="宋体" w:cs="Times New Roman"/>
          <w:color w:val="auto"/>
          <w:highlight w:val="none"/>
          <w:lang w:eastAsia="zh-CN"/>
        </w:rPr>
        <w:t xml:space="preserve"> ③下载“广西壮族自治区全流程电子招投标项目管理系统--供应商客户端 ”（操作方法详见广西壮族自治区政府采购网—办事服务—下载专区，以下称“广西政府采购云平台电子投标客户端 ”）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 证书）。因供应商未做好相关准备工作等自身原因导致无法参加本项目电子竞标或竞标失败的，造成的一切后果，由供应商自行承担。</w:t>
      </w:r>
    </w:p>
    <w:p w14:paraId="1B9E779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 电子竞标具体操作流程参考《政府采购项目电子交易管理操作指南-供应商》（详见桂林市政府采购网—采购资讯—重要通知）；如遇平台技术问题详询 95763 或者 0771-3381253。</w:t>
      </w:r>
    </w:p>
    <w:p w14:paraId="295F7DF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 电子响应文件的制作、加密、提交、解密等相关事宜详见第二章 “供应商须知 ”。</w:t>
      </w:r>
    </w:p>
    <w:p w14:paraId="4F70C5A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6.供应商认为谈判文件使自己的合法权益受到损害的，应当于本项目公告期限届满之日起七个工作日 内以书面形式向采购代理机构提出质疑；供应商认为采购过程或成交结果使自己的合法权益受到损害 的，应当在各采购程序环节结束之日或成交公告期限届满之日起七个工作日内，以书面形式向采购代理机构提出质疑。否则，采购代理机构有权拒收。</w:t>
      </w:r>
    </w:p>
    <w:p w14:paraId="62CA5405">
      <w:pPr>
        <w:widowControl w:val="0"/>
        <w:spacing w:line="400" w:lineRule="exact"/>
        <w:ind w:firstLine="420" w:firstLineChars="20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r>
        <w:rPr>
          <w:rFonts w:ascii="Times New Roman" w:hAnsi="Times New Roman" w:cs="Times New Roman"/>
          <w:color w:val="auto"/>
          <w:sz w:val="21"/>
          <w:szCs w:val="21"/>
          <w:highlight w:val="none"/>
        </w:rPr>
        <w:t>监督管理机构</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cs="Times New Roman"/>
          <w:color w:val="auto"/>
          <w:sz w:val="21"/>
          <w:szCs w:val="21"/>
          <w:highlight w:val="none"/>
          <w:lang w:eastAsia="zh-CN"/>
        </w:rPr>
        <w:t>桂林市财政局；联系电话：0773-2829504</w:t>
      </w:r>
    </w:p>
    <w:p w14:paraId="345B4560">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八、凡对本次招标提出询问，请按以下方式联系</w:t>
      </w:r>
    </w:p>
    <w:p w14:paraId="4103DB9F">
      <w:pPr>
        <w:spacing w:line="400" w:lineRule="exact"/>
        <w:ind w:firstLine="420" w:firstLineChars="20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1.采购人信息</w:t>
      </w:r>
    </w:p>
    <w:p w14:paraId="0C9A509A">
      <w:pPr>
        <w:spacing w:line="400" w:lineRule="exact"/>
        <w:ind w:firstLine="420" w:firstLineChars="20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名   称：</w:t>
      </w:r>
      <w:bookmarkStart w:id="3" w:name="_Toc28359009"/>
      <w:bookmarkStart w:id="4" w:name="_Toc28359086"/>
      <w:r>
        <w:rPr>
          <w:rFonts w:hint="eastAsia" w:ascii="Times New Roman" w:hAnsi="Times New Roman" w:cs="Times New Roman"/>
          <w:color w:val="auto"/>
          <w:highlight w:val="none"/>
          <w:lang w:eastAsia="zh-CN"/>
        </w:rPr>
        <w:t xml:space="preserve">桂林技师学院(桂林高级技工学校） </w:t>
      </w:r>
    </w:p>
    <w:p w14:paraId="2D56B395">
      <w:pPr>
        <w:spacing w:line="400" w:lineRule="exact"/>
        <w:ind w:firstLine="420" w:firstLineChars="200"/>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地   址：广西壮族自治区桂林市七星区漓东街道五里店路6号</w:t>
      </w:r>
    </w:p>
    <w:p w14:paraId="53C32D22">
      <w:pPr>
        <w:spacing w:line="400" w:lineRule="exact"/>
        <w:ind w:firstLine="42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联系方式：</w:t>
      </w:r>
      <w:r>
        <w:rPr>
          <w:rFonts w:hint="eastAsia" w:ascii="Times New Roman" w:hAnsi="Times New Roman" w:cs="Times New Roman"/>
          <w:color w:val="auto"/>
          <w:highlight w:val="none"/>
          <w:lang w:val="en-US" w:eastAsia="zh-CN"/>
        </w:rPr>
        <w:t>13977327360</w:t>
      </w:r>
    </w:p>
    <w:p w14:paraId="40BF9CE0">
      <w:pPr>
        <w:spacing w:line="400" w:lineRule="exact"/>
        <w:ind w:firstLine="420" w:firstLineChars="20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联系人：曾老师</w:t>
      </w:r>
    </w:p>
    <w:bookmarkEnd w:id="3"/>
    <w:bookmarkEnd w:id="4"/>
    <w:p w14:paraId="266E7D86">
      <w:pPr>
        <w:widowControl w:val="0"/>
        <w:spacing w:line="400" w:lineRule="exact"/>
        <w:ind w:firstLine="420" w:firstLineChars="200"/>
        <w:rPr>
          <w:rFonts w:ascii="Times New Roman" w:hAnsi="Times New Roman" w:eastAsia="宋体" w:cs="Times New Roman"/>
          <w:color w:val="auto"/>
          <w:highlight w:val="none"/>
          <w:lang w:eastAsia="zh-CN"/>
        </w:rPr>
      </w:pPr>
      <w:bookmarkStart w:id="5" w:name="_Toc28359087"/>
      <w:bookmarkStart w:id="6" w:name="_Toc28359010"/>
      <w:r>
        <w:rPr>
          <w:rFonts w:hint="eastAsia" w:ascii="Times New Roman" w:hAnsi="Times New Roman" w:eastAsia="宋体" w:cs="Times New Roman"/>
          <w:color w:val="auto"/>
          <w:highlight w:val="none"/>
          <w:lang w:eastAsia="zh-CN"/>
        </w:rPr>
        <w:t>2.采购代理机构信息</w:t>
      </w:r>
    </w:p>
    <w:p w14:paraId="4484EEC1">
      <w:pPr>
        <w:widowControl w:val="0"/>
        <w:spacing w:line="40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名    称： 广西邕政采购代理有限公司　</w:t>
      </w:r>
    </w:p>
    <w:p w14:paraId="29896922">
      <w:pPr>
        <w:widowControl w:val="0"/>
        <w:spacing w:line="40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地　  址：</w:t>
      </w:r>
      <w:r>
        <w:rPr>
          <w:rFonts w:hint="eastAsia" w:ascii="Times New Roman" w:hAnsi="Times New Roman" w:eastAsia="宋体" w:cs="Times New Roman"/>
          <w:color w:val="auto"/>
          <w:highlight w:val="none"/>
          <w:lang w:val="en-US" w:eastAsia="zh-CN"/>
        </w:rPr>
        <w:t xml:space="preserve"> </w:t>
      </w:r>
      <w:r>
        <w:rPr>
          <w:rFonts w:hint="eastAsia" w:ascii="Times New Roman" w:hAnsi="Times New Roman" w:eastAsia="宋体" w:cs="Times New Roman"/>
          <w:color w:val="auto"/>
          <w:highlight w:val="none"/>
          <w:lang w:eastAsia="zh-CN"/>
        </w:rPr>
        <w:t>桂林市七星区骖鸾路东侧新建区5号小区合鑫大楼6楼</w:t>
      </w:r>
    </w:p>
    <w:p w14:paraId="665B0E42">
      <w:pPr>
        <w:widowControl w:val="0"/>
        <w:spacing w:line="40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 xml:space="preserve">联系方式： 0773-2607356 </w:t>
      </w:r>
    </w:p>
    <w:p w14:paraId="694C7F7A">
      <w:pPr>
        <w:widowControl w:val="0"/>
        <w:spacing w:line="400" w:lineRule="exact"/>
        <w:ind w:firstLine="420" w:firstLineChars="200"/>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3.项目联系方式</w:t>
      </w:r>
    </w:p>
    <w:p w14:paraId="76C33D1B">
      <w:pPr>
        <w:widowControl w:val="0"/>
        <w:spacing w:line="400" w:lineRule="exact"/>
        <w:ind w:firstLine="420" w:firstLineChars="20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项目联系人：秦红艳、韦炜、杨云茵</w:t>
      </w:r>
    </w:p>
    <w:p w14:paraId="7E22CAE4">
      <w:pPr>
        <w:widowControl w:val="0"/>
        <w:spacing w:line="40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电　  话：0773-2607356</w:t>
      </w:r>
    </w:p>
    <w:bookmarkEnd w:id="5"/>
    <w:bookmarkEnd w:id="6"/>
    <w:p w14:paraId="0C41B5FF">
      <w:pPr>
        <w:widowControl w:val="0"/>
        <w:spacing w:line="400" w:lineRule="exact"/>
        <w:ind w:firstLine="420" w:firstLineChars="200"/>
        <w:rPr>
          <w:rFonts w:ascii="Times New Roman" w:hAnsi="Times New Roman" w:eastAsia="宋体" w:cs="Times New Roman"/>
          <w:color w:val="auto"/>
          <w:highlight w:val="none"/>
          <w:lang w:eastAsia="zh-CN"/>
        </w:rPr>
      </w:pPr>
    </w:p>
    <w:p w14:paraId="75CBF50C">
      <w:pPr>
        <w:pStyle w:val="2"/>
        <w:rPr>
          <w:rFonts w:ascii="Times New Roman" w:hAnsi="Times New Roman" w:eastAsia="宋体" w:cs="Times New Roman"/>
          <w:color w:val="auto"/>
          <w:highlight w:val="none"/>
          <w:lang w:eastAsia="zh-CN"/>
        </w:rPr>
      </w:pPr>
    </w:p>
    <w:p w14:paraId="3F28F2E4">
      <w:pPr>
        <w:rPr>
          <w:color w:val="auto"/>
          <w:highlight w:val="none"/>
          <w:lang w:eastAsia="zh-CN"/>
        </w:rPr>
      </w:pPr>
    </w:p>
    <w:p w14:paraId="11A17D81">
      <w:pPr>
        <w:widowControl w:val="0"/>
        <w:spacing w:line="400" w:lineRule="exact"/>
        <w:ind w:left="0" w:leftChars="0" w:firstLine="6720" w:firstLineChars="3200"/>
        <w:rPr>
          <w:rFonts w:hint="eastAsia" w:ascii="Times New Roman" w:hAnsi="Times New Roman" w:eastAsia="宋体" w:cs="Times New Roman"/>
          <w:color w:val="auto"/>
          <w:highlight w:val="none"/>
          <w:lang w:eastAsia="zh-CN"/>
        </w:rPr>
      </w:pPr>
      <w:bookmarkStart w:id="52" w:name="_GoBack"/>
      <w:bookmarkEnd w:id="52"/>
      <w:r>
        <w:rPr>
          <w:rFonts w:hint="eastAsia" w:ascii="Times New Roman" w:hAnsi="Times New Roman" w:eastAsia="宋体" w:cs="Times New Roman"/>
          <w:color w:val="auto"/>
          <w:highlight w:val="none"/>
          <w:lang w:eastAsia="zh-CN"/>
        </w:rPr>
        <w:t>广西邕政采购代理有限公司</w:t>
      </w:r>
    </w:p>
    <w:p w14:paraId="2D61385A">
      <w:pPr>
        <w:widowControl w:val="0"/>
        <w:spacing w:line="400" w:lineRule="exact"/>
        <w:ind w:left="0" w:leftChars="0" w:firstLine="6720" w:firstLineChars="3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 xml:space="preserve">     </w:t>
      </w:r>
      <w:r>
        <w:rPr>
          <w:rFonts w:hint="eastAsia" w:ascii="Times New Roman" w:hAnsi="Times New Roman" w:eastAsia="宋体" w:cs="Times New Roman"/>
          <w:color w:val="auto"/>
          <w:highlight w:val="none"/>
          <w:lang w:val="en-US" w:eastAsia="zh-CN"/>
        </w:rPr>
        <w:t xml:space="preserve">         </w:t>
      </w:r>
      <w:r>
        <w:rPr>
          <w:rFonts w:hint="eastAsia" w:ascii="Times New Roman" w:hAnsi="Times New Roman" w:eastAsia="宋体" w:cs="Times New Roman"/>
          <w:color w:val="auto"/>
          <w:highlight w:val="none"/>
          <w:lang w:eastAsia="zh-CN"/>
        </w:rPr>
        <w:t>2026年</w:t>
      </w:r>
      <w:r>
        <w:rPr>
          <w:rFonts w:hint="eastAsia" w:ascii="Times New Roman" w:hAnsi="Times New Roman" w:eastAsia="宋体" w:cs="Times New Roman"/>
          <w:color w:val="auto"/>
          <w:highlight w:val="none"/>
          <w:lang w:val="en-US" w:eastAsia="zh-CN"/>
        </w:rPr>
        <w:t>8</w:t>
      </w:r>
      <w:r>
        <w:rPr>
          <w:rFonts w:hint="eastAsia" w:ascii="Times New Roman" w:hAnsi="Times New Roman" w:eastAsia="宋体" w:cs="Times New Roman"/>
          <w:color w:val="auto"/>
          <w:highlight w:val="none"/>
          <w:lang w:eastAsia="zh-CN"/>
        </w:rPr>
        <w:t>月</w:t>
      </w:r>
      <w:r>
        <w:rPr>
          <w:rFonts w:hint="eastAsia" w:ascii="Times New Roman" w:hAnsi="Times New Roman" w:eastAsia="宋体" w:cs="Times New Roman"/>
          <w:color w:val="auto"/>
          <w:highlight w:val="none"/>
          <w:lang w:val="en-US" w:eastAsia="zh-CN"/>
        </w:rPr>
        <w:t>17</w:t>
      </w:r>
      <w:r>
        <w:rPr>
          <w:rFonts w:hint="eastAsia" w:ascii="Times New Roman" w:hAnsi="Times New Roman" w:eastAsia="宋体" w:cs="Times New Roman"/>
          <w:color w:val="auto"/>
          <w:highlight w:val="none"/>
          <w:lang w:eastAsia="zh-CN"/>
        </w:rPr>
        <w:t>日</w:t>
      </w:r>
    </w:p>
    <w:p w14:paraId="242DC754">
      <w:pPr>
        <w:widowControl w:val="0"/>
        <w:spacing w:line="400" w:lineRule="exact"/>
        <w:ind w:left="0" w:leftChars="0" w:firstLine="6720" w:firstLineChars="3200"/>
        <w:rPr>
          <w:rFonts w:hint="eastAsia" w:ascii="Times New Roman" w:hAnsi="Times New Roman" w:eastAsia="宋体" w:cs="Times New Roman"/>
          <w:color w:val="auto"/>
          <w:highlight w:val="none"/>
          <w:lang w:eastAsia="zh-CN"/>
        </w:rPr>
        <w:sectPr>
          <w:footerReference r:id="rId4" w:type="default"/>
          <w:pgSz w:w="11906" w:h="16839"/>
          <w:pgMar w:top="1247" w:right="1247" w:bottom="1247" w:left="1247" w:header="0" w:footer="822" w:gutter="0"/>
          <w:pgNumType w:start="1"/>
          <w:cols w:space="0" w:num="1"/>
        </w:sectPr>
      </w:pPr>
    </w:p>
    <w:p w14:paraId="7B25721D">
      <w:pPr>
        <w:widowControl w:val="0"/>
        <w:spacing w:line="400" w:lineRule="exact"/>
        <w:jc w:val="center"/>
        <w:outlineLvl w:val="0"/>
        <w:rPr>
          <w:rFonts w:ascii="Times New Roman" w:hAnsi="Times New Roman" w:eastAsia="宋体" w:cs="Times New Roman"/>
          <w:color w:val="auto"/>
          <w:sz w:val="31"/>
          <w:szCs w:val="31"/>
          <w:highlight w:val="none"/>
          <w:lang w:eastAsia="zh-CN"/>
        </w:rPr>
      </w:pPr>
      <w:bookmarkStart w:id="7" w:name="bookmark3"/>
      <w:bookmarkEnd w:id="7"/>
      <w:bookmarkStart w:id="8" w:name="_Toc31975"/>
      <w:r>
        <w:rPr>
          <w:rFonts w:ascii="Times New Roman" w:hAnsi="Times New Roman" w:eastAsia="宋体" w:cs="Times New Roman"/>
          <w:b/>
          <w:bCs/>
          <w:color w:val="auto"/>
          <w:sz w:val="31"/>
          <w:szCs w:val="31"/>
          <w:highlight w:val="none"/>
          <w:lang w:eastAsia="zh-CN"/>
        </w:rPr>
        <w:t>第二章</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供应商须知</w:t>
      </w:r>
      <w:bookmarkEnd w:id="8"/>
    </w:p>
    <w:p w14:paraId="6697C356">
      <w:pPr>
        <w:widowControl w:val="0"/>
        <w:spacing w:line="400" w:lineRule="exact"/>
        <w:jc w:val="center"/>
        <w:rPr>
          <w:rFonts w:ascii="Times New Roman" w:hAnsi="Times New Roman" w:eastAsia="宋体" w:cs="Times New Roman"/>
          <w:color w:val="auto"/>
          <w:sz w:val="24"/>
          <w:szCs w:val="24"/>
          <w:highlight w:val="none"/>
        </w:rPr>
      </w:pPr>
      <w:r>
        <w:rPr>
          <w:rFonts w:ascii="Times New Roman" w:hAnsi="Times New Roman" w:eastAsia="宋体" w:cs="Times New Roman"/>
          <w:b/>
          <w:bCs/>
          <w:color w:val="auto"/>
          <w:sz w:val="24"/>
          <w:szCs w:val="24"/>
          <w:highlight w:val="none"/>
        </w:rPr>
        <w:t>供</w:t>
      </w:r>
      <w:r>
        <w:rPr>
          <w:rFonts w:ascii="Times New Roman" w:hAnsi="Times New Roman" w:eastAsia="宋体" w:cs="Times New Roman"/>
          <w:color w:val="auto"/>
          <w:sz w:val="24"/>
          <w:szCs w:val="24"/>
          <w:highlight w:val="none"/>
        </w:rPr>
        <w:t xml:space="preserve"> </w:t>
      </w:r>
      <w:r>
        <w:rPr>
          <w:rFonts w:ascii="Times New Roman" w:hAnsi="Times New Roman" w:eastAsia="宋体" w:cs="Times New Roman"/>
          <w:b/>
          <w:bCs/>
          <w:color w:val="auto"/>
          <w:sz w:val="24"/>
          <w:szCs w:val="24"/>
          <w:highlight w:val="none"/>
        </w:rPr>
        <w:t>应</w:t>
      </w:r>
      <w:r>
        <w:rPr>
          <w:rFonts w:ascii="Times New Roman" w:hAnsi="Times New Roman" w:eastAsia="宋体" w:cs="Times New Roman"/>
          <w:color w:val="auto"/>
          <w:sz w:val="24"/>
          <w:szCs w:val="24"/>
          <w:highlight w:val="none"/>
        </w:rPr>
        <w:t xml:space="preserve"> </w:t>
      </w:r>
      <w:r>
        <w:rPr>
          <w:rFonts w:ascii="Times New Roman" w:hAnsi="Times New Roman" w:eastAsia="宋体" w:cs="Times New Roman"/>
          <w:b/>
          <w:bCs/>
          <w:color w:val="auto"/>
          <w:sz w:val="24"/>
          <w:szCs w:val="24"/>
          <w:highlight w:val="none"/>
        </w:rPr>
        <w:t>商</w:t>
      </w:r>
      <w:r>
        <w:rPr>
          <w:rFonts w:ascii="Times New Roman" w:hAnsi="Times New Roman" w:eastAsia="宋体" w:cs="Times New Roman"/>
          <w:color w:val="auto"/>
          <w:sz w:val="24"/>
          <w:szCs w:val="24"/>
          <w:highlight w:val="none"/>
        </w:rPr>
        <w:t xml:space="preserve"> </w:t>
      </w:r>
      <w:r>
        <w:rPr>
          <w:rFonts w:ascii="Times New Roman" w:hAnsi="Times New Roman" w:eastAsia="宋体" w:cs="Times New Roman"/>
          <w:b/>
          <w:bCs/>
          <w:color w:val="auto"/>
          <w:sz w:val="24"/>
          <w:szCs w:val="24"/>
          <w:highlight w:val="none"/>
        </w:rPr>
        <w:t>须</w:t>
      </w:r>
      <w:r>
        <w:rPr>
          <w:rFonts w:ascii="Times New Roman" w:hAnsi="Times New Roman" w:eastAsia="宋体" w:cs="Times New Roman"/>
          <w:color w:val="auto"/>
          <w:sz w:val="24"/>
          <w:szCs w:val="24"/>
          <w:highlight w:val="none"/>
        </w:rPr>
        <w:t xml:space="preserve"> </w:t>
      </w:r>
      <w:r>
        <w:rPr>
          <w:rFonts w:ascii="Times New Roman" w:hAnsi="Times New Roman" w:eastAsia="宋体" w:cs="Times New Roman"/>
          <w:b/>
          <w:bCs/>
          <w:color w:val="auto"/>
          <w:sz w:val="24"/>
          <w:szCs w:val="24"/>
          <w:highlight w:val="none"/>
        </w:rPr>
        <w:t>知</w:t>
      </w:r>
      <w:r>
        <w:rPr>
          <w:rFonts w:ascii="Times New Roman" w:hAnsi="Times New Roman" w:eastAsia="宋体" w:cs="Times New Roman"/>
          <w:color w:val="auto"/>
          <w:sz w:val="24"/>
          <w:szCs w:val="24"/>
          <w:highlight w:val="none"/>
        </w:rPr>
        <w:t xml:space="preserve"> </w:t>
      </w:r>
      <w:r>
        <w:rPr>
          <w:rFonts w:ascii="Times New Roman" w:hAnsi="Times New Roman" w:eastAsia="宋体" w:cs="Times New Roman"/>
          <w:b/>
          <w:bCs/>
          <w:color w:val="auto"/>
          <w:sz w:val="24"/>
          <w:szCs w:val="24"/>
          <w:highlight w:val="none"/>
        </w:rPr>
        <w:t>前</w:t>
      </w:r>
      <w:r>
        <w:rPr>
          <w:rFonts w:ascii="Times New Roman" w:hAnsi="Times New Roman" w:eastAsia="宋体" w:cs="Times New Roman"/>
          <w:color w:val="auto"/>
          <w:sz w:val="24"/>
          <w:szCs w:val="24"/>
          <w:highlight w:val="none"/>
        </w:rPr>
        <w:t xml:space="preserve"> </w:t>
      </w:r>
      <w:r>
        <w:rPr>
          <w:rFonts w:ascii="Times New Roman" w:hAnsi="Times New Roman" w:eastAsia="宋体" w:cs="Times New Roman"/>
          <w:b/>
          <w:bCs/>
          <w:color w:val="auto"/>
          <w:sz w:val="24"/>
          <w:szCs w:val="24"/>
          <w:highlight w:val="none"/>
        </w:rPr>
        <w:t>附</w:t>
      </w:r>
      <w:r>
        <w:rPr>
          <w:rFonts w:ascii="Times New Roman" w:hAnsi="Times New Roman" w:eastAsia="宋体" w:cs="Times New Roman"/>
          <w:color w:val="auto"/>
          <w:sz w:val="24"/>
          <w:szCs w:val="24"/>
          <w:highlight w:val="none"/>
        </w:rPr>
        <w:t xml:space="preserve"> </w:t>
      </w:r>
      <w:r>
        <w:rPr>
          <w:rFonts w:ascii="Times New Roman" w:hAnsi="Times New Roman" w:eastAsia="宋体" w:cs="Times New Roman"/>
          <w:b/>
          <w:bCs/>
          <w:color w:val="auto"/>
          <w:sz w:val="24"/>
          <w:szCs w:val="24"/>
          <w:highlight w:val="none"/>
        </w:rPr>
        <w:t>表</w:t>
      </w:r>
    </w:p>
    <w:p w14:paraId="672D9D5F">
      <w:pPr>
        <w:widowControl w:val="0"/>
        <w:spacing w:line="400" w:lineRule="exact"/>
        <w:ind w:firstLine="420" w:firstLineChars="200"/>
        <w:rPr>
          <w:rFonts w:ascii="Times New Roman" w:hAnsi="Times New Roman" w:cs="Times New Roman"/>
          <w:color w:val="auto"/>
          <w:highlight w:val="none"/>
        </w:rPr>
      </w:pPr>
    </w:p>
    <w:tbl>
      <w:tblPr>
        <w:tblStyle w:val="31"/>
        <w:tblW w:w="10255" w:type="dxa"/>
        <w:tblInd w:w="-3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723"/>
        <w:gridCol w:w="1582"/>
        <w:gridCol w:w="7309"/>
      </w:tblGrid>
      <w:tr w14:paraId="681BE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641" w:type="dxa"/>
            <w:vAlign w:val="center"/>
          </w:tcPr>
          <w:p w14:paraId="5BFB2B43">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b/>
                <w:bCs/>
                <w:color w:val="auto"/>
                <w:sz w:val="21"/>
                <w:szCs w:val="21"/>
                <w:highlight w:val="none"/>
              </w:rPr>
              <w:t>序号</w:t>
            </w:r>
          </w:p>
        </w:tc>
        <w:tc>
          <w:tcPr>
            <w:tcW w:w="723" w:type="dxa"/>
            <w:vAlign w:val="center"/>
          </w:tcPr>
          <w:p w14:paraId="4DB79CCE">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b/>
                <w:bCs/>
                <w:color w:val="auto"/>
                <w:sz w:val="21"/>
                <w:szCs w:val="21"/>
                <w:highlight w:val="none"/>
              </w:rPr>
              <w:t>条款号</w:t>
            </w:r>
          </w:p>
        </w:tc>
        <w:tc>
          <w:tcPr>
            <w:tcW w:w="1582" w:type="dxa"/>
            <w:vAlign w:val="center"/>
          </w:tcPr>
          <w:p w14:paraId="18076128">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b/>
                <w:bCs/>
                <w:color w:val="auto"/>
                <w:sz w:val="21"/>
                <w:szCs w:val="21"/>
                <w:highlight w:val="none"/>
              </w:rPr>
              <w:t>条款名称</w:t>
            </w:r>
          </w:p>
        </w:tc>
        <w:tc>
          <w:tcPr>
            <w:tcW w:w="7309" w:type="dxa"/>
            <w:vAlign w:val="center"/>
          </w:tcPr>
          <w:p w14:paraId="6E26F898">
            <w:pPr>
              <w:pStyle w:val="32"/>
              <w:widowControl w:val="0"/>
              <w:wordWrap w:val="0"/>
              <w:spacing w:line="400" w:lineRule="exact"/>
              <w:ind w:firstLine="422" w:firstLineChars="200"/>
              <w:jc w:val="center"/>
              <w:rPr>
                <w:rFonts w:ascii="Times New Roman" w:hAnsi="Times New Roman" w:cs="Times New Roman"/>
                <w:color w:val="auto"/>
                <w:sz w:val="21"/>
                <w:szCs w:val="21"/>
                <w:highlight w:val="none"/>
              </w:rPr>
            </w:pPr>
            <w:r>
              <w:rPr>
                <w:rFonts w:ascii="Times New Roman" w:hAnsi="Times New Roman" w:cs="Times New Roman"/>
                <w:b/>
                <w:bCs/>
                <w:color w:val="auto"/>
                <w:sz w:val="21"/>
                <w:szCs w:val="21"/>
                <w:highlight w:val="none"/>
              </w:rPr>
              <w:t>内容、要求</w:t>
            </w:r>
          </w:p>
        </w:tc>
      </w:tr>
      <w:tr w14:paraId="11AB8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641" w:type="dxa"/>
          </w:tcPr>
          <w:p w14:paraId="108DA19A">
            <w:pPr>
              <w:widowControl w:val="0"/>
              <w:wordWrap w:val="0"/>
              <w:spacing w:line="400" w:lineRule="exact"/>
              <w:jc w:val="center"/>
              <w:rPr>
                <w:rFonts w:ascii="Times New Roman" w:hAnsi="Times New Roman" w:cs="Times New Roman"/>
                <w:color w:val="auto"/>
                <w:highlight w:val="none"/>
              </w:rPr>
            </w:pPr>
          </w:p>
          <w:p w14:paraId="247D5056">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w:t>
            </w:r>
          </w:p>
        </w:tc>
        <w:tc>
          <w:tcPr>
            <w:tcW w:w="723" w:type="dxa"/>
          </w:tcPr>
          <w:p w14:paraId="767FC057">
            <w:pPr>
              <w:widowControl w:val="0"/>
              <w:wordWrap w:val="0"/>
              <w:spacing w:line="400" w:lineRule="exact"/>
              <w:jc w:val="center"/>
              <w:rPr>
                <w:rFonts w:ascii="Times New Roman" w:hAnsi="Times New Roman" w:cs="Times New Roman"/>
                <w:color w:val="auto"/>
                <w:highlight w:val="none"/>
              </w:rPr>
            </w:pPr>
          </w:p>
          <w:p w14:paraId="1E02C64A">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1.1</w:t>
            </w:r>
          </w:p>
        </w:tc>
        <w:tc>
          <w:tcPr>
            <w:tcW w:w="1582" w:type="dxa"/>
          </w:tcPr>
          <w:p w14:paraId="6B7DC1F2">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项目名称及项目编号</w:t>
            </w:r>
          </w:p>
        </w:tc>
        <w:tc>
          <w:tcPr>
            <w:tcW w:w="7309" w:type="dxa"/>
          </w:tcPr>
          <w:p w14:paraId="5286628A">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项目名称：</w:t>
            </w:r>
            <w:r>
              <w:rPr>
                <w:rFonts w:hint="eastAsia" w:ascii="Times New Roman" w:hAnsi="Times New Roman" w:cs="Times New Roman"/>
                <w:color w:val="auto"/>
                <w:sz w:val="21"/>
                <w:szCs w:val="21"/>
                <w:highlight w:val="none"/>
                <w:lang w:eastAsia="zh-CN"/>
              </w:rPr>
              <w:t>桂林技师学院实训室建设项目</w:t>
            </w:r>
          </w:p>
          <w:p w14:paraId="087F2B44">
            <w:pPr>
              <w:pStyle w:val="32"/>
              <w:widowControl w:val="0"/>
              <w:wordWrap w:val="0"/>
              <w:spacing w:line="400" w:lineRule="exact"/>
              <w:ind w:firstLine="420" w:firstLineChars="200"/>
              <w:rPr>
                <w:rFonts w:hint="eastAsia" w:ascii="Times New Roman" w:hAnsi="Times New Roman" w:eastAsia="宋体" w:cs="Times New Roman"/>
                <w:color w:val="auto"/>
                <w:sz w:val="21"/>
                <w:szCs w:val="21"/>
                <w:highlight w:val="none"/>
                <w:lang w:eastAsia="zh-CN"/>
              </w:rPr>
            </w:pPr>
            <w:r>
              <w:rPr>
                <w:rFonts w:ascii="Times New Roman" w:hAnsi="Times New Roman" w:cs="Times New Roman"/>
                <w:color w:val="auto"/>
                <w:sz w:val="21"/>
                <w:szCs w:val="21"/>
                <w:highlight w:val="none"/>
              </w:rPr>
              <w:t>项目编号：</w:t>
            </w:r>
            <w:r>
              <w:rPr>
                <w:rFonts w:hint="eastAsia" w:ascii="Times New Roman" w:hAnsi="Times New Roman" w:cs="Times New Roman"/>
                <w:color w:val="auto"/>
                <w:sz w:val="21"/>
                <w:szCs w:val="21"/>
                <w:highlight w:val="none"/>
                <w:lang w:eastAsia="zh-CN"/>
              </w:rPr>
              <w:t>GLZC2026-J1-990366-GXYZ</w:t>
            </w:r>
          </w:p>
        </w:tc>
      </w:tr>
      <w:tr w14:paraId="1FCE8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9" w:hRule="atLeast"/>
        </w:trPr>
        <w:tc>
          <w:tcPr>
            <w:tcW w:w="641" w:type="dxa"/>
          </w:tcPr>
          <w:p w14:paraId="7D9D58D1">
            <w:pPr>
              <w:widowControl w:val="0"/>
              <w:wordWrap w:val="0"/>
              <w:spacing w:line="400" w:lineRule="exact"/>
              <w:jc w:val="center"/>
              <w:rPr>
                <w:rFonts w:ascii="Times New Roman" w:hAnsi="Times New Roman" w:cs="Times New Roman"/>
                <w:color w:val="auto"/>
                <w:highlight w:val="none"/>
              </w:rPr>
            </w:pPr>
          </w:p>
          <w:p w14:paraId="1865469C">
            <w:pPr>
              <w:widowControl w:val="0"/>
              <w:wordWrap w:val="0"/>
              <w:spacing w:line="400" w:lineRule="exact"/>
              <w:jc w:val="center"/>
              <w:rPr>
                <w:rFonts w:ascii="Times New Roman" w:hAnsi="Times New Roman" w:cs="Times New Roman"/>
                <w:color w:val="auto"/>
                <w:highlight w:val="none"/>
              </w:rPr>
            </w:pPr>
          </w:p>
          <w:p w14:paraId="00528BBE">
            <w:pPr>
              <w:widowControl w:val="0"/>
              <w:wordWrap w:val="0"/>
              <w:spacing w:line="400" w:lineRule="exact"/>
              <w:jc w:val="center"/>
              <w:rPr>
                <w:rFonts w:ascii="Times New Roman" w:hAnsi="Times New Roman" w:cs="Times New Roman"/>
                <w:color w:val="auto"/>
                <w:highlight w:val="none"/>
              </w:rPr>
            </w:pPr>
          </w:p>
          <w:p w14:paraId="79C7ACEB">
            <w:pPr>
              <w:widowControl w:val="0"/>
              <w:wordWrap w:val="0"/>
              <w:spacing w:line="400" w:lineRule="exact"/>
              <w:jc w:val="center"/>
              <w:rPr>
                <w:rFonts w:ascii="Times New Roman" w:hAnsi="Times New Roman" w:cs="Times New Roman"/>
                <w:color w:val="auto"/>
                <w:highlight w:val="none"/>
              </w:rPr>
            </w:pPr>
          </w:p>
          <w:p w14:paraId="7C41BCB6">
            <w:pPr>
              <w:widowControl w:val="0"/>
              <w:wordWrap w:val="0"/>
              <w:spacing w:line="400" w:lineRule="exact"/>
              <w:jc w:val="center"/>
              <w:rPr>
                <w:rFonts w:ascii="Times New Roman" w:hAnsi="Times New Roman" w:cs="Times New Roman"/>
                <w:color w:val="auto"/>
                <w:highlight w:val="none"/>
              </w:rPr>
            </w:pPr>
          </w:p>
          <w:p w14:paraId="00F19EC3">
            <w:pPr>
              <w:widowControl w:val="0"/>
              <w:wordWrap w:val="0"/>
              <w:spacing w:line="400" w:lineRule="exact"/>
              <w:jc w:val="center"/>
              <w:rPr>
                <w:rFonts w:ascii="Times New Roman" w:hAnsi="Times New Roman" w:cs="Times New Roman"/>
                <w:color w:val="auto"/>
                <w:highlight w:val="none"/>
              </w:rPr>
            </w:pPr>
          </w:p>
          <w:p w14:paraId="50645011">
            <w:pPr>
              <w:widowControl w:val="0"/>
              <w:wordWrap w:val="0"/>
              <w:spacing w:line="400" w:lineRule="exact"/>
              <w:jc w:val="center"/>
              <w:rPr>
                <w:rFonts w:ascii="Times New Roman" w:hAnsi="Times New Roman" w:cs="Times New Roman"/>
                <w:color w:val="auto"/>
                <w:highlight w:val="none"/>
              </w:rPr>
            </w:pPr>
          </w:p>
          <w:p w14:paraId="336082FB">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w:t>
            </w:r>
          </w:p>
        </w:tc>
        <w:tc>
          <w:tcPr>
            <w:tcW w:w="723" w:type="dxa"/>
          </w:tcPr>
          <w:p w14:paraId="188D9E38">
            <w:pPr>
              <w:widowControl w:val="0"/>
              <w:wordWrap w:val="0"/>
              <w:spacing w:line="400" w:lineRule="exact"/>
              <w:jc w:val="center"/>
              <w:rPr>
                <w:rFonts w:ascii="Times New Roman" w:hAnsi="Times New Roman" w:cs="Times New Roman"/>
                <w:color w:val="auto"/>
                <w:highlight w:val="none"/>
              </w:rPr>
            </w:pPr>
          </w:p>
          <w:p w14:paraId="0BFB8551">
            <w:pPr>
              <w:widowControl w:val="0"/>
              <w:wordWrap w:val="0"/>
              <w:spacing w:line="400" w:lineRule="exact"/>
              <w:jc w:val="center"/>
              <w:rPr>
                <w:rFonts w:ascii="Times New Roman" w:hAnsi="Times New Roman" w:cs="Times New Roman"/>
                <w:color w:val="auto"/>
                <w:highlight w:val="none"/>
              </w:rPr>
            </w:pPr>
          </w:p>
          <w:p w14:paraId="4B362607">
            <w:pPr>
              <w:widowControl w:val="0"/>
              <w:wordWrap w:val="0"/>
              <w:spacing w:line="400" w:lineRule="exact"/>
              <w:jc w:val="center"/>
              <w:rPr>
                <w:rFonts w:ascii="Times New Roman" w:hAnsi="Times New Roman" w:cs="Times New Roman"/>
                <w:color w:val="auto"/>
                <w:highlight w:val="none"/>
              </w:rPr>
            </w:pPr>
          </w:p>
          <w:p w14:paraId="775DBDD2">
            <w:pPr>
              <w:widowControl w:val="0"/>
              <w:wordWrap w:val="0"/>
              <w:spacing w:line="400" w:lineRule="exact"/>
              <w:jc w:val="center"/>
              <w:rPr>
                <w:rFonts w:ascii="Times New Roman" w:hAnsi="Times New Roman" w:cs="Times New Roman"/>
                <w:color w:val="auto"/>
                <w:highlight w:val="none"/>
              </w:rPr>
            </w:pPr>
          </w:p>
          <w:p w14:paraId="624814FA">
            <w:pPr>
              <w:widowControl w:val="0"/>
              <w:wordWrap w:val="0"/>
              <w:spacing w:line="400" w:lineRule="exact"/>
              <w:jc w:val="center"/>
              <w:rPr>
                <w:rFonts w:ascii="Times New Roman" w:hAnsi="Times New Roman" w:cs="Times New Roman"/>
                <w:color w:val="auto"/>
                <w:highlight w:val="none"/>
              </w:rPr>
            </w:pPr>
          </w:p>
          <w:p w14:paraId="0259A60C">
            <w:pPr>
              <w:widowControl w:val="0"/>
              <w:wordWrap w:val="0"/>
              <w:spacing w:line="400" w:lineRule="exact"/>
              <w:jc w:val="center"/>
              <w:rPr>
                <w:rFonts w:ascii="Times New Roman" w:hAnsi="Times New Roman" w:cs="Times New Roman"/>
                <w:color w:val="auto"/>
                <w:highlight w:val="none"/>
              </w:rPr>
            </w:pPr>
          </w:p>
          <w:p w14:paraId="4443CB10">
            <w:pPr>
              <w:widowControl w:val="0"/>
              <w:wordWrap w:val="0"/>
              <w:spacing w:line="400" w:lineRule="exact"/>
              <w:jc w:val="center"/>
              <w:rPr>
                <w:rFonts w:ascii="Times New Roman" w:hAnsi="Times New Roman" w:cs="Times New Roman"/>
                <w:color w:val="auto"/>
                <w:highlight w:val="none"/>
              </w:rPr>
            </w:pPr>
          </w:p>
          <w:p w14:paraId="77D20133">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c>
          <w:tcPr>
            <w:tcW w:w="1582" w:type="dxa"/>
          </w:tcPr>
          <w:p w14:paraId="4E84F0F2">
            <w:pPr>
              <w:widowControl w:val="0"/>
              <w:wordWrap w:val="0"/>
              <w:spacing w:line="400" w:lineRule="exact"/>
              <w:jc w:val="center"/>
              <w:rPr>
                <w:rFonts w:ascii="Times New Roman" w:hAnsi="Times New Roman" w:cs="Times New Roman"/>
                <w:color w:val="auto"/>
                <w:highlight w:val="none"/>
              </w:rPr>
            </w:pPr>
          </w:p>
          <w:p w14:paraId="5D1C51A6">
            <w:pPr>
              <w:widowControl w:val="0"/>
              <w:wordWrap w:val="0"/>
              <w:spacing w:line="400" w:lineRule="exact"/>
              <w:jc w:val="center"/>
              <w:rPr>
                <w:rFonts w:ascii="Times New Roman" w:hAnsi="Times New Roman" w:cs="Times New Roman"/>
                <w:color w:val="auto"/>
                <w:highlight w:val="none"/>
              </w:rPr>
            </w:pPr>
          </w:p>
          <w:p w14:paraId="22753010">
            <w:pPr>
              <w:widowControl w:val="0"/>
              <w:wordWrap w:val="0"/>
              <w:spacing w:line="400" w:lineRule="exact"/>
              <w:jc w:val="center"/>
              <w:rPr>
                <w:rFonts w:ascii="Times New Roman" w:hAnsi="Times New Roman" w:cs="Times New Roman"/>
                <w:color w:val="auto"/>
                <w:highlight w:val="none"/>
              </w:rPr>
            </w:pPr>
          </w:p>
          <w:p w14:paraId="04C198BA">
            <w:pPr>
              <w:widowControl w:val="0"/>
              <w:wordWrap w:val="0"/>
              <w:spacing w:line="400" w:lineRule="exact"/>
              <w:jc w:val="center"/>
              <w:rPr>
                <w:rFonts w:ascii="Times New Roman" w:hAnsi="Times New Roman" w:cs="Times New Roman"/>
                <w:color w:val="auto"/>
                <w:highlight w:val="none"/>
              </w:rPr>
            </w:pPr>
          </w:p>
          <w:p w14:paraId="120CD2EB">
            <w:pPr>
              <w:widowControl w:val="0"/>
              <w:wordWrap w:val="0"/>
              <w:spacing w:line="400" w:lineRule="exact"/>
              <w:jc w:val="center"/>
              <w:rPr>
                <w:rFonts w:ascii="Times New Roman" w:hAnsi="Times New Roman" w:cs="Times New Roman"/>
                <w:color w:val="auto"/>
                <w:highlight w:val="none"/>
              </w:rPr>
            </w:pPr>
          </w:p>
          <w:p w14:paraId="11042F75">
            <w:pPr>
              <w:widowControl w:val="0"/>
              <w:wordWrap w:val="0"/>
              <w:spacing w:line="400" w:lineRule="exact"/>
              <w:jc w:val="center"/>
              <w:rPr>
                <w:rFonts w:ascii="Times New Roman" w:hAnsi="Times New Roman" w:cs="Times New Roman"/>
                <w:color w:val="auto"/>
                <w:highlight w:val="none"/>
              </w:rPr>
            </w:pPr>
          </w:p>
          <w:p w14:paraId="689D43D0">
            <w:pPr>
              <w:widowControl w:val="0"/>
              <w:wordWrap w:val="0"/>
              <w:spacing w:line="400" w:lineRule="exact"/>
              <w:jc w:val="center"/>
              <w:rPr>
                <w:rFonts w:ascii="Times New Roman" w:hAnsi="Times New Roman" w:cs="Times New Roman"/>
                <w:color w:val="auto"/>
                <w:highlight w:val="none"/>
              </w:rPr>
            </w:pPr>
          </w:p>
          <w:p w14:paraId="743F781F">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供应商资格</w:t>
            </w:r>
          </w:p>
        </w:tc>
        <w:tc>
          <w:tcPr>
            <w:tcW w:w="7309" w:type="dxa"/>
          </w:tcPr>
          <w:p w14:paraId="41F03D3D">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3.1 满足《中华人民共和国政府采购法》第二十二条规定。</w:t>
            </w:r>
          </w:p>
          <w:p w14:paraId="386A304B">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cs="Times New Roman"/>
                <w:color w:val="auto"/>
                <w:highlight w:val="none"/>
                <w:lang w:eastAsia="zh-CN"/>
              </w:rPr>
              <w:t>3.2 落实政府采购政策需满足的资格要求：</w:t>
            </w:r>
            <w:r>
              <w:rPr>
                <w:rFonts w:hint="eastAsia" w:ascii="Times New Roman" w:hAnsi="Times New Roman" w:cs="Times New Roman"/>
                <w:color w:val="auto"/>
                <w:highlight w:val="none"/>
                <w:lang w:eastAsia="zh-CN"/>
              </w:rPr>
              <w:t>无；</w:t>
            </w:r>
          </w:p>
          <w:p w14:paraId="5CCB6CA2">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3.3 本项目的特定资格要求：</w:t>
            </w:r>
            <w:r>
              <w:rPr>
                <w:rFonts w:ascii="Times New Roman" w:hAnsi="Times New Roman" w:cs="Times New Roman"/>
                <w:color w:val="auto"/>
                <w:szCs w:val="21"/>
                <w:highlight w:val="none"/>
                <w:lang w:eastAsia="zh-CN"/>
              </w:rPr>
              <w:t>无</w:t>
            </w:r>
            <w:r>
              <w:rPr>
                <w:rFonts w:ascii="Times New Roman" w:hAnsi="Times New Roman" w:cs="Times New Roman"/>
                <w:color w:val="auto"/>
                <w:sz w:val="21"/>
                <w:szCs w:val="21"/>
                <w:highlight w:val="none"/>
                <w:lang w:eastAsia="zh-CN"/>
              </w:rPr>
              <w:t>。</w:t>
            </w:r>
          </w:p>
          <w:p w14:paraId="03137652">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3.4 资格条件特别说明：</w:t>
            </w:r>
          </w:p>
          <w:p w14:paraId="1CAED7BF">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（1）单位负责人为同一人或者存在直接控股、管理关系的不同供应商，不得参加同一合同项下的政府采购活动。除单一来源采购项目外，为采购项目提供整体设计、规范编制或者项目管理、监理、检测等服务 的供应商，不得再参加该采购项目的其他采购活动。</w:t>
            </w:r>
          </w:p>
          <w:p w14:paraId="7A977774">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（2）对在“信用中国”网站(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Times New Roman" w:hAnsi="Times New Roman" w:cs="Times New Roman"/>
                <w:color w:val="auto"/>
                <w:sz w:val="21"/>
                <w:szCs w:val="21"/>
                <w:highlight w:val="none"/>
                <w:lang w:eastAsia="zh-CN"/>
              </w:rPr>
              <w:t>www.creditchina.gov.cn</w:t>
            </w:r>
            <w:r>
              <w:rPr>
                <w:rFonts w:ascii="Times New Roman" w:hAnsi="Times New Roman" w:cs="Times New Roman"/>
                <w:color w:val="auto"/>
                <w:sz w:val="21"/>
                <w:szCs w:val="21"/>
                <w:highlight w:val="none"/>
                <w:lang w:eastAsia="zh-CN"/>
              </w:rPr>
              <w:fldChar w:fldCharType="end"/>
            </w:r>
            <w:r>
              <w:rPr>
                <w:rFonts w:ascii="Times New Roman" w:hAnsi="Times New Roman" w:cs="Times New Roman"/>
                <w:color w:val="auto"/>
                <w:sz w:val="21"/>
                <w:szCs w:val="21"/>
                <w:highlight w:val="none"/>
                <w:lang w:eastAsia="zh-CN"/>
              </w:rPr>
              <w:t>) 、中国政府采购网(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Times New Roman" w:hAnsi="Times New Roman" w:cs="Times New Roman"/>
                <w:color w:val="auto"/>
                <w:sz w:val="21"/>
                <w:szCs w:val="21"/>
                <w:highlight w:val="none"/>
                <w:lang w:eastAsia="zh-CN"/>
              </w:rPr>
              <w:t>www.ccgp.gov.cn</w:t>
            </w:r>
            <w:r>
              <w:rPr>
                <w:rFonts w:ascii="Times New Roman" w:hAnsi="Times New Roman" w:cs="Times New Roman"/>
                <w:color w:val="auto"/>
                <w:sz w:val="21"/>
                <w:szCs w:val="21"/>
                <w:highlight w:val="none"/>
                <w:lang w:eastAsia="zh-CN"/>
              </w:rPr>
              <w:fldChar w:fldCharType="end"/>
            </w:r>
            <w:r>
              <w:rPr>
                <w:rFonts w:ascii="Times New Roman" w:hAnsi="Times New Roman" w:cs="Times New Roman"/>
                <w:color w:val="auto"/>
                <w:sz w:val="21"/>
                <w:szCs w:val="21"/>
                <w:highlight w:val="none"/>
                <w:lang w:eastAsia="zh-CN"/>
              </w:rPr>
              <w:t>)被列入失信被执行人、</w:t>
            </w:r>
            <w:r>
              <w:rPr>
                <w:rFonts w:hint="eastAsia" w:ascii="Times New Roman" w:hAnsi="Times New Roman" w:cs="Times New Roman"/>
                <w:color w:val="auto"/>
                <w:sz w:val="21"/>
                <w:szCs w:val="21"/>
                <w:highlight w:val="none"/>
                <w:lang w:eastAsia="zh-CN"/>
              </w:rPr>
              <w:t>重大税收违法失信主体</w:t>
            </w:r>
            <w:r>
              <w:rPr>
                <w:rFonts w:ascii="Times New Roman" w:hAnsi="Times New Roman" w:cs="Times New Roman"/>
                <w:color w:val="auto"/>
                <w:sz w:val="21"/>
                <w:szCs w:val="21"/>
                <w:highlight w:val="none"/>
                <w:lang w:eastAsia="zh-CN"/>
              </w:rPr>
              <w:t>、政府采购严重违法失信行为记录名单及其他不符合《中华 人民共和国政府采购法》第二十二条规定条件的供应商，不得参与政府采购活动。</w:t>
            </w:r>
          </w:p>
        </w:tc>
      </w:tr>
      <w:tr w14:paraId="6DFE4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641" w:type="dxa"/>
          </w:tcPr>
          <w:p w14:paraId="526062C5">
            <w:pPr>
              <w:widowControl w:val="0"/>
              <w:wordWrap w:val="0"/>
              <w:spacing w:line="400" w:lineRule="exact"/>
              <w:jc w:val="center"/>
              <w:rPr>
                <w:rFonts w:ascii="Times New Roman" w:hAnsi="Times New Roman" w:cs="Times New Roman"/>
                <w:color w:val="auto"/>
                <w:highlight w:val="none"/>
                <w:lang w:eastAsia="zh-CN"/>
              </w:rPr>
            </w:pPr>
          </w:p>
          <w:p w14:paraId="56B9FF2D">
            <w:pPr>
              <w:widowControl w:val="0"/>
              <w:wordWrap w:val="0"/>
              <w:spacing w:line="400" w:lineRule="exact"/>
              <w:jc w:val="center"/>
              <w:rPr>
                <w:rFonts w:ascii="Times New Roman" w:hAnsi="Times New Roman" w:cs="Times New Roman"/>
                <w:color w:val="auto"/>
                <w:highlight w:val="none"/>
                <w:lang w:eastAsia="zh-CN"/>
              </w:rPr>
            </w:pPr>
          </w:p>
          <w:p w14:paraId="387F327F">
            <w:pPr>
              <w:widowControl w:val="0"/>
              <w:wordWrap w:val="0"/>
              <w:spacing w:line="400" w:lineRule="exact"/>
              <w:jc w:val="center"/>
              <w:rPr>
                <w:rFonts w:ascii="Times New Roman" w:hAnsi="Times New Roman" w:cs="Times New Roman"/>
                <w:color w:val="auto"/>
                <w:highlight w:val="none"/>
                <w:lang w:eastAsia="zh-CN"/>
              </w:rPr>
            </w:pPr>
          </w:p>
          <w:p w14:paraId="02C1011D">
            <w:pPr>
              <w:widowControl w:val="0"/>
              <w:wordWrap w:val="0"/>
              <w:spacing w:line="400" w:lineRule="exact"/>
              <w:jc w:val="center"/>
              <w:rPr>
                <w:rFonts w:ascii="Times New Roman" w:hAnsi="Times New Roman" w:cs="Times New Roman"/>
                <w:color w:val="auto"/>
                <w:highlight w:val="none"/>
                <w:lang w:eastAsia="zh-CN"/>
              </w:rPr>
            </w:pPr>
          </w:p>
          <w:p w14:paraId="41547A3F">
            <w:pPr>
              <w:widowControl w:val="0"/>
              <w:wordWrap w:val="0"/>
              <w:spacing w:line="400" w:lineRule="exact"/>
              <w:jc w:val="center"/>
              <w:rPr>
                <w:rFonts w:ascii="Times New Roman" w:hAnsi="Times New Roman" w:cs="Times New Roman"/>
                <w:color w:val="auto"/>
                <w:highlight w:val="none"/>
                <w:lang w:eastAsia="zh-CN"/>
              </w:rPr>
            </w:pPr>
          </w:p>
          <w:p w14:paraId="60E28C04">
            <w:pPr>
              <w:widowControl w:val="0"/>
              <w:wordWrap w:val="0"/>
              <w:spacing w:line="400" w:lineRule="exact"/>
              <w:jc w:val="center"/>
              <w:rPr>
                <w:rFonts w:ascii="Times New Roman" w:hAnsi="Times New Roman" w:cs="Times New Roman"/>
                <w:color w:val="auto"/>
                <w:highlight w:val="none"/>
                <w:lang w:eastAsia="zh-CN"/>
              </w:rPr>
            </w:pPr>
          </w:p>
          <w:p w14:paraId="6E227115">
            <w:pPr>
              <w:widowControl w:val="0"/>
              <w:wordWrap w:val="0"/>
              <w:spacing w:line="400" w:lineRule="exact"/>
              <w:jc w:val="center"/>
              <w:rPr>
                <w:rFonts w:ascii="Times New Roman" w:hAnsi="Times New Roman" w:cs="Times New Roman"/>
                <w:color w:val="auto"/>
                <w:highlight w:val="none"/>
                <w:lang w:eastAsia="zh-CN"/>
              </w:rPr>
            </w:pPr>
          </w:p>
          <w:p w14:paraId="3A592798">
            <w:pPr>
              <w:widowControl w:val="0"/>
              <w:wordWrap w:val="0"/>
              <w:spacing w:line="400" w:lineRule="exact"/>
              <w:jc w:val="center"/>
              <w:rPr>
                <w:rFonts w:ascii="Times New Roman" w:hAnsi="Times New Roman" w:cs="Times New Roman"/>
                <w:color w:val="auto"/>
                <w:highlight w:val="none"/>
                <w:lang w:eastAsia="zh-CN"/>
              </w:rPr>
            </w:pPr>
          </w:p>
          <w:p w14:paraId="0950BA87">
            <w:pPr>
              <w:widowControl w:val="0"/>
              <w:wordWrap w:val="0"/>
              <w:spacing w:line="400" w:lineRule="exact"/>
              <w:jc w:val="center"/>
              <w:rPr>
                <w:rFonts w:ascii="Times New Roman" w:hAnsi="Times New Roman" w:cs="Times New Roman"/>
                <w:color w:val="auto"/>
                <w:highlight w:val="none"/>
                <w:lang w:eastAsia="zh-CN"/>
              </w:rPr>
            </w:pPr>
          </w:p>
          <w:p w14:paraId="79108B61">
            <w:pPr>
              <w:widowControl w:val="0"/>
              <w:wordWrap w:val="0"/>
              <w:spacing w:line="400" w:lineRule="exact"/>
              <w:jc w:val="center"/>
              <w:rPr>
                <w:rFonts w:ascii="Times New Roman" w:hAnsi="Times New Roman" w:cs="Times New Roman"/>
                <w:color w:val="auto"/>
                <w:highlight w:val="none"/>
                <w:lang w:eastAsia="zh-CN"/>
              </w:rPr>
            </w:pPr>
          </w:p>
          <w:p w14:paraId="0AC00D3D">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w:t>
            </w:r>
          </w:p>
        </w:tc>
        <w:tc>
          <w:tcPr>
            <w:tcW w:w="723" w:type="dxa"/>
          </w:tcPr>
          <w:p w14:paraId="04C8A086">
            <w:pPr>
              <w:widowControl w:val="0"/>
              <w:wordWrap w:val="0"/>
              <w:spacing w:line="400" w:lineRule="exact"/>
              <w:jc w:val="center"/>
              <w:rPr>
                <w:rFonts w:ascii="Times New Roman" w:hAnsi="Times New Roman" w:cs="Times New Roman"/>
                <w:color w:val="auto"/>
                <w:highlight w:val="none"/>
              </w:rPr>
            </w:pPr>
          </w:p>
          <w:p w14:paraId="1FC2F379">
            <w:pPr>
              <w:widowControl w:val="0"/>
              <w:wordWrap w:val="0"/>
              <w:spacing w:line="400" w:lineRule="exact"/>
              <w:jc w:val="center"/>
              <w:rPr>
                <w:rFonts w:ascii="Times New Roman" w:hAnsi="Times New Roman" w:cs="Times New Roman"/>
                <w:color w:val="auto"/>
                <w:highlight w:val="none"/>
              </w:rPr>
            </w:pPr>
          </w:p>
          <w:p w14:paraId="150324AE">
            <w:pPr>
              <w:widowControl w:val="0"/>
              <w:wordWrap w:val="0"/>
              <w:spacing w:line="400" w:lineRule="exact"/>
              <w:jc w:val="center"/>
              <w:rPr>
                <w:rFonts w:ascii="Times New Roman" w:hAnsi="Times New Roman" w:cs="Times New Roman"/>
                <w:color w:val="auto"/>
                <w:highlight w:val="none"/>
              </w:rPr>
            </w:pPr>
          </w:p>
          <w:p w14:paraId="34A2D1C5">
            <w:pPr>
              <w:widowControl w:val="0"/>
              <w:wordWrap w:val="0"/>
              <w:spacing w:line="400" w:lineRule="exact"/>
              <w:jc w:val="center"/>
              <w:rPr>
                <w:rFonts w:ascii="Times New Roman" w:hAnsi="Times New Roman" w:cs="Times New Roman"/>
                <w:color w:val="auto"/>
                <w:highlight w:val="none"/>
              </w:rPr>
            </w:pPr>
          </w:p>
          <w:p w14:paraId="655652FF">
            <w:pPr>
              <w:widowControl w:val="0"/>
              <w:wordWrap w:val="0"/>
              <w:spacing w:line="400" w:lineRule="exact"/>
              <w:jc w:val="center"/>
              <w:rPr>
                <w:rFonts w:ascii="Times New Roman" w:hAnsi="Times New Roman" w:cs="Times New Roman"/>
                <w:color w:val="auto"/>
                <w:highlight w:val="none"/>
              </w:rPr>
            </w:pPr>
          </w:p>
          <w:p w14:paraId="3BBAF813">
            <w:pPr>
              <w:widowControl w:val="0"/>
              <w:wordWrap w:val="0"/>
              <w:spacing w:line="400" w:lineRule="exact"/>
              <w:jc w:val="center"/>
              <w:rPr>
                <w:rFonts w:ascii="Times New Roman" w:hAnsi="Times New Roman" w:cs="Times New Roman"/>
                <w:color w:val="auto"/>
                <w:highlight w:val="none"/>
              </w:rPr>
            </w:pPr>
          </w:p>
          <w:p w14:paraId="0ECBB8E9">
            <w:pPr>
              <w:widowControl w:val="0"/>
              <w:wordWrap w:val="0"/>
              <w:spacing w:line="400" w:lineRule="exact"/>
              <w:jc w:val="center"/>
              <w:rPr>
                <w:rFonts w:ascii="Times New Roman" w:hAnsi="Times New Roman" w:cs="Times New Roman"/>
                <w:color w:val="auto"/>
                <w:highlight w:val="none"/>
              </w:rPr>
            </w:pPr>
          </w:p>
          <w:p w14:paraId="38818B7A">
            <w:pPr>
              <w:widowControl w:val="0"/>
              <w:wordWrap w:val="0"/>
              <w:spacing w:line="400" w:lineRule="exact"/>
              <w:jc w:val="center"/>
              <w:rPr>
                <w:rFonts w:ascii="Times New Roman" w:hAnsi="Times New Roman" w:cs="Times New Roman"/>
                <w:color w:val="auto"/>
                <w:highlight w:val="none"/>
              </w:rPr>
            </w:pPr>
          </w:p>
          <w:p w14:paraId="5CD09013">
            <w:pPr>
              <w:widowControl w:val="0"/>
              <w:wordWrap w:val="0"/>
              <w:spacing w:line="400" w:lineRule="exact"/>
              <w:jc w:val="center"/>
              <w:rPr>
                <w:rFonts w:ascii="Times New Roman" w:hAnsi="Times New Roman" w:cs="Times New Roman"/>
                <w:color w:val="auto"/>
                <w:highlight w:val="none"/>
              </w:rPr>
            </w:pPr>
          </w:p>
          <w:p w14:paraId="4834110D">
            <w:pPr>
              <w:widowControl w:val="0"/>
              <w:wordWrap w:val="0"/>
              <w:spacing w:line="400" w:lineRule="exact"/>
              <w:jc w:val="center"/>
              <w:rPr>
                <w:rFonts w:ascii="Times New Roman" w:hAnsi="Times New Roman" w:cs="Times New Roman"/>
                <w:color w:val="auto"/>
                <w:highlight w:val="none"/>
              </w:rPr>
            </w:pPr>
          </w:p>
          <w:p w14:paraId="107F0BFF">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c>
          <w:tcPr>
            <w:tcW w:w="1582" w:type="dxa"/>
          </w:tcPr>
          <w:p w14:paraId="74FBFB2B">
            <w:pPr>
              <w:widowControl w:val="0"/>
              <w:wordWrap w:val="0"/>
              <w:spacing w:line="400" w:lineRule="exact"/>
              <w:jc w:val="center"/>
              <w:rPr>
                <w:rFonts w:ascii="Times New Roman" w:hAnsi="Times New Roman" w:cs="Times New Roman"/>
                <w:color w:val="auto"/>
                <w:highlight w:val="none"/>
                <w:lang w:eastAsia="zh-CN"/>
              </w:rPr>
            </w:pPr>
          </w:p>
          <w:p w14:paraId="01DF900B">
            <w:pPr>
              <w:widowControl w:val="0"/>
              <w:wordWrap w:val="0"/>
              <w:spacing w:line="400" w:lineRule="exact"/>
              <w:jc w:val="center"/>
              <w:rPr>
                <w:rFonts w:ascii="Times New Roman" w:hAnsi="Times New Roman" w:cs="Times New Roman"/>
                <w:color w:val="auto"/>
                <w:highlight w:val="none"/>
                <w:lang w:eastAsia="zh-CN"/>
              </w:rPr>
            </w:pPr>
          </w:p>
          <w:p w14:paraId="78A5AD5D">
            <w:pPr>
              <w:widowControl w:val="0"/>
              <w:wordWrap w:val="0"/>
              <w:spacing w:line="400" w:lineRule="exact"/>
              <w:jc w:val="center"/>
              <w:rPr>
                <w:rFonts w:ascii="Times New Roman" w:hAnsi="Times New Roman" w:cs="Times New Roman"/>
                <w:color w:val="auto"/>
                <w:highlight w:val="none"/>
                <w:lang w:eastAsia="zh-CN"/>
              </w:rPr>
            </w:pPr>
          </w:p>
          <w:p w14:paraId="06F8D1E9">
            <w:pPr>
              <w:widowControl w:val="0"/>
              <w:wordWrap w:val="0"/>
              <w:spacing w:line="400" w:lineRule="exact"/>
              <w:jc w:val="center"/>
              <w:rPr>
                <w:rFonts w:ascii="Times New Roman" w:hAnsi="Times New Roman" w:cs="Times New Roman"/>
                <w:color w:val="auto"/>
                <w:highlight w:val="none"/>
                <w:lang w:eastAsia="zh-CN"/>
              </w:rPr>
            </w:pPr>
          </w:p>
          <w:p w14:paraId="12998B46">
            <w:pPr>
              <w:widowControl w:val="0"/>
              <w:wordWrap w:val="0"/>
              <w:spacing w:line="400" w:lineRule="exact"/>
              <w:jc w:val="center"/>
              <w:rPr>
                <w:rFonts w:ascii="Times New Roman" w:hAnsi="Times New Roman" w:cs="Times New Roman"/>
                <w:color w:val="auto"/>
                <w:highlight w:val="none"/>
                <w:lang w:eastAsia="zh-CN"/>
              </w:rPr>
            </w:pPr>
          </w:p>
          <w:p w14:paraId="2780B5AD">
            <w:pPr>
              <w:widowControl w:val="0"/>
              <w:wordWrap w:val="0"/>
              <w:spacing w:line="400" w:lineRule="exact"/>
              <w:jc w:val="center"/>
              <w:rPr>
                <w:rFonts w:ascii="Times New Roman" w:hAnsi="Times New Roman" w:cs="Times New Roman"/>
                <w:color w:val="auto"/>
                <w:highlight w:val="none"/>
                <w:lang w:eastAsia="zh-CN"/>
              </w:rPr>
            </w:pPr>
          </w:p>
          <w:p w14:paraId="0FC67F00">
            <w:pPr>
              <w:widowControl w:val="0"/>
              <w:wordWrap w:val="0"/>
              <w:spacing w:line="400" w:lineRule="exact"/>
              <w:jc w:val="center"/>
              <w:rPr>
                <w:rFonts w:ascii="Times New Roman" w:hAnsi="Times New Roman" w:cs="Times New Roman"/>
                <w:color w:val="auto"/>
                <w:highlight w:val="none"/>
                <w:lang w:eastAsia="zh-CN"/>
              </w:rPr>
            </w:pPr>
          </w:p>
          <w:p w14:paraId="4D02CB9C">
            <w:pPr>
              <w:widowControl w:val="0"/>
              <w:wordWrap w:val="0"/>
              <w:spacing w:line="400" w:lineRule="exact"/>
              <w:jc w:val="center"/>
              <w:rPr>
                <w:rFonts w:ascii="Times New Roman" w:hAnsi="Times New Roman" w:cs="Times New Roman"/>
                <w:color w:val="auto"/>
                <w:highlight w:val="none"/>
                <w:lang w:eastAsia="zh-CN"/>
              </w:rPr>
            </w:pPr>
          </w:p>
          <w:p w14:paraId="7F4A0ABE">
            <w:pPr>
              <w:widowControl w:val="0"/>
              <w:wordWrap w:val="0"/>
              <w:spacing w:line="400" w:lineRule="exact"/>
              <w:jc w:val="center"/>
              <w:rPr>
                <w:rFonts w:ascii="Times New Roman" w:hAnsi="Times New Roman" w:cs="Times New Roman"/>
                <w:color w:val="auto"/>
                <w:highlight w:val="none"/>
                <w:lang w:eastAsia="zh-CN"/>
              </w:rPr>
            </w:pPr>
          </w:p>
          <w:p w14:paraId="568B0A84">
            <w:pPr>
              <w:pStyle w:val="32"/>
              <w:widowControl w:val="0"/>
              <w:wordWrap w:val="0"/>
              <w:spacing w:line="400" w:lineRule="exact"/>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参与电子竞标的准备工作</w:t>
            </w:r>
          </w:p>
        </w:tc>
        <w:tc>
          <w:tcPr>
            <w:tcW w:w="7309" w:type="dxa"/>
          </w:tcPr>
          <w:p w14:paraId="2F1F4E95">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4.1 本项目实行全流程电子化采购，供应商通过广西政府采购云平台与电子竞标，并应做好以下相关准备工作：①在广西政府采购云平台  注册成为正式供应商（操作方法详见广西壮族自治区政府采购网—办事服务—办事指南）；②完成 CA 证书申领和绑定（费用由供应商自行承担，办理流程详见广西壮族自治区政府采购网—办事服务—下载专区，完成 CA 证书办理预计一周左右，建议供应商尽快办理）；③下载  “广西壮族自治区全流程电子招投标项目管理系统--供应商客户端 ”（操作方法详见广西壮族自治区政府采购网—办事服务—下载专区，以下称“广西政府采购云平台电子投标客户端 ”）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 证书）。因供应商未做好相关准备工作等自身原因导致无法参加本项目电子竞标或竞标失败的，造成的一切后果， 由供应商自行承担。</w:t>
            </w:r>
          </w:p>
          <w:p w14:paraId="5F1681CB">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4.2 电子竞标具体操作流程参考《政府采购项目电子交易管理操作指南供应商》（详见桂林市政府采购网—采购资讯—重要通知）；如遇平台技术问题详询 95763 或者 0771-3381253。</w:t>
            </w:r>
          </w:p>
          <w:p w14:paraId="7D7E3683">
            <w:pPr>
              <w:pStyle w:val="32"/>
              <w:widowControl w:val="0"/>
              <w:wordWrap w:val="0"/>
              <w:spacing w:line="400" w:lineRule="exact"/>
              <w:ind w:firstLine="420" w:firstLineChars="200"/>
              <w:jc w:val="both"/>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4.3 不论谈判结果如何，供应商均应自行承担所有与谈判有关的全部费用。</w:t>
            </w:r>
          </w:p>
        </w:tc>
      </w:tr>
      <w:tr w14:paraId="7C93F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2" w:hRule="atLeast"/>
        </w:trPr>
        <w:tc>
          <w:tcPr>
            <w:tcW w:w="641" w:type="dxa"/>
          </w:tcPr>
          <w:p w14:paraId="4E7A7990">
            <w:pPr>
              <w:widowControl w:val="0"/>
              <w:wordWrap w:val="0"/>
              <w:spacing w:line="400" w:lineRule="exact"/>
              <w:jc w:val="center"/>
              <w:rPr>
                <w:rFonts w:ascii="Times New Roman" w:hAnsi="Times New Roman" w:cs="Times New Roman"/>
                <w:color w:val="auto"/>
                <w:highlight w:val="none"/>
                <w:lang w:eastAsia="zh-CN"/>
              </w:rPr>
            </w:pPr>
          </w:p>
          <w:p w14:paraId="4B966E8A">
            <w:pPr>
              <w:widowControl w:val="0"/>
              <w:wordWrap w:val="0"/>
              <w:spacing w:line="400" w:lineRule="exact"/>
              <w:jc w:val="center"/>
              <w:rPr>
                <w:rFonts w:ascii="Times New Roman" w:hAnsi="Times New Roman" w:cs="Times New Roman"/>
                <w:color w:val="auto"/>
                <w:highlight w:val="none"/>
                <w:lang w:eastAsia="zh-CN"/>
              </w:rPr>
            </w:pPr>
          </w:p>
          <w:p w14:paraId="651B8D2E">
            <w:pPr>
              <w:widowControl w:val="0"/>
              <w:wordWrap w:val="0"/>
              <w:spacing w:line="400" w:lineRule="exact"/>
              <w:jc w:val="center"/>
              <w:rPr>
                <w:rFonts w:ascii="Times New Roman" w:hAnsi="Times New Roman" w:cs="Times New Roman"/>
                <w:color w:val="auto"/>
                <w:highlight w:val="none"/>
                <w:lang w:eastAsia="zh-CN"/>
              </w:rPr>
            </w:pPr>
          </w:p>
          <w:p w14:paraId="6D0410E0">
            <w:pPr>
              <w:widowControl w:val="0"/>
              <w:wordWrap w:val="0"/>
              <w:spacing w:line="400" w:lineRule="exact"/>
              <w:jc w:val="center"/>
              <w:rPr>
                <w:rFonts w:ascii="Times New Roman" w:hAnsi="Times New Roman" w:cs="Times New Roman"/>
                <w:color w:val="auto"/>
                <w:highlight w:val="none"/>
                <w:lang w:eastAsia="zh-CN"/>
              </w:rPr>
            </w:pPr>
          </w:p>
          <w:p w14:paraId="5008422F">
            <w:pPr>
              <w:widowControl w:val="0"/>
              <w:wordWrap w:val="0"/>
              <w:spacing w:line="400" w:lineRule="exact"/>
              <w:jc w:val="center"/>
              <w:rPr>
                <w:rFonts w:ascii="Times New Roman" w:hAnsi="Times New Roman" w:cs="Times New Roman"/>
                <w:color w:val="auto"/>
                <w:highlight w:val="none"/>
                <w:lang w:eastAsia="zh-CN"/>
              </w:rPr>
            </w:pPr>
          </w:p>
          <w:p w14:paraId="67DFD29F">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w:t>
            </w:r>
          </w:p>
        </w:tc>
        <w:tc>
          <w:tcPr>
            <w:tcW w:w="723" w:type="dxa"/>
          </w:tcPr>
          <w:p w14:paraId="10A01DE4">
            <w:pPr>
              <w:widowControl w:val="0"/>
              <w:wordWrap w:val="0"/>
              <w:spacing w:line="400" w:lineRule="exact"/>
              <w:jc w:val="center"/>
              <w:rPr>
                <w:rFonts w:ascii="Times New Roman" w:hAnsi="Times New Roman" w:cs="Times New Roman"/>
                <w:color w:val="auto"/>
                <w:highlight w:val="none"/>
              </w:rPr>
            </w:pPr>
          </w:p>
          <w:p w14:paraId="69A77E88">
            <w:pPr>
              <w:widowControl w:val="0"/>
              <w:wordWrap w:val="0"/>
              <w:spacing w:line="400" w:lineRule="exact"/>
              <w:jc w:val="center"/>
              <w:rPr>
                <w:rFonts w:ascii="Times New Roman" w:hAnsi="Times New Roman" w:cs="Times New Roman"/>
                <w:color w:val="auto"/>
                <w:highlight w:val="none"/>
              </w:rPr>
            </w:pPr>
          </w:p>
          <w:p w14:paraId="59AE04EA">
            <w:pPr>
              <w:widowControl w:val="0"/>
              <w:wordWrap w:val="0"/>
              <w:spacing w:line="400" w:lineRule="exact"/>
              <w:jc w:val="center"/>
              <w:rPr>
                <w:rFonts w:ascii="Times New Roman" w:hAnsi="Times New Roman" w:cs="Times New Roman"/>
                <w:color w:val="auto"/>
                <w:highlight w:val="none"/>
              </w:rPr>
            </w:pPr>
          </w:p>
          <w:p w14:paraId="03FF793A">
            <w:pPr>
              <w:widowControl w:val="0"/>
              <w:wordWrap w:val="0"/>
              <w:spacing w:line="400" w:lineRule="exact"/>
              <w:jc w:val="center"/>
              <w:rPr>
                <w:rFonts w:ascii="Times New Roman" w:hAnsi="Times New Roman" w:cs="Times New Roman"/>
                <w:color w:val="auto"/>
                <w:highlight w:val="none"/>
              </w:rPr>
            </w:pPr>
          </w:p>
          <w:p w14:paraId="7ADA4EFA">
            <w:pPr>
              <w:widowControl w:val="0"/>
              <w:wordWrap w:val="0"/>
              <w:spacing w:line="400" w:lineRule="exact"/>
              <w:jc w:val="center"/>
              <w:rPr>
                <w:rFonts w:ascii="Times New Roman" w:hAnsi="Times New Roman" w:cs="Times New Roman"/>
                <w:color w:val="auto"/>
                <w:highlight w:val="none"/>
              </w:rPr>
            </w:pPr>
          </w:p>
          <w:p w14:paraId="2414D3C5">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13</w:t>
            </w:r>
          </w:p>
        </w:tc>
        <w:tc>
          <w:tcPr>
            <w:tcW w:w="1582" w:type="dxa"/>
          </w:tcPr>
          <w:p w14:paraId="4E0CE549">
            <w:pPr>
              <w:widowControl w:val="0"/>
              <w:wordWrap w:val="0"/>
              <w:spacing w:line="400" w:lineRule="exact"/>
              <w:jc w:val="center"/>
              <w:rPr>
                <w:rFonts w:ascii="Times New Roman" w:hAnsi="Times New Roman" w:cs="Times New Roman"/>
                <w:color w:val="auto"/>
                <w:highlight w:val="none"/>
                <w:lang w:eastAsia="zh-CN"/>
              </w:rPr>
            </w:pPr>
          </w:p>
          <w:p w14:paraId="5FC50E9D">
            <w:pPr>
              <w:widowControl w:val="0"/>
              <w:wordWrap w:val="0"/>
              <w:spacing w:line="400" w:lineRule="exact"/>
              <w:jc w:val="center"/>
              <w:rPr>
                <w:rFonts w:ascii="Times New Roman" w:hAnsi="Times New Roman" w:cs="Times New Roman"/>
                <w:color w:val="auto"/>
                <w:highlight w:val="none"/>
                <w:lang w:eastAsia="zh-CN"/>
              </w:rPr>
            </w:pPr>
          </w:p>
          <w:p w14:paraId="25CE88DC">
            <w:pPr>
              <w:widowControl w:val="0"/>
              <w:wordWrap w:val="0"/>
              <w:spacing w:line="400" w:lineRule="exact"/>
              <w:jc w:val="center"/>
              <w:rPr>
                <w:rFonts w:ascii="Times New Roman" w:hAnsi="Times New Roman" w:cs="Times New Roman"/>
                <w:color w:val="auto"/>
                <w:highlight w:val="none"/>
                <w:lang w:eastAsia="zh-CN"/>
              </w:rPr>
            </w:pPr>
          </w:p>
          <w:p w14:paraId="7F652201">
            <w:pPr>
              <w:widowControl w:val="0"/>
              <w:wordWrap w:val="0"/>
              <w:spacing w:line="400" w:lineRule="exact"/>
              <w:jc w:val="center"/>
              <w:rPr>
                <w:rFonts w:ascii="Times New Roman" w:hAnsi="Times New Roman" w:cs="Times New Roman"/>
                <w:color w:val="auto"/>
                <w:highlight w:val="none"/>
                <w:lang w:eastAsia="zh-CN"/>
              </w:rPr>
            </w:pPr>
          </w:p>
          <w:p w14:paraId="65D68882">
            <w:pPr>
              <w:widowControl w:val="0"/>
              <w:wordWrap w:val="0"/>
              <w:spacing w:line="400" w:lineRule="exact"/>
              <w:jc w:val="center"/>
              <w:rPr>
                <w:rFonts w:ascii="Times New Roman" w:hAnsi="Times New Roman" w:cs="Times New Roman"/>
                <w:color w:val="auto"/>
                <w:highlight w:val="none"/>
                <w:lang w:eastAsia="zh-CN"/>
              </w:rPr>
            </w:pPr>
          </w:p>
          <w:p w14:paraId="723FBEB6">
            <w:pPr>
              <w:pStyle w:val="32"/>
              <w:widowControl w:val="0"/>
              <w:wordWrap w:val="0"/>
              <w:spacing w:line="400" w:lineRule="exact"/>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谈判报价及采购预算金额</w:t>
            </w:r>
          </w:p>
        </w:tc>
        <w:tc>
          <w:tcPr>
            <w:tcW w:w="7309" w:type="dxa"/>
          </w:tcPr>
          <w:p w14:paraId="12844401">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 xml:space="preserve">13.1 </w:t>
            </w:r>
            <w:r>
              <w:rPr>
                <w:rFonts w:hint="eastAsia" w:ascii="Times New Roman" w:hAnsi="Times New Roman" w:cs="Times New Roman"/>
                <w:color w:val="auto"/>
                <w:sz w:val="21"/>
                <w:szCs w:val="21"/>
                <w:highlight w:val="none"/>
                <w:lang w:eastAsia="zh-CN"/>
              </w:rPr>
              <w:t>供应商必须就“采购需求 ”中各分标的所有内容</w:t>
            </w:r>
            <w:r>
              <w:rPr>
                <w:rFonts w:ascii="Times New Roman" w:hAnsi="Times New Roman" w:cs="Times New Roman"/>
                <w:color w:val="auto"/>
                <w:sz w:val="21"/>
                <w:szCs w:val="21"/>
                <w:highlight w:val="none"/>
                <w:lang w:eastAsia="zh-CN"/>
              </w:rPr>
              <w:t>作完整唯一报价，响应文件只允许有一个报价，有选择的或有条件的报价将不予接受。</w:t>
            </w:r>
          </w:p>
          <w:p w14:paraId="7731A5D0">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13.2 采购</w:t>
            </w:r>
            <w:r>
              <w:rPr>
                <w:rFonts w:hint="eastAsia" w:ascii="Times New Roman" w:hAnsi="Times New Roman" w:cs="Times New Roman"/>
                <w:color w:val="auto"/>
                <w:sz w:val="21"/>
                <w:szCs w:val="21"/>
                <w:highlight w:val="none"/>
                <w:lang w:eastAsia="zh-CN"/>
              </w:rPr>
              <w:t>总</w:t>
            </w:r>
            <w:r>
              <w:rPr>
                <w:rFonts w:ascii="Times New Roman" w:hAnsi="Times New Roman" w:cs="Times New Roman"/>
                <w:color w:val="auto"/>
                <w:sz w:val="21"/>
                <w:szCs w:val="21"/>
                <w:highlight w:val="none"/>
                <w:lang w:eastAsia="zh-CN"/>
              </w:rPr>
              <w:t>预算金额（人民币）：</w:t>
            </w:r>
            <w:r>
              <w:rPr>
                <w:rFonts w:hint="eastAsia" w:ascii="Times New Roman" w:hAnsi="Times New Roman" w:cs="Times New Roman"/>
                <w:b/>
                <w:bCs/>
                <w:color w:val="auto"/>
                <w:sz w:val="21"/>
                <w:szCs w:val="21"/>
                <w:highlight w:val="none"/>
                <w:lang w:eastAsia="zh-CN"/>
              </w:rPr>
              <w:t>壹佰肆拾万元整</w:t>
            </w:r>
            <w:r>
              <w:rPr>
                <w:rFonts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eastAsia="zh-CN"/>
              </w:rPr>
              <w:t>1400000.00</w:t>
            </w:r>
            <w:r>
              <w:rPr>
                <w:rFonts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eastAsia="zh-CN"/>
              </w:rPr>
              <w:t>，其中</w:t>
            </w:r>
            <w:r>
              <w:rPr>
                <w:rFonts w:hint="eastAsia" w:ascii="Times New Roman" w:hAnsi="Times New Roman" w:cs="Times New Roman"/>
                <w:b/>
                <w:bCs/>
                <w:color w:val="auto"/>
                <w:sz w:val="21"/>
                <w:szCs w:val="21"/>
                <w:highlight w:val="none"/>
                <w:lang w:val="en-US" w:eastAsia="zh-CN"/>
              </w:rPr>
              <w:t>标项一：贰拾伍万元整（</w:t>
            </w:r>
            <w:r>
              <w:rPr>
                <w:rFonts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25</w:t>
            </w:r>
            <w:r>
              <w:rPr>
                <w:rFonts w:hint="eastAsia" w:ascii="Times New Roman" w:hAnsi="Times New Roman" w:cs="Times New Roman"/>
                <w:b/>
                <w:bCs/>
                <w:color w:val="auto"/>
                <w:sz w:val="21"/>
                <w:szCs w:val="21"/>
                <w:highlight w:val="none"/>
                <w:lang w:eastAsia="zh-CN"/>
              </w:rPr>
              <w:t>0000.00</w:t>
            </w:r>
            <w:r>
              <w:rPr>
                <w:rFonts w:hint="eastAsia" w:ascii="Times New Roman" w:hAnsi="Times New Roman" w:cs="Times New Roman"/>
                <w:b/>
                <w:bCs/>
                <w:color w:val="auto"/>
                <w:sz w:val="21"/>
                <w:szCs w:val="21"/>
                <w:highlight w:val="none"/>
                <w:lang w:val="en-US" w:eastAsia="zh-CN"/>
              </w:rPr>
              <w:t>）；标项二：肆拾陆万元整（</w:t>
            </w:r>
            <w:r>
              <w:rPr>
                <w:rFonts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460000.00）；标项三：叁拾贰万元整（</w:t>
            </w:r>
            <w:r>
              <w:rPr>
                <w:rFonts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32</w:t>
            </w:r>
            <w:r>
              <w:rPr>
                <w:rFonts w:hint="eastAsia" w:ascii="Times New Roman" w:hAnsi="Times New Roman" w:cs="Times New Roman"/>
                <w:b/>
                <w:bCs/>
                <w:color w:val="auto"/>
                <w:sz w:val="21"/>
                <w:szCs w:val="21"/>
                <w:highlight w:val="none"/>
                <w:lang w:eastAsia="zh-CN"/>
              </w:rPr>
              <w:t>0000.00</w:t>
            </w:r>
            <w:r>
              <w:rPr>
                <w:rFonts w:hint="eastAsia" w:ascii="Times New Roman" w:hAnsi="Times New Roman" w:cs="Times New Roman"/>
                <w:b/>
                <w:bCs/>
                <w:color w:val="auto"/>
                <w:sz w:val="21"/>
                <w:szCs w:val="21"/>
                <w:highlight w:val="none"/>
                <w:lang w:val="en-US" w:eastAsia="zh-CN"/>
              </w:rPr>
              <w:t>）；标项四：叁拾柒万元整（</w:t>
            </w:r>
            <w:r>
              <w:rPr>
                <w:rFonts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370000.00）</w:t>
            </w:r>
            <w:r>
              <w:rPr>
                <w:rFonts w:ascii="Times New Roman" w:hAnsi="Times New Roman" w:cs="Times New Roman"/>
                <w:color w:val="auto"/>
                <w:sz w:val="21"/>
                <w:szCs w:val="21"/>
                <w:highlight w:val="none"/>
                <w:lang w:eastAsia="zh-CN"/>
              </w:rPr>
              <w:t>。 报价超采购预算金额的，响应文件作无效处理。</w:t>
            </w:r>
          </w:p>
          <w:p w14:paraId="46B31965">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13.3 供应商谈判报价应包括本次采购范围内货物价款、货物随配标准附件、包装、运输、装卸、保险、税金、货到位以及安装、安装所需辅材、调试、检验、售后服务、培训、保修、运维、验收及其他所有成本费用的总和，供应商应综合考虑在报价中。</w:t>
            </w:r>
          </w:p>
          <w:p w14:paraId="5FE202D8">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13.4 未书面退出谈判的供应商必须在规定时间内登录广西政府采购云平台在线提交最后报价，其最后报价不得超出采购预算；谈判过程中谈判文件未作实质性变动的，</w:t>
            </w:r>
            <w:r>
              <w:rPr>
                <w:rFonts w:ascii="Times New Roman" w:hAnsi="Times New Roman" w:cs="Times New Roman"/>
                <w:b/>
                <w:bCs/>
                <w:color w:val="auto"/>
                <w:sz w:val="21"/>
                <w:szCs w:val="21"/>
                <w:highlight w:val="none"/>
                <w:lang w:eastAsia="zh-CN"/>
              </w:rPr>
              <w:t>最后报价不得超过首次报价。</w:t>
            </w:r>
          </w:p>
        </w:tc>
      </w:tr>
      <w:tr w14:paraId="7A367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641" w:type="dxa"/>
          </w:tcPr>
          <w:p w14:paraId="53D4A616">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5</w:t>
            </w:r>
          </w:p>
        </w:tc>
        <w:tc>
          <w:tcPr>
            <w:tcW w:w="723" w:type="dxa"/>
          </w:tcPr>
          <w:p w14:paraId="1FF46B97">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14.1</w:t>
            </w:r>
          </w:p>
        </w:tc>
        <w:tc>
          <w:tcPr>
            <w:tcW w:w="1582" w:type="dxa"/>
            <w:vAlign w:val="center"/>
          </w:tcPr>
          <w:p w14:paraId="26E8BCE8">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响应文件有效期</w:t>
            </w:r>
          </w:p>
        </w:tc>
        <w:tc>
          <w:tcPr>
            <w:tcW w:w="7309" w:type="dxa"/>
            <w:vAlign w:val="center"/>
          </w:tcPr>
          <w:p w14:paraId="18F14024">
            <w:pPr>
              <w:pStyle w:val="32"/>
              <w:widowControl w:val="0"/>
              <w:wordWrap w:val="0"/>
              <w:spacing w:line="400" w:lineRule="exact"/>
              <w:ind w:firstLine="420" w:firstLineChars="200"/>
              <w:jc w:val="left"/>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自响应文件提交截止时间之日起 90 天，有效期不足的响应文件将被拒绝。</w:t>
            </w:r>
          </w:p>
        </w:tc>
      </w:tr>
      <w:tr w14:paraId="4866E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41" w:type="dxa"/>
          </w:tcPr>
          <w:p w14:paraId="1587E7E0">
            <w:pPr>
              <w:widowControl w:val="0"/>
              <w:wordWrap w:val="0"/>
              <w:spacing w:line="400" w:lineRule="exact"/>
              <w:jc w:val="center"/>
              <w:rPr>
                <w:rFonts w:ascii="Times New Roman" w:hAnsi="Times New Roman" w:cs="Times New Roman"/>
                <w:color w:val="auto"/>
                <w:highlight w:val="none"/>
                <w:lang w:eastAsia="zh-CN"/>
              </w:rPr>
            </w:pPr>
          </w:p>
          <w:p w14:paraId="19D74788">
            <w:pPr>
              <w:widowControl w:val="0"/>
              <w:wordWrap w:val="0"/>
              <w:spacing w:line="400" w:lineRule="exact"/>
              <w:jc w:val="center"/>
              <w:rPr>
                <w:rFonts w:ascii="Times New Roman" w:hAnsi="Times New Roman" w:cs="Times New Roman"/>
                <w:color w:val="auto"/>
                <w:highlight w:val="none"/>
                <w:lang w:eastAsia="zh-CN"/>
              </w:rPr>
            </w:pPr>
          </w:p>
          <w:p w14:paraId="72DFE6FF">
            <w:pPr>
              <w:widowControl w:val="0"/>
              <w:wordWrap w:val="0"/>
              <w:spacing w:line="400" w:lineRule="exact"/>
              <w:jc w:val="center"/>
              <w:rPr>
                <w:rFonts w:ascii="Times New Roman" w:hAnsi="Times New Roman" w:cs="Times New Roman"/>
                <w:color w:val="auto"/>
                <w:highlight w:val="none"/>
                <w:lang w:eastAsia="zh-CN"/>
              </w:rPr>
            </w:pPr>
          </w:p>
          <w:p w14:paraId="12ADC67E">
            <w:pPr>
              <w:widowControl w:val="0"/>
              <w:wordWrap w:val="0"/>
              <w:spacing w:line="400" w:lineRule="exact"/>
              <w:jc w:val="center"/>
              <w:rPr>
                <w:rFonts w:ascii="Times New Roman" w:hAnsi="Times New Roman" w:cs="Times New Roman"/>
                <w:color w:val="auto"/>
                <w:highlight w:val="none"/>
                <w:lang w:eastAsia="zh-CN"/>
              </w:rPr>
            </w:pPr>
          </w:p>
          <w:p w14:paraId="2FA47B02">
            <w:pPr>
              <w:widowControl w:val="0"/>
              <w:wordWrap w:val="0"/>
              <w:spacing w:line="400" w:lineRule="exact"/>
              <w:jc w:val="center"/>
              <w:rPr>
                <w:rFonts w:ascii="Times New Roman" w:hAnsi="Times New Roman" w:cs="Times New Roman"/>
                <w:color w:val="auto"/>
                <w:highlight w:val="none"/>
                <w:lang w:eastAsia="zh-CN"/>
              </w:rPr>
            </w:pPr>
          </w:p>
          <w:p w14:paraId="540FCE26">
            <w:pPr>
              <w:widowControl w:val="0"/>
              <w:wordWrap w:val="0"/>
              <w:spacing w:line="400" w:lineRule="exact"/>
              <w:jc w:val="center"/>
              <w:rPr>
                <w:rFonts w:ascii="Times New Roman" w:hAnsi="Times New Roman" w:cs="Times New Roman"/>
                <w:color w:val="auto"/>
                <w:highlight w:val="none"/>
                <w:lang w:eastAsia="zh-CN"/>
              </w:rPr>
            </w:pPr>
          </w:p>
          <w:p w14:paraId="7D645A26">
            <w:pPr>
              <w:widowControl w:val="0"/>
              <w:wordWrap w:val="0"/>
              <w:spacing w:line="400" w:lineRule="exact"/>
              <w:jc w:val="center"/>
              <w:rPr>
                <w:rFonts w:ascii="Times New Roman" w:hAnsi="Times New Roman" w:cs="Times New Roman"/>
                <w:color w:val="auto"/>
                <w:highlight w:val="none"/>
                <w:lang w:eastAsia="zh-CN"/>
              </w:rPr>
            </w:pPr>
          </w:p>
          <w:p w14:paraId="0DE3558D">
            <w:pPr>
              <w:widowControl w:val="0"/>
              <w:wordWrap w:val="0"/>
              <w:spacing w:line="400" w:lineRule="exact"/>
              <w:jc w:val="center"/>
              <w:rPr>
                <w:rFonts w:ascii="Times New Roman" w:hAnsi="Times New Roman" w:cs="Times New Roman"/>
                <w:color w:val="auto"/>
                <w:highlight w:val="none"/>
                <w:lang w:eastAsia="zh-CN"/>
              </w:rPr>
            </w:pPr>
          </w:p>
          <w:p w14:paraId="6555AB82">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6</w:t>
            </w:r>
          </w:p>
        </w:tc>
        <w:tc>
          <w:tcPr>
            <w:tcW w:w="723" w:type="dxa"/>
          </w:tcPr>
          <w:p w14:paraId="22A1774A">
            <w:pPr>
              <w:widowControl w:val="0"/>
              <w:wordWrap w:val="0"/>
              <w:spacing w:line="400" w:lineRule="exact"/>
              <w:jc w:val="center"/>
              <w:rPr>
                <w:rFonts w:ascii="Times New Roman" w:hAnsi="Times New Roman" w:cs="Times New Roman"/>
                <w:color w:val="auto"/>
                <w:highlight w:val="none"/>
              </w:rPr>
            </w:pPr>
          </w:p>
          <w:p w14:paraId="276A1C4A">
            <w:pPr>
              <w:widowControl w:val="0"/>
              <w:wordWrap w:val="0"/>
              <w:spacing w:line="400" w:lineRule="exact"/>
              <w:jc w:val="center"/>
              <w:rPr>
                <w:rFonts w:ascii="Times New Roman" w:hAnsi="Times New Roman" w:cs="Times New Roman"/>
                <w:color w:val="auto"/>
                <w:highlight w:val="none"/>
              </w:rPr>
            </w:pPr>
          </w:p>
          <w:p w14:paraId="2CCC0486">
            <w:pPr>
              <w:widowControl w:val="0"/>
              <w:wordWrap w:val="0"/>
              <w:spacing w:line="400" w:lineRule="exact"/>
              <w:jc w:val="center"/>
              <w:rPr>
                <w:rFonts w:ascii="Times New Roman" w:hAnsi="Times New Roman" w:cs="Times New Roman"/>
                <w:color w:val="auto"/>
                <w:highlight w:val="none"/>
              </w:rPr>
            </w:pPr>
          </w:p>
          <w:p w14:paraId="29D640A7">
            <w:pPr>
              <w:widowControl w:val="0"/>
              <w:wordWrap w:val="0"/>
              <w:spacing w:line="400" w:lineRule="exact"/>
              <w:jc w:val="center"/>
              <w:rPr>
                <w:rFonts w:ascii="Times New Roman" w:hAnsi="Times New Roman" w:cs="Times New Roman"/>
                <w:color w:val="auto"/>
                <w:highlight w:val="none"/>
              </w:rPr>
            </w:pPr>
          </w:p>
          <w:p w14:paraId="1B7B1472">
            <w:pPr>
              <w:widowControl w:val="0"/>
              <w:wordWrap w:val="0"/>
              <w:spacing w:line="400" w:lineRule="exact"/>
              <w:jc w:val="center"/>
              <w:rPr>
                <w:rFonts w:ascii="Times New Roman" w:hAnsi="Times New Roman" w:cs="Times New Roman"/>
                <w:color w:val="auto"/>
                <w:highlight w:val="none"/>
              </w:rPr>
            </w:pPr>
          </w:p>
          <w:p w14:paraId="5BCC21B8">
            <w:pPr>
              <w:widowControl w:val="0"/>
              <w:wordWrap w:val="0"/>
              <w:spacing w:line="400" w:lineRule="exact"/>
              <w:jc w:val="center"/>
              <w:rPr>
                <w:rFonts w:ascii="Times New Roman" w:hAnsi="Times New Roman" w:cs="Times New Roman"/>
                <w:color w:val="auto"/>
                <w:highlight w:val="none"/>
              </w:rPr>
            </w:pPr>
          </w:p>
          <w:p w14:paraId="4136748C">
            <w:pPr>
              <w:widowControl w:val="0"/>
              <w:wordWrap w:val="0"/>
              <w:spacing w:line="400" w:lineRule="exact"/>
              <w:jc w:val="center"/>
              <w:rPr>
                <w:rFonts w:ascii="Times New Roman" w:hAnsi="Times New Roman" w:cs="Times New Roman"/>
                <w:color w:val="auto"/>
                <w:highlight w:val="none"/>
              </w:rPr>
            </w:pPr>
          </w:p>
          <w:p w14:paraId="6121FD7E">
            <w:pPr>
              <w:widowControl w:val="0"/>
              <w:wordWrap w:val="0"/>
              <w:spacing w:line="400" w:lineRule="exact"/>
              <w:jc w:val="center"/>
              <w:rPr>
                <w:rFonts w:ascii="Times New Roman" w:hAnsi="Times New Roman" w:cs="Times New Roman"/>
                <w:color w:val="auto"/>
                <w:highlight w:val="none"/>
              </w:rPr>
            </w:pPr>
          </w:p>
          <w:p w14:paraId="7006B46B">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15</w:t>
            </w:r>
          </w:p>
        </w:tc>
        <w:tc>
          <w:tcPr>
            <w:tcW w:w="1582" w:type="dxa"/>
          </w:tcPr>
          <w:p w14:paraId="4C44716B">
            <w:pPr>
              <w:widowControl w:val="0"/>
              <w:wordWrap w:val="0"/>
              <w:spacing w:line="400" w:lineRule="exact"/>
              <w:jc w:val="center"/>
              <w:rPr>
                <w:rFonts w:ascii="Times New Roman" w:hAnsi="Times New Roman" w:cs="Times New Roman"/>
                <w:color w:val="auto"/>
                <w:highlight w:val="none"/>
                <w:lang w:eastAsia="zh-CN"/>
              </w:rPr>
            </w:pPr>
          </w:p>
          <w:p w14:paraId="78BFFC25">
            <w:pPr>
              <w:widowControl w:val="0"/>
              <w:wordWrap w:val="0"/>
              <w:spacing w:line="400" w:lineRule="exact"/>
              <w:jc w:val="center"/>
              <w:rPr>
                <w:rFonts w:ascii="Times New Roman" w:hAnsi="Times New Roman" w:cs="Times New Roman"/>
                <w:color w:val="auto"/>
                <w:highlight w:val="none"/>
                <w:lang w:eastAsia="zh-CN"/>
              </w:rPr>
            </w:pPr>
          </w:p>
          <w:p w14:paraId="78391551">
            <w:pPr>
              <w:widowControl w:val="0"/>
              <w:wordWrap w:val="0"/>
              <w:spacing w:line="400" w:lineRule="exact"/>
              <w:jc w:val="center"/>
              <w:rPr>
                <w:rFonts w:ascii="Times New Roman" w:hAnsi="Times New Roman" w:cs="Times New Roman"/>
                <w:color w:val="auto"/>
                <w:highlight w:val="none"/>
                <w:lang w:eastAsia="zh-CN"/>
              </w:rPr>
            </w:pPr>
          </w:p>
          <w:p w14:paraId="40F3CA9F">
            <w:pPr>
              <w:widowControl w:val="0"/>
              <w:wordWrap w:val="0"/>
              <w:spacing w:line="400" w:lineRule="exact"/>
              <w:jc w:val="center"/>
              <w:rPr>
                <w:rFonts w:ascii="Times New Roman" w:hAnsi="Times New Roman" w:cs="Times New Roman"/>
                <w:color w:val="auto"/>
                <w:highlight w:val="none"/>
                <w:lang w:eastAsia="zh-CN"/>
              </w:rPr>
            </w:pPr>
          </w:p>
          <w:p w14:paraId="63B11BE3">
            <w:pPr>
              <w:widowControl w:val="0"/>
              <w:wordWrap w:val="0"/>
              <w:spacing w:line="400" w:lineRule="exact"/>
              <w:jc w:val="center"/>
              <w:rPr>
                <w:rFonts w:ascii="Times New Roman" w:hAnsi="Times New Roman" w:cs="Times New Roman"/>
                <w:color w:val="auto"/>
                <w:highlight w:val="none"/>
                <w:lang w:eastAsia="zh-CN"/>
              </w:rPr>
            </w:pPr>
          </w:p>
          <w:p w14:paraId="1C87C369">
            <w:pPr>
              <w:widowControl w:val="0"/>
              <w:wordWrap w:val="0"/>
              <w:spacing w:line="400" w:lineRule="exact"/>
              <w:jc w:val="center"/>
              <w:rPr>
                <w:rFonts w:ascii="Times New Roman" w:hAnsi="Times New Roman" w:cs="Times New Roman"/>
                <w:color w:val="auto"/>
                <w:highlight w:val="none"/>
                <w:lang w:eastAsia="zh-CN"/>
              </w:rPr>
            </w:pPr>
          </w:p>
          <w:p w14:paraId="1F6054DC">
            <w:pPr>
              <w:widowControl w:val="0"/>
              <w:wordWrap w:val="0"/>
              <w:spacing w:line="400" w:lineRule="exact"/>
              <w:jc w:val="center"/>
              <w:rPr>
                <w:rFonts w:ascii="Times New Roman" w:hAnsi="Times New Roman" w:cs="Times New Roman"/>
                <w:color w:val="auto"/>
                <w:highlight w:val="none"/>
                <w:lang w:eastAsia="zh-CN"/>
              </w:rPr>
            </w:pPr>
          </w:p>
          <w:p w14:paraId="4DA43ADC">
            <w:pPr>
              <w:widowControl w:val="0"/>
              <w:wordWrap w:val="0"/>
              <w:spacing w:line="400" w:lineRule="exact"/>
              <w:jc w:val="center"/>
              <w:rPr>
                <w:rFonts w:ascii="Times New Roman" w:hAnsi="Times New Roman" w:cs="Times New Roman"/>
                <w:color w:val="auto"/>
                <w:highlight w:val="none"/>
                <w:lang w:eastAsia="zh-CN"/>
              </w:rPr>
            </w:pPr>
          </w:p>
          <w:p w14:paraId="3072F9F1">
            <w:pPr>
              <w:pStyle w:val="32"/>
              <w:widowControl w:val="0"/>
              <w:wordWrap w:val="0"/>
              <w:spacing w:line="400" w:lineRule="exact"/>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电子响应文件的制作、加密</w:t>
            </w:r>
          </w:p>
        </w:tc>
        <w:tc>
          <w:tcPr>
            <w:tcW w:w="7309" w:type="dxa"/>
          </w:tcPr>
          <w:p w14:paraId="45EB5B3B">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15.1 供应商制作电子响应文件前，应登陆广西政府采购云平台进行“申请获取采购文件 ”操作，否则，有可能导致无法在线编制响应文件并参与竞标，其不利后果由供应商自行承担。</w:t>
            </w:r>
          </w:p>
          <w:p w14:paraId="7117C79D">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15.2 供应商下载或获取竞争性谈判文件后，登录“广西政府采购云平台电子投标客户端 ”，按照本谈判文件规定的响应文件格式、顺序以及广西政府采购云平台的要求，通过“广西政府采购云平台电子投标客户端 ”编制电子响应文件。</w:t>
            </w:r>
          </w:p>
          <w:p w14:paraId="3851C26E">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15.3 供应商应按“广西政府采购云平台电子投标客户端 ”载明的“标书关联 ”功能进行电子响应文件的关联定位， 以便谈判小组在评审时 点击相应评审项可直接定位到该评审内容；如供应商的电子响应文件 未能关联定位相应内容，或者关联定位的内容与该评审项不符，导致谈判小组无法查询并做出对供应商不利的评审，相关后果由供应商自行承担。</w:t>
            </w:r>
          </w:p>
          <w:p w14:paraId="339CBB1F">
            <w:pPr>
              <w:pStyle w:val="32"/>
              <w:widowControl w:val="0"/>
              <w:wordWrap w:val="0"/>
              <w:spacing w:line="400" w:lineRule="exact"/>
              <w:ind w:firstLine="420" w:firstLineChars="200"/>
              <w:jc w:val="both"/>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15.4 电子响应文件不得涂改，若有修改错漏处，须由法定代表人（负责人、 自然人）或授权委托代理人通过“广西政府采购云平台电子投标客户端 ”采用广西政府采购云平台个人 CA 证书签章，没有办理广西 政府采购云平台个人 CA 证书签章的，在响应文件中响应位置手写签字 后扫描或者拍照做成 PDF 的格式上传。因响应文件字迹潦草、表达不清、 内容不完整、编排混乱导致响应文件被误读、漏读，或者在按竞争性谈判文件规定的部位查找不到相关内容的，其不利后果由供应商自行承担。</w:t>
            </w:r>
          </w:p>
          <w:p w14:paraId="1EC360D7">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15.5 供应商编制、生成电子响应文件后应当加密响应文件。供应商未按规定编制并加密的响应文件，广西政府采购云平台将予以拒收。</w:t>
            </w:r>
          </w:p>
        </w:tc>
      </w:tr>
      <w:tr w14:paraId="48735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6" w:hRule="atLeast"/>
        </w:trPr>
        <w:tc>
          <w:tcPr>
            <w:tcW w:w="641" w:type="dxa"/>
          </w:tcPr>
          <w:p w14:paraId="2E45FAA4">
            <w:pPr>
              <w:widowControl w:val="0"/>
              <w:wordWrap w:val="0"/>
              <w:spacing w:line="400" w:lineRule="exact"/>
              <w:jc w:val="center"/>
              <w:rPr>
                <w:rFonts w:ascii="Times New Roman" w:hAnsi="Times New Roman" w:cs="Times New Roman"/>
                <w:color w:val="auto"/>
                <w:highlight w:val="none"/>
                <w:lang w:eastAsia="zh-CN"/>
              </w:rPr>
            </w:pPr>
          </w:p>
          <w:p w14:paraId="4DAD3E38">
            <w:pPr>
              <w:widowControl w:val="0"/>
              <w:wordWrap w:val="0"/>
              <w:spacing w:line="400" w:lineRule="exact"/>
              <w:jc w:val="center"/>
              <w:rPr>
                <w:rFonts w:ascii="Times New Roman" w:hAnsi="Times New Roman" w:cs="Times New Roman"/>
                <w:color w:val="auto"/>
                <w:highlight w:val="none"/>
                <w:lang w:eastAsia="zh-CN"/>
              </w:rPr>
            </w:pPr>
          </w:p>
          <w:p w14:paraId="0A38BF9E">
            <w:pPr>
              <w:widowControl w:val="0"/>
              <w:wordWrap w:val="0"/>
              <w:spacing w:line="400" w:lineRule="exact"/>
              <w:jc w:val="center"/>
              <w:rPr>
                <w:rFonts w:ascii="Times New Roman" w:hAnsi="Times New Roman" w:cs="Times New Roman"/>
                <w:color w:val="auto"/>
                <w:highlight w:val="none"/>
                <w:lang w:eastAsia="zh-CN"/>
              </w:rPr>
            </w:pPr>
          </w:p>
          <w:p w14:paraId="3E1BB8A3">
            <w:pPr>
              <w:widowControl w:val="0"/>
              <w:wordWrap w:val="0"/>
              <w:spacing w:line="400" w:lineRule="exact"/>
              <w:jc w:val="center"/>
              <w:rPr>
                <w:rFonts w:ascii="Times New Roman" w:hAnsi="Times New Roman" w:cs="Times New Roman"/>
                <w:color w:val="auto"/>
                <w:highlight w:val="none"/>
                <w:lang w:eastAsia="zh-CN"/>
              </w:rPr>
            </w:pPr>
          </w:p>
          <w:p w14:paraId="48870D72">
            <w:pPr>
              <w:widowControl w:val="0"/>
              <w:wordWrap w:val="0"/>
              <w:spacing w:line="400" w:lineRule="exact"/>
              <w:jc w:val="center"/>
              <w:rPr>
                <w:rFonts w:ascii="Times New Roman" w:hAnsi="Times New Roman" w:cs="Times New Roman"/>
                <w:color w:val="auto"/>
                <w:highlight w:val="none"/>
                <w:lang w:eastAsia="zh-CN"/>
              </w:rPr>
            </w:pPr>
          </w:p>
          <w:p w14:paraId="001BAC27">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7</w:t>
            </w:r>
          </w:p>
        </w:tc>
        <w:tc>
          <w:tcPr>
            <w:tcW w:w="723" w:type="dxa"/>
          </w:tcPr>
          <w:p w14:paraId="40A8108F">
            <w:pPr>
              <w:widowControl w:val="0"/>
              <w:wordWrap w:val="0"/>
              <w:spacing w:line="400" w:lineRule="exact"/>
              <w:jc w:val="center"/>
              <w:rPr>
                <w:rFonts w:ascii="Times New Roman" w:hAnsi="Times New Roman" w:cs="Times New Roman"/>
                <w:color w:val="auto"/>
                <w:highlight w:val="none"/>
              </w:rPr>
            </w:pPr>
          </w:p>
          <w:p w14:paraId="0A90273B">
            <w:pPr>
              <w:widowControl w:val="0"/>
              <w:wordWrap w:val="0"/>
              <w:spacing w:line="400" w:lineRule="exact"/>
              <w:jc w:val="center"/>
              <w:rPr>
                <w:rFonts w:ascii="Times New Roman" w:hAnsi="Times New Roman" w:cs="Times New Roman"/>
                <w:color w:val="auto"/>
                <w:highlight w:val="none"/>
              </w:rPr>
            </w:pPr>
          </w:p>
          <w:p w14:paraId="573DA5CC">
            <w:pPr>
              <w:widowControl w:val="0"/>
              <w:wordWrap w:val="0"/>
              <w:spacing w:line="400" w:lineRule="exact"/>
              <w:jc w:val="center"/>
              <w:rPr>
                <w:rFonts w:ascii="Times New Roman" w:hAnsi="Times New Roman" w:cs="Times New Roman"/>
                <w:color w:val="auto"/>
                <w:highlight w:val="none"/>
              </w:rPr>
            </w:pPr>
          </w:p>
          <w:p w14:paraId="730E791E">
            <w:pPr>
              <w:widowControl w:val="0"/>
              <w:wordWrap w:val="0"/>
              <w:spacing w:line="400" w:lineRule="exact"/>
              <w:jc w:val="center"/>
              <w:rPr>
                <w:rFonts w:ascii="Times New Roman" w:hAnsi="Times New Roman" w:cs="Times New Roman"/>
                <w:color w:val="auto"/>
                <w:highlight w:val="none"/>
              </w:rPr>
            </w:pPr>
          </w:p>
          <w:p w14:paraId="0D497753">
            <w:pPr>
              <w:widowControl w:val="0"/>
              <w:wordWrap w:val="0"/>
              <w:spacing w:line="400" w:lineRule="exact"/>
              <w:jc w:val="center"/>
              <w:rPr>
                <w:rFonts w:ascii="Times New Roman" w:hAnsi="Times New Roman" w:cs="Times New Roman"/>
                <w:color w:val="auto"/>
                <w:highlight w:val="none"/>
              </w:rPr>
            </w:pPr>
          </w:p>
          <w:p w14:paraId="567375B4">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15.6</w:t>
            </w:r>
          </w:p>
        </w:tc>
        <w:tc>
          <w:tcPr>
            <w:tcW w:w="1582" w:type="dxa"/>
          </w:tcPr>
          <w:p w14:paraId="26777054">
            <w:pPr>
              <w:widowControl w:val="0"/>
              <w:wordWrap w:val="0"/>
              <w:spacing w:line="400" w:lineRule="exact"/>
              <w:jc w:val="center"/>
              <w:rPr>
                <w:rFonts w:ascii="Times New Roman" w:hAnsi="Times New Roman" w:cs="Times New Roman"/>
                <w:color w:val="auto"/>
                <w:highlight w:val="none"/>
              </w:rPr>
            </w:pPr>
          </w:p>
          <w:p w14:paraId="4F1D1C9C">
            <w:pPr>
              <w:widowControl w:val="0"/>
              <w:wordWrap w:val="0"/>
              <w:spacing w:line="400" w:lineRule="exact"/>
              <w:jc w:val="center"/>
              <w:rPr>
                <w:rFonts w:ascii="Times New Roman" w:hAnsi="Times New Roman" w:cs="Times New Roman"/>
                <w:color w:val="auto"/>
                <w:highlight w:val="none"/>
              </w:rPr>
            </w:pPr>
          </w:p>
          <w:p w14:paraId="2ADF5B33">
            <w:pPr>
              <w:widowControl w:val="0"/>
              <w:wordWrap w:val="0"/>
              <w:spacing w:line="400" w:lineRule="exact"/>
              <w:jc w:val="center"/>
              <w:rPr>
                <w:rFonts w:ascii="Times New Roman" w:hAnsi="Times New Roman" w:cs="Times New Roman"/>
                <w:color w:val="auto"/>
                <w:highlight w:val="none"/>
              </w:rPr>
            </w:pPr>
          </w:p>
          <w:p w14:paraId="55BA74CA">
            <w:pPr>
              <w:widowControl w:val="0"/>
              <w:wordWrap w:val="0"/>
              <w:spacing w:line="400" w:lineRule="exact"/>
              <w:jc w:val="center"/>
              <w:rPr>
                <w:rFonts w:ascii="Times New Roman" w:hAnsi="Times New Roman" w:cs="Times New Roman"/>
                <w:color w:val="auto"/>
                <w:highlight w:val="none"/>
              </w:rPr>
            </w:pPr>
          </w:p>
          <w:p w14:paraId="6D1F4B3D">
            <w:pPr>
              <w:widowControl w:val="0"/>
              <w:wordWrap w:val="0"/>
              <w:spacing w:line="400" w:lineRule="exact"/>
              <w:jc w:val="center"/>
              <w:rPr>
                <w:rFonts w:ascii="Times New Roman" w:hAnsi="Times New Roman" w:cs="Times New Roman"/>
                <w:color w:val="auto"/>
                <w:highlight w:val="none"/>
              </w:rPr>
            </w:pPr>
          </w:p>
          <w:p w14:paraId="6496458A">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供应商公章及签字</w:t>
            </w:r>
          </w:p>
        </w:tc>
        <w:tc>
          <w:tcPr>
            <w:tcW w:w="7309" w:type="dxa"/>
          </w:tcPr>
          <w:p w14:paraId="73F6AC00">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15.6.1 本竞争性谈判文件中描述供应商的“公章 ”是指供应商通过指定电子化政府采购平台办理数字证书（CA 认证证书）获得的以法定主体行为名称制作的电子印章。</w:t>
            </w:r>
          </w:p>
          <w:p w14:paraId="59317947">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15.6.2 本竞争性谈判文件中要求供应商对其电子响应文件的相关内容加盖公章的，均指采用CA 证书签章。</w:t>
            </w:r>
          </w:p>
          <w:p w14:paraId="5A068D9B">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15.6.3 本谈判文件中描述供应商的“签字 ”是指供应商通过指定电子化政府采购平台办理数字证书（CA 认证证书）获得的以供应商法定表人（自负责人、 自然人）或者委托代理人姓名制作的个人电子印章或手写签字。没有办理个人 CA 证书的，可以为手写签字的形式。</w:t>
            </w:r>
          </w:p>
        </w:tc>
      </w:tr>
      <w:tr w14:paraId="58A5C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4" w:hRule="atLeast"/>
        </w:trPr>
        <w:tc>
          <w:tcPr>
            <w:tcW w:w="641" w:type="dxa"/>
          </w:tcPr>
          <w:p w14:paraId="0B6910B6">
            <w:pPr>
              <w:widowControl w:val="0"/>
              <w:wordWrap w:val="0"/>
              <w:spacing w:line="400" w:lineRule="exact"/>
              <w:jc w:val="center"/>
              <w:rPr>
                <w:rFonts w:ascii="Times New Roman" w:hAnsi="Times New Roman" w:cs="Times New Roman"/>
                <w:color w:val="auto"/>
                <w:highlight w:val="none"/>
                <w:lang w:eastAsia="zh-CN"/>
              </w:rPr>
            </w:pPr>
          </w:p>
          <w:p w14:paraId="58B2D1C2">
            <w:pPr>
              <w:widowControl w:val="0"/>
              <w:wordWrap w:val="0"/>
              <w:spacing w:line="400" w:lineRule="exact"/>
              <w:jc w:val="center"/>
              <w:rPr>
                <w:rFonts w:ascii="Times New Roman" w:hAnsi="Times New Roman" w:cs="Times New Roman"/>
                <w:color w:val="auto"/>
                <w:highlight w:val="none"/>
                <w:lang w:eastAsia="zh-CN"/>
              </w:rPr>
            </w:pPr>
          </w:p>
          <w:p w14:paraId="5F25EFCB">
            <w:pPr>
              <w:widowControl w:val="0"/>
              <w:wordWrap w:val="0"/>
              <w:spacing w:line="400" w:lineRule="exact"/>
              <w:jc w:val="center"/>
              <w:rPr>
                <w:rFonts w:ascii="Times New Roman" w:hAnsi="Times New Roman" w:cs="Times New Roman"/>
                <w:color w:val="auto"/>
                <w:highlight w:val="none"/>
                <w:lang w:eastAsia="zh-CN"/>
              </w:rPr>
            </w:pPr>
          </w:p>
          <w:p w14:paraId="4D6D234D">
            <w:pPr>
              <w:widowControl w:val="0"/>
              <w:wordWrap w:val="0"/>
              <w:spacing w:line="400" w:lineRule="exact"/>
              <w:jc w:val="center"/>
              <w:rPr>
                <w:rFonts w:ascii="Times New Roman" w:hAnsi="Times New Roman" w:cs="Times New Roman"/>
                <w:color w:val="auto"/>
                <w:highlight w:val="none"/>
                <w:lang w:eastAsia="zh-CN"/>
              </w:rPr>
            </w:pPr>
          </w:p>
          <w:p w14:paraId="6EF011AB">
            <w:pPr>
              <w:widowControl w:val="0"/>
              <w:wordWrap w:val="0"/>
              <w:spacing w:line="400" w:lineRule="exact"/>
              <w:jc w:val="center"/>
              <w:rPr>
                <w:rFonts w:ascii="Times New Roman" w:hAnsi="Times New Roman" w:cs="Times New Roman"/>
                <w:color w:val="auto"/>
                <w:highlight w:val="none"/>
                <w:lang w:eastAsia="zh-CN"/>
              </w:rPr>
            </w:pPr>
          </w:p>
          <w:p w14:paraId="0AE2BF04">
            <w:pPr>
              <w:widowControl w:val="0"/>
              <w:wordWrap w:val="0"/>
              <w:spacing w:line="400" w:lineRule="exact"/>
              <w:jc w:val="center"/>
              <w:rPr>
                <w:rFonts w:ascii="Times New Roman" w:hAnsi="Times New Roman" w:cs="Times New Roman"/>
                <w:color w:val="auto"/>
                <w:highlight w:val="none"/>
                <w:lang w:eastAsia="zh-CN"/>
              </w:rPr>
            </w:pPr>
          </w:p>
          <w:p w14:paraId="37C6B387">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8</w:t>
            </w:r>
          </w:p>
        </w:tc>
        <w:tc>
          <w:tcPr>
            <w:tcW w:w="723" w:type="dxa"/>
          </w:tcPr>
          <w:p w14:paraId="5CE208EC">
            <w:pPr>
              <w:widowControl w:val="0"/>
              <w:wordWrap w:val="0"/>
              <w:spacing w:line="400" w:lineRule="exact"/>
              <w:jc w:val="center"/>
              <w:rPr>
                <w:rFonts w:ascii="Times New Roman" w:hAnsi="Times New Roman" w:cs="Times New Roman"/>
                <w:color w:val="auto"/>
                <w:highlight w:val="none"/>
              </w:rPr>
            </w:pPr>
          </w:p>
          <w:p w14:paraId="667D3F7E">
            <w:pPr>
              <w:widowControl w:val="0"/>
              <w:wordWrap w:val="0"/>
              <w:spacing w:line="400" w:lineRule="exact"/>
              <w:jc w:val="center"/>
              <w:rPr>
                <w:rFonts w:ascii="Times New Roman" w:hAnsi="Times New Roman" w:cs="Times New Roman"/>
                <w:color w:val="auto"/>
                <w:highlight w:val="none"/>
              </w:rPr>
            </w:pPr>
          </w:p>
          <w:p w14:paraId="6DF9A4FB">
            <w:pPr>
              <w:widowControl w:val="0"/>
              <w:wordWrap w:val="0"/>
              <w:spacing w:line="400" w:lineRule="exact"/>
              <w:jc w:val="center"/>
              <w:rPr>
                <w:rFonts w:ascii="Times New Roman" w:hAnsi="Times New Roman" w:cs="Times New Roman"/>
                <w:color w:val="auto"/>
                <w:highlight w:val="none"/>
              </w:rPr>
            </w:pPr>
          </w:p>
          <w:p w14:paraId="1D3B13B7">
            <w:pPr>
              <w:widowControl w:val="0"/>
              <w:wordWrap w:val="0"/>
              <w:spacing w:line="400" w:lineRule="exact"/>
              <w:jc w:val="center"/>
              <w:rPr>
                <w:rFonts w:ascii="Times New Roman" w:hAnsi="Times New Roman" w:cs="Times New Roman"/>
                <w:color w:val="auto"/>
                <w:highlight w:val="none"/>
              </w:rPr>
            </w:pPr>
          </w:p>
          <w:p w14:paraId="7E7027EC">
            <w:pPr>
              <w:widowControl w:val="0"/>
              <w:wordWrap w:val="0"/>
              <w:spacing w:line="400" w:lineRule="exact"/>
              <w:jc w:val="center"/>
              <w:rPr>
                <w:rFonts w:ascii="Times New Roman" w:hAnsi="Times New Roman" w:cs="Times New Roman"/>
                <w:color w:val="auto"/>
                <w:highlight w:val="none"/>
              </w:rPr>
            </w:pPr>
          </w:p>
          <w:p w14:paraId="2FB87DC6">
            <w:pPr>
              <w:widowControl w:val="0"/>
              <w:wordWrap w:val="0"/>
              <w:spacing w:line="400" w:lineRule="exact"/>
              <w:jc w:val="center"/>
              <w:rPr>
                <w:rFonts w:ascii="Times New Roman" w:hAnsi="Times New Roman" w:cs="Times New Roman"/>
                <w:color w:val="auto"/>
                <w:highlight w:val="none"/>
              </w:rPr>
            </w:pPr>
          </w:p>
          <w:p w14:paraId="53BDE447">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16</w:t>
            </w:r>
          </w:p>
        </w:tc>
        <w:tc>
          <w:tcPr>
            <w:tcW w:w="1582" w:type="dxa"/>
            <w:vAlign w:val="center"/>
          </w:tcPr>
          <w:p w14:paraId="36EB5F58">
            <w:pPr>
              <w:widowControl w:val="0"/>
              <w:wordWrap w:val="0"/>
              <w:spacing w:line="400" w:lineRule="exact"/>
              <w:jc w:val="center"/>
              <w:rPr>
                <w:rFonts w:ascii="Times New Roman" w:hAnsi="Times New Roman" w:cs="Times New Roman"/>
                <w:color w:val="auto"/>
                <w:highlight w:val="none"/>
                <w:lang w:eastAsia="zh-CN"/>
              </w:rPr>
            </w:pPr>
          </w:p>
          <w:p w14:paraId="3826BD13">
            <w:pPr>
              <w:pStyle w:val="32"/>
              <w:widowControl w:val="0"/>
              <w:wordWrap w:val="0"/>
              <w:spacing w:line="400" w:lineRule="exact"/>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首次响应文件的提交、撤回、修改</w:t>
            </w:r>
          </w:p>
        </w:tc>
        <w:tc>
          <w:tcPr>
            <w:tcW w:w="7309" w:type="dxa"/>
          </w:tcPr>
          <w:p w14:paraId="41304E68">
            <w:pPr>
              <w:pStyle w:val="32"/>
              <w:widowControl w:val="0"/>
              <w:wordWrap w:val="0"/>
              <w:spacing w:line="38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16.1 响应文件的提交截止时间：</w:t>
            </w:r>
            <w:r>
              <w:rPr>
                <w:rFonts w:hint="eastAsia" w:ascii="Times New Roman" w:hAnsi="Times New Roman" w:cs="Times New Roman"/>
                <w:color w:val="auto"/>
                <w:sz w:val="21"/>
                <w:szCs w:val="21"/>
                <w:highlight w:val="none"/>
                <w:lang w:eastAsia="zh-CN"/>
              </w:rPr>
              <w:t>2026年8月25日</w:t>
            </w:r>
            <w:r>
              <w:rPr>
                <w:rFonts w:ascii="Times New Roman" w:hAnsi="Times New Roman" w:cs="Times New Roman"/>
                <w:color w:val="auto"/>
                <w:sz w:val="21"/>
                <w:szCs w:val="21"/>
                <w:highlight w:val="none"/>
                <w:lang w:eastAsia="zh-CN"/>
              </w:rPr>
              <w:t>上午</w:t>
            </w:r>
            <w:r>
              <w:rPr>
                <w:rFonts w:hint="eastAsia" w:ascii="Times New Roman" w:hAnsi="Times New Roman" w:cs="Times New Roman"/>
                <w:color w:val="auto"/>
                <w:sz w:val="21"/>
                <w:szCs w:val="21"/>
                <w:highlight w:val="none"/>
                <w:lang w:eastAsia="zh-CN"/>
              </w:rPr>
              <w:t>9时30分</w:t>
            </w:r>
            <w:r>
              <w:rPr>
                <w:rFonts w:ascii="Times New Roman" w:hAnsi="Times New Roman" w:cs="Times New Roman"/>
                <w:color w:val="auto"/>
                <w:sz w:val="21"/>
                <w:szCs w:val="21"/>
                <w:highlight w:val="none"/>
                <w:lang w:eastAsia="zh-CN"/>
              </w:rPr>
              <w:t>（北京时间）</w:t>
            </w:r>
          </w:p>
          <w:p w14:paraId="753CB0B6">
            <w:pPr>
              <w:pStyle w:val="32"/>
              <w:widowControl w:val="0"/>
              <w:wordWrap w:val="0"/>
              <w:spacing w:line="38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16.2 地点：通过广西政府采购云平台在线提交。</w:t>
            </w:r>
          </w:p>
          <w:p w14:paraId="34543A84">
            <w:pPr>
              <w:pStyle w:val="32"/>
              <w:widowControl w:val="0"/>
              <w:wordWrap w:val="0"/>
              <w:spacing w:line="38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16.3 供应商应当在响应文件提交截止时间前，将生成的电子响应文件上传提交至广西政府采购云平台。响应文件提交截止时间前可以补充、修改或撤回电子响应文件，补充、修改电子响应文件的，应当先行撤 回原文件，补充、修改后重新传输提交。在响应文件提交截止时间后的响应文件有效期内，供应商不得撤回其响应文件。响应文件提交截止时间前未成功将电子响应文件上传广西政府采购云平台的，视为未提交响应文件。</w:t>
            </w:r>
          </w:p>
          <w:p w14:paraId="1E55B24C">
            <w:pPr>
              <w:pStyle w:val="32"/>
              <w:widowControl w:val="0"/>
              <w:wordWrap w:val="0"/>
              <w:spacing w:line="38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16.4 除竞争性谈判文件另有规定外，供应商所提交的响应文件不予退还</w:t>
            </w:r>
            <w:r>
              <w:rPr>
                <w:rFonts w:hint="eastAsia" w:ascii="Times New Roman" w:hAnsi="Times New Roman" w:cs="Times New Roman"/>
                <w:color w:val="auto"/>
                <w:sz w:val="21"/>
                <w:szCs w:val="21"/>
                <w:highlight w:val="none"/>
                <w:lang w:eastAsia="zh-CN"/>
              </w:rPr>
              <w:t>。</w:t>
            </w:r>
          </w:p>
        </w:tc>
      </w:tr>
      <w:tr w14:paraId="61ADB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641" w:type="dxa"/>
          </w:tcPr>
          <w:p w14:paraId="6AD05072">
            <w:pPr>
              <w:widowControl w:val="0"/>
              <w:wordWrap w:val="0"/>
              <w:spacing w:line="400" w:lineRule="exact"/>
              <w:jc w:val="center"/>
              <w:rPr>
                <w:rFonts w:ascii="Times New Roman" w:hAnsi="Times New Roman" w:cs="Times New Roman"/>
                <w:color w:val="auto"/>
                <w:highlight w:val="none"/>
                <w:lang w:eastAsia="zh-CN"/>
              </w:rPr>
            </w:pPr>
          </w:p>
          <w:p w14:paraId="54AB1282">
            <w:pPr>
              <w:widowControl w:val="0"/>
              <w:wordWrap w:val="0"/>
              <w:spacing w:line="400" w:lineRule="exact"/>
              <w:jc w:val="center"/>
              <w:rPr>
                <w:rFonts w:ascii="Times New Roman" w:hAnsi="Times New Roman" w:cs="Times New Roman"/>
                <w:color w:val="auto"/>
                <w:highlight w:val="none"/>
                <w:lang w:eastAsia="zh-CN"/>
              </w:rPr>
            </w:pPr>
          </w:p>
          <w:p w14:paraId="41F1F10C">
            <w:pPr>
              <w:widowControl w:val="0"/>
              <w:wordWrap w:val="0"/>
              <w:spacing w:line="400" w:lineRule="exact"/>
              <w:jc w:val="center"/>
              <w:rPr>
                <w:rFonts w:ascii="Times New Roman" w:hAnsi="Times New Roman" w:cs="Times New Roman"/>
                <w:color w:val="auto"/>
                <w:highlight w:val="none"/>
                <w:lang w:eastAsia="zh-CN"/>
              </w:rPr>
            </w:pPr>
          </w:p>
          <w:p w14:paraId="79B941CE">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9</w:t>
            </w:r>
          </w:p>
        </w:tc>
        <w:tc>
          <w:tcPr>
            <w:tcW w:w="723" w:type="dxa"/>
          </w:tcPr>
          <w:p w14:paraId="531E83FB">
            <w:pPr>
              <w:widowControl w:val="0"/>
              <w:wordWrap w:val="0"/>
              <w:spacing w:line="400" w:lineRule="exact"/>
              <w:jc w:val="center"/>
              <w:rPr>
                <w:rFonts w:ascii="Times New Roman" w:hAnsi="Times New Roman" w:cs="Times New Roman"/>
                <w:color w:val="auto"/>
                <w:highlight w:val="none"/>
              </w:rPr>
            </w:pPr>
          </w:p>
          <w:p w14:paraId="54BA0FAC">
            <w:pPr>
              <w:widowControl w:val="0"/>
              <w:wordWrap w:val="0"/>
              <w:spacing w:line="400" w:lineRule="exact"/>
              <w:jc w:val="center"/>
              <w:rPr>
                <w:rFonts w:ascii="Times New Roman" w:hAnsi="Times New Roman" w:cs="Times New Roman"/>
                <w:color w:val="auto"/>
                <w:highlight w:val="none"/>
              </w:rPr>
            </w:pPr>
          </w:p>
          <w:p w14:paraId="00F80B03">
            <w:pPr>
              <w:widowControl w:val="0"/>
              <w:wordWrap w:val="0"/>
              <w:spacing w:line="400" w:lineRule="exact"/>
              <w:jc w:val="center"/>
              <w:rPr>
                <w:rFonts w:ascii="Times New Roman" w:hAnsi="Times New Roman" w:cs="Times New Roman"/>
                <w:color w:val="auto"/>
                <w:highlight w:val="none"/>
              </w:rPr>
            </w:pPr>
          </w:p>
          <w:p w14:paraId="46CB172E">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17</w:t>
            </w:r>
          </w:p>
        </w:tc>
        <w:tc>
          <w:tcPr>
            <w:tcW w:w="1582" w:type="dxa"/>
          </w:tcPr>
          <w:p w14:paraId="7845162D">
            <w:pPr>
              <w:widowControl w:val="0"/>
              <w:wordWrap w:val="0"/>
              <w:spacing w:line="400" w:lineRule="exact"/>
              <w:jc w:val="center"/>
              <w:rPr>
                <w:rFonts w:ascii="Times New Roman" w:hAnsi="Times New Roman" w:cs="Times New Roman"/>
                <w:color w:val="auto"/>
                <w:highlight w:val="none"/>
              </w:rPr>
            </w:pPr>
          </w:p>
          <w:p w14:paraId="0D70B92E">
            <w:pPr>
              <w:widowControl w:val="0"/>
              <w:wordWrap w:val="0"/>
              <w:spacing w:line="400" w:lineRule="exact"/>
              <w:jc w:val="center"/>
              <w:rPr>
                <w:rFonts w:ascii="Times New Roman" w:hAnsi="Times New Roman" w:cs="Times New Roman"/>
                <w:color w:val="auto"/>
                <w:highlight w:val="none"/>
              </w:rPr>
            </w:pPr>
          </w:p>
          <w:p w14:paraId="387CE4DD">
            <w:pPr>
              <w:pStyle w:val="32"/>
              <w:widowControl w:val="0"/>
              <w:wordWrap w:val="0"/>
              <w:spacing w:line="400" w:lineRule="exact"/>
              <w:jc w:val="center"/>
              <w:rPr>
                <w:rFonts w:ascii="Times New Roman" w:hAnsi="Times New Roman" w:cs="Times New Roman"/>
                <w:color w:val="auto"/>
                <w:sz w:val="21"/>
                <w:szCs w:val="21"/>
                <w:highlight w:val="none"/>
              </w:rPr>
            </w:pPr>
          </w:p>
          <w:p w14:paraId="2A64D33E">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响应文件的解密</w:t>
            </w:r>
          </w:p>
        </w:tc>
        <w:tc>
          <w:tcPr>
            <w:tcW w:w="7309" w:type="dxa"/>
          </w:tcPr>
          <w:p w14:paraId="7908CD02">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响应文件提交截止时间后，采购代理机构开启解密响应文件操作，广西政府采购云平台向各供应商发出电子加密响应文件解密通知，由供应商在系统发出解密通知后 30 分钟内自行使用加密时的CA 通过“项 目采购-开标评标 ”功能对响应文件进行解密。若供应商在上述规定的 时间内无法解密或解密失败的，可以在响应文件解密截止时间后 30 分钟内向采购代理机构现场提交电子备份响应文件【现场提交电子响应文件地址：桂林市公共资源交易中心政采开标仓（广西桂林市临桂区西城中路69号创业大厦西辅楼4楼）】，或以电子邮件的形式提交电子备份响应文件（以通知时所告知的电子邮箱地址为准）；供应商未在上述规定的时间、地点（电子邮箱）提交的电子备份响应文件，采购代理机构不予接收或承认。采购代理机构收到电子备份响应文件后按“政府采购云平台 ”操作规范上传至“政府采购云平台 ”， 电子备份响应文件上传成功后，供应商原上传的“ 电子加密响应文件 ” 自动失效。若供应商在规定时间内无法解密或解密失败且未在规定的时 间内提供电子备份响应文件的（包含提供的电子备份响应文件无效或无法解密的情况），视为供应商放弃谈判。</w:t>
            </w:r>
          </w:p>
        </w:tc>
      </w:tr>
      <w:tr w14:paraId="7B14B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9" w:hRule="atLeast"/>
        </w:trPr>
        <w:tc>
          <w:tcPr>
            <w:tcW w:w="641" w:type="dxa"/>
          </w:tcPr>
          <w:p w14:paraId="614FFB7C">
            <w:pPr>
              <w:widowControl w:val="0"/>
              <w:wordWrap w:val="0"/>
              <w:spacing w:line="400" w:lineRule="exact"/>
              <w:jc w:val="center"/>
              <w:rPr>
                <w:rFonts w:ascii="Times New Roman" w:hAnsi="Times New Roman" w:cs="Times New Roman"/>
                <w:color w:val="auto"/>
                <w:highlight w:val="none"/>
                <w:lang w:eastAsia="zh-CN"/>
              </w:rPr>
            </w:pPr>
          </w:p>
          <w:p w14:paraId="546FC0E0">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10</w:t>
            </w:r>
          </w:p>
        </w:tc>
        <w:tc>
          <w:tcPr>
            <w:tcW w:w="723" w:type="dxa"/>
          </w:tcPr>
          <w:p w14:paraId="5E4742BD">
            <w:pPr>
              <w:widowControl w:val="0"/>
              <w:wordWrap w:val="0"/>
              <w:spacing w:line="400" w:lineRule="exact"/>
              <w:jc w:val="center"/>
              <w:rPr>
                <w:rFonts w:ascii="Times New Roman" w:hAnsi="Times New Roman" w:cs="Times New Roman"/>
                <w:color w:val="auto"/>
                <w:highlight w:val="none"/>
              </w:rPr>
            </w:pPr>
          </w:p>
          <w:p w14:paraId="6ED8460B">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18.1</w:t>
            </w:r>
          </w:p>
        </w:tc>
        <w:tc>
          <w:tcPr>
            <w:tcW w:w="1582" w:type="dxa"/>
          </w:tcPr>
          <w:p w14:paraId="7A03F7B9">
            <w:pPr>
              <w:widowControl w:val="0"/>
              <w:wordWrap w:val="0"/>
              <w:spacing w:line="400" w:lineRule="exact"/>
              <w:jc w:val="center"/>
              <w:rPr>
                <w:rFonts w:ascii="Times New Roman" w:hAnsi="Times New Roman" w:cs="Times New Roman"/>
                <w:color w:val="auto"/>
                <w:highlight w:val="none"/>
              </w:rPr>
            </w:pPr>
          </w:p>
          <w:p w14:paraId="05436B6C">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谈判小组组成</w:t>
            </w:r>
          </w:p>
        </w:tc>
        <w:tc>
          <w:tcPr>
            <w:tcW w:w="7309" w:type="dxa"/>
          </w:tcPr>
          <w:p w14:paraId="067CC16A">
            <w:pPr>
              <w:pStyle w:val="32"/>
              <w:widowControl w:val="0"/>
              <w:wordWrap w:val="0"/>
              <w:spacing w:line="400" w:lineRule="exact"/>
              <w:ind w:firstLine="420" w:firstLineChars="200"/>
              <w:jc w:val="both"/>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谈判及评审组织工作由采购代理机构负责，具体谈判、评审工作由依法组建的谈判小组负责，本项目的谈判小组由有关方面的评审专家组成，谈判小组的构成：3 人。</w:t>
            </w:r>
          </w:p>
        </w:tc>
      </w:tr>
      <w:tr w14:paraId="28D9A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9" w:hRule="atLeast"/>
        </w:trPr>
        <w:tc>
          <w:tcPr>
            <w:tcW w:w="641" w:type="dxa"/>
          </w:tcPr>
          <w:p w14:paraId="647C5B35">
            <w:pPr>
              <w:widowControl w:val="0"/>
              <w:wordWrap w:val="0"/>
              <w:spacing w:line="400" w:lineRule="exact"/>
              <w:jc w:val="center"/>
              <w:rPr>
                <w:rFonts w:ascii="Times New Roman" w:hAnsi="Times New Roman" w:cs="Times New Roman"/>
                <w:color w:val="auto"/>
                <w:highlight w:val="none"/>
                <w:lang w:eastAsia="zh-CN"/>
              </w:rPr>
            </w:pPr>
          </w:p>
          <w:p w14:paraId="11C3F36C">
            <w:pPr>
              <w:widowControl w:val="0"/>
              <w:wordWrap w:val="0"/>
              <w:spacing w:line="400" w:lineRule="exact"/>
              <w:jc w:val="center"/>
              <w:rPr>
                <w:rFonts w:ascii="Times New Roman" w:hAnsi="Times New Roman" w:cs="Times New Roman"/>
                <w:color w:val="auto"/>
                <w:highlight w:val="none"/>
                <w:lang w:eastAsia="zh-CN"/>
              </w:rPr>
            </w:pPr>
          </w:p>
          <w:p w14:paraId="255E30AE">
            <w:pPr>
              <w:widowControl w:val="0"/>
              <w:wordWrap w:val="0"/>
              <w:spacing w:line="400" w:lineRule="exact"/>
              <w:jc w:val="center"/>
              <w:rPr>
                <w:rFonts w:ascii="Times New Roman" w:hAnsi="Times New Roman" w:cs="Times New Roman"/>
                <w:color w:val="auto"/>
                <w:highlight w:val="none"/>
                <w:lang w:eastAsia="zh-CN"/>
              </w:rPr>
            </w:pPr>
          </w:p>
          <w:p w14:paraId="297E50C3">
            <w:pPr>
              <w:widowControl w:val="0"/>
              <w:wordWrap w:val="0"/>
              <w:spacing w:line="400" w:lineRule="exact"/>
              <w:jc w:val="center"/>
              <w:rPr>
                <w:rFonts w:ascii="Times New Roman" w:hAnsi="Times New Roman" w:cs="Times New Roman"/>
                <w:color w:val="auto"/>
                <w:highlight w:val="none"/>
                <w:lang w:eastAsia="zh-CN"/>
              </w:rPr>
            </w:pPr>
          </w:p>
          <w:p w14:paraId="6DED229A">
            <w:pPr>
              <w:widowControl w:val="0"/>
              <w:wordWrap w:val="0"/>
              <w:spacing w:line="400" w:lineRule="exact"/>
              <w:jc w:val="center"/>
              <w:rPr>
                <w:rFonts w:ascii="Times New Roman" w:hAnsi="Times New Roman" w:cs="Times New Roman"/>
                <w:color w:val="auto"/>
                <w:highlight w:val="none"/>
                <w:lang w:eastAsia="zh-CN"/>
              </w:rPr>
            </w:pPr>
          </w:p>
          <w:p w14:paraId="3D555F03">
            <w:pPr>
              <w:widowControl w:val="0"/>
              <w:wordWrap w:val="0"/>
              <w:spacing w:line="400" w:lineRule="exact"/>
              <w:jc w:val="center"/>
              <w:rPr>
                <w:rFonts w:ascii="Times New Roman" w:hAnsi="Times New Roman" w:cs="Times New Roman"/>
                <w:color w:val="auto"/>
                <w:highlight w:val="none"/>
                <w:lang w:eastAsia="zh-CN"/>
              </w:rPr>
            </w:pPr>
          </w:p>
          <w:p w14:paraId="0F2AD3AE">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11</w:t>
            </w:r>
          </w:p>
        </w:tc>
        <w:tc>
          <w:tcPr>
            <w:tcW w:w="723" w:type="dxa"/>
          </w:tcPr>
          <w:p w14:paraId="790768AA">
            <w:pPr>
              <w:widowControl w:val="0"/>
              <w:wordWrap w:val="0"/>
              <w:spacing w:line="400" w:lineRule="exact"/>
              <w:jc w:val="center"/>
              <w:rPr>
                <w:rFonts w:ascii="Times New Roman" w:hAnsi="Times New Roman" w:cs="Times New Roman"/>
                <w:color w:val="auto"/>
                <w:highlight w:val="none"/>
              </w:rPr>
            </w:pPr>
          </w:p>
          <w:p w14:paraId="2C473347">
            <w:pPr>
              <w:widowControl w:val="0"/>
              <w:wordWrap w:val="0"/>
              <w:spacing w:line="400" w:lineRule="exact"/>
              <w:jc w:val="center"/>
              <w:rPr>
                <w:rFonts w:ascii="Times New Roman" w:hAnsi="Times New Roman" w:cs="Times New Roman"/>
                <w:color w:val="auto"/>
                <w:highlight w:val="none"/>
              </w:rPr>
            </w:pPr>
          </w:p>
          <w:p w14:paraId="4286E576">
            <w:pPr>
              <w:widowControl w:val="0"/>
              <w:wordWrap w:val="0"/>
              <w:spacing w:line="400" w:lineRule="exact"/>
              <w:jc w:val="center"/>
              <w:rPr>
                <w:rFonts w:ascii="Times New Roman" w:hAnsi="Times New Roman" w:cs="Times New Roman"/>
                <w:color w:val="auto"/>
                <w:highlight w:val="none"/>
              </w:rPr>
            </w:pPr>
          </w:p>
          <w:p w14:paraId="4C1DC253">
            <w:pPr>
              <w:widowControl w:val="0"/>
              <w:wordWrap w:val="0"/>
              <w:spacing w:line="400" w:lineRule="exact"/>
              <w:jc w:val="center"/>
              <w:rPr>
                <w:rFonts w:ascii="Times New Roman" w:hAnsi="Times New Roman" w:cs="Times New Roman"/>
                <w:color w:val="auto"/>
                <w:highlight w:val="none"/>
              </w:rPr>
            </w:pPr>
          </w:p>
          <w:p w14:paraId="2CB4B78E">
            <w:pPr>
              <w:widowControl w:val="0"/>
              <w:wordWrap w:val="0"/>
              <w:spacing w:line="400" w:lineRule="exact"/>
              <w:jc w:val="center"/>
              <w:rPr>
                <w:rFonts w:ascii="Times New Roman" w:hAnsi="Times New Roman" w:cs="Times New Roman"/>
                <w:color w:val="auto"/>
                <w:highlight w:val="none"/>
              </w:rPr>
            </w:pPr>
          </w:p>
          <w:p w14:paraId="2BF28E6A">
            <w:pPr>
              <w:widowControl w:val="0"/>
              <w:wordWrap w:val="0"/>
              <w:spacing w:line="400" w:lineRule="exact"/>
              <w:jc w:val="center"/>
              <w:rPr>
                <w:rFonts w:ascii="Times New Roman" w:hAnsi="Times New Roman" w:cs="Times New Roman"/>
                <w:color w:val="auto"/>
                <w:highlight w:val="none"/>
              </w:rPr>
            </w:pPr>
          </w:p>
          <w:p w14:paraId="134E4B75">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18.2</w:t>
            </w:r>
          </w:p>
        </w:tc>
        <w:tc>
          <w:tcPr>
            <w:tcW w:w="1582" w:type="dxa"/>
            <w:vAlign w:val="center"/>
          </w:tcPr>
          <w:p w14:paraId="0EA440C9">
            <w:pPr>
              <w:pStyle w:val="32"/>
              <w:widowControl w:val="0"/>
              <w:wordWrap w:val="0"/>
              <w:spacing w:line="400" w:lineRule="exact"/>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谈判时间、地点、人员</w:t>
            </w:r>
          </w:p>
        </w:tc>
        <w:tc>
          <w:tcPr>
            <w:tcW w:w="7309" w:type="dxa"/>
          </w:tcPr>
          <w:p w14:paraId="4E5610FF">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18.2.1 谈判时间：首次响应文件提交截止时间后。</w:t>
            </w:r>
          </w:p>
          <w:p w14:paraId="56D6E665">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18.2.2 谈判地点：供应商代表在响应文件提交当天实时登陆登录广西政府采购云平台，按谈判小组要求在线等候参与谈判及提交最后报价。因供应商未保持实时在线，导致谈判小组无法及时与其取得联系，从而造成供应商未按规定参与谈判或报价的，其不利后果由供应商自行承担。</w:t>
            </w:r>
          </w:p>
          <w:p w14:paraId="0D518FC7">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18.2.3 谈判参加人员：供应商法定代表人(负责人、 自然人)或相应的委托代理人参加谈判。请供应商实时登陆登录广西政府采购云平台等候在线谈判。</w:t>
            </w:r>
          </w:p>
          <w:p w14:paraId="0D058C07">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18.2.4 首次响应文件提交截止时间后，登录广西政府采购云平台在线解密开启。</w:t>
            </w:r>
          </w:p>
        </w:tc>
      </w:tr>
      <w:tr w14:paraId="2DA9C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641" w:type="dxa"/>
          </w:tcPr>
          <w:p w14:paraId="41F51E73">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12</w:t>
            </w:r>
          </w:p>
        </w:tc>
        <w:tc>
          <w:tcPr>
            <w:tcW w:w="723" w:type="dxa"/>
          </w:tcPr>
          <w:p w14:paraId="739E038E">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19.2</w:t>
            </w:r>
          </w:p>
        </w:tc>
        <w:tc>
          <w:tcPr>
            <w:tcW w:w="1582" w:type="dxa"/>
          </w:tcPr>
          <w:p w14:paraId="0FFB605D">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评审办法</w:t>
            </w:r>
          </w:p>
        </w:tc>
        <w:tc>
          <w:tcPr>
            <w:tcW w:w="7309" w:type="dxa"/>
          </w:tcPr>
          <w:p w14:paraId="39AC9A57">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具体详见第四章“评审办法 ”。</w:t>
            </w:r>
          </w:p>
        </w:tc>
      </w:tr>
      <w:tr w14:paraId="3A46D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5" w:hRule="atLeast"/>
        </w:trPr>
        <w:tc>
          <w:tcPr>
            <w:tcW w:w="641" w:type="dxa"/>
          </w:tcPr>
          <w:p w14:paraId="65E479CD">
            <w:pPr>
              <w:widowControl w:val="0"/>
              <w:wordWrap w:val="0"/>
              <w:spacing w:line="400" w:lineRule="exact"/>
              <w:jc w:val="center"/>
              <w:rPr>
                <w:rFonts w:ascii="Times New Roman" w:hAnsi="Times New Roman" w:cs="Times New Roman"/>
                <w:color w:val="auto"/>
                <w:highlight w:val="none"/>
                <w:lang w:eastAsia="zh-CN"/>
              </w:rPr>
            </w:pPr>
          </w:p>
          <w:p w14:paraId="0921A25D">
            <w:pPr>
              <w:widowControl w:val="0"/>
              <w:wordWrap w:val="0"/>
              <w:spacing w:line="400" w:lineRule="exact"/>
              <w:jc w:val="center"/>
              <w:rPr>
                <w:rFonts w:ascii="Times New Roman" w:hAnsi="Times New Roman" w:cs="Times New Roman"/>
                <w:color w:val="auto"/>
                <w:highlight w:val="none"/>
                <w:lang w:eastAsia="zh-CN"/>
              </w:rPr>
            </w:pPr>
          </w:p>
          <w:p w14:paraId="6A5E8B0C">
            <w:pPr>
              <w:widowControl w:val="0"/>
              <w:wordWrap w:val="0"/>
              <w:spacing w:line="400" w:lineRule="exact"/>
              <w:jc w:val="center"/>
              <w:rPr>
                <w:rFonts w:ascii="Times New Roman" w:hAnsi="Times New Roman" w:cs="Times New Roman"/>
                <w:color w:val="auto"/>
                <w:highlight w:val="none"/>
                <w:lang w:eastAsia="zh-CN"/>
              </w:rPr>
            </w:pPr>
          </w:p>
          <w:p w14:paraId="48092D37">
            <w:pPr>
              <w:widowControl w:val="0"/>
              <w:wordWrap w:val="0"/>
              <w:spacing w:line="400" w:lineRule="exact"/>
              <w:jc w:val="center"/>
              <w:rPr>
                <w:rFonts w:ascii="Times New Roman" w:hAnsi="Times New Roman" w:cs="Times New Roman"/>
                <w:color w:val="auto"/>
                <w:highlight w:val="none"/>
                <w:lang w:eastAsia="zh-CN"/>
              </w:rPr>
            </w:pPr>
          </w:p>
          <w:p w14:paraId="2318795D">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13</w:t>
            </w:r>
          </w:p>
        </w:tc>
        <w:tc>
          <w:tcPr>
            <w:tcW w:w="723" w:type="dxa"/>
          </w:tcPr>
          <w:p w14:paraId="7CF4AB37">
            <w:pPr>
              <w:widowControl w:val="0"/>
              <w:wordWrap w:val="0"/>
              <w:spacing w:line="400" w:lineRule="exact"/>
              <w:jc w:val="center"/>
              <w:rPr>
                <w:rFonts w:ascii="Times New Roman" w:hAnsi="Times New Roman" w:cs="Times New Roman"/>
                <w:color w:val="auto"/>
                <w:highlight w:val="none"/>
              </w:rPr>
            </w:pPr>
          </w:p>
          <w:p w14:paraId="5159534B">
            <w:pPr>
              <w:widowControl w:val="0"/>
              <w:wordWrap w:val="0"/>
              <w:spacing w:line="400" w:lineRule="exact"/>
              <w:jc w:val="center"/>
              <w:rPr>
                <w:rFonts w:ascii="Times New Roman" w:hAnsi="Times New Roman" w:cs="Times New Roman"/>
                <w:color w:val="auto"/>
                <w:highlight w:val="none"/>
              </w:rPr>
            </w:pPr>
          </w:p>
          <w:p w14:paraId="6ADD36E4">
            <w:pPr>
              <w:widowControl w:val="0"/>
              <w:wordWrap w:val="0"/>
              <w:spacing w:line="400" w:lineRule="exact"/>
              <w:jc w:val="center"/>
              <w:rPr>
                <w:rFonts w:ascii="Times New Roman" w:hAnsi="Times New Roman" w:cs="Times New Roman"/>
                <w:color w:val="auto"/>
                <w:highlight w:val="none"/>
              </w:rPr>
            </w:pPr>
          </w:p>
          <w:p w14:paraId="438FB014">
            <w:pPr>
              <w:widowControl w:val="0"/>
              <w:wordWrap w:val="0"/>
              <w:spacing w:line="400" w:lineRule="exact"/>
              <w:jc w:val="center"/>
              <w:rPr>
                <w:rFonts w:ascii="Times New Roman" w:hAnsi="Times New Roman" w:cs="Times New Roman"/>
                <w:color w:val="auto"/>
                <w:highlight w:val="none"/>
              </w:rPr>
            </w:pPr>
          </w:p>
          <w:p w14:paraId="7A62D4CA">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26</w:t>
            </w:r>
          </w:p>
        </w:tc>
        <w:tc>
          <w:tcPr>
            <w:tcW w:w="1582" w:type="dxa"/>
          </w:tcPr>
          <w:p w14:paraId="3C8A4E4E">
            <w:pPr>
              <w:widowControl w:val="0"/>
              <w:wordWrap w:val="0"/>
              <w:spacing w:line="400" w:lineRule="exact"/>
              <w:jc w:val="center"/>
              <w:rPr>
                <w:rFonts w:ascii="Times New Roman" w:hAnsi="Times New Roman" w:cs="Times New Roman"/>
                <w:color w:val="auto"/>
                <w:highlight w:val="none"/>
              </w:rPr>
            </w:pPr>
          </w:p>
          <w:p w14:paraId="20EAE92B">
            <w:pPr>
              <w:widowControl w:val="0"/>
              <w:wordWrap w:val="0"/>
              <w:spacing w:line="400" w:lineRule="exact"/>
              <w:jc w:val="center"/>
              <w:rPr>
                <w:rFonts w:ascii="Times New Roman" w:hAnsi="Times New Roman" w:cs="Times New Roman"/>
                <w:color w:val="auto"/>
                <w:highlight w:val="none"/>
              </w:rPr>
            </w:pPr>
          </w:p>
          <w:p w14:paraId="6EFFE07F">
            <w:pPr>
              <w:widowControl w:val="0"/>
              <w:wordWrap w:val="0"/>
              <w:spacing w:line="400" w:lineRule="exact"/>
              <w:jc w:val="center"/>
              <w:rPr>
                <w:rFonts w:ascii="Times New Roman" w:hAnsi="Times New Roman" w:cs="Times New Roman"/>
                <w:color w:val="auto"/>
                <w:highlight w:val="none"/>
              </w:rPr>
            </w:pPr>
          </w:p>
          <w:p w14:paraId="69546C15">
            <w:pPr>
              <w:widowControl w:val="0"/>
              <w:wordWrap w:val="0"/>
              <w:spacing w:line="400" w:lineRule="exact"/>
              <w:jc w:val="center"/>
              <w:rPr>
                <w:rFonts w:ascii="Times New Roman" w:hAnsi="Times New Roman" w:cs="Times New Roman"/>
                <w:color w:val="auto"/>
                <w:highlight w:val="none"/>
              </w:rPr>
            </w:pPr>
          </w:p>
          <w:p w14:paraId="66C35CE2">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信用查询</w:t>
            </w:r>
          </w:p>
        </w:tc>
        <w:tc>
          <w:tcPr>
            <w:tcW w:w="7309" w:type="dxa"/>
          </w:tcPr>
          <w:p w14:paraId="6FCF4295">
            <w:pPr>
              <w:pStyle w:val="32"/>
              <w:widowControl w:val="0"/>
              <w:wordWrap w:val="0"/>
              <w:spacing w:line="400" w:lineRule="exact"/>
              <w:ind w:firstLine="420" w:firstLineChars="200"/>
              <w:jc w:val="both"/>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根据《关于做好政府采购有关信用主体标识码登记及在政府采购活动中查询使用信用记录有关问题的通知》（桂财采〔2016〕37）， 由采 购代理机构对第一成交候选人进行信用查询：</w:t>
            </w:r>
          </w:p>
          <w:p w14:paraId="7D3A5153">
            <w:pPr>
              <w:pStyle w:val="32"/>
              <w:widowControl w:val="0"/>
              <w:wordWrap w:val="0"/>
              <w:spacing w:line="400" w:lineRule="exact"/>
              <w:ind w:firstLine="420" w:firstLineChars="200"/>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（1）查询渠道：“信用中国”网站(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Times New Roman" w:hAnsi="Times New Roman" w:cs="Times New Roman"/>
                <w:color w:val="auto"/>
                <w:sz w:val="21"/>
                <w:szCs w:val="21"/>
                <w:highlight w:val="none"/>
              </w:rPr>
              <w:t>www.creditchina.gov.cn</w:t>
            </w:r>
            <w:r>
              <w:rPr>
                <w:rFonts w:ascii="Times New Roman" w:hAnsi="Times New Roman" w:cs="Times New Roman"/>
                <w:color w:val="auto"/>
                <w:sz w:val="21"/>
                <w:szCs w:val="21"/>
                <w:highlight w:val="none"/>
              </w:rPr>
              <w:fldChar w:fldCharType="end"/>
            </w:r>
            <w:r>
              <w:rPr>
                <w:rFonts w:ascii="Times New Roman" w:hAnsi="Times New Roman" w:cs="Times New Roman"/>
                <w:color w:val="auto"/>
                <w:sz w:val="21"/>
                <w:szCs w:val="21"/>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Times New Roman" w:hAnsi="Times New Roman" w:cs="Times New Roman"/>
                <w:color w:val="auto"/>
                <w:sz w:val="21"/>
                <w:szCs w:val="21"/>
                <w:highlight w:val="none"/>
              </w:rPr>
              <w:t>www.ccgp.gov.cn</w:t>
            </w:r>
            <w:r>
              <w:rPr>
                <w:rFonts w:ascii="Times New Roman" w:hAnsi="Times New Roman" w:cs="Times New Roman"/>
                <w:color w:val="auto"/>
                <w:sz w:val="21"/>
                <w:szCs w:val="21"/>
                <w:highlight w:val="none"/>
              </w:rPr>
              <w:fldChar w:fldCharType="end"/>
            </w:r>
            <w:r>
              <w:rPr>
                <w:rFonts w:ascii="Times New Roman" w:hAnsi="Times New Roman" w:cs="Times New Roman"/>
                <w:color w:val="auto"/>
                <w:sz w:val="21"/>
                <w:szCs w:val="21"/>
                <w:highlight w:val="none"/>
              </w:rPr>
              <w:t>)等；</w:t>
            </w:r>
          </w:p>
          <w:p w14:paraId="414EDF74">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（2）查询截止时间：成交通知书发出前；</w:t>
            </w:r>
          </w:p>
          <w:p w14:paraId="09DF3A30">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（3）信用信息查询记录和证据留存方式：在查询网站中直接打印查询记录，打印材料作为采购活动资料保存；</w:t>
            </w:r>
          </w:p>
          <w:p w14:paraId="53C7FD22">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 4 ） 信用信息使用规则：对在“信用中国”网站(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Times New Roman" w:hAnsi="Times New Roman" w:cs="Times New Roman"/>
                <w:color w:val="auto"/>
                <w:sz w:val="21"/>
                <w:szCs w:val="21"/>
                <w:highlight w:val="none"/>
                <w:lang w:eastAsia="zh-CN"/>
              </w:rPr>
              <w:t>www.creditchina.gov.cn</w:t>
            </w:r>
            <w:r>
              <w:rPr>
                <w:rFonts w:ascii="Times New Roman" w:hAnsi="Times New Roman" w:cs="Times New Roman"/>
                <w:color w:val="auto"/>
                <w:sz w:val="21"/>
                <w:szCs w:val="21"/>
                <w:highlight w:val="none"/>
                <w:lang w:eastAsia="zh-CN"/>
              </w:rPr>
              <w:fldChar w:fldCharType="end"/>
            </w:r>
            <w:r>
              <w:rPr>
                <w:rFonts w:ascii="Times New Roman" w:hAnsi="Times New Roman" w:cs="Times New Roman"/>
                <w:color w:val="auto"/>
                <w:sz w:val="21"/>
                <w:szCs w:val="21"/>
                <w:highlight w:val="none"/>
                <w:lang w:eastAsia="zh-CN"/>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Times New Roman" w:hAnsi="Times New Roman" w:cs="Times New Roman"/>
                <w:color w:val="auto"/>
                <w:sz w:val="21"/>
                <w:szCs w:val="21"/>
                <w:highlight w:val="none"/>
                <w:lang w:eastAsia="zh-CN"/>
              </w:rPr>
              <w:t>www.ccgp.gov.cn</w:t>
            </w:r>
            <w:r>
              <w:rPr>
                <w:rFonts w:ascii="Times New Roman" w:hAnsi="Times New Roman" w:cs="Times New Roman"/>
                <w:color w:val="auto"/>
                <w:sz w:val="21"/>
                <w:szCs w:val="21"/>
                <w:highlight w:val="none"/>
                <w:lang w:eastAsia="zh-CN"/>
              </w:rPr>
              <w:fldChar w:fldCharType="end"/>
            </w:r>
            <w:r>
              <w:rPr>
                <w:rFonts w:ascii="Times New Roman" w:hAnsi="Times New Roman" w:cs="Times New Roman"/>
                <w:color w:val="auto"/>
                <w:sz w:val="21"/>
                <w:szCs w:val="21"/>
                <w:highlight w:val="none"/>
                <w:lang w:eastAsia="zh-CN"/>
              </w:rPr>
              <w:t>)等渠道列入失信被执行人、</w:t>
            </w:r>
            <w:r>
              <w:rPr>
                <w:rFonts w:hint="eastAsia" w:ascii="Times New Roman" w:hAnsi="Times New Roman" w:cs="Times New Roman"/>
                <w:color w:val="auto"/>
                <w:sz w:val="21"/>
                <w:szCs w:val="21"/>
                <w:highlight w:val="none"/>
                <w:lang w:eastAsia="zh-CN"/>
              </w:rPr>
              <w:t>重大税收违法失信主体</w:t>
            </w:r>
            <w:r>
              <w:rPr>
                <w:rFonts w:ascii="Times New Roman" w:hAnsi="Times New Roman" w:cs="Times New Roman"/>
                <w:color w:val="auto"/>
                <w:sz w:val="21"/>
                <w:szCs w:val="21"/>
                <w:highlight w:val="none"/>
                <w:lang w:eastAsia="zh-CN"/>
              </w:rPr>
              <w:t>、政府采购严重违法失信行为记录名单及其他不符合《中华人民共和国政府采购法》 第二十二条规定条件的供应商，取消其成交候选人资格。</w:t>
            </w:r>
          </w:p>
        </w:tc>
      </w:tr>
      <w:tr w14:paraId="692BB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7" w:hRule="atLeast"/>
        </w:trPr>
        <w:tc>
          <w:tcPr>
            <w:tcW w:w="641" w:type="dxa"/>
          </w:tcPr>
          <w:p w14:paraId="4A8A8186">
            <w:pPr>
              <w:widowControl w:val="0"/>
              <w:wordWrap w:val="0"/>
              <w:spacing w:line="400" w:lineRule="exact"/>
              <w:jc w:val="center"/>
              <w:rPr>
                <w:rFonts w:ascii="Times New Roman" w:hAnsi="Times New Roman" w:cs="Times New Roman"/>
                <w:color w:val="auto"/>
                <w:highlight w:val="none"/>
                <w:lang w:eastAsia="zh-CN"/>
              </w:rPr>
            </w:pPr>
          </w:p>
          <w:p w14:paraId="3E97DF00">
            <w:pPr>
              <w:widowControl w:val="0"/>
              <w:wordWrap w:val="0"/>
              <w:spacing w:line="400" w:lineRule="exact"/>
              <w:jc w:val="center"/>
              <w:rPr>
                <w:rFonts w:ascii="Times New Roman" w:hAnsi="Times New Roman" w:cs="Times New Roman"/>
                <w:color w:val="auto"/>
                <w:highlight w:val="none"/>
                <w:lang w:eastAsia="zh-CN"/>
              </w:rPr>
            </w:pPr>
          </w:p>
          <w:p w14:paraId="6352DD5D">
            <w:pPr>
              <w:widowControl w:val="0"/>
              <w:wordWrap w:val="0"/>
              <w:spacing w:line="400" w:lineRule="exact"/>
              <w:jc w:val="center"/>
              <w:rPr>
                <w:rFonts w:ascii="Times New Roman" w:hAnsi="Times New Roman" w:cs="Times New Roman"/>
                <w:color w:val="auto"/>
                <w:highlight w:val="none"/>
                <w:lang w:eastAsia="zh-CN"/>
              </w:rPr>
            </w:pPr>
          </w:p>
          <w:p w14:paraId="7D0314DE">
            <w:pPr>
              <w:widowControl w:val="0"/>
              <w:wordWrap w:val="0"/>
              <w:spacing w:line="400" w:lineRule="exact"/>
              <w:jc w:val="center"/>
              <w:rPr>
                <w:rFonts w:ascii="Times New Roman" w:hAnsi="Times New Roman" w:cs="Times New Roman"/>
                <w:color w:val="auto"/>
                <w:highlight w:val="none"/>
                <w:lang w:eastAsia="zh-CN"/>
              </w:rPr>
            </w:pPr>
          </w:p>
          <w:p w14:paraId="7A4491EA">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14</w:t>
            </w:r>
          </w:p>
        </w:tc>
        <w:tc>
          <w:tcPr>
            <w:tcW w:w="723" w:type="dxa"/>
          </w:tcPr>
          <w:p w14:paraId="339EB538">
            <w:pPr>
              <w:widowControl w:val="0"/>
              <w:wordWrap w:val="0"/>
              <w:spacing w:line="400" w:lineRule="exact"/>
              <w:jc w:val="center"/>
              <w:rPr>
                <w:rFonts w:ascii="Times New Roman" w:hAnsi="Times New Roman" w:cs="Times New Roman"/>
                <w:color w:val="auto"/>
                <w:highlight w:val="none"/>
              </w:rPr>
            </w:pPr>
          </w:p>
          <w:p w14:paraId="6A9AFEE1">
            <w:pPr>
              <w:widowControl w:val="0"/>
              <w:wordWrap w:val="0"/>
              <w:spacing w:line="400" w:lineRule="exact"/>
              <w:jc w:val="center"/>
              <w:rPr>
                <w:rFonts w:ascii="Times New Roman" w:hAnsi="Times New Roman" w:cs="Times New Roman"/>
                <w:color w:val="auto"/>
                <w:highlight w:val="none"/>
              </w:rPr>
            </w:pPr>
          </w:p>
          <w:p w14:paraId="57310043">
            <w:pPr>
              <w:widowControl w:val="0"/>
              <w:wordWrap w:val="0"/>
              <w:spacing w:line="400" w:lineRule="exact"/>
              <w:jc w:val="center"/>
              <w:rPr>
                <w:rFonts w:ascii="Times New Roman" w:hAnsi="Times New Roman" w:cs="Times New Roman"/>
                <w:color w:val="auto"/>
                <w:highlight w:val="none"/>
              </w:rPr>
            </w:pPr>
          </w:p>
          <w:p w14:paraId="0DE3F438">
            <w:pPr>
              <w:widowControl w:val="0"/>
              <w:wordWrap w:val="0"/>
              <w:spacing w:line="400" w:lineRule="exact"/>
              <w:jc w:val="center"/>
              <w:rPr>
                <w:rFonts w:ascii="Times New Roman" w:hAnsi="Times New Roman" w:cs="Times New Roman"/>
                <w:color w:val="auto"/>
                <w:highlight w:val="none"/>
              </w:rPr>
            </w:pPr>
          </w:p>
          <w:p w14:paraId="7D1CAEB4">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27</w:t>
            </w:r>
          </w:p>
        </w:tc>
        <w:tc>
          <w:tcPr>
            <w:tcW w:w="1582" w:type="dxa"/>
            <w:vAlign w:val="center"/>
          </w:tcPr>
          <w:p w14:paraId="4B04A1FE">
            <w:pPr>
              <w:pStyle w:val="32"/>
              <w:widowControl w:val="0"/>
              <w:wordWrap w:val="0"/>
              <w:spacing w:line="400" w:lineRule="exact"/>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成交公告及成交通知书</w:t>
            </w:r>
          </w:p>
        </w:tc>
        <w:tc>
          <w:tcPr>
            <w:tcW w:w="7309" w:type="dxa"/>
          </w:tcPr>
          <w:p w14:paraId="0BC77C19">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27.1 采购代理机构于评审结束后两个工作日内将评审报告送交采购人，采购人应当自收到评审报告五个工作日内在评审报告推荐的成交候选供应商中按顺序确定成交供应商，采购代理机构在成交供应商确 定之日起两个工作日内发出成交通知书，并在指定媒体上公告成交信 息。</w:t>
            </w:r>
          </w:p>
          <w:p w14:paraId="7EF070FE">
            <w:pPr>
              <w:pStyle w:val="32"/>
              <w:widowControl w:val="0"/>
              <w:wordWrap w:val="0"/>
              <w:spacing w:line="400" w:lineRule="exact"/>
              <w:ind w:firstLine="420" w:firstLineChars="200"/>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27.3 在发布成交公告的同时，采购代理机构向成交供应商发出成交通知书。成交供应商应自接到通知之日起七个工作日内，办理成交通知书领取手续。</w:t>
            </w:r>
          </w:p>
        </w:tc>
      </w:tr>
      <w:tr w14:paraId="2D638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641" w:type="dxa"/>
          </w:tcPr>
          <w:p w14:paraId="4DFFA004">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15</w:t>
            </w:r>
          </w:p>
        </w:tc>
        <w:tc>
          <w:tcPr>
            <w:tcW w:w="723" w:type="dxa"/>
          </w:tcPr>
          <w:p w14:paraId="62AA9790">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28</w:t>
            </w:r>
          </w:p>
        </w:tc>
        <w:tc>
          <w:tcPr>
            <w:tcW w:w="1582" w:type="dxa"/>
            <w:vAlign w:val="center"/>
          </w:tcPr>
          <w:p w14:paraId="45854E8C">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履约保证金</w:t>
            </w:r>
          </w:p>
        </w:tc>
        <w:tc>
          <w:tcPr>
            <w:tcW w:w="7309" w:type="dxa"/>
            <w:vAlign w:val="center"/>
          </w:tcPr>
          <w:p w14:paraId="26232588">
            <w:pPr>
              <w:widowControl w:val="0"/>
              <w:kinsoku/>
              <w:autoSpaceDE/>
              <w:autoSpaceDN/>
              <w:adjustRightInd/>
              <w:snapToGrid/>
              <w:spacing w:line="400" w:lineRule="exact"/>
              <w:jc w:val="both"/>
              <w:textAlignment w:val="auto"/>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本项目免收履约保证金。</w:t>
            </w:r>
          </w:p>
        </w:tc>
      </w:tr>
      <w:tr w14:paraId="1E5AD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641" w:type="dxa"/>
            <w:vAlign w:val="center"/>
          </w:tcPr>
          <w:p w14:paraId="5F89AFF6">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16</w:t>
            </w:r>
          </w:p>
        </w:tc>
        <w:tc>
          <w:tcPr>
            <w:tcW w:w="723" w:type="dxa"/>
            <w:vAlign w:val="center"/>
          </w:tcPr>
          <w:p w14:paraId="40304B1B">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29.1</w:t>
            </w:r>
          </w:p>
        </w:tc>
        <w:tc>
          <w:tcPr>
            <w:tcW w:w="1582" w:type="dxa"/>
            <w:vAlign w:val="center"/>
          </w:tcPr>
          <w:p w14:paraId="17BE2360">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签订合同时间</w:t>
            </w:r>
          </w:p>
        </w:tc>
        <w:tc>
          <w:tcPr>
            <w:tcW w:w="7309" w:type="dxa"/>
          </w:tcPr>
          <w:p w14:paraId="745FE82C">
            <w:pPr>
              <w:pStyle w:val="32"/>
              <w:widowControl w:val="0"/>
              <w:wordWrap w:val="0"/>
              <w:spacing w:line="400" w:lineRule="exact"/>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成交通知书发出之日起 8 个工作日内。成交供应商领取成交通知书后，应按规定与采购人签订合同。</w:t>
            </w:r>
          </w:p>
        </w:tc>
      </w:tr>
      <w:tr w14:paraId="7E64D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641" w:type="dxa"/>
          </w:tcPr>
          <w:p w14:paraId="1E464F66">
            <w:pPr>
              <w:widowControl w:val="0"/>
              <w:wordWrap w:val="0"/>
              <w:spacing w:line="400" w:lineRule="exact"/>
              <w:jc w:val="center"/>
              <w:rPr>
                <w:rFonts w:ascii="Times New Roman" w:hAnsi="Times New Roman" w:cs="Times New Roman"/>
                <w:color w:val="auto"/>
                <w:highlight w:val="none"/>
                <w:lang w:eastAsia="zh-CN"/>
              </w:rPr>
            </w:pPr>
          </w:p>
          <w:p w14:paraId="0A60B6F4">
            <w:pPr>
              <w:widowControl w:val="0"/>
              <w:wordWrap w:val="0"/>
              <w:spacing w:line="400" w:lineRule="exact"/>
              <w:jc w:val="center"/>
              <w:rPr>
                <w:rFonts w:ascii="Times New Roman" w:hAnsi="Times New Roman" w:cs="Times New Roman"/>
                <w:color w:val="auto"/>
                <w:highlight w:val="none"/>
                <w:lang w:eastAsia="zh-CN"/>
              </w:rPr>
            </w:pPr>
          </w:p>
          <w:p w14:paraId="3B575947">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17</w:t>
            </w:r>
          </w:p>
        </w:tc>
        <w:tc>
          <w:tcPr>
            <w:tcW w:w="723" w:type="dxa"/>
          </w:tcPr>
          <w:p w14:paraId="2108B9D5">
            <w:pPr>
              <w:widowControl w:val="0"/>
              <w:wordWrap w:val="0"/>
              <w:spacing w:line="400" w:lineRule="exact"/>
              <w:jc w:val="center"/>
              <w:rPr>
                <w:rFonts w:ascii="Times New Roman" w:hAnsi="Times New Roman" w:cs="Times New Roman"/>
                <w:color w:val="auto"/>
                <w:highlight w:val="none"/>
              </w:rPr>
            </w:pPr>
          </w:p>
          <w:p w14:paraId="66CDED54">
            <w:pPr>
              <w:widowControl w:val="0"/>
              <w:wordWrap w:val="0"/>
              <w:spacing w:line="400" w:lineRule="exact"/>
              <w:jc w:val="center"/>
              <w:rPr>
                <w:rFonts w:ascii="Times New Roman" w:hAnsi="Times New Roman" w:cs="Times New Roman"/>
                <w:color w:val="auto"/>
                <w:highlight w:val="none"/>
              </w:rPr>
            </w:pPr>
          </w:p>
          <w:p w14:paraId="05169E43">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29.3</w:t>
            </w:r>
          </w:p>
        </w:tc>
        <w:tc>
          <w:tcPr>
            <w:tcW w:w="1582" w:type="dxa"/>
          </w:tcPr>
          <w:p w14:paraId="4FC235A6">
            <w:pPr>
              <w:widowControl w:val="0"/>
              <w:wordWrap w:val="0"/>
              <w:spacing w:line="400" w:lineRule="exact"/>
              <w:jc w:val="center"/>
              <w:rPr>
                <w:rFonts w:ascii="Times New Roman" w:hAnsi="Times New Roman" w:cs="Times New Roman"/>
                <w:color w:val="auto"/>
                <w:highlight w:val="none"/>
              </w:rPr>
            </w:pPr>
          </w:p>
          <w:p w14:paraId="6890FBD1">
            <w:pPr>
              <w:widowControl w:val="0"/>
              <w:wordWrap w:val="0"/>
              <w:spacing w:line="400" w:lineRule="exact"/>
              <w:jc w:val="center"/>
              <w:rPr>
                <w:rFonts w:ascii="Times New Roman" w:hAnsi="Times New Roman" w:cs="Times New Roman"/>
                <w:color w:val="auto"/>
                <w:highlight w:val="none"/>
              </w:rPr>
            </w:pPr>
          </w:p>
          <w:p w14:paraId="1D196AF4">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合同备案存档</w:t>
            </w:r>
          </w:p>
        </w:tc>
        <w:tc>
          <w:tcPr>
            <w:tcW w:w="7309" w:type="dxa"/>
          </w:tcPr>
          <w:p w14:paraId="7328C6F0">
            <w:pPr>
              <w:pStyle w:val="32"/>
              <w:widowControl w:val="0"/>
              <w:wordWrap w:val="0"/>
              <w:spacing w:line="400" w:lineRule="exact"/>
              <w:ind w:firstLine="420" w:firstLineChars="200"/>
              <w:jc w:val="both"/>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采购代理机构存档。</w:t>
            </w:r>
          </w:p>
        </w:tc>
      </w:tr>
      <w:tr w14:paraId="4682A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 w:hRule="atLeast"/>
        </w:trPr>
        <w:tc>
          <w:tcPr>
            <w:tcW w:w="641" w:type="dxa"/>
          </w:tcPr>
          <w:p w14:paraId="7E84CD4C">
            <w:pPr>
              <w:widowControl w:val="0"/>
              <w:wordWrap w:val="0"/>
              <w:spacing w:line="400" w:lineRule="exact"/>
              <w:jc w:val="center"/>
              <w:rPr>
                <w:rFonts w:ascii="Times New Roman" w:hAnsi="Times New Roman" w:cs="Times New Roman"/>
                <w:color w:val="auto"/>
                <w:highlight w:val="none"/>
                <w:lang w:eastAsia="zh-CN"/>
              </w:rPr>
            </w:pPr>
          </w:p>
          <w:p w14:paraId="47C4DC5D">
            <w:pPr>
              <w:widowControl w:val="0"/>
              <w:wordWrap w:val="0"/>
              <w:spacing w:line="400" w:lineRule="exact"/>
              <w:jc w:val="center"/>
              <w:rPr>
                <w:rFonts w:ascii="Times New Roman" w:hAnsi="Times New Roman" w:cs="Times New Roman"/>
                <w:color w:val="auto"/>
                <w:highlight w:val="none"/>
                <w:lang w:eastAsia="zh-CN"/>
              </w:rPr>
            </w:pPr>
          </w:p>
          <w:p w14:paraId="6646AA15">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18</w:t>
            </w:r>
          </w:p>
        </w:tc>
        <w:tc>
          <w:tcPr>
            <w:tcW w:w="723" w:type="dxa"/>
          </w:tcPr>
          <w:p w14:paraId="3FF7E0B7">
            <w:pPr>
              <w:widowControl w:val="0"/>
              <w:wordWrap w:val="0"/>
              <w:spacing w:line="400" w:lineRule="exact"/>
              <w:jc w:val="center"/>
              <w:rPr>
                <w:rFonts w:ascii="Times New Roman" w:hAnsi="Times New Roman" w:cs="Times New Roman"/>
                <w:color w:val="auto"/>
                <w:highlight w:val="none"/>
              </w:rPr>
            </w:pPr>
          </w:p>
          <w:p w14:paraId="23749457">
            <w:pPr>
              <w:widowControl w:val="0"/>
              <w:wordWrap w:val="0"/>
              <w:spacing w:line="400" w:lineRule="exact"/>
              <w:jc w:val="center"/>
              <w:rPr>
                <w:rFonts w:ascii="Times New Roman" w:hAnsi="Times New Roman" w:cs="Times New Roman"/>
                <w:color w:val="auto"/>
                <w:highlight w:val="none"/>
              </w:rPr>
            </w:pPr>
          </w:p>
          <w:p w14:paraId="4A6B8880">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30.1</w:t>
            </w:r>
          </w:p>
        </w:tc>
        <w:tc>
          <w:tcPr>
            <w:tcW w:w="1582" w:type="dxa"/>
          </w:tcPr>
          <w:p w14:paraId="1A606780">
            <w:pPr>
              <w:widowControl w:val="0"/>
              <w:wordWrap w:val="0"/>
              <w:spacing w:line="400" w:lineRule="exact"/>
              <w:jc w:val="center"/>
              <w:rPr>
                <w:rFonts w:ascii="Times New Roman" w:hAnsi="Times New Roman" w:cs="Times New Roman"/>
                <w:color w:val="auto"/>
                <w:highlight w:val="none"/>
              </w:rPr>
            </w:pPr>
          </w:p>
          <w:p w14:paraId="7F6F5A89">
            <w:pPr>
              <w:widowControl w:val="0"/>
              <w:wordWrap w:val="0"/>
              <w:spacing w:line="400" w:lineRule="exact"/>
              <w:jc w:val="center"/>
              <w:rPr>
                <w:rFonts w:ascii="Times New Roman" w:hAnsi="Times New Roman" w:cs="Times New Roman"/>
                <w:color w:val="auto"/>
                <w:highlight w:val="none"/>
              </w:rPr>
            </w:pPr>
          </w:p>
          <w:p w14:paraId="6DF12D15">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采购代理服务费</w:t>
            </w:r>
          </w:p>
        </w:tc>
        <w:tc>
          <w:tcPr>
            <w:tcW w:w="7309" w:type="dxa"/>
          </w:tcPr>
          <w:p w14:paraId="585B6D72">
            <w:pPr>
              <w:pStyle w:val="32"/>
              <w:widowControl w:val="0"/>
              <w:wordWrap w:val="0"/>
              <w:spacing w:line="400" w:lineRule="exact"/>
              <w:ind w:firstLine="436" w:firstLineChars="200"/>
              <w:jc w:val="both"/>
              <w:rPr>
                <w:rFonts w:ascii="Times New Roman" w:hAnsi="Times New Roman" w:cs="Times New Roman"/>
                <w:color w:val="auto"/>
                <w:sz w:val="21"/>
                <w:szCs w:val="21"/>
                <w:highlight w:val="none"/>
                <w:lang w:eastAsia="zh-CN"/>
              </w:rPr>
            </w:pPr>
            <w:r>
              <w:rPr>
                <w:rFonts w:ascii="Times New Roman" w:hAnsi="Times New Roman" w:cs="Times New Roman"/>
                <w:color w:val="auto"/>
                <w:spacing w:val="4"/>
                <w:sz w:val="21"/>
                <w:szCs w:val="21"/>
                <w:highlight w:val="none"/>
                <w:lang w:eastAsia="zh-CN"/>
              </w:rPr>
              <w:t>成交供应商领取成交通知书前，向</w:t>
            </w:r>
            <w:r>
              <w:rPr>
                <w:rFonts w:hint="eastAsia" w:ascii="Times New Roman" w:hAnsi="Times New Roman" w:cs="Times New Roman"/>
                <w:color w:val="auto"/>
                <w:spacing w:val="4"/>
                <w:sz w:val="21"/>
                <w:szCs w:val="21"/>
                <w:highlight w:val="none"/>
                <w:lang w:eastAsia="zh-CN"/>
              </w:rPr>
              <w:t>广西邕政采购代理有限公司</w:t>
            </w:r>
            <w:r>
              <w:rPr>
                <w:rFonts w:ascii="Times New Roman" w:hAnsi="Times New Roman" w:cs="Times New Roman"/>
                <w:color w:val="auto"/>
                <w:spacing w:val="4"/>
                <w:sz w:val="21"/>
                <w:szCs w:val="21"/>
                <w:highlight w:val="none"/>
                <w:lang w:eastAsia="zh-CN"/>
              </w:rPr>
              <w:t>一次性付清采购代理服务费。本项目采购代理服务收费标准参照计价格[2002]1980 号《招标代理服务收费管理暂行办法》货物类收费标准向成交供应商收取。</w:t>
            </w:r>
          </w:p>
        </w:tc>
      </w:tr>
      <w:tr w14:paraId="33B09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8" w:hRule="atLeast"/>
        </w:trPr>
        <w:tc>
          <w:tcPr>
            <w:tcW w:w="641" w:type="dxa"/>
          </w:tcPr>
          <w:p w14:paraId="1C6C4C5A">
            <w:pPr>
              <w:widowControl w:val="0"/>
              <w:wordWrap w:val="0"/>
              <w:spacing w:line="400" w:lineRule="exact"/>
              <w:jc w:val="center"/>
              <w:rPr>
                <w:rFonts w:ascii="Times New Roman" w:hAnsi="Times New Roman" w:cs="Times New Roman"/>
                <w:color w:val="auto"/>
                <w:highlight w:val="none"/>
                <w:lang w:eastAsia="zh-CN"/>
              </w:rPr>
            </w:pPr>
          </w:p>
          <w:p w14:paraId="01B9D89D">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19</w:t>
            </w:r>
          </w:p>
        </w:tc>
        <w:tc>
          <w:tcPr>
            <w:tcW w:w="723" w:type="dxa"/>
          </w:tcPr>
          <w:p w14:paraId="51B7B030">
            <w:pPr>
              <w:widowControl w:val="0"/>
              <w:wordWrap w:val="0"/>
              <w:spacing w:line="400" w:lineRule="exact"/>
              <w:jc w:val="center"/>
              <w:rPr>
                <w:rFonts w:ascii="Times New Roman" w:hAnsi="Times New Roman" w:cs="Times New Roman"/>
                <w:color w:val="auto"/>
                <w:highlight w:val="none"/>
              </w:rPr>
            </w:pPr>
          </w:p>
          <w:p w14:paraId="0EEF0147">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32</w:t>
            </w:r>
          </w:p>
        </w:tc>
        <w:tc>
          <w:tcPr>
            <w:tcW w:w="1582" w:type="dxa"/>
          </w:tcPr>
          <w:p w14:paraId="0210B120">
            <w:pPr>
              <w:widowControl w:val="0"/>
              <w:wordWrap w:val="0"/>
              <w:spacing w:line="400" w:lineRule="exact"/>
              <w:jc w:val="center"/>
              <w:rPr>
                <w:rFonts w:ascii="Times New Roman" w:hAnsi="Times New Roman" w:cs="Times New Roman"/>
                <w:color w:val="auto"/>
                <w:highlight w:val="none"/>
              </w:rPr>
            </w:pPr>
          </w:p>
          <w:p w14:paraId="5567D22B">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解释权</w:t>
            </w:r>
          </w:p>
        </w:tc>
        <w:tc>
          <w:tcPr>
            <w:tcW w:w="7309" w:type="dxa"/>
          </w:tcPr>
          <w:p w14:paraId="0AF6A8A6">
            <w:pPr>
              <w:pStyle w:val="32"/>
              <w:widowControl w:val="0"/>
              <w:wordWrap w:val="0"/>
              <w:spacing w:line="400" w:lineRule="exact"/>
              <w:ind w:firstLine="420" w:firstLineChars="200"/>
              <w:jc w:val="both"/>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本竞争性谈判文件是根据《中华人民共和国政府采购法》、《中华人民共和国政府采购法实施条例》、《政府采购非招标采购方式管理办法》和政府采购管理有关规定编制，本竞争性谈判文件的解释权属于 采购代理机构。</w:t>
            </w:r>
          </w:p>
        </w:tc>
      </w:tr>
      <w:tr w14:paraId="2D0DA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641" w:type="dxa"/>
          </w:tcPr>
          <w:p w14:paraId="18AE60D5">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20</w:t>
            </w:r>
          </w:p>
        </w:tc>
        <w:tc>
          <w:tcPr>
            <w:tcW w:w="723" w:type="dxa"/>
          </w:tcPr>
          <w:p w14:paraId="74C5873E">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34</w:t>
            </w:r>
          </w:p>
        </w:tc>
        <w:tc>
          <w:tcPr>
            <w:tcW w:w="1582" w:type="dxa"/>
          </w:tcPr>
          <w:p w14:paraId="58E25ABF">
            <w:pPr>
              <w:pStyle w:val="32"/>
              <w:widowControl w:val="0"/>
              <w:wordWrap w:val="0"/>
              <w:spacing w:line="400" w:lineRule="exact"/>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监督管理机构</w:t>
            </w:r>
          </w:p>
        </w:tc>
        <w:tc>
          <w:tcPr>
            <w:tcW w:w="7309" w:type="dxa"/>
          </w:tcPr>
          <w:p w14:paraId="7EC029B9">
            <w:pPr>
              <w:pStyle w:val="32"/>
              <w:widowControl w:val="0"/>
              <w:wordWrap w:val="0"/>
              <w:spacing w:line="400" w:lineRule="exact"/>
              <w:ind w:firstLine="210" w:firstLineChars="100"/>
              <w:rPr>
                <w:rFonts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桂林市财政局；联系电话：0773-2829504</w:t>
            </w:r>
          </w:p>
        </w:tc>
      </w:tr>
    </w:tbl>
    <w:p w14:paraId="7F6609BF">
      <w:pPr>
        <w:pStyle w:val="8"/>
        <w:widowControl w:val="0"/>
        <w:spacing w:line="400" w:lineRule="exact"/>
        <w:ind w:firstLine="420" w:firstLineChars="200"/>
        <w:rPr>
          <w:rFonts w:ascii="Times New Roman" w:hAnsi="Times New Roman" w:cs="Times New Roman"/>
          <w:color w:val="auto"/>
          <w:highlight w:val="none"/>
          <w:lang w:eastAsia="zh-CN"/>
        </w:rPr>
      </w:pPr>
    </w:p>
    <w:p w14:paraId="77C78E0C">
      <w:pPr>
        <w:widowControl w:val="0"/>
        <w:spacing w:line="400" w:lineRule="exact"/>
        <w:ind w:firstLine="420" w:firstLineChars="200"/>
        <w:rPr>
          <w:rFonts w:ascii="Times New Roman" w:hAnsi="Times New Roman" w:cs="Times New Roman"/>
          <w:color w:val="auto"/>
          <w:highlight w:val="none"/>
          <w:lang w:eastAsia="zh-CN"/>
        </w:rPr>
        <w:sectPr>
          <w:footerReference r:id="rId5" w:type="default"/>
          <w:pgSz w:w="11906" w:h="16839"/>
          <w:pgMar w:top="1247" w:right="1247" w:bottom="1247" w:left="1247" w:header="0" w:footer="822" w:gutter="0"/>
          <w:cols w:space="0" w:num="1"/>
        </w:sectPr>
      </w:pPr>
    </w:p>
    <w:p w14:paraId="38D7EF9A">
      <w:pPr>
        <w:widowControl w:val="0"/>
        <w:spacing w:line="400" w:lineRule="exact"/>
        <w:jc w:val="center"/>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一、总则</w:t>
      </w:r>
    </w:p>
    <w:p w14:paraId="4F0FB7B8">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1.适应范围</w:t>
      </w:r>
    </w:p>
    <w:p w14:paraId="2907E05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1.1 项目名称及项目编号：</w:t>
      </w:r>
    </w:p>
    <w:p w14:paraId="2E3642E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项目名称：</w:t>
      </w:r>
      <w:r>
        <w:rPr>
          <w:rFonts w:hint="eastAsia" w:ascii="Times New Roman" w:hAnsi="Times New Roman" w:eastAsia="宋体" w:cs="Times New Roman"/>
          <w:color w:val="auto"/>
          <w:highlight w:val="none"/>
          <w:lang w:eastAsia="zh-CN"/>
        </w:rPr>
        <w:t>桂林技师学院实训室建设项目</w:t>
      </w:r>
    </w:p>
    <w:p w14:paraId="72B21EF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项目编号：</w:t>
      </w:r>
      <w:r>
        <w:rPr>
          <w:rFonts w:hint="eastAsia" w:ascii="Times New Roman" w:hAnsi="Times New Roman" w:eastAsia="宋体" w:cs="Times New Roman"/>
          <w:color w:val="auto"/>
          <w:highlight w:val="none"/>
          <w:lang w:eastAsia="zh-CN"/>
        </w:rPr>
        <w:t>GLZC2026-J1-990366-GXYZ</w:t>
      </w:r>
    </w:p>
    <w:p w14:paraId="365BC62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1.2 本竞争性谈判文件（以下简称谈判文件）适用于本谈判项目的谈判、评审、合同履约、验收、 付款等行为（法律、法规另有规定的，从其规定）。</w:t>
      </w:r>
    </w:p>
    <w:p w14:paraId="79CD6B8E">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2.定义</w:t>
      </w:r>
    </w:p>
    <w:p w14:paraId="58A418E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2.1“供应商”是指符合本次采购项目的供应商资格并提交响应文件、参加谈判的供应商。如果该供应商在本次谈判中成交，即成为“成交供应商”。</w:t>
      </w:r>
    </w:p>
    <w:p w14:paraId="2A5D1D2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2.2“货物”系指按谈判文件规定，供应商须向采购人提供的一切设备、保险、税金、备品备件、工具、手册及其它有关技术资料和材料。</w:t>
      </w:r>
    </w:p>
    <w:p w14:paraId="51335D71">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2.3“服务”系指按谈判文件规定，供应商须承担的安装、调试、技术协助、校准、培训、技术指导以及其他类似的义务。</w:t>
      </w:r>
    </w:p>
    <w:p w14:paraId="3A94ABD1">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2.4“项目”系指供应商按谈判文件规定向采购人提供的货物和服务。</w:t>
      </w:r>
    </w:p>
    <w:p w14:paraId="74903CC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2.5“书面形式”包括信函、传真、电报等。</w:t>
      </w:r>
    </w:p>
    <w:p w14:paraId="5C778B0F">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2.6“响应文件</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”：本项目实行全流程电子化采购，供应商通过广西政府采购云平台参与电子竞标。</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响应文件特指供应商按本谈判文件规定提交的电子响应文件（包括因特殊情况无法解密或解密失败提</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交的电子备份响应文件）。</w:t>
      </w:r>
    </w:p>
    <w:p w14:paraId="711E9B48">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2.7</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实质性要求：</w:t>
      </w:r>
      <w:r>
        <w:rPr>
          <w:rFonts w:hint="eastAsia" w:ascii="宋体" w:hAnsi="宋体" w:cs="宋体"/>
          <w:b/>
          <w:bCs/>
          <w:color w:val="auto"/>
          <w:szCs w:val="21"/>
          <w:highlight w:val="none"/>
          <w:u w:val="single"/>
        </w:rPr>
        <w:t>“采购需求”中所有要求均为实质性要求，不允许负偏离，否则视为无效响应</w:t>
      </w:r>
      <w:r>
        <w:rPr>
          <w:rFonts w:hint="eastAsia" w:ascii="宋体" w:hAnsi="宋体" w:cs="宋体"/>
          <w:b/>
          <w:color w:val="auto"/>
          <w:szCs w:val="21"/>
          <w:highlight w:val="none"/>
          <w:u w:val="single"/>
        </w:rPr>
        <w:t>。</w:t>
      </w:r>
    </w:p>
    <w:p w14:paraId="3E381B62">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3.供应商资格</w:t>
      </w:r>
    </w:p>
    <w:p w14:paraId="097F4CC1">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3.1 满足《中华人民共和国政府采购法》第二十二条规定。</w:t>
      </w:r>
    </w:p>
    <w:p w14:paraId="73B04CE5">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3.2 落实政府采购政策需满足的资格要求：</w:t>
      </w:r>
      <w:r>
        <w:rPr>
          <w:rFonts w:hint="eastAsia" w:ascii="Times New Roman" w:hAnsi="Times New Roman" w:eastAsia="宋体" w:cs="Times New Roman"/>
          <w:color w:val="auto"/>
          <w:highlight w:val="none"/>
          <w:lang w:eastAsia="zh-CN"/>
        </w:rPr>
        <w:t>无；</w:t>
      </w:r>
    </w:p>
    <w:p w14:paraId="4D82E3A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3.3 本项目的特定资格要求：无。</w:t>
      </w:r>
    </w:p>
    <w:p w14:paraId="31645E4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3.4 资格条件特别说明：</w:t>
      </w:r>
    </w:p>
    <w:p w14:paraId="72809C4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（1）单位负责人为同一人或者存在直接控股、管理关系的不同供应商，不得参加同一合同项下的政府采购活动。除单一来源采购项目外，为采购项目提供整体设计、规范编制或者项目管理、监理、 检测等服务的供应商，不得再参加该采购项目的其他采购活动。</w:t>
      </w:r>
    </w:p>
    <w:p w14:paraId="4AF7761A">
      <w:pPr>
        <w:widowControl w:val="0"/>
        <w:spacing w:line="400" w:lineRule="exact"/>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Times New Roman" w:hAnsi="Times New Roman" w:eastAsia="宋体" w:cs="Times New Roman"/>
          <w:color w:val="auto"/>
          <w:highlight w:val="none"/>
        </w:rPr>
        <w:t>www.creditchina.gov.cn</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t>) 、中国政府采购网(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Times New Roman" w:hAnsi="Times New Roman" w:eastAsia="宋体" w:cs="Times New Roman"/>
          <w:color w:val="auto"/>
          <w:highlight w:val="none"/>
        </w:rPr>
        <w:t>www.ccgp.gov.cn</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t>)被列入失信被执行人、</w:t>
      </w:r>
      <w:r>
        <w:rPr>
          <w:rFonts w:hint="eastAsia" w:ascii="Times New Roman" w:hAnsi="Times New Roman" w:eastAsia="宋体" w:cs="Times New Roman"/>
          <w:color w:val="auto"/>
          <w:highlight w:val="none"/>
          <w:lang w:eastAsia="zh-CN"/>
        </w:rPr>
        <w:t>重大税收违法失信主体</w:t>
      </w:r>
      <w:r>
        <w:rPr>
          <w:rFonts w:ascii="Times New Roman" w:hAnsi="Times New Roman" w:eastAsia="宋体" w:cs="Times New Roman"/>
          <w:color w:val="auto"/>
          <w:highlight w:val="none"/>
        </w:rPr>
        <w:t>、政府采购严重违法失信行为记录名单及其他不符合《中华人民共和国政府采购法》第二十二条规定条件的供应商，不得参与政府采购活动。</w:t>
      </w:r>
    </w:p>
    <w:p w14:paraId="127AB377">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4.参与电子竞标的准备工作</w:t>
      </w:r>
    </w:p>
    <w:p w14:paraId="0843A4E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4.1 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 CA 证书申领和绑定（费用由供应商自行承担，办理流程详见广 西壮族自治区政府采购网—办事服务—下载专区，完成 CA 证书办理预计一周左右，建议供应商尽快办 理）；③下载“广西壮族自治区全流程电子招投标项目管理系统--供应商客户端 ”（操作方法详见广 西壮族自治区政府采购网—办事服务—下载专区， 以下称“广西政府采购云平台电子投标客户端 ”） 并安装成功，供应商应当在响应文件提交截止时间前在广西政府采购云平台完成的身份认证，确保能 够对相关数据电文进行加密和使用电子签章；④自备计算机和网络设备并确保能接入互联网（费用由 供应商自行承担，设备确保可进行视频通话和读取广西政府采购云平台CA 证书）。因供应商未做好相 关准备工作等自身原因导致无法参加本项目电子竞标或竞标失败的，造成的一切后果， 由供应商自行 承担。</w:t>
      </w:r>
    </w:p>
    <w:p w14:paraId="261A5FD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4.2 电子竞标具体操作流程参考《政府采购项目电子交易管理操作指南-供应商》（详见桂林市政府采购网—采购资讯—重要通知）；如遇平台技术问题详询 95763 或者 0771-3381253。</w:t>
      </w:r>
    </w:p>
    <w:p w14:paraId="5CDB120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4.3 不论谈判结果如何，供应商均应自行承担所有与谈判有关的全部费用。</w:t>
      </w:r>
    </w:p>
    <w:p w14:paraId="5B501B84">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5.联合体要求：</w:t>
      </w:r>
    </w:p>
    <w:p w14:paraId="2B3C89E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本项目不接受联合体参与谈判。</w:t>
      </w:r>
    </w:p>
    <w:p w14:paraId="4C82E218">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6.质疑和投诉</w:t>
      </w:r>
    </w:p>
    <w:p w14:paraId="54288CA2">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6.1 供应商认为谈判文件使自己的合法权益受到损害的，应当于本项目公告期限届满之日起七个工作日内， 以书面形式向采购代理机构提出质疑；供应商认为采购过程或成交结果使自己的合法权益受 到损害的，应当在各采购程序环节结束之日或成交公告期限届满之日起七个工作日内， 以书面形式向 采购代理机构提出质疑</w:t>
      </w:r>
      <w:r>
        <w:rPr>
          <w:rFonts w:ascii="Times New Roman" w:hAnsi="Times New Roman" w:eastAsia="宋体" w:cs="Times New Roman"/>
          <w:b/>
          <w:bCs/>
          <w:color w:val="auto"/>
          <w:highlight w:val="none"/>
          <w:lang w:eastAsia="zh-CN"/>
        </w:rPr>
        <w:t>（“质疑函</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”格式见附表</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1）</w:t>
      </w:r>
      <w:r>
        <w:rPr>
          <w:rFonts w:ascii="Times New Roman" w:hAnsi="Times New Roman" w:eastAsia="宋体" w:cs="Times New Roman"/>
          <w:color w:val="auto"/>
          <w:highlight w:val="none"/>
          <w:lang w:eastAsia="zh-CN"/>
        </w:rPr>
        <w:t xml:space="preserve"> 。否则，采购代理机构有权拒收。</w:t>
      </w:r>
    </w:p>
    <w:p w14:paraId="32A7FB7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采购代理机构应认真做好质疑处理工作，对于质疑供应商在法定质疑期内提出的质疑函，应当在收到质疑函后 7 个工作日内作出答复，并以书面形式通知质疑供应商和其他有关供应商。</w:t>
      </w:r>
    </w:p>
    <w:p w14:paraId="7167E60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供应商在法定质疑期内应一次性提出与项目相关的质疑，供应商在提出与项目相关的质疑前应当做好全面且详细的工作，代理机构不再受理供应商针对同一采购程序环节的再次质疑。</w:t>
      </w:r>
    </w:p>
    <w:p w14:paraId="39F10299">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6.2 供应商对采购代理机构的质疑答复不满意或者采购代理机构未在规定的时间内作出答复的， 可以在答复期满后十五个工作日内向</w:t>
      </w:r>
      <w:r>
        <w:rPr>
          <w:rFonts w:hint="eastAsia" w:ascii="Times New Roman" w:hAnsi="Times New Roman" w:eastAsia="宋体" w:cs="Times New Roman"/>
          <w:color w:val="auto"/>
          <w:highlight w:val="none"/>
          <w:lang w:eastAsia="zh-CN"/>
        </w:rPr>
        <w:t>桂林市临桂区政府采购监督管理股</w:t>
      </w:r>
      <w:r>
        <w:rPr>
          <w:rFonts w:ascii="Times New Roman" w:hAnsi="Times New Roman" w:eastAsia="宋体" w:cs="Times New Roman"/>
          <w:color w:val="auto"/>
          <w:highlight w:val="none"/>
          <w:lang w:eastAsia="zh-CN"/>
        </w:rPr>
        <w:t>投诉</w:t>
      </w:r>
      <w:r>
        <w:rPr>
          <w:rFonts w:ascii="Times New Roman" w:hAnsi="Times New Roman" w:eastAsia="宋体" w:cs="Times New Roman"/>
          <w:b/>
          <w:bCs/>
          <w:color w:val="auto"/>
          <w:highlight w:val="none"/>
          <w:lang w:eastAsia="zh-CN"/>
        </w:rPr>
        <w:t>（</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“投诉书</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”格式见附表</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2）</w:t>
      </w:r>
      <w:r>
        <w:rPr>
          <w:rFonts w:ascii="Times New Roman" w:hAnsi="Times New Roman" w:eastAsia="宋体" w:cs="Times New Roman"/>
          <w:color w:val="auto"/>
          <w:highlight w:val="none"/>
          <w:lang w:eastAsia="zh-CN"/>
        </w:rPr>
        <w:t>。</w:t>
      </w:r>
    </w:p>
    <w:p w14:paraId="6DFD6FE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6.3 质疑、投诉应当采用书面形式，质疑书、投诉书实行实名制，均应明确阐述谈判文件、谈判过程或成交结果中使自己合法权益受到损害的实质性内容，并提供必要的证明材料。</w:t>
      </w:r>
    </w:p>
    <w:p w14:paraId="2EBA3C2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供应商提出质疑应当提交质疑函和必要的证明材料，针对同一采购程序环节的质疑必须在法定质疑期内一次性提出。质疑函应当包括下列内容：</w:t>
      </w:r>
    </w:p>
    <w:p w14:paraId="39A31C4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（1）供应商的姓名或者名称、地址、邮编、联系人及联系电话；</w:t>
      </w:r>
    </w:p>
    <w:p w14:paraId="417FD34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（2）质疑项目的名称、编号；</w:t>
      </w:r>
    </w:p>
    <w:p w14:paraId="5FD88F8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（3）具体、明确的质疑事项和与质疑事项相关的请求；</w:t>
      </w:r>
    </w:p>
    <w:p w14:paraId="1206EDE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（4）事实依据；</w:t>
      </w:r>
    </w:p>
    <w:p w14:paraId="2EE0C7A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（5）必要的法律依据；</w:t>
      </w:r>
    </w:p>
    <w:p w14:paraId="00580F4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（6）提出质疑的日期。</w:t>
      </w:r>
    </w:p>
    <w:p w14:paraId="4D4E3CA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供应商为自然人的，应当由本人签字；供应商为法人或者其他组织的，应当由法定代表人、主要 负责人，或者其授权代表签字或者盖章，并加盖公章。</w:t>
      </w:r>
    </w:p>
    <w:p w14:paraId="4D79BF2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接收质疑函方式： 以书面形式</w:t>
      </w:r>
    </w:p>
    <w:p w14:paraId="75662B0C">
      <w:pPr>
        <w:widowControl w:val="0"/>
        <w:spacing w:line="40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质疑联系部门及联系方式：广西邕政采购代理有限公司，联系人：杨云茵、韦炜，</w:t>
      </w:r>
      <w:r>
        <w:rPr>
          <w:rFonts w:ascii="Times New Roman" w:hAnsi="Times New Roman" w:eastAsia="宋体" w:cs="Times New Roman"/>
          <w:color w:val="auto"/>
          <w:highlight w:val="none"/>
          <w:lang w:eastAsia="zh-CN"/>
        </w:rPr>
        <w:t>联系电话</w:t>
      </w:r>
      <w:r>
        <w:rPr>
          <w:rFonts w:hint="eastAsia" w:ascii="Times New Roman" w:hAnsi="Times New Roman" w:eastAsia="宋体" w:cs="Times New Roman"/>
          <w:color w:val="auto"/>
          <w:highlight w:val="none"/>
          <w:lang w:eastAsia="zh-CN"/>
        </w:rPr>
        <w:t>：0773-</w:t>
      </w:r>
      <w:r>
        <w:rPr>
          <w:rFonts w:hint="eastAsia" w:ascii="Times New Roman" w:hAnsi="Times New Roman" w:eastAsia="宋体" w:cs="Times New Roman"/>
          <w:color w:val="auto"/>
          <w:highlight w:val="none"/>
          <w:lang w:val="en-US" w:eastAsia="zh-CN"/>
        </w:rPr>
        <w:t>2607356</w:t>
      </w:r>
      <w:r>
        <w:rPr>
          <w:rFonts w:hint="eastAsia" w:ascii="Times New Roman" w:hAnsi="Times New Roman" w:eastAsia="宋体" w:cs="Times New Roman"/>
          <w:color w:val="auto"/>
          <w:highlight w:val="none"/>
          <w:lang w:eastAsia="zh-CN"/>
        </w:rPr>
        <w:t>。</w:t>
      </w:r>
    </w:p>
    <w:p w14:paraId="7C684B5C">
      <w:pPr>
        <w:widowControl w:val="0"/>
        <w:spacing w:line="40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通讯地址：桂林市七星区骖鸾路东侧新建区5号小区合鑫大楼6楼。</w:t>
      </w:r>
    </w:p>
    <w:p w14:paraId="2600BA14">
      <w:pPr>
        <w:widowControl w:val="0"/>
        <w:spacing w:line="400" w:lineRule="exact"/>
        <w:ind w:firstLine="420" w:firstLineChars="200"/>
        <w:rPr>
          <w:rFonts w:hint="eastAsia" w:ascii="Times New Roman" w:hAnsi="Times New Roman" w:eastAsia="宋体" w:cs="Times New Roman"/>
          <w:b/>
          <w:bCs/>
          <w:color w:val="auto"/>
          <w:highlight w:val="none"/>
          <w:lang w:eastAsia="zh-CN"/>
        </w:rPr>
      </w:pPr>
      <w:r>
        <w:rPr>
          <w:rFonts w:hint="eastAsia" w:ascii="Times New Roman" w:hAnsi="Times New Roman" w:eastAsia="宋体" w:cs="Times New Roman"/>
          <w:color w:val="auto"/>
          <w:highlight w:val="none"/>
          <w:lang w:eastAsia="zh-CN"/>
        </w:rPr>
        <w:t>业务时间：工作日每日上午9时00分到12时00分，下午1</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lang w:eastAsia="zh-CN"/>
        </w:rPr>
        <w:t>时00分到</w:t>
      </w:r>
      <w:r>
        <w:rPr>
          <w:rFonts w:hint="eastAsia" w:ascii="Times New Roman" w:hAnsi="Times New Roman" w:eastAsia="宋体" w:cs="Times New Roman"/>
          <w:color w:val="auto"/>
          <w:highlight w:val="none"/>
          <w:lang w:val="en-US" w:eastAsia="zh-CN"/>
        </w:rPr>
        <w:t>17</w:t>
      </w:r>
      <w:r>
        <w:rPr>
          <w:rFonts w:hint="eastAsia" w:ascii="Times New Roman" w:hAnsi="Times New Roman" w:eastAsia="宋体" w:cs="Times New Roman"/>
          <w:color w:val="auto"/>
          <w:highlight w:val="none"/>
          <w:lang w:eastAsia="zh-CN"/>
        </w:rPr>
        <w:t>时</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0分。业务时间以外、双休日和法定节假日不办理业务。</w:t>
      </w:r>
    </w:p>
    <w:p w14:paraId="025BDEE5">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7.转包与分包</w:t>
      </w:r>
    </w:p>
    <w:p w14:paraId="198297A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7.1 本项目不允许转包。</w:t>
      </w:r>
    </w:p>
    <w:p w14:paraId="3C0B2CF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7.2 本项目可以分包。</w:t>
      </w:r>
    </w:p>
    <w:p w14:paraId="1824D2EA">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8.</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特别说明</w:t>
      </w:r>
    </w:p>
    <w:p w14:paraId="57BC0DB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8.1 提供相同品牌产品的不同供应商参加同一合同项下谈判的，以其中通过资格审查、符合性审查且最后报价最低的参加评审，最后报价相同的， 由采购人自主选择确定一个参加评审的供应商；非单一产品采购项目中，多家供应商提供的核心产品品牌相同的，视为提供相同品牌产品。</w:t>
      </w:r>
    </w:p>
    <w:p w14:paraId="6467BE0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8.2 关联供应商不得参加同一合同项下政府采购活动，否则响应文件将被视为无效：</w:t>
      </w:r>
    </w:p>
    <w:p w14:paraId="7AF1555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（1）单位负责人为同一人或者存在直接控股、管理关系的不同供应商，不得参加同一合同项下的政府采购活动。</w:t>
      </w:r>
    </w:p>
    <w:p w14:paraId="176341F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（2）为本采购项目提供整体设计、规范编制或者项目管理、监理、检测等服务的供应商，不得再参加本次采购活动。</w:t>
      </w:r>
    </w:p>
    <w:p w14:paraId="55E79C6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（3）生产厂商授权给供应商后自己不得参加同一合同项下的政府采购活动；生产厂商对同一品牌同一型号的货物，仅能委托一个代理商参加谈判。</w:t>
      </w:r>
    </w:p>
    <w:p w14:paraId="3167907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8.3 供应商必须仔细阅读招标文件的所有内容，按照谈判文件的要求提交响应文件，并对所提供的 全部资料的真实性承担法律责任。</w:t>
      </w:r>
    </w:p>
    <w:p w14:paraId="6D1E849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9.4 供应商在采购活动中提供任何虚假材料，其响应无效，并报监管部门查处；成交后发现的，成交供应商须依照《中华人民共和国消费者权益保护法》规定赔偿采购人，且民事赔偿并不免除违法供 应商的行政与刑事责任。</w:t>
      </w:r>
    </w:p>
    <w:p w14:paraId="70159047">
      <w:pPr>
        <w:pStyle w:val="8"/>
        <w:widowControl w:val="0"/>
        <w:spacing w:line="400" w:lineRule="exact"/>
        <w:ind w:firstLine="420" w:firstLineChars="200"/>
        <w:rPr>
          <w:rFonts w:ascii="Times New Roman" w:hAnsi="Times New Roman" w:cs="Times New Roman"/>
          <w:color w:val="auto"/>
          <w:highlight w:val="none"/>
          <w:lang w:eastAsia="zh-CN"/>
        </w:rPr>
      </w:pPr>
    </w:p>
    <w:p w14:paraId="064CF619">
      <w:pPr>
        <w:widowControl w:val="0"/>
        <w:spacing w:line="400" w:lineRule="exact"/>
        <w:jc w:val="center"/>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二、谈判文件</w:t>
      </w:r>
    </w:p>
    <w:p w14:paraId="5189CBC3">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9.谈判文件的构成</w:t>
      </w:r>
    </w:p>
    <w:p w14:paraId="2E5AD7E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（1）竞争性谈判公告；</w:t>
      </w:r>
    </w:p>
    <w:p w14:paraId="6E19672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（2）供应商须知；</w:t>
      </w:r>
    </w:p>
    <w:p w14:paraId="5F96F96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（3）采购需求；</w:t>
      </w:r>
    </w:p>
    <w:p w14:paraId="3DEB44D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（4）评审办法；</w:t>
      </w:r>
    </w:p>
    <w:p w14:paraId="05BC536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（5）政府采购合同（合同主要条款及格式）；</w:t>
      </w:r>
    </w:p>
    <w:p w14:paraId="24D78C5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（6）响应文件（格式）。</w:t>
      </w:r>
    </w:p>
    <w:p w14:paraId="7C2F2F0E">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10.谈判文件的澄清与修改</w:t>
      </w:r>
    </w:p>
    <w:p w14:paraId="392D234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10.1 提交首次响应文件截止之日前，采购代理机构可以对已发出的谈判文件进行必要澄清或者修改，澄清或者修改的内容可能影响响应文件编制的，采购代理机构应当在提交首次响应文件提交截止时间三个工作日前在本项目竞争性谈判公告发布的同一媒体上发布更正公告，不足三个工作日的，应当顺延首次响应文件提交截止时间。</w:t>
      </w:r>
    </w:p>
    <w:p w14:paraId="13AFF42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10.2 供应商应实时关注本项目信息公告发布媒体相关网站了解澄清、修改等与项目有关的内容，如因供应商未及时登录本项目信息公告发布媒体相关网站了解澄清、修改等与项目有关的内容，从而导致响应文件无效的， 由供应商自行承担责任。</w:t>
      </w:r>
    </w:p>
    <w:p w14:paraId="603631F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10.3 澄清或者修改的内容为谈判文件的组成部分。当澄清或者修改通知就同一内容的表述不一致时， 以最后发出的书面文件为准。</w:t>
      </w:r>
    </w:p>
    <w:p w14:paraId="1A27BA9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10.4 谈判文件的澄清或者修改都应该通过本项目采购代理机构以法定形式发布，采购人非通过本 机构，不得擅自澄清、答复、修改或补充谈判文件。</w:t>
      </w:r>
    </w:p>
    <w:p w14:paraId="012E990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10.5 采购代理机构可以视采购具体情况，延长响应文件提交截止时间和谈判时间，并在本项目竞 争性谈判公告发布的同一媒体上发布变更公告。</w:t>
      </w:r>
    </w:p>
    <w:p w14:paraId="73B1C81B">
      <w:pPr>
        <w:pStyle w:val="8"/>
        <w:widowControl w:val="0"/>
        <w:spacing w:line="400" w:lineRule="exact"/>
        <w:ind w:firstLine="420" w:firstLineChars="200"/>
        <w:rPr>
          <w:rFonts w:ascii="Times New Roman" w:hAnsi="Times New Roman" w:cs="Times New Roman"/>
          <w:color w:val="auto"/>
          <w:highlight w:val="none"/>
          <w:lang w:eastAsia="zh-CN"/>
        </w:rPr>
      </w:pPr>
    </w:p>
    <w:p w14:paraId="0656ABD9">
      <w:pPr>
        <w:pStyle w:val="8"/>
        <w:widowControl w:val="0"/>
        <w:spacing w:line="400" w:lineRule="exact"/>
        <w:ind w:firstLine="420" w:firstLineChars="200"/>
        <w:rPr>
          <w:rFonts w:ascii="Times New Roman" w:hAnsi="Times New Roman" w:cs="Times New Roman"/>
          <w:color w:val="auto"/>
          <w:highlight w:val="none"/>
          <w:lang w:eastAsia="zh-CN"/>
        </w:rPr>
      </w:pPr>
    </w:p>
    <w:p w14:paraId="460B6266">
      <w:pPr>
        <w:widowControl w:val="0"/>
        <w:spacing w:line="400" w:lineRule="exact"/>
        <w:jc w:val="center"/>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三、响应文件的编制</w:t>
      </w:r>
    </w:p>
    <w:p w14:paraId="3DCAB03B">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11.响应文件（以下简称响应文件）的组成及要求</w:t>
      </w:r>
    </w:p>
    <w:p w14:paraId="23D7A4B9">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11.1</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响应文件组成【格式见第六章“响应文件（格式）</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w:t>
      </w:r>
    </w:p>
    <w:p w14:paraId="22D70628">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11.1.1</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资格性响应证明材料：</w:t>
      </w:r>
    </w:p>
    <w:p w14:paraId="2E13E1C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（1）供应商相应的法定代表人(负责人、 自然人)身份证正反两面复印件</w:t>
      </w:r>
      <w:r>
        <w:rPr>
          <w:rFonts w:ascii="Times New Roman" w:hAnsi="Times New Roman" w:eastAsia="宋体" w:cs="Times New Roman"/>
          <w:b/>
          <w:bCs/>
          <w:color w:val="auto"/>
          <w:highlight w:val="none"/>
          <w:lang w:eastAsia="zh-CN"/>
        </w:rPr>
        <w:t>（必须提供）</w:t>
      </w:r>
      <w:r>
        <w:rPr>
          <w:rFonts w:ascii="Times New Roman" w:hAnsi="Times New Roman" w:eastAsia="宋体" w:cs="Times New Roman"/>
          <w:color w:val="auto"/>
          <w:highlight w:val="none"/>
          <w:lang w:eastAsia="zh-CN"/>
        </w:rPr>
        <w:t>；</w:t>
      </w:r>
    </w:p>
    <w:p w14:paraId="4BCA7B4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w:t>
      </w:r>
      <w:r>
        <w:rPr>
          <w:rFonts w:ascii="Times New Roman" w:hAnsi="Times New Roman" w:cs="Times New Roman"/>
          <w:color w:val="auto"/>
          <w:highlight w:val="none"/>
          <w:lang w:eastAsia="zh-CN"/>
        </w:rPr>
        <w:t>供应商的授权委托书原件、委托代理人身份证正反面复印件以及由社保经办机构出具的供应商为委托代理人2026年以来任意一个月交纳的社保证明复印件</w:t>
      </w:r>
      <w:r>
        <w:rPr>
          <w:rFonts w:ascii="Times New Roman" w:hAnsi="Times New Roman" w:cs="Times New Roman"/>
          <w:b/>
          <w:color w:val="auto"/>
          <w:highlight w:val="none"/>
          <w:lang w:eastAsia="zh-CN"/>
        </w:rPr>
        <w:t>【属自然人的应提供由社保经办机构出具的自然人本人及委托代理人所交纳的社保证明复印件】（委托代理时必须提供）</w:t>
      </w:r>
      <w:r>
        <w:rPr>
          <w:rFonts w:ascii="Times New Roman" w:hAnsi="Times New Roman" w:eastAsia="宋体" w:cs="Times New Roman"/>
          <w:color w:val="auto"/>
          <w:highlight w:val="none"/>
          <w:lang w:eastAsia="zh-CN"/>
        </w:rPr>
        <w:t>；</w:t>
      </w:r>
    </w:p>
    <w:p w14:paraId="31E8D5D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（3）供应商的法人或者其他组织营业执照等证明文件复印件</w:t>
      </w:r>
      <w:r>
        <w:rPr>
          <w:rFonts w:ascii="Times New Roman" w:hAnsi="Times New Roman" w:eastAsia="宋体" w:cs="Times New Roman"/>
          <w:b/>
          <w:bCs/>
          <w:color w:val="auto"/>
          <w:highlight w:val="none"/>
          <w:lang w:eastAsia="zh-CN"/>
        </w:rPr>
        <w:t>（必须提供，自然人除外）；</w:t>
      </w:r>
    </w:p>
    <w:p w14:paraId="4C5FB081">
      <w:pPr>
        <w:widowControl w:val="0"/>
        <w:spacing w:line="400" w:lineRule="exact"/>
        <w:ind w:firstLine="422"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”或“营业执照；供应商为事业单位，应提供有效的“事业单位法人证书</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”；供应商为非企业专业服务机构的，应提供执业许可证等证明文件；供应商为个体工商户，应提供有效的“个体工商户营业执照</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”。③如供应商为企业法人的分支机构的，除应提供营业执照复印件外，还应提供其所属的总公司授权其参加政府采购活动</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的授权文件或授权其独立开展经营业务活动的证明材料复印件。</w:t>
      </w:r>
    </w:p>
    <w:p w14:paraId="0E032F31">
      <w:pPr>
        <w:widowControl w:val="0"/>
        <w:spacing w:line="400" w:lineRule="exact"/>
        <w:ind w:firstLine="420" w:firstLineChars="200"/>
        <w:jc w:val="both"/>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（4）</w:t>
      </w:r>
      <w:r>
        <w:rPr>
          <w:rFonts w:hint="eastAsia" w:ascii="Times New Roman" w:hAnsi="Times New Roman" w:eastAsia="宋体" w:cs="Times New Roman"/>
          <w:color w:val="auto"/>
          <w:highlight w:val="none"/>
          <w:lang w:eastAsia="zh-CN"/>
        </w:rPr>
        <w:t>供应商2026年至响应截止时间内任意一个月的财务状况报告（至少包括提供资产负债表、利润表、现金流量表）或2026年以来银行出具的资信证明或2026年以来中国人民银行征信中心出具的信用报告）</w:t>
      </w:r>
      <w:r>
        <w:rPr>
          <w:rFonts w:ascii="Times New Roman" w:hAnsi="Times New Roman" w:eastAsia="宋体" w:cs="Times New Roman"/>
          <w:b/>
          <w:bCs/>
          <w:color w:val="auto"/>
          <w:highlight w:val="none"/>
          <w:lang w:eastAsia="zh-CN"/>
        </w:rPr>
        <w:t>（必须提供）；</w:t>
      </w:r>
    </w:p>
    <w:p w14:paraId="2B36149D">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（5）</w:t>
      </w:r>
      <w:r>
        <w:rPr>
          <w:rFonts w:hint="eastAsia" w:ascii="Times New Roman" w:hAnsi="Times New Roman" w:eastAsia="宋体" w:cs="Times New Roman"/>
          <w:color w:val="auto"/>
          <w:highlight w:val="none"/>
          <w:lang w:eastAsia="zh-CN"/>
        </w:rPr>
        <w:t>供应商依法缴纳税收的相关材料[2026年至响应截止时间内任意一个月依法缴纳税收的凭据复印件；依法免税的供应商，必须提供相应文件证明其依法免税。从取得营业执照时间起到响应文件提交截止时间为止不足要求月数的，只需提供从取得营业执照起的依法缴纳税收相应证明文件）（必须提供）；供应商依法缴纳社会保障资金的相关材料[2026年至响应截止时间内任意一个月依法缴纳社会保障资金的缴费凭证（专用收据或者社会保险缴纳清单）复印件</w:t>
      </w:r>
      <w:r>
        <w:rPr>
          <w:rFonts w:ascii="Times New Roman" w:hAnsi="Times New Roman" w:eastAsia="宋体" w:cs="Times New Roman"/>
          <w:b/>
          <w:bCs/>
          <w:color w:val="auto"/>
          <w:highlight w:val="none"/>
          <w:lang w:eastAsia="zh-CN"/>
        </w:rPr>
        <w:t>（必须提供）；</w:t>
      </w:r>
    </w:p>
    <w:p w14:paraId="54C18C2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（6）供应商参加政府采购活动前 3 年内在经营活动中没有重大违法记录及有关信用信息的书面声明</w:t>
      </w:r>
      <w:r>
        <w:rPr>
          <w:rFonts w:ascii="Times New Roman" w:hAnsi="Times New Roman" w:eastAsia="宋体" w:cs="Times New Roman"/>
          <w:b/>
          <w:bCs/>
          <w:color w:val="auto"/>
          <w:highlight w:val="none"/>
          <w:lang w:eastAsia="zh-CN"/>
        </w:rPr>
        <w:t>（必须提供）；</w:t>
      </w:r>
    </w:p>
    <w:p w14:paraId="202A61B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（7）供应商参加本项目无围标串标行为的承诺函</w:t>
      </w:r>
      <w:r>
        <w:rPr>
          <w:rFonts w:ascii="Times New Roman" w:hAnsi="Times New Roman" w:eastAsia="宋体" w:cs="Times New Roman"/>
          <w:b/>
          <w:bCs/>
          <w:color w:val="auto"/>
          <w:highlight w:val="none"/>
          <w:lang w:eastAsia="zh-CN"/>
        </w:rPr>
        <w:t>（必须提供）；</w:t>
      </w:r>
    </w:p>
    <w:p w14:paraId="14F3E0D5">
      <w:pPr>
        <w:widowControl w:val="0"/>
        <w:tabs>
          <w:tab w:val="left" w:pos="1305"/>
        </w:tabs>
        <w:kinsoku/>
        <w:autoSpaceDE/>
        <w:autoSpaceDN/>
        <w:adjustRightInd/>
        <w:snapToGrid/>
        <w:spacing w:line="44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（8）</w:t>
      </w:r>
      <w:r>
        <w:rPr>
          <w:rFonts w:hint="eastAsia" w:ascii="Times New Roman" w:hAnsi="Times New Roman" w:eastAsia="宋体" w:cs="Times New Roman"/>
          <w:snapToGrid/>
          <w:color w:val="auto"/>
          <w:kern w:val="2"/>
          <w:highlight w:val="none"/>
          <w:lang w:eastAsia="zh-CN"/>
        </w:rPr>
        <w:t>《中小企业声明函》（见附件）</w:t>
      </w:r>
      <w:r>
        <w:rPr>
          <w:rFonts w:hint="eastAsia" w:ascii="Times New Roman" w:hAnsi="Times New Roman" w:eastAsia="宋体" w:cs="Times New Roman"/>
          <w:b/>
          <w:bCs/>
          <w:snapToGrid/>
          <w:color w:val="auto"/>
          <w:kern w:val="2"/>
          <w:highlight w:val="none"/>
          <w:lang w:eastAsia="zh-CN"/>
        </w:rPr>
        <w:t>（如有，请提供）</w:t>
      </w:r>
      <w:r>
        <w:rPr>
          <w:rFonts w:hint="eastAsia" w:ascii="Times New Roman" w:hAnsi="Times New Roman" w:eastAsia="宋体" w:cs="Times New Roman"/>
          <w:snapToGrid/>
          <w:color w:val="auto"/>
          <w:kern w:val="2"/>
          <w:highlight w:val="none"/>
          <w:lang w:eastAsia="zh-CN"/>
        </w:rPr>
        <w:t>；</w:t>
      </w:r>
    </w:p>
    <w:p w14:paraId="6B05110F">
      <w:pPr>
        <w:widowControl w:val="0"/>
        <w:spacing w:line="400" w:lineRule="exact"/>
        <w:ind w:firstLine="420" w:firstLineChars="200"/>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lang w:eastAsia="zh-CN"/>
        </w:rPr>
        <w:t>9</w:t>
      </w:r>
      <w:r>
        <w:rPr>
          <w:rFonts w:hint="eastAsia" w:ascii="Times New Roman" w:hAnsi="Times New Roman" w:eastAsia="宋体" w:cs="Times New Roman"/>
          <w:color w:val="auto"/>
          <w:highlight w:val="none"/>
          <w:lang w:eastAsia="zh-CN"/>
        </w:rPr>
        <w:t>）如提供服务的供应商属于监狱企业的，应当提供由省级以上监狱管理局、戒毒管理局等（含新疆生产建设兵团）出具的属于监狱企业的证明文件, 否则不予享受优惠政策</w:t>
      </w:r>
      <w:r>
        <w:rPr>
          <w:rFonts w:hint="eastAsia" w:ascii="Times New Roman" w:hAnsi="Times New Roman" w:eastAsia="宋体" w:cs="Times New Roman"/>
          <w:b/>
          <w:bCs/>
          <w:color w:val="auto"/>
          <w:highlight w:val="none"/>
          <w:lang w:eastAsia="zh-CN"/>
        </w:rPr>
        <w:t>（如有，请提供）</w:t>
      </w:r>
      <w:r>
        <w:rPr>
          <w:rFonts w:hint="eastAsia" w:ascii="Times New Roman" w:hAnsi="Times New Roman" w:eastAsia="宋体" w:cs="Times New Roman"/>
          <w:color w:val="auto"/>
          <w:highlight w:val="none"/>
          <w:lang w:eastAsia="zh-CN"/>
        </w:rPr>
        <w:t>；</w:t>
      </w:r>
    </w:p>
    <w:p w14:paraId="3C6C69CE">
      <w:pPr>
        <w:widowControl w:val="0"/>
        <w:spacing w:line="400" w:lineRule="exact"/>
        <w:ind w:firstLine="420" w:firstLineChars="200"/>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lang w:eastAsia="zh-CN"/>
        </w:rPr>
        <w:t>10</w:t>
      </w:r>
      <w:r>
        <w:rPr>
          <w:rFonts w:hint="eastAsia" w:ascii="Times New Roman" w:hAnsi="Times New Roman" w:eastAsia="宋体" w:cs="Times New Roman"/>
          <w:color w:val="auto"/>
          <w:highlight w:val="none"/>
          <w:lang w:eastAsia="zh-CN"/>
        </w:rPr>
        <w:t>）符合条件的残疾人福利性单位在参加政府采购活动时，应当提供《残疾人福利性单位声明函》（见附件），并对声明的真实性负责；</w:t>
      </w:r>
      <w:r>
        <w:rPr>
          <w:rFonts w:hint="eastAsia" w:ascii="Times New Roman" w:hAnsi="Times New Roman" w:eastAsia="宋体" w:cs="Times New Roman"/>
          <w:b/>
          <w:bCs/>
          <w:color w:val="auto"/>
          <w:highlight w:val="none"/>
          <w:lang w:eastAsia="zh-CN"/>
        </w:rPr>
        <w:t>（如有，请提供）</w:t>
      </w:r>
      <w:r>
        <w:rPr>
          <w:rFonts w:hint="eastAsia" w:ascii="Times New Roman" w:hAnsi="Times New Roman" w:eastAsia="宋体" w:cs="Times New Roman"/>
          <w:color w:val="auto"/>
          <w:highlight w:val="none"/>
          <w:lang w:eastAsia="zh-CN"/>
        </w:rPr>
        <w:t>。</w:t>
      </w:r>
    </w:p>
    <w:p w14:paraId="2623D955">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11.1.2</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符合性响应证明材料：</w:t>
      </w:r>
    </w:p>
    <w:p w14:paraId="48554F0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（1）响应函</w:t>
      </w:r>
      <w:r>
        <w:rPr>
          <w:rFonts w:ascii="Times New Roman" w:hAnsi="Times New Roman" w:eastAsia="宋体" w:cs="Times New Roman"/>
          <w:b/>
          <w:bCs/>
          <w:color w:val="auto"/>
          <w:highlight w:val="none"/>
          <w:lang w:eastAsia="zh-CN"/>
        </w:rPr>
        <w:t>（必须提供）；</w:t>
      </w:r>
    </w:p>
    <w:p w14:paraId="0BC5550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（2）谈判报价表（格式见附件）</w:t>
      </w:r>
      <w:r>
        <w:rPr>
          <w:rFonts w:ascii="Times New Roman" w:hAnsi="Times New Roman" w:eastAsia="宋体" w:cs="Times New Roman"/>
          <w:b/>
          <w:bCs/>
          <w:color w:val="auto"/>
          <w:highlight w:val="none"/>
          <w:lang w:eastAsia="zh-CN"/>
        </w:rPr>
        <w:t>（必须提供）</w:t>
      </w:r>
      <w:r>
        <w:rPr>
          <w:rFonts w:ascii="Times New Roman" w:hAnsi="Times New Roman" w:eastAsia="宋体" w:cs="Times New Roman"/>
          <w:color w:val="auto"/>
          <w:highlight w:val="none"/>
          <w:lang w:eastAsia="zh-CN"/>
        </w:rPr>
        <w:t>；</w:t>
      </w:r>
    </w:p>
    <w:p w14:paraId="2C5C8C3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（3）技术规格偏离表</w:t>
      </w:r>
      <w:r>
        <w:rPr>
          <w:rFonts w:ascii="Times New Roman" w:hAnsi="Times New Roman" w:eastAsia="宋体" w:cs="Times New Roman"/>
          <w:b/>
          <w:bCs/>
          <w:color w:val="auto"/>
          <w:highlight w:val="none"/>
          <w:lang w:eastAsia="zh-CN"/>
        </w:rPr>
        <w:t>（必须提供）</w:t>
      </w:r>
      <w:r>
        <w:rPr>
          <w:rFonts w:ascii="Times New Roman" w:hAnsi="Times New Roman" w:eastAsia="宋体" w:cs="Times New Roman"/>
          <w:color w:val="auto"/>
          <w:highlight w:val="none"/>
          <w:lang w:eastAsia="zh-CN"/>
        </w:rPr>
        <w:t>；</w:t>
      </w:r>
    </w:p>
    <w:p w14:paraId="757C188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w:t>
      </w:r>
      <w:r>
        <w:rPr>
          <w:rFonts w:hint="eastAsia" w:ascii="Times New Roman" w:hAnsi="Times New Roman" w:eastAsia="宋体" w:cs="Times New Roman"/>
          <w:color w:val="auto"/>
          <w:highlight w:val="none"/>
          <w:lang w:eastAsia="zh-CN"/>
        </w:rPr>
        <w:t>商务要求响应表</w:t>
      </w:r>
      <w:r>
        <w:rPr>
          <w:rFonts w:ascii="Times New Roman" w:hAnsi="Times New Roman" w:eastAsia="宋体" w:cs="Times New Roman"/>
          <w:b/>
          <w:bCs/>
          <w:color w:val="auto"/>
          <w:highlight w:val="none"/>
          <w:lang w:eastAsia="zh-CN"/>
        </w:rPr>
        <w:t>（必须提供）</w:t>
      </w:r>
      <w:r>
        <w:rPr>
          <w:rFonts w:ascii="Times New Roman" w:hAnsi="Times New Roman" w:eastAsia="宋体" w:cs="Times New Roman"/>
          <w:color w:val="auto"/>
          <w:highlight w:val="none"/>
          <w:lang w:eastAsia="zh-CN"/>
        </w:rPr>
        <w:t>；</w:t>
      </w:r>
    </w:p>
    <w:p w14:paraId="34C6119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（5）售后服务承诺书</w:t>
      </w:r>
      <w:r>
        <w:rPr>
          <w:rFonts w:ascii="Times New Roman" w:hAnsi="Times New Roman" w:eastAsia="宋体" w:cs="Times New Roman"/>
          <w:b/>
          <w:bCs/>
          <w:color w:val="auto"/>
          <w:highlight w:val="none"/>
          <w:lang w:eastAsia="zh-CN"/>
        </w:rPr>
        <w:t>（必须提供）</w:t>
      </w:r>
      <w:r>
        <w:rPr>
          <w:rFonts w:ascii="Times New Roman" w:hAnsi="Times New Roman" w:eastAsia="宋体" w:cs="Times New Roman"/>
          <w:color w:val="auto"/>
          <w:highlight w:val="none"/>
          <w:lang w:eastAsia="zh-CN"/>
        </w:rPr>
        <w:t>；</w:t>
      </w:r>
    </w:p>
    <w:p w14:paraId="2D9DB52F">
      <w:pPr>
        <w:pStyle w:val="3"/>
        <w:spacing w:line="400" w:lineRule="exact"/>
        <w:ind w:firstLine="420" w:firstLineChars="200"/>
        <w:rPr>
          <w:rFonts w:ascii="Times New Roman" w:hAnsi="Times New Roman"/>
          <w:color w:val="auto"/>
          <w:highlight w:val="none"/>
        </w:rPr>
      </w:pPr>
      <w:r>
        <w:rPr>
          <w:rFonts w:ascii="Times New Roman" w:hAnsi="Times New Roman"/>
          <w:b w:val="0"/>
          <w:color w:val="auto"/>
          <w:kern w:val="0"/>
          <w:sz w:val="21"/>
          <w:szCs w:val="21"/>
          <w:highlight w:val="none"/>
        </w:rPr>
        <w:t>（6）“采购需求”需提供的有效证明文件</w:t>
      </w:r>
      <w:r>
        <w:rPr>
          <w:rFonts w:ascii="Times New Roman" w:hAnsi="Times New Roman"/>
          <w:bCs/>
          <w:color w:val="auto"/>
          <w:kern w:val="0"/>
          <w:sz w:val="21"/>
          <w:szCs w:val="21"/>
          <w:highlight w:val="none"/>
        </w:rPr>
        <w:t>（按采购需求要求提供）。</w:t>
      </w:r>
    </w:p>
    <w:p w14:paraId="163C920F">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11.1.3</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其它有效证明材料：</w:t>
      </w:r>
    </w:p>
    <w:p w14:paraId="2CBC15F4">
      <w:pPr>
        <w:tabs>
          <w:tab w:val="left" w:pos="1305"/>
        </w:tabs>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（1）项目实施方案（格式见附件）</w:t>
      </w:r>
      <w:r>
        <w:rPr>
          <w:rFonts w:ascii="Times New Roman" w:hAnsi="Times New Roman" w:eastAsia="宋体" w:cs="Times New Roman"/>
          <w:b/>
          <w:bCs/>
          <w:color w:val="auto"/>
          <w:highlight w:val="none"/>
          <w:lang w:eastAsia="zh-CN"/>
        </w:rPr>
        <w:t>（如有，请提供）；</w:t>
      </w:r>
    </w:p>
    <w:p w14:paraId="46A2F693">
      <w:pPr>
        <w:tabs>
          <w:tab w:val="left" w:pos="1305"/>
        </w:tabs>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w:t>
      </w:r>
      <w:r>
        <w:rPr>
          <w:rFonts w:hint="eastAsia" w:ascii="Times New Roman" w:hAnsi="Times New Roman" w:eastAsia="宋体" w:cs="Times New Roman"/>
          <w:color w:val="auto"/>
          <w:highlight w:val="none"/>
          <w:lang w:eastAsia="zh-CN"/>
        </w:rPr>
        <w:t>拟投入人员一览表</w:t>
      </w:r>
      <w:r>
        <w:rPr>
          <w:rFonts w:ascii="Times New Roman" w:hAnsi="Times New Roman" w:eastAsia="宋体" w:cs="Times New Roman"/>
          <w:b/>
          <w:bCs/>
          <w:color w:val="auto"/>
          <w:highlight w:val="none"/>
          <w:lang w:eastAsia="zh-CN"/>
        </w:rPr>
        <w:t>（如有，请提供）；</w:t>
      </w:r>
    </w:p>
    <w:p w14:paraId="74DA436F">
      <w:pPr>
        <w:tabs>
          <w:tab w:val="left" w:pos="1305"/>
        </w:tabs>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（3）节能方面的证书扫描件</w:t>
      </w:r>
      <w:r>
        <w:rPr>
          <w:rFonts w:ascii="Times New Roman" w:hAnsi="Times New Roman" w:eastAsia="宋体" w:cs="Times New Roman"/>
          <w:b/>
          <w:bCs/>
          <w:color w:val="auto"/>
          <w:highlight w:val="none"/>
          <w:lang w:eastAsia="zh-CN"/>
        </w:rPr>
        <w:t>（如有，请提供）；</w:t>
      </w:r>
    </w:p>
    <w:p w14:paraId="7459F7F3">
      <w:pPr>
        <w:tabs>
          <w:tab w:val="left" w:pos="1305"/>
        </w:tabs>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（4）环境标志方面的证书扫描件</w:t>
      </w:r>
      <w:r>
        <w:rPr>
          <w:rFonts w:ascii="Times New Roman" w:hAnsi="Times New Roman" w:eastAsia="宋体" w:cs="Times New Roman"/>
          <w:b/>
          <w:bCs/>
          <w:color w:val="auto"/>
          <w:highlight w:val="none"/>
          <w:lang w:eastAsia="zh-CN"/>
        </w:rPr>
        <w:t>（如有，请提供）；</w:t>
      </w:r>
    </w:p>
    <w:p w14:paraId="7E3886D5">
      <w:pPr>
        <w:widowControl w:val="0"/>
        <w:spacing w:line="400" w:lineRule="exact"/>
        <w:ind w:firstLine="420" w:firstLineChars="200"/>
        <w:rPr>
          <w:rFonts w:hint="eastAsia"/>
          <w:lang w:eastAsia="zh-CN"/>
        </w:rPr>
      </w:pPr>
      <w:r>
        <w:rPr>
          <w:rFonts w:ascii="Times New Roman" w:hAnsi="Times New Roman" w:eastAsia="宋体" w:cs="Times New Roman"/>
          <w:color w:val="auto"/>
          <w:highlight w:val="none"/>
          <w:lang w:eastAsia="zh-CN"/>
        </w:rPr>
        <w:t>（5）</w:t>
      </w:r>
      <w:r>
        <w:rPr>
          <w:rFonts w:ascii="Times New Roman" w:hAnsi="Times New Roman"/>
          <w:b w:val="0"/>
          <w:color w:val="auto"/>
          <w:kern w:val="0"/>
          <w:sz w:val="21"/>
          <w:szCs w:val="21"/>
          <w:highlight w:val="none"/>
        </w:rPr>
        <w:t>《</w:t>
      </w:r>
      <w:r>
        <w:rPr>
          <w:rFonts w:hint="eastAsia" w:ascii="Times New Roman" w:hAnsi="Times New Roman"/>
          <w:b w:val="0"/>
          <w:color w:val="auto"/>
          <w:kern w:val="0"/>
          <w:sz w:val="21"/>
          <w:szCs w:val="21"/>
          <w:highlight w:val="none"/>
        </w:rPr>
        <w:t>关于符合本国产品标准的声明函</w:t>
      </w:r>
      <w:r>
        <w:rPr>
          <w:rFonts w:ascii="Times New Roman" w:hAnsi="Times New Roman"/>
          <w:b w:val="0"/>
          <w:color w:val="auto"/>
          <w:kern w:val="0"/>
          <w:sz w:val="21"/>
          <w:szCs w:val="21"/>
          <w:highlight w:val="none"/>
        </w:rPr>
        <w:t>》</w:t>
      </w:r>
      <w:r>
        <w:rPr>
          <w:rFonts w:hint="eastAsia" w:ascii="Times New Roman" w:hAnsi="Times New Roman"/>
          <w:b w:val="0"/>
          <w:color w:val="auto"/>
          <w:kern w:val="0"/>
          <w:sz w:val="21"/>
          <w:szCs w:val="21"/>
          <w:highlight w:val="none"/>
        </w:rPr>
        <w:t>或者财政部会同有关部门规定的有关证明文件</w:t>
      </w:r>
      <w:r>
        <w:rPr>
          <w:rFonts w:hint="eastAsia" w:ascii="Times New Roman" w:hAnsi="Times New Roman"/>
          <w:b/>
          <w:bCs/>
          <w:color w:val="auto"/>
          <w:kern w:val="0"/>
          <w:sz w:val="21"/>
          <w:szCs w:val="21"/>
          <w:highlight w:val="none"/>
        </w:rPr>
        <w:t>（如有，请提供）</w:t>
      </w:r>
      <w:r>
        <w:rPr>
          <w:rFonts w:hint="eastAsia" w:ascii="Times New Roman" w:hAnsi="Times New Roman" w:eastAsia="宋体" w:cs="Times New Roman"/>
          <w:b/>
          <w:bCs/>
          <w:color w:val="auto"/>
          <w:highlight w:val="none"/>
          <w:lang w:eastAsia="zh-CN"/>
        </w:rPr>
        <w:t>；</w:t>
      </w:r>
    </w:p>
    <w:p w14:paraId="3A8A249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b w:val="0"/>
          <w:color w:val="auto"/>
          <w:kern w:val="0"/>
          <w:sz w:val="21"/>
          <w:szCs w:val="21"/>
          <w:highlight w:val="none"/>
        </w:rPr>
        <w:t>（6）</w:t>
      </w:r>
      <w:r>
        <w:rPr>
          <w:rFonts w:ascii="Times New Roman" w:hAnsi="Times New Roman" w:eastAsia="宋体" w:cs="Times New Roman"/>
          <w:color w:val="auto"/>
          <w:highlight w:val="none"/>
          <w:lang w:eastAsia="zh-CN"/>
        </w:rPr>
        <w:t>供应商可结合本项目的评审办法视自身情况自行提交相关证明材料</w:t>
      </w:r>
      <w:r>
        <w:rPr>
          <w:rFonts w:ascii="Times New Roman" w:hAnsi="Times New Roman" w:eastAsia="宋体" w:cs="Times New Roman"/>
          <w:b/>
          <w:bCs/>
          <w:color w:val="auto"/>
          <w:highlight w:val="none"/>
          <w:lang w:eastAsia="zh-CN"/>
        </w:rPr>
        <w:t>（如有，请提供）</w:t>
      </w:r>
      <w:r>
        <w:rPr>
          <w:rFonts w:ascii="Times New Roman" w:hAnsi="Times New Roman" w:eastAsia="宋体" w:cs="Times New Roman"/>
          <w:color w:val="auto"/>
          <w:highlight w:val="none"/>
          <w:lang w:eastAsia="zh-CN"/>
        </w:rPr>
        <w:t>。</w:t>
      </w:r>
    </w:p>
    <w:p w14:paraId="60AA32FB">
      <w:pPr>
        <w:widowControl w:val="0"/>
        <w:spacing w:line="400" w:lineRule="exact"/>
        <w:ind w:firstLine="422"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供应商提供的以上相关证明材料必须真实有效，属于“必须提供</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”的文件应加盖供应商</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证书签章，否则响应无效；其中“必须提供</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”的文件“响应文件（格式）</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”中有要求法定代表人(负责人、自然人)或相应的授权委托代理人在规定位置签字的，可使用法定代表人(负责人、自然人)或相应的授权委托代理人个人</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证书签章，没有办理广西政府采购云平台个人</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证书签章的可在响应文件中涉及到签字的位置手写签字后扫描或者拍照做成</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PDF</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的格式上传，无个人</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证书签章及手写签字的，响</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应文件按无效处理。</w:t>
      </w:r>
    </w:p>
    <w:p w14:paraId="7C72B2A1">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11.2 供应商应按竞争性谈判文件第六章“响应文件（格式） ”编制响应文件。</w:t>
      </w:r>
    </w:p>
    <w:p w14:paraId="573BB675">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12.响应文件的语言及计量</w:t>
      </w:r>
    </w:p>
    <w:p w14:paraId="28D39CF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12.1 响应文件以及供应商与采购代理机构就有关响应事宜的所有来往函电，均必须以中文汉语书 写。供应商提交的支持文件和印刷的文献可以使用别的语言，但其相应内容必须附有中文翻译文本， 在解释响应文件时以中文翻译文本为主。</w:t>
      </w:r>
    </w:p>
    <w:p w14:paraId="5939903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12.2 响应计量单位，谈判文件已有明确规定的，使用谈判文件规定的计量单位；谈判文件没有规 定的，必须采用中华人民共和国法定计量单位（货币单位：人民币元），否则视同未响应。</w:t>
      </w:r>
    </w:p>
    <w:p w14:paraId="105F4C34">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13.谈判报价及采购预算金额</w:t>
      </w:r>
    </w:p>
    <w:p w14:paraId="32FB2AC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 xml:space="preserve">13.1 </w:t>
      </w:r>
      <w:r>
        <w:rPr>
          <w:rFonts w:hint="eastAsia" w:ascii="Times New Roman" w:hAnsi="Times New Roman" w:eastAsia="宋体" w:cs="Times New Roman"/>
          <w:color w:val="auto"/>
          <w:highlight w:val="none"/>
          <w:lang w:eastAsia="zh-CN"/>
        </w:rPr>
        <w:t>供应商必须就“采购需求 ”中各分标的所有内容</w:t>
      </w:r>
      <w:r>
        <w:rPr>
          <w:rFonts w:ascii="Times New Roman" w:hAnsi="Times New Roman" w:eastAsia="宋体" w:cs="Times New Roman"/>
          <w:color w:val="auto"/>
          <w:highlight w:val="none"/>
          <w:lang w:eastAsia="zh-CN"/>
        </w:rPr>
        <w:t>作完整唯一报价，响应文件只允许有一个报价，有 选择的或有条件的报价将不予接受。</w:t>
      </w:r>
    </w:p>
    <w:p w14:paraId="68A4DD7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13.2 采购预算金额（人民币）：</w:t>
      </w:r>
      <w:r>
        <w:rPr>
          <w:rFonts w:hint="eastAsia" w:ascii="Times New Roman" w:hAnsi="Times New Roman" w:cs="Times New Roman"/>
          <w:b/>
          <w:bCs/>
          <w:color w:val="auto"/>
          <w:highlight w:val="none"/>
          <w:lang w:eastAsia="zh-CN"/>
        </w:rPr>
        <w:t>壹佰肆拾万</w:t>
      </w:r>
      <w:r>
        <w:rPr>
          <w:rFonts w:ascii="Times New Roman" w:hAnsi="Times New Roman" w:cs="Times New Roman"/>
          <w:b/>
          <w:color w:val="auto"/>
          <w:highlight w:val="none"/>
          <w:lang w:eastAsia="zh-CN"/>
        </w:rPr>
        <w:t>（¥</w:t>
      </w:r>
      <w:r>
        <w:rPr>
          <w:rFonts w:hint="eastAsia" w:ascii="Times New Roman" w:hAnsi="Times New Roman" w:eastAsia="宋体" w:cs="Times New Roman"/>
          <w:b/>
          <w:color w:val="auto"/>
          <w:highlight w:val="none"/>
          <w:lang w:eastAsia="zh-CN"/>
        </w:rPr>
        <w:t>1400000.00</w:t>
      </w:r>
      <w:r>
        <w:rPr>
          <w:rFonts w:ascii="Times New Roman" w:hAnsi="Times New Roman" w:eastAsia="宋体" w:cs="Times New Roman"/>
          <w:b/>
          <w:color w:val="auto"/>
          <w:highlight w:val="none"/>
          <w:lang w:eastAsia="zh-CN"/>
        </w:rPr>
        <w:t>元</w:t>
      </w:r>
      <w:r>
        <w:rPr>
          <w:rFonts w:ascii="Times New Roman" w:hAnsi="Times New Roman" w:cs="Times New Roman"/>
          <w:b/>
          <w:color w:val="auto"/>
          <w:highlight w:val="none"/>
          <w:lang w:eastAsia="zh-CN"/>
        </w:rPr>
        <w:t>）</w:t>
      </w:r>
      <w:r>
        <w:rPr>
          <w:rFonts w:ascii="Times New Roman" w:hAnsi="Times New Roman" w:eastAsia="宋体" w:cs="Times New Roman"/>
          <w:color w:val="auto"/>
          <w:highlight w:val="none"/>
          <w:lang w:eastAsia="zh-CN"/>
        </w:rPr>
        <w:t>。报价超采购预算金额的， 响应文件作无效处理。</w:t>
      </w:r>
    </w:p>
    <w:p w14:paraId="17D23CB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13.3 供应商谈判报价应包括本次采购范围内货物价款、货物随配标准附件、包装、运输、装卸、 保险、税金、货到位以及安装、安装所需辅材、调试、检验、售后服务、培训、保修、运维、验收及 其他所有成本费用的总和，供应商应综合考虑在报价中。</w:t>
      </w:r>
    </w:p>
    <w:p w14:paraId="7770CBD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13.4 未书面退出谈判的供应商必须在规定时间内登录广西政府采购云平台在线提交最后报价，其 最后报价不得超出采购预算；谈判过程中谈判文件未作实质性变动的，</w:t>
      </w:r>
      <w:r>
        <w:rPr>
          <w:rFonts w:ascii="Times New Roman" w:hAnsi="Times New Roman" w:eastAsia="宋体" w:cs="Times New Roman"/>
          <w:b/>
          <w:bCs/>
          <w:color w:val="auto"/>
          <w:highlight w:val="none"/>
          <w:lang w:eastAsia="zh-CN"/>
        </w:rPr>
        <w:t>最后报价不得超过首次报价。</w:t>
      </w:r>
    </w:p>
    <w:p w14:paraId="3D48E540">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14.响应文件有效期</w:t>
      </w:r>
    </w:p>
    <w:p w14:paraId="308FA2B1">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14.1 响应文件有效期： 自响应文件提交截止时间之日起 90 天，有效期不足的响应文件将被拒绝。</w:t>
      </w:r>
    </w:p>
    <w:p w14:paraId="11611CF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14.2 出现特殊情况下，需要延长响应文件有效期的，采购代理机构以书面形式通知供应商延长响 应文件有效期。供应商同意延长的，不能修改响应文件。供应商拒绝延长的，其响应无效。</w:t>
      </w:r>
    </w:p>
    <w:p w14:paraId="55A21B0F">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15.电子响应文件的制作、加密要求</w:t>
      </w:r>
    </w:p>
    <w:p w14:paraId="46F4DFA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15.1 供应商制作电子响应文件前，应登陆广西政府采购云平台进行“ 申请获取采购文件 ”操作， 否则，有可能导致无法在线编制响应文件并参与竞标，其不利后果由供应商自行承担。</w:t>
      </w:r>
    </w:p>
    <w:p w14:paraId="3B359F6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15.2 供应商下载或获取竞争性谈判文件后，登录“广西政府采购云平台电子投标客户端 ”，按照本谈判文件规定的响应文件格式、顺序以及广西政府采购云平台的要求，通过“广西政府采购云平台电子投标客户端 ”编制电子响应文件。</w:t>
      </w:r>
    </w:p>
    <w:p w14:paraId="1331FF8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15.3 供应商应按“广西政府采购云平台电子投标客户端 ”载明的“标书关联 ”功能进行电子响应文件的关联定位，以便谈判小组在评审时点击相应评审项可直接定位到该评审内容；如供应商的电子响应文件未能关联定位相应内容，或者关联定位的内容与该评审项不符，导致谈判小组无法查询并做出对供应商不利的评审，相关后果由供应商自行承担。</w:t>
      </w:r>
    </w:p>
    <w:p w14:paraId="00258DB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15.4 电子响应文件不得涂改，若有修改错漏处，须由法定代表人（负责人、 自然人）或授权委托 代理人通过“广西政府采购云平台电子投标客户端 ”采用广西政府采购云平台个人 CA 证书签章，没有办理广西政府采购云平台个人 CA 证书签章的，在响应文件中响应位置手写签字后扫描或者拍照做成PDF的格式上传。因响应文件字迹潦草、表达不清、内容不完整、编排混乱导致响应文件被误读、漏读，或者在按竞争性谈判文件规定的部位查找不到相关内容的，其不利后果由供应商自行承担。</w:t>
      </w:r>
    </w:p>
    <w:p w14:paraId="3BBAF9A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15.5 供应商编制、生成电子响应文件后应当加密响应文件。供应商未按规定编制并加密的响应文件，广西政府采购云平台将予以拒收。</w:t>
      </w:r>
    </w:p>
    <w:p w14:paraId="7299941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 xml:space="preserve">15.6 </w:t>
      </w:r>
      <w:r>
        <w:rPr>
          <w:rFonts w:ascii="Times New Roman" w:hAnsi="Times New Roman" w:eastAsia="宋体" w:cs="Times New Roman"/>
          <w:b/>
          <w:bCs/>
          <w:color w:val="auto"/>
          <w:highlight w:val="none"/>
          <w:lang w:eastAsia="zh-CN"/>
        </w:rPr>
        <w:t>供应商公章及签字</w:t>
      </w:r>
    </w:p>
    <w:p w14:paraId="08D34A7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15.6.1 本竞争性谈判文件中描述供应商的“公章 ”是指供应商通过指定电子化政府采购平台办理数字证书（CA 认证证书）获得的以法定主体行为名称制作的电子印章。</w:t>
      </w:r>
    </w:p>
    <w:p w14:paraId="2CDD7B4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15.6.2 本竞争性谈判文件中要求供应商对其电子响应文件的相关内容加盖公章的，均指采用 CA 证书签章。</w:t>
      </w:r>
    </w:p>
    <w:p w14:paraId="47CFDCF0">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15.6.3 本谈判文件中描述供应商的“签字 ”是指供应商通过指定电子化政府采购平台办理数字证书（CA 认证证书）获得的以供应商法定代表人（自负责人、 自然人）或者委托代理人姓名制作的个人电子印章或手写签字。没有办理个人 CA 证书的，可以为手写签字的形式。</w:t>
      </w:r>
    </w:p>
    <w:p w14:paraId="0C5BC439">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16.首次响应文件的提交、撤回、修改</w:t>
      </w:r>
    </w:p>
    <w:p w14:paraId="37837AC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16.1 响应文件的提交截止时间：</w:t>
      </w:r>
      <w:r>
        <w:rPr>
          <w:rFonts w:hint="eastAsia" w:ascii="Times New Roman" w:hAnsi="Times New Roman" w:eastAsia="宋体" w:cs="Times New Roman"/>
          <w:color w:val="auto"/>
          <w:highlight w:val="none"/>
          <w:lang w:eastAsia="zh-CN"/>
        </w:rPr>
        <w:t>2026年8月25日</w:t>
      </w:r>
      <w:r>
        <w:rPr>
          <w:rFonts w:ascii="Times New Roman" w:hAnsi="Times New Roman" w:eastAsia="宋体" w:cs="Times New Roman"/>
          <w:color w:val="auto"/>
          <w:highlight w:val="none"/>
          <w:lang w:eastAsia="zh-CN"/>
        </w:rPr>
        <w:t>上午</w:t>
      </w:r>
      <w:r>
        <w:rPr>
          <w:rFonts w:hint="eastAsia" w:ascii="Times New Roman" w:hAnsi="Times New Roman" w:eastAsia="宋体" w:cs="Times New Roman"/>
          <w:color w:val="auto"/>
          <w:highlight w:val="none"/>
          <w:lang w:eastAsia="zh-CN"/>
        </w:rPr>
        <w:t>9时30分</w:t>
      </w:r>
      <w:r>
        <w:rPr>
          <w:rFonts w:ascii="Times New Roman" w:hAnsi="Times New Roman" w:eastAsia="宋体" w:cs="Times New Roman"/>
          <w:color w:val="auto"/>
          <w:highlight w:val="none"/>
          <w:lang w:eastAsia="zh-CN"/>
        </w:rPr>
        <w:t>（北京时间）</w:t>
      </w:r>
    </w:p>
    <w:p w14:paraId="4A0AD7E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16.2 地点：通过广西政府采购云平台在线提交。</w:t>
      </w:r>
    </w:p>
    <w:p w14:paraId="1D08783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16.3 供应商应当在响应文件提交截止时间前，将生成的电子响应文件上传提交至广西政府采购云平台。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广西政府采购云平台的，视为未提交响应文件。</w:t>
      </w:r>
    </w:p>
    <w:p w14:paraId="68F835D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16.4 除竞争性谈判文件另有规定外，供应商所提交的响应文件不予退还。</w:t>
      </w:r>
    </w:p>
    <w:p w14:paraId="15362F82">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17.响应文件的解密</w:t>
      </w:r>
    </w:p>
    <w:p w14:paraId="5AC93CC1">
      <w:pPr>
        <w:widowControl w:val="0"/>
        <w:spacing w:line="400" w:lineRule="exact"/>
        <w:ind w:firstLine="420" w:firstLineChars="200"/>
        <w:jc w:val="both"/>
        <w:rPr>
          <w:rFonts w:ascii="Times New Roman" w:hAnsi="Times New Roman" w:cs="Times New Roman"/>
          <w:color w:val="auto"/>
          <w:highlight w:val="none"/>
          <w:lang w:eastAsia="zh-CN"/>
        </w:rPr>
      </w:pPr>
      <w:r>
        <w:rPr>
          <w:rFonts w:ascii="Times New Roman" w:hAnsi="Times New Roman" w:eastAsia="宋体" w:cs="Times New Roman"/>
          <w:color w:val="auto"/>
          <w:highlight w:val="none"/>
          <w:lang w:eastAsia="zh-CN"/>
        </w:rPr>
        <w:t>响应文件提交截止时间后，采购代理机构开启解密响应文件操作，广西政府采购云平台向各供应商发出电子加密响应文件解密通知， 由供应商在系统发出解密通知后 30 分钟内自行使用加密时的 CA 通过“项目采购-开标评标 ”功能对响应文件进行解密。若供应商在上述规定的时间内无法解密或解密失败的，可以在响应文件解密截止时间后 30 分钟内向采购代理机构现场提交电子备份响应文件【现场提交电子响应文件地址：桂林市公共资源交易中心政采开标仓（广西桂林市临桂区西城中路69号创业大厦西辅楼4楼）】，或以电子邮件的形式提交电子备份响应文件（以通知时所告知的电子邮箱地址为准）；供应商未在上述规定的时间、地点（电子邮箱）提交的电子备份响应文件，采购代理机 构不予接收或承认。采购代理机构收到电子备份响应文件后按“政府采购云平台 ”操作规范上传至“政府采购云平台 ”，电子备份响应文件上传成功后，供应商原上传的“电子加密响应文件 ”自动失效。若供应商在规定时间内无法解密或解密失败且未在规定的时间内提供电子备份响应文件的（包含提供的电子备份响应文件无效或无法解密的情况），视为供应商放弃谈判。</w:t>
      </w:r>
    </w:p>
    <w:p w14:paraId="23EA1435">
      <w:pPr>
        <w:widowControl w:val="0"/>
        <w:spacing w:line="400" w:lineRule="exact"/>
        <w:jc w:val="center"/>
        <w:rPr>
          <w:rFonts w:ascii="Times New Roman" w:hAnsi="Times New Roman" w:eastAsia="宋体" w:cs="Times New Roman"/>
          <w:b/>
          <w:bCs/>
          <w:color w:val="auto"/>
          <w:sz w:val="28"/>
          <w:szCs w:val="28"/>
          <w:highlight w:val="none"/>
          <w:lang w:eastAsia="zh-CN"/>
        </w:rPr>
      </w:pPr>
    </w:p>
    <w:p w14:paraId="6DC4E6EB">
      <w:pPr>
        <w:widowControl w:val="0"/>
        <w:spacing w:line="400" w:lineRule="exact"/>
        <w:jc w:val="center"/>
        <w:rPr>
          <w:rFonts w:ascii="Times New Roman" w:hAnsi="Times New Roman" w:eastAsia="宋体" w:cs="Times New Roman"/>
          <w:b/>
          <w:bCs/>
          <w:color w:val="auto"/>
          <w:sz w:val="28"/>
          <w:szCs w:val="28"/>
          <w:highlight w:val="none"/>
          <w:lang w:eastAsia="zh-CN"/>
        </w:rPr>
      </w:pPr>
    </w:p>
    <w:p w14:paraId="752CB098">
      <w:pPr>
        <w:widowControl w:val="0"/>
        <w:spacing w:line="400" w:lineRule="exact"/>
        <w:jc w:val="center"/>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四、竞争性谈判（简称谈判）与评审</w:t>
      </w:r>
    </w:p>
    <w:p w14:paraId="4E7FBA6B">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18.谈判小组组成及谈判时间、地点、人员</w:t>
      </w:r>
    </w:p>
    <w:p w14:paraId="151F76D0">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18.1</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谈判小组组成：</w:t>
      </w:r>
    </w:p>
    <w:p w14:paraId="731DB82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谈判及评审组织工作由采购代理机构负责，具体谈判、评审工作由依法组建的谈判小组负责，本项目的谈判小组由有关方面的评审专家组成，谈判小组的构成：3 人。</w:t>
      </w:r>
    </w:p>
    <w:p w14:paraId="562F22B6">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18.2</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谈判时间、地点、人员：</w:t>
      </w:r>
    </w:p>
    <w:p w14:paraId="695378E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18.2.1 谈判时间：首次响应文件提交截止时间后。</w:t>
      </w:r>
    </w:p>
    <w:p w14:paraId="42523F7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18.2.2 谈判地点：供应商代表在响应文件提交当天实时登陆登录广西政府采购云平台，按谈判小 组要求在线等候参与谈判及提交最后报价。因供应商未保持实时在线，导致谈判小组无法及时与其取得联系，从而造成供应商未按规定参与谈判或报价的，其不利后果由供应商自行承担。</w:t>
      </w:r>
    </w:p>
    <w:p w14:paraId="685A64C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18.2.3 谈判参加人员：供应商法定代表人(负责人、 自然人)或相应的委托代理人参加谈判。请供应商实时登陆登录广西政府采购云平台等候在线谈判。</w:t>
      </w:r>
    </w:p>
    <w:p w14:paraId="6ED8A28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18.2.4 首次响应文件提交截止时间后，登录广西政府采购云平台在线解密开启。</w:t>
      </w:r>
    </w:p>
    <w:p w14:paraId="07E0AB8E">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19.评审原则和评审办法</w:t>
      </w:r>
    </w:p>
    <w:p w14:paraId="5122203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19.1 谈判小组必须坚持公平、公正、科学和择优的原则。</w:t>
      </w:r>
    </w:p>
    <w:p w14:paraId="253A5EE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19.2 具体详见第四章评审办法。</w:t>
      </w:r>
    </w:p>
    <w:p w14:paraId="4B56BE7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19.3 谈判小组应按谈判文件进行评审，不得擅自更改评审办法。</w:t>
      </w:r>
    </w:p>
    <w:p w14:paraId="59D5EE8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19.4 在评审过程中，谈判小组任何人不得对某个供应商发表任何倾向性意见，不得向其他谈判小组成员明示或者暗示自己的评审意见。</w:t>
      </w:r>
    </w:p>
    <w:p w14:paraId="7F2D020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19.5 谈判小组成员对需要共同认定的事项存在争议的，按照少数服从多数的原则作出结论。持不同意见的谈判小组成员应当在评审报告上签署不同意见并说明理由，否则视为同意。</w:t>
      </w:r>
    </w:p>
    <w:p w14:paraId="7CB34424">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20.评审程序及谈判要求</w:t>
      </w:r>
    </w:p>
    <w:p w14:paraId="044A207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20.1 谈判小组成员的通讯工具或相关电子设备在</w:t>
      </w:r>
      <w:r>
        <w:rPr>
          <w:rFonts w:ascii="Times New Roman" w:hAnsi="Times New Roman" w:cs="Times New Roman"/>
          <w:color w:val="auto"/>
          <w:highlight w:val="none"/>
          <w:lang w:eastAsia="zh-CN"/>
        </w:rPr>
        <w:t>桂林市公共资源交易中心</w:t>
      </w:r>
      <w:r>
        <w:rPr>
          <w:rFonts w:ascii="Times New Roman" w:hAnsi="Times New Roman" w:eastAsia="宋体" w:cs="Times New Roman"/>
          <w:color w:val="auto"/>
          <w:highlight w:val="none"/>
          <w:lang w:eastAsia="zh-CN"/>
        </w:rPr>
        <w:t>统一保管后到达评标室，采购代理机构核实谈判小组成员身份，告知回避要求，宣布评审工作纪律和程序，推选谈判小组组长。</w:t>
      </w:r>
    </w:p>
    <w:p w14:paraId="2ACCA47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20.2 谈判小组应当审查供应商的响应文件并作出评价；要求供应商解释或者澄清其响应文件；编 写评审报告；告知采购人、采购代理机构在评审过程中发现的供应商的违法违规行为。</w:t>
      </w:r>
    </w:p>
    <w:p w14:paraId="07CF23C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20.3 谈判小组依据法律法规和竞争性谈判文件的规定，首先对响应文件进行资格性审查，以确定供应商是否具备本项目供应商资格；再对通过资格性审查的供应商响应文件的有效性、完整性和对谈 判文件的响应程度进行符合性审查， 以确定是否对谈判文件的实质性要求做出响应。</w:t>
      </w:r>
    </w:p>
    <w:p w14:paraId="309C775D">
      <w:pPr>
        <w:widowControl w:val="0"/>
        <w:spacing w:line="400" w:lineRule="exact"/>
        <w:ind w:firstLine="422"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20.4</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谈判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件无效处理。</w:t>
      </w:r>
    </w:p>
    <w:p w14:paraId="7D9BFE1A">
      <w:pPr>
        <w:widowControl w:val="0"/>
        <w:spacing w:line="400" w:lineRule="exact"/>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20.4.1 查询渠道：《国家企业信用信息公示系统》（网址：</w:t>
      </w:r>
      <w:r>
        <w:rPr>
          <w:color w:val="auto"/>
          <w:highlight w:val="none"/>
        </w:rPr>
        <w:fldChar w:fldCharType="begin"/>
      </w:r>
      <w:r>
        <w:rPr>
          <w:color w:val="auto"/>
          <w:highlight w:val="none"/>
        </w:rPr>
        <w:instrText xml:space="preserve"> HYPERLINK "http://www.gsxt.gov.cn/index.html" </w:instrText>
      </w:r>
      <w:r>
        <w:rPr>
          <w:color w:val="auto"/>
          <w:highlight w:val="none"/>
        </w:rPr>
        <w:fldChar w:fldCharType="separate"/>
      </w:r>
      <w:r>
        <w:rPr>
          <w:rFonts w:ascii="Times New Roman" w:hAnsi="Times New Roman" w:eastAsia="宋体" w:cs="Times New Roman"/>
          <w:color w:val="auto"/>
          <w:highlight w:val="none"/>
        </w:rPr>
        <w:t>www.gsxt.gov.cn/index.html</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t>）</w:t>
      </w:r>
    </w:p>
    <w:p w14:paraId="64702B0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20.4.2 审查流程：</w:t>
      </w:r>
    </w:p>
    <w:p w14:paraId="3E30521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（1）进入《国家企业信用信息公示系统》（网址：</w:t>
      </w:r>
      <w:r>
        <w:rPr>
          <w:color w:val="auto"/>
          <w:highlight w:val="none"/>
        </w:rPr>
        <w:fldChar w:fldCharType="begin"/>
      </w:r>
      <w:r>
        <w:rPr>
          <w:color w:val="auto"/>
          <w:highlight w:val="none"/>
        </w:rPr>
        <w:instrText xml:space="preserve"> HYPERLINK "https://www.gsxt.gov.cn/index.html" </w:instrText>
      </w:r>
      <w:r>
        <w:rPr>
          <w:color w:val="auto"/>
          <w:highlight w:val="none"/>
        </w:rPr>
        <w:fldChar w:fldCharType="separate"/>
      </w:r>
      <w:r>
        <w:rPr>
          <w:rFonts w:ascii="Times New Roman" w:hAnsi="Times New Roman" w:eastAsia="宋体" w:cs="Times New Roman"/>
          <w:color w:val="auto"/>
          <w:highlight w:val="none"/>
          <w:lang w:eastAsia="zh-CN"/>
        </w:rPr>
        <w:t>www.gsxt.gov.cn/index.html</w:t>
      </w:r>
      <w:r>
        <w:rPr>
          <w:rFonts w:ascii="Times New Roman" w:hAnsi="Times New Roman" w:eastAsia="宋体" w:cs="Times New Roman"/>
          <w:color w:val="auto"/>
          <w:highlight w:val="none"/>
          <w:lang w:eastAsia="zh-CN"/>
        </w:rPr>
        <w:fldChar w:fldCharType="end"/>
      </w:r>
      <w:r>
        <w:rPr>
          <w:rFonts w:ascii="Times New Roman" w:hAnsi="Times New Roman" w:eastAsia="宋体" w:cs="Times New Roman"/>
          <w:color w:val="auto"/>
          <w:highlight w:val="none"/>
          <w:lang w:eastAsia="zh-CN"/>
        </w:rPr>
        <w:t>），输入企业名称，进入企业信息主页面；</w:t>
      </w:r>
    </w:p>
    <w:p w14:paraId="5EC9F0F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（2）查看主页“股东及出资信息 ”栏，或年报中的“股东及出资信息 ”栏信息；</w:t>
      </w:r>
    </w:p>
    <w:p w14:paraId="042DAE1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（3）将各供应商的股东及出资信息进行比对，得出审查结论；</w:t>
      </w:r>
    </w:p>
    <w:p w14:paraId="677D507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（4）将相关资料作为评审资料打印存档。</w:t>
      </w:r>
    </w:p>
    <w:p w14:paraId="4D8505CD">
      <w:pPr>
        <w:widowControl w:val="0"/>
        <w:spacing w:line="400" w:lineRule="exact"/>
        <w:ind w:firstLine="422"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注：</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以上审查过程中，如出现查询企业网页主页面无法显示股东及出资信息的或仅以主页面信息</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内容无法认定供应商之间存在单位负责人为同一人或者存在直接控股、管理关系的，当时审查程序可</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继续进行，待评审结束后将对以上供应商作进一步核实确认，如确认供应商之间存在有上述关联供应</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商情形的，关联供应商均按响应文件无效处理。</w:t>
      </w:r>
    </w:p>
    <w:p w14:paraId="033C6D22">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20.5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广西政府采购云平台采用在线书面形式，并加盖公章（CA 证书签章），或者由法定代表人（负责人）或其授权委托代理人个人CA证书签章（没有办理广西政府采购云平台个人CA证书签章的可在响应文件中涉及到签字的位置手写签字后扫描或者拍照做成 PDF 的格式上传），供应商为自然人的，应当由本人个人CA证书签章（没有办理广西政府采购云平台个人CA证书签章的可在响应文件中涉及到签字的位置手写签字后扫描或者拍照做成 PDF 的格式上传）并附身份证明。</w:t>
      </w:r>
    </w:p>
    <w:p w14:paraId="403354C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根据谈判文件规定的程序、评定成交的标准等事项与实质性响应竞争性谈判文件要求的供应商进行谈判。未实质性响应谈判文件的响应文件按无效处理，谈判小组应当告知有关供应商。</w:t>
      </w:r>
    </w:p>
    <w:p w14:paraId="0C48C65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谈判小组所有成员应当按已确定的谈判顺序集中与单一供应商分别进行谈判，并给予所有实质性响应竞争性谈判文件要求的供应商平等的谈判机会。</w:t>
      </w:r>
    </w:p>
    <w:p w14:paraId="5EEECDB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谈判中，谈判小组不得透露与谈判有关的其他供应商的技术资料、价格和其他信息。</w:t>
      </w:r>
    </w:p>
    <w:p w14:paraId="0A5740A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采购代理机构（谈判小组）对谈判过程和重要谈判内容进行记录，谈判双方在记录上签字确认（或 CA证书签章）。</w:t>
      </w:r>
    </w:p>
    <w:p w14:paraId="5057DF3E">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20.6 在谈判过程中，谈判小组可以根据谈判文件和谈判情况实质性变动采购需求中的技术、服务要求以及合同草案条款，但不得变动谈判文件中的其他内容。实质性变动的内容，须经采购人代表确认。</w:t>
      </w:r>
    </w:p>
    <w:p w14:paraId="561C3D8A">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对谈判文件作出的实质性变动是谈判文件的有效组成部分，谈判小组应当及时通过广西政府采购云平台以书面形式同时通知所有参加谈判的供应商。</w:t>
      </w:r>
    </w:p>
    <w:p w14:paraId="1471C62E">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供应商必须按照谈判文件的变动情况和谈判小组的要求重新提交响应文件，并由其法定代表人(负责人、自然人)或相应的授权委托代表个人 CA 证书签章（没有办理广西政府采购云平台个人 CA证书签章的可在响应文件中涉及到签字的位置手写签字后扫描或者拍照做成 PDF 的格式上传）或者加盖供应商公章（CA 证书签章）。逾时不交的，视同放弃谈判。</w:t>
      </w:r>
    </w:p>
    <w:p w14:paraId="6BCC8D8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20.7 最后报价</w:t>
      </w:r>
    </w:p>
    <w:p w14:paraId="215E647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20.7.1 谈判文件能够详细列明采购标的的技术、服务要求的，谈判结束后，谈判小组应当要求所有继续参加谈判的供应商在规定时间内通过广西政府采购云平台在线提交最后报价，提交最后报价的供应商不得少于3家；谈判文件不能详细列明采购标的的技术、服务要求的，需由供应商提供最终设计方案或解决方案的，谈判结束后，谈判小组应当按照少数服从多数的原则投票推荐3家以上（含3家）供应商的设计方案或者解决方案，并要求其在规定时间内通过广西政府采购云平台在线提交最后报价。</w:t>
      </w:r>
    </w:p>
    <w:p w14:paraId="3D3FE1D9">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20.7.2 在采购过程中符合竞争要求的供应商或者报价未超过采购预算的供应商不足 3 家的，采购人或者采购代理机构应当终止竞争性谈判采购活动。</w:t>
      </w:r>
    </w:p>
    <w:p w14:paraId="56C80E6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20.7.3 最后报价是供应商响应文件的有效组成部分。</w:t>
      </w:r>
    </w:p>
    <w:p w14:paraId="53DD9E0C">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20.8 已提交响应文件的供应商，在提交最后报价之前，可以根据谈判情况书面退出谈判。</w:t>
      </w:r>
      <w:r>
        <w:rPr>
          <w:rFonts w:ascii="Times New Roman" w:hAnsi="Times New Roman" w:eastAsia="宋体" w:cs="Times New Roman"/>
          <w:b/>
          <w:bCs/>
          <w:color w:val="auto"/>
          <w:highlight w:val="none"/>
          <w:lang w:eastAsia="zh-CN"/>
        </w:rPr>
        <w:t>未书面退出谈判的供应商必须在规定时间内通过广西政府采购云平台在线提交最后报价；谈判过程中谈判文件未作实质性变动的，最后报价不得大于首次报价。未退出谈判的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78050C45">
      <w:pPr>
        <w:pStyle w:val="16"/>
        <w:shd w:val="clear" w:color="auto" w:fill="FFFFFF"/>
        <w:spacing w:before="0" w:beforeAutospacing="0" w:after="0" w:afterAutospacing="0" w:line="400" w:lineRule="exact"/>
        <w:ind w:firstLine="422" w:firstLineChars="200"/>
        <w:jc w:val="both"/>
        <w:rPr>
          <w:rFonts w:ascii="Times New Roman" w:hAnsi="Times New Roman"/>
          <w:b/>
          <w:color w:val="auto"/>
          <w:sz w:val="21"/>
          <w:szCs w:val="21"/>
          <w:highlight w:val="none"/>
        </w:rPr>
      </w:pPr>
      <w:r>
        <w:rPr>
          <w:rFonts w:ascii="Times New Roman" w:hAnsi="Times New Roman"/>
          <w:b/>
          <w:bCs/>
          <w:color w:val="auto"/>
          <w:sz w:val="21"/>
          <w:szCs w:val="21"/>
          <w:highlight w:val="none"/>
        </w:rPr>
        <w:t>20.9</w:t>
      </w:r>
      <w:r>
        <w:rPr>
          <w:rFonts w:ascii="Times New Roman" w:hAnsi="Times New Roman"/>
          <w:b/>
          <w:color w:val="auto"/>
          <w:sz w:val="21"/>
          <w:szCs w:val="21"/>
          <w:highlight w:val="none"/>
          <w:shd w:val="clear" w:color="auto" w:fill="FFFFFF"/>
        </w:rPr>
        <w:t>根据</w:t>
      </w:r>
      <w:r>
        <w:rPr>
          <w:rFonts w:ascii="Times New Roman" w:hAnsi="Times New Roman"/>
          <w:b/>
          <w:bCs/>
          <w:color w:val="auto"/>
          <w:sz w:val="21"/>
          <w:szCs w:val="21"/>
          <w:highlight w:val="none"/>
          <w:shd w:val="clear" w:color="auto" w:fill="FFFFFF"/>
        </w:rPr>
        <w:t>《</w:t>
      </w:r>
      <w:r>
        <w:rPr>
          <w:rFonts w:ascii="Times New Roman" w:hAnsi="Times New Roman"/>
          <w:b/>
          <w:color w:val="auto"/>
          <w:sz w:val="21"/>
          <w:szCs w:val="21"/>
          <w:highlight w:val="none"/>
          <w:shd w:val="clear" w:color="auto" w:fill="FFFFFF"/>
        </w:rPr>
        <w:t>关于推动解决政府采购异常低价问题的通知</w:t>
      </w:r>
      <w:r>
        <w:rPr>
          <w:rFonts w:ascii="Times New Roman" w:hAnsi="Times New Roman"/>
          <w:b/>
          <w:bCs/>
          <w:color w:val="auto"/>
          <w:sz w:val="21"/>
          <w:szCs w:val="21"/>
          <w:highlight w:val="none"/>
          <w:shd w:val="clear" w:color="auto" w:fill="FFFFFF"/>
        </w:rPr>
        <w:t>》（财库〔2026〕2号）规定</w:t>
      </w:r>
      <w:r>
        <w:rPr>
          <w:rFonts w:ascii="Times New Roman" w:hAnsi="Times New Roman"/>
          <w:b/>
          <w:color w:val="auto"/>
          <w:sz w:val="21"/>
          <w:szCs w:val="21"/>
          <w:highlight w:val="none"/>
        </w:rPr>
        <w:t>，</w:t>
      </w:r>
      <w:r>
        <w:rPr>
          <w:rFonts w:ascii="Times New Roman" w:hAnsi="Times New Roman"/>
          <w:b/>
          <w:color w:val="auto"/>
          <w:sz w:val="21"/>
          <w:szCs w:val="21"/>
          <w:highlight w:val="none"/>
          <w:shd w:val="clear" w:color="auto" w:fill="FFFFFF"/>
        </w:rPr>
        <w:t>政府采购评审中出现下列情形之一的，评审委员会应当启动异常低价投标（响应）审查程序： </w:t>
      </w:r>
    </w:p>
    <w:p w14:paraId="74B4B211">
      <w:pPr>
        <w:pStyle w:val="16"/>
        <w:shd w:val="clear" w:color="auto" w:fill="FFFFFF"/>
        <w:spacing w:before="0" w:beforeAutospacing="0" w:after="0" w:afterAutospacing="0" w:line="400" w:lineRule="exact"/>
        <w:jc w:val="both"/>
        <w:rPr>
          <w:rFonts w:ascii="Times New Roman" w:hAnsi="Times New Roman"/>
          <w:color w:val="auto"/>
          <w:sz w:val="21"/>
          <w:szCs w:val="21"/>
          <w:highlight w:val="none"/>
        </w:rPr>
      </w:pPr>
      <w:r>
        <w:rPr>
          <w:rFonts w:ascii="Times New Roman" w:hAnsi="Times New Roman"/>
          <w:color w:val="auto"/>
          <w:sz w:val="21"/>
          <w:szCs w:val="21"/>
          <w:highlight w:val="none"/>
          <w:shd w:val="clear" w:color="auto" w:fill="FFFFFF"/>
        </w:rPr>
        <w:t>　 （1）投标（响应）报价低于全部通过符合性审查供应商投标（响应）报价平均值50%的，即投标（响应）报价&lt;全部通过符合性审查供应商投标（响应）报价平均值×50%； </w:t>
      </w:r>
    </w:p>
    <w:p w14:paraId="532031E2">
      <w:pPr>
        <w:pStyle w:val="16"/>
        <w:shd w:val="clear" w:color="auto" w:fill="FFFFFF"/>
        <w:spacing w:before="0" w:beforeAutospacing="0" w:after="0" w:afterAutospacing="0" w:line="400" w:lineRule="exact"/>
        <w:jc w:val="both"/>
        <w:rPr>
          <w:rFonts w:ascii="Times New Roman" w:hAnsi="Times New Roman"/>
          <w:color w:val="auto"/>
          <w:sz w:val="21"/>
          <w:szCs w:val="21"/>
          <w:highlight w:val="none"/>
        </w:rPr>
      </w:pPr>
      <w:r>
        <w:rPr>
          <w:rFonts w:ascii="Times New Roman" w:hAnsi="Times New Roman"/>
          <w:color w:val="auto"/>
          <w:sz w:val="21"/>
          <w:szCs w:val="21"/>
          <w:highlight w:val="none"/>
          <w:shd w:val="clear" w:color="auto" w:fill="FFFFFF"/>
        </w:rPr>
        <w:t>　 （2）投标（响应）报价低于通过符合性审查的次低报价供应商投标（响应）报价50%的，即投标（响应）报价&lt;通过符合性审查的次低报价供应商投标（响应）报价×50%； </w:t>
      </w:r>
    </w:p>
    <w:p w14:paraId="152680BF">
      <w:pPr>
        <w:pStyle w:val="16"/>
        <w:shd w:val="clear" w:color="auto" w:fill="FFFFFF"/>
        <w:spacing w:before="0" w:beforeAutospacing="0" w:after="0" w:afterAutospacing="0" w:line="400" w:lineRule="exact"/>
        <w:jc w:val="both"/>
        <w:rPr>
          <w:rFonts w:ascii="Times New Roman" w:hAnsi="Times New Roman"/>
          <w:color w:val="auto"/>
          <w:sz w:val="21"/>
          <w:szCs w:val="21"/>
          <w:highlight w:val="none"/>
          <w:shd w:val="clear" w:color="auto" w:fill="FFFFFF"/>
        </w:rPr>
      </w:pPr>
      <w:r>
        <w:rPr>
          <w:rFonts w:ascii="Times New Roman" w:hAnsi="Times New Roman"/>
          <w:color w:val="auto"/>
          <w:sz w:val="21"/>
          <w:szCs w:val="21"/>
          <w:highlight w:val="none"/>
          <w:shd w:val="clear" w:color="auto" w:fill="FFFFFF"/>
        </w:rPr>
        <w:t>　 （3）投标（响应）报价低于采购项目最高限价45%的，即投标（响应）报价&lt;采购项目最高限价×45%；</w:t>
      </w:r>
    </w:p>
    <w:p w14:paraId="0125EA78">
      <w:pPr>
        <w:pStyle w:val="16"/>
        <w:shd w:val="clear" w:color="auto" w:fill="FFFFFF"/>
        <w:spacing w:before="0" w:beforeAutospacing="0" w:after="0" w:afterAutospacing="0" w:line="400" w:lineRule="exact"/>
        <w:ind w:firstLine="210" w:firstLineChars="100"/>
        <w:jc w:val="both"/>
        <w:rPr>
          <w:rFonts w:ascii="Times New Roman" w:hAnsi="Times New Roman"/>
          <w:color w:val="auto"/>
          <w:sz w:val="21"/>
          <w:szCs w:val="21"/>
          <w:highlight w:val="none"/>
        </w:rPr>
      </w:pPr>
      <w:r>
        <w:rPr>
          <w:rFonts w:ascii="Times New Roman" w:hAnsi="Times New Roman"/>
          <w:color w:val="auto"/>
          <w:sz w:val="21"/>
          <w:szCs w:val="21"/>
          <w:highlight w:val="none"/>
          <w:shd w:val="clear" w:color="auto" w:fill="FFFFFF"/>
        </w:rPr>
        <w:t>（4）评审委员会基于专业判断，认为供应商报价过低，有可能影响产品质量或者不能诚信履约的其他情形。 </w:t>
      </w:r>
    </w:p>
    <w:p w14:paraId="26A0B139">
      <w:pPr>
        <w:widowControl w:val="0"/>
        <w:kinsoku/>
        <w:autoSpaceDE/>
        <w:autoSpaceDN/>
        <w:adjustRightInd/>
        <w:snapToGrid/>
        <w:spacing w:line="360" w:lineRule="auto"/>
        <w:ind w:firstLine="420" w:firstLineChars="200"/>
        <w:jc w:val="both"/>
        <w:textAlignment w:val="auto"/>
        <w:rPr>
          <w:rFonts w:ascii="Times New Roman" w:hAnsi="Times New Roman" w:eastAsia="宋体" w:cs="Times New Roman"/>
          <w:snapToGrid/>
          <w:color w:val="auto"/>
          <w:kern w:val="2"/>
          <w:highlight w:val="none"/>
          <w:lang w:eastAsia="zh-CN"/>
        </w:rPr>
      </w:pPr>
      <w:bookmarkStart w:id="9" w:name="_Toc13532"/>
      <w:r>
        <w:rPr>
          <w:rFonts w:ascii="Times New Roman" w:hAnsi="Times New Roman" w:eastAsia="宋体" w:cs="Times New Roman"/>
          <w:snapToGrid/>
          <w:color w:val="auto"/>
          <w:kern w:val="2"/>
          <w:szCs w:val="24"/>
          <w:highlight w:val="none"/>
          <w:lang w:eastAsia="zh-CN"/>
        </w:rPr>
        <w:t>评审委员会启动异常低价投标（响应）审查后，属于前述第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bookmarkEnd w:id="9"/>
    </w:p>
    <w:p w14:paraId="7DBB90F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20.9 评审报告</w:t>
      </w:r>
    </w:p>
    <w:p w14:paraId="1FB4BD4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谈判小组应当从质量和服务均能满足谈判文件全部实质性响应要求的供应商中，按照评审报价（最后报价及享受政府采购政策的优惠扣除） 由低到高的顺序提出 3 名以上（含3名）成交候选人，并编写评审报告。</w:t>
      </w:r>
    </w:p>
    <w:p w14:paraId="73CE9D9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20.10 在评审过程中出现法律法规和谈判文件均没有明确规定的情形时，由谈判小组现场协商解决，协商不一致的，由全体谈判小组投票表决，以得票率二分之一以上专家的意见为准。</w:t>
      </w:r>
    </w:p>
    <w:p w14:paraId="58819927">
      <w:pPr>
        <w:widowControl w:val="0"/>
        <w:kinsoku/>
        <w:autoSpaceDE/>
        <w:autoSpaceDN/>
        <w:adjustRightInd/>
        <w:snapToGrid/>
        <w:spacing w:line="360" w:lineRule="auto"/>
        <w:ind w:firstLine="420" w:firstLineChars="200"/>
        <w:jc w:val="both"/>
        <w:textAlignment w:val="auto"/>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20.11采购代理机构发现谈判小组有明显的违规倾向或歧视现象，或不按评审办法进行，或其他不正常行为的，应当及时制止。如制止无效，应及时向本级政府采购监督管理机构报告。</w:t>
      </w:r>
    </w:p>
    <w:p w14:paraId="7EDD5697">
      <w:pPr>
        <w:widowControl w:val="0"/>
        <w:kinsoku/>
        <w:autoSpaceDE/>
        <w:autoSpaceDN/>
        <w:adjustRightInd/>
        <w:snapToGrid/>
        <w:spacing w:line="360" w:lineRule="auto"/>
        <w:ind w:firstLine="420" w:firstLineChars="200"/>
        <w:jc w:val="both"/>
        <w:textAlignment w:val="auto"/>
        <w:rPr>
          <w:rFonts w:ascii="Times New Roman" w:hAnsi="Times New Roman" w:eastAsia="宋体" w:cs="Times New Roman"/>
          <w:snapToGrid/>
          <w:color w:val="auto"/>
          <w:kern w:val="2"/>
          <w:szCs w:val="24"/>
          <w:highlight w:val="none"/>
          <w:lang w:eastAsia="zh-CN"/>
        </w:rPr>
      </w:pPr>
      <w:r>
        <w:rPr>
          <w:rFonts w:ascii="Times New Roman" w:hAnsi="Times New Roman" w:eastAsia="宋体" w:cs="Times New Roman"/>
          <w:snapToGrid/>
          <w:color w:val="auto"/>
          <w:kern w:val="2"/>
          <w:highlight w:val="none"/>
          <w:lang w:eastAsia="zh-CN"/>
        </w:rPr>
        <w:t>20.12本采购项目的评审依据为竞争性谈判文件和竞争性谈判响应文件，采用的评标方法为</w:t>
      </w:r>
      <w:r>
        <w:rPr>
          <w:rFonts w:ascii="Times New Roman" w:hAnsi="Times New Roman" w:eastAsia="宋体" w:cs="Times New Roman"/>
          <w:b/>
          <w:bCs/>
          <w:snapToGrid/>
          <w:color w:val="auto"/>
          <w:kern w:val="2"/>
          <w:highlight w:val="none"/>
          <w:lang w:eastAsia="zh-CN"/>
        </w:rPr>
        <w:t>最低评标价法。</w:t>
      </w:r>
    </w:p>
    <w:p w14:paraId="0C4FCE81">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21.推荐及确定成交候选供应商原则</w:t>
      </w:r>
    </w:p>
    <w:p w14:paraId="6CB1D0D9">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（1）采购单位应当确定谈判小组推荐排名第一的成交候选人为成交供应商。</w:t>
      </w:r>
    </w:p>
    <w:p w14:paraId="7CA6188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（2）排名第一的成交候选人放弃成交、因不可抗力提出不能履行合同，或者谈判文件规定应当提交履约保证金而在规定的期限内未能提交的，或因失信行为被取消成交候选人资格的，采购单位可以 确定排名第二的成交候选人为成交供应商。</w:t>
      </w:r>
      <w:r>
        <w:rPr>
          <w:rFonts w:ascii="Times New Roman" w:hAnsi="Times New Roman" w:cs="Times New Roman"/>
          <w:color w:val="auto"/>
          <w:highlight w:val="none"/>
          <w:lang w:eastAsia="zh-CN"/>
        </w:rPr>
        <w:t>以此类推。</w:t>
      </w:r>
    </w:p>
    <w:p w14:paraId="0B08E60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w:t>
      </w:r>
      <w:r>
        <w:rPr>
          <w:rFonts w:ascii="Times New Roman" w:hAnsi="Times New Roman" w:cs="Times New Roman"/>
          <w:color w:val="auto"/>
          <w:highlight w:val="none"/>
          <w:lang w:eastAsia="zh-CN"/>
        </w:rPr>
        <w:t>谈判小组认为，某竞标人的有效竞标报价或者某些分项报价明显不合理或者低于成本，有可能影响商品质量和不能诚信履约的，应要求其在规定的期限内提供书面文件予以解释说明，并提交相关证明材料；否则，谈判小组可以取消该竞标人的成交候选资格，按顺序由排在后面的成交候选人递补，以此类推。</w:t>
      </w:r>
    </w:p>
    <w:p w14:paraId="6F6CE69D">
      <w:pPr>
        <w:widowControl w:val="0"/>
        <w:spacing w:line="400" w:lineRule="exact"/>
        <w:ind w:firstLine="422" w:firstLineChars="200"/>
        <w:outlineLvl w:val="1"/>
        <w:rPr>
          <w:rFonts w:ascii="Times New Roman" w:hAnsi="Times New Roman" w:eastAsia="宋体" w:cs="Times New Roman"/>
          <w:b/>
          <w:bCs/>
          <w:color w:val="auto"/>
          <w:highlight w:val="none"/>
          <w:lang w:eastAsia="zh-CN"/>
        </w:rPr>
      </w:pPr>
      <w:r>
        <w:rPr>
          <w:rFonts w:ascii="Times New Roman" w:hAnsi="Times New Roman" w:eastAsia="宋体" w:cs="Times New Roman"/>
          <w:b/>
          <w:bCs/>
          <w:color w:val="auto"/>
          <w:highlight w:val="none"/>
          <w:lang w:eastAsia="zh-CN"/>
        </w:rPr>
        <w:t>22.属于下列情况之一者，响应文件无效：</w:t>
      </w:r>
    </w:p>
    <w:p w14:paraId="3FD819F5">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（1）未按谈判文件规定完整提交响应文件或未按规定要求签字、签章的，或未提供授权委托书（委托代理的）；</w:t>
      </w:r>
    </w:p>
    <w:p w14:paraId="6068AED5">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（2）超越了行政审批的经营范围的；</w:t>
      </w:r>
    </w:p>
    <w:p w14:paraId="2B0811A0">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（3）不具备谈判文件规定的资格要求的；</w:t>
      </w:r>
    </w:p>
    <w:p w14:paraId="6F98DE58">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（4）响应文件未按谈判文件的内容和要求编制，或提供虚假材料的；</w:t>
      </w:r>
    </w:p>
    <w:p w14:paraId="5696D126">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（5）响应文件有效期、免费保修期、售后服务承诺不能满足谈判文件要求的；</w:t>
      </w:r>
    </w:p>
    <w:p w14:paraId="72E29051">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（6）供应商未就“采购需求 ”中的所有服务内容作完整唯一报价的；</w:t>
      </w:r>
    </w:p>
    <w:p w14:paraId="78C77ABE">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（7）未在谈判小组规定的时间内重新提交响应文件的；</w:t>
      </w:r>
    </w:p>
    <w:p w14:paraId="17BCCD07">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（8）未满足谈判文件实质性要求的；或者响应文件有采购人不能接受的附加条件的；</w:t>
      </w:r>
    </w:p>
    <w:p w14:paraId="41123EB7">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（9）不符合法律、法规和谈判文件规定的其他实质性要求和条件的。</w:t>
      </w:r>
    </w:p>
    <w:p w14:paraId="73FCBCA8">
      <w:pPr>
        <w:widowControl w:val="0"/>
        <w:spacing w:line="400" w:lineRule="exact"/>
        <w:ind w:firstLine="422"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供应商有下列情形之一的，视为串通参与谈判，响应文件将被视为无效：</w:t>
      </w:r>
    </w:p>
    <w:p w14:paraId="41DE727D">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（1）不同供应商的响应文件由同一单位或者个人编制的；</w:t>
      </w:r>
    </w:p>
    <w:p w14:paraId="0DDB1030">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（2）不同供应商委托同一单位或者个人办理谈判事宜的；</w:t>
      </w:r>
    </w:p>
    <w:p w14:paraId="2808AEB2">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（3）不同的供应商的响应文件载明的项目管理员为同一个人的；</w:t>
      </w:r>
    </w:p>
    <w:p w14:paraId="7022B169">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（4）不同供应商的响应文件异常一致或最后报价呈规律性差异的；</w:t>
      </w:r>
    </w:p>
    <w:p w14:paraId="7DFD05AC">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（5）不同供应商的响应文件相互混装的；</w:t>
      </w:r>
    </w:p>
    <w:p w14:paraId="6ECF937D">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（6）谈判文件未作实质性变动，供应商最后报价高于首次报价的</w:t>
      </w:r>
      <w:r>
        <w:rPr>
          <w:rFonts w:ascii="Times New Roman" w:hAnsi="Times New Roman" w:eastAsia="宋体" w:cs="Times New Roman"/>
          <w:b/>
          <w:bCs/>
          <w:color w:val="auto"/>
          <w:highlight w:val="none"/>
          <w:lang w:eastAsia="zh-CN"/>
        </w:rPr>
        <w:t>。</w:t>
      </w:r>
    </w:p>
    <w:p w14:paraId="2C5A13EE">
      <w:pPr>
        <w:widowControl w:val="0"/>
        <w:spacing w:line="400" w:lineRule="exact"/>
        <w:ind w:firstLine="422"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23.出现下列情形之一的，采购人或者采购代理机构应当终止竞争性谈判采购活动，发布项目终止公告并说明原因，重新开展采购活动：</w:t>
      </w:r>
    </w:p>
    <w:p w14:paraId="16BB4C22">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（1）因情况变化，不再符合规定的竞争性谈判采购方式适用情形的；</w:t>
      </w:r>
    </w:p>
    <w:p w14:paraId="2A647072">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（2）出现影响采购公正的违法、违规行为的；</w:t>
      </w:r>
    </w:p>
    <w:p w14:paraId="6A3A92D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（3）在采购过程中符合要求的供应商或者报价未超过采购预算的供应商不足 3 家的。</w:t>
      </w:r>
    </w:p>
    <w:p w14:paraId="641F27C0">
      <w:pPr>
        <w:widowControl w:val="0"/>
        <w:spacing w:line="400" w:lineRule="exact"/>
        <w:ind w:firstLine="422"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24.在采购活动中因重大变故，采购任务取消的，采购人或者采购代理机构应当终止采购活动，通知所有参加采购活动的供应商，并将项目实施情况和采购任务取消原因报送本级财政部门。</w:t>
      </w:r>
    </w:p>
    <w:p w14:paraId="1A44EA10">
      <w:pPr>
        <w:widowControl w:val="0"/>
        <w:spacing w:line="400" w:lineRule="exact"/>
        <w:ind w:firstLine="422"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25.谈判过程的监控</w:t>
      </w:r>
    </w:p>
    <w:p w14:paraId="60D41E3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本项目谈判过程实行全程录音、录像监控，供应商在谈判过程中所进行的试图影响谈判结果的不公正活动，可能导致其响应被拒绝。</w:t>
      </w:r>
    </w:p>
    <w:p w14:paraId="4497D283">
      <w:pPr>
        <w:widowControl w:val="0"/>
        <w:spacing w:line="400" w:lineRule="exact"/>
        <w:ind w:firstLine="422"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26.</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信用查询</w:t>
      </w:r>
    </w:p>
    <w:p w14:paraId="0F73BDB7">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根据《关于做好政府采购有关信用主体标识码登记及在政府采购活动中查询使用信用记录有关问题的通知》（桂财采〔2016〕37）， 由采购代理机构对第一成交候选人进行信用查询：</w:t>
      </w:r>
    </w:p>
    <w:p w14:paraId="6641CBF4">
      <w:pPr>
        <w:widowControl w:val="0"/>
        <w:kinsoku/>
        <w:wordWrap w:val="0"/>
        <w:spacing w:line="400" w:lineRule="exact"/>
        <w:ind w:firstLine="420" w:firstLineChars="200"/>
        <w:outlineLvl w:val="1"/>
        <w:rPr>
          <w:rFonts w:ascii="Times New Roman" w:hAnsi="Times New Roman" w:eastAsia="宋体" w:cs="Times New Roman"/>
          <w:color w:val="auto"/>
          <w:highlight w:val="none"/>
        </w:rPr>
      </w:pPr>
      <w:r>
        <w:rPr>
          <w:rFonts w:ascii="Times New Roman" w:hAnsi="Times New Roman" w:eastAsia="宋体" w:cs="Times New Roman"/>
          <w:color w:val="auto"/>
          <w:highlight w:val="none"/>
        </w:rPr>
        <w:t>⑴查询渠道：“信用中国”网站(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Times New Roman" w:hAnsi="Times New Roman" w:eastAsia="宋体" w:cs="Times New Roman"/>
          <w:color w:val="auto"/>
          <w:highlight w:val="none"/>
        </w:rPr>
        <w:t>www.creditchina.gov.cn</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Times New Roman" w:hAnsi="Times New Roman" w:eastAsia="宋体" w:cs="Times New Roman"/>
          <w:color w:val="auto"/>
          <w:highlight w:val="none"/>
        </w:rPr>
        <w:t>www.ccgp.gov.cn</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t>)等；</w:t>
      </w:r>
    </w:p>
    <w:p w14:paraId="053A2B82">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⑵查询截止时间：成交通知书发出前；</w:t>
      </w:r>
    </w:p>
    <w:p w14:paraId="23A3C1DE">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⑶信用信息查询记录和证据留存方式：在查询网站中直接打印查询记录，打印材料作为采购活动资料保存；</w:t>
      </w:r>
    </w:p>
    <w:p w14:paraId="5C51187F">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⑷信用信息使用规则： 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Times New Roman" w:hAnsi="Times New Roman" w:eastAsia="宋体" w:cs="Times New Roman"/>
          <w:color w:val="auto"/>
          <w:highlight w:val="none"/>
          <w:lang w:eastAsia="zh-CN"/>
        </w:rPr>
        <w:t>www.creditchina.gov.cn</w:t>
      </w:r>
      <w:r>
        <w:rPr>
          <w:rFonts w:ascii="Times New Roman" w:hAnsi="Times New Roman" w:eastAsia="宋体" w:cs="Times New Roman"/>
          <w:color w:val="auto"/>
          <w:highlight w:val="none"/>
          <w:lang w:eastAsia="zh-CN"/>
        </w:rPr>
        <w:fldChar w:fldCharType="end"/>
      </w:r>
      <w:r>
        <w:rPr>
          <w:rFonts w:ascii="Times New Roman" w:hAnsi="Times New Roman" w:eastAsia="宋体" w:cs="Times New Roman"/>
          <w:color w:val="auto"/>
          <w:highlight w:val="none"/>
          <w:lang w:eastAsia="zh-CN"/>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Times New Roman" w:hAnsi="Times New Roman" w:eastAsia="宋体" w:cs="Times New Roman"/>
          <w:color w:val="auto"/>
          <w:highlight w:val="none"/>
          <w:lang w:eastAsia="zh-CN"/>
        </w:rPr>
        <w:t>www.ccgp.gov.cn</w:t>
      </w:r>
      <w:r>
        <w:rPr>
          <w:rFonts w:ascii="Times New Roman" w:hAnsi="Times New Roman" w:eastAsia="宋体" w:cs="Times New Roman"/>
          <w:color w:val="auto"/>
          <w:highlight w:val="none"/>
          <w:lang w:eastAsia="zh-CN"/>
        </w:rPr>
        <w:fldChar w:fldCharType="end"/>
      </w:r>
      <w:r>
        <w:rPr>
          <w:rFonts w:ascii="Times New Roman" w:hAnsi="Times New Roman" w:eastAsia="宋体" w:cs="Times New Roman"/>
          <w:color w:val="auto"/>
          <w:highlight w:val="none"/>
          <w:lang w:eastAsia="zh-CN"/>
        </w:rPr>
        <w:t>)等渠道列入失信被执行人、</w:t>
      </w:r>
      <w:r>
        <w:rPr>
          <w:rFonts w:hint="eastAsia" w:ascii="Times New Roman" w:hAnsi="Times New Roman" w:eastAsia="宋体" w:cs="Times New Roman"/>
          <w:color w:val="auto"/>
          <w:highlight w:val="none"/>
          <w:lang w:eastAsia="zh-CN"/>
        </w:rPr>
        <w:t>重大税收违法失信主体</w:t>
      </w:r>
      <w:r>
        <w:rPr>
          <w:rFonts w:ascii="Times New Roman" w:hAnsi="Times New Roman" w:eastAsia="宋体" w:cs="Times New Roman"/>
          <w:color w:val="auto"/>
          <w:highlight w:val="none"/>
          <w:lang w:eastAsia="zh-CN"/>
        </w:rPr>
        <w:t>、政府采购严重违法失信行为记录名单及其他不符合《中华人民共和国政府采购法》第二十二条规定条件的供应商，取消其成交候选人资格。</w:t>
      </w:r>
    </w:p>
    <w:p w14:paraId="2E25987B">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27.成交公告及成交通知书</w:t>
      </w:r>
    </w:p>
    <w:p w14:paraId="73576013">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27.1 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7A0DBE59">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27.2 中小企业在政府采购活动过程中，请根据自己的真实情况出具《中小企业声明函》。采购人或采购代理机构在公告成交结果时，同时公告其《中小企业声明函》，接受社会监督。</w:t>
      </w:r>
    </w:p>
    <w:p w14:paraId="7C4C4980">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27.3 在发布成交公告的同时，采购代理机构向成交供应商发出成交通知书。成交供应商应自接到通知之日起七个工作日内，办理成交通知书领取手续。</w:t>
      </w:r>
    </w:p>
    <w:p w14:paraId="15ACA65E">
      <w:pPr>
        <w:widowControl w:val="0"/>
        <w:spacing w:line="400" w:lineRule="exact"/>
        <w:ind w:firstLine="420" w:firstLineChars="200"/>
        <w:outlineLvl w:val="1"/>
        <w:rPr>
          <w:rFonts w:ascii="Times New Roman" w:hAnsi="Times New Roman" w:cs="Times New Roman"/>
          <w:color w:val="auto"/>
          <w:highlight w:val="none"/>
          <w:lang w:eastAsia="zh-CN"/>
        </w:rPr>
      </w:pPr>
      <w:r>
        <w:rPr>
          <w:rFonts w:ascii="Times New Roman" w:hAnsi="Times New Roman" w:eastAsia="宋体" w:cs="Times New Roman"/>
          <w:color w:val="auto"/>
          <w:highlight w:val="none"/>
          <w:lang w:eastAsia="zh-CN"/>
        </w:rPr>
        <w:t>27.4 采购代理机构无义务向未成交的供应商解释未成交原因和退还响应文件。</w:t>
      </w:r>
    </w:p>
    <w:p w14:paraId="1B772929">
      <w:pPr>
        <w:widowControl w:val="0"/>
        <w:spacing w:line="400" w:lineRule="exact"/>
        <w:jc w:val="center"/>
        <w:rPr>
          <w:rFonts w:ascii="Times New Roman" w:hAnsi="Times New Roman" w:eastAsia="宋体" w:cs="Times New Roman"/>
          <w:b/>
          <w:bCs/>
          <w:color w:val="auto"/>
          <w:sz w:val="28"/>
          <w:szCs w:val="28"/>
          <w:highlight w:val="none"/>
          <w:lang w:eastAsia="zh-CN"/>
        </w:rPr>
      </w:pPr>
    </w:p>
    <w:p w14:paraId="48ED774F">
      <w:pPr>
        <w:widowControl w:val="0"/>
        <w:spacing w:line="400" w:lineRule="exact"/>
        <w:jc w:val="center"/>
        <w:rPr>
          <w:rFonts w:ascii="Times New Roman" w:hAnsi="Times New Roman" w:eastAsia="宋体" w:cs="Times New Roman"/>
          <w:b/>
          <w:bCs/>
          <w:color w:val="auto"/>
          <w:sz w:val="28"/>
          <w:szCs w:val="28"/>
          <w:highlight w:val="none"/>
          <w:lang w:eastAsia="zh-CN"/>
        </w:rPr>
      </w:pPr>
    </w:p>
    <w:p w14:paraId="4572C889">
      <w:pPr>
        <w:widowControl w:val="0"/>
        <w:spacing w:line="400" w:lineRule="exact"/>
        <w:jc w:val="center"/>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五、签订合同</w:t>
      </w:r>
    </w:p>
    <w:p w14:paraId="5F8403EA">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28.履约保证金</w:t>
      </w:r>
    </w:p>
    <w:p w14:paraId="6697012C">
      <w:pPr>
        <w:spacing w:line="400" w:lineRule="exact"/>
        <w:ind w:firstLine="411" w:firstLineChars="196"/>
        <w:rPr>
          <w:rFonts w:ascii="Times New Roman" w:hAnsi="Times New Roman" w:eastAsia="宋体" w:cs="Times New Roman"/>
          <w:bCs/>
          <w:color w:val="auto"/>
          <w:highlight w:val="none"/>
          <w:lang w:eastAsia="zh-CN"/>
        </w:rPr>
      </w:pPr>
      <w:r>
        <w:rPr>
          <w:rFonts w:ascii="Times New Roman" w:hAnsi="Times New Roman" w:cs="Times New Roman"/>
          <w:color w:val="auto"/>
          <w:highlight w:val="none"/>
          <w:lang w:eastAsia="zh-CN"/>
        </w:rPr>
        <w:t>28.1 履约保证金：本项目免收履约保证金</w:t>
      </w:r>
      <w:r>
        <w:rPr>
          <w:rFonts w:ascii="Times New Roman" w:hAnsi="Times New Roman" w:eastAsia="宋体" w:cs="Times New Roman"/>
          <w:color w:val="auto"/>
          <w:highlight w:val="none"/>
          <w:lang w:eastAsia="zh-CN"/>
        </w:rPr>
        <w:t>。</w:t>
      </w:r>
    </w:p>
    <w:p w14:paraId="4A14D4AB">
      <w:pPr>
        <w:widowControl w:val="0"/>
        <w:spacing w:line="400" w:lineRule="exact"/>
        <w:ind w:firstLine="422"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29.签订合同</w:t>
      </w:r>
    </w:p>
    <w:p w14:paraId="1C2F7C3D">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29.1 签订合同时间：成交通知书发出之日起 8 个工作日内。成交供应商领取成交通知书后，应按规定与采购人签订合同。</w:t>
      </w:r>
    </w:p>
    <w:p w14:paraId="64BDFB03">
      <w:pPr>
        <w:widowControl w:val="0"/>
        <w:spacing w:line="400" w:lineRule="exact"/>
        <w:ind w:firstLine="420" w:firstLineChars="200"/>
        <w:jc w:val="both"/>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29.2 如成交供应商有下列情形之一，情节严重的，由财政部门将其列入不良行为记录名单，在一至三年内禁止参加政府采购活动，并予以通报。采购代理机构可从谈判小组推荐的成交候选供应商中 按顺序重新确定成交供应商或重新组织采购。拒绝签订政府采购合同的成交供应商不得参加对该项目 重新开展的采购活动。</w:t>
      </w:r>
    </w:p>
    <w:p w14:paraId="67538D89">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（1）成交后不与采购人签订合同的（不可抗力除外）；</w:t>
      </w:r>
    </w:p>
    <w:p w14:paraId="0B69ACBF">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（2）将成交项目转让给他人，或者在响应文件中未说明，且未经采购人同意，将成交项目分包给他人的；</w:t>
      </w:r>
    </w:p>
    <w:p w14:paraId="7014C50B">
      <w:pPr>
        <w:widowControl w:val="0"/>
        <w:spacing w:line="400" w:lineRule="exact"/>
        <w:ind w:firstLine="420" w:firstLineChars="200"/>
        <w:outlineLvl w:val="1"/>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（3）拒绝履行合同义务的。</w:t>
      </w:r>
    </w:p>
    <w:p w14:paraId="67D836E6">
      <w:pPr>
        <w:widowControl w:val="0"/>
        <w:spacing w:line="400" w:lineRule="exact"/>
        <w:ind w:firstLine="420" w:firstLineChars="200"/>
        <w:rPr>
          <w:rFonts w:ascii="Times New Roman" w:hAnsi="Times New Roman" w:cs="Times New Roman"/>
          <w:color w:val="auto"/>
          <w:highlight w:val="none"/>
          <w:lang w:eastAsia="zh-CN"/>
        </w:rPr>
      </w:pPr>
      <w:r>
        <w:rPr>
          <w:rFonts w:ascii="Times New Roman" w:hAnsi="Times New Roman" w:eastAsia="宋体" w:cs="Times New Roman"/>
          <w:color w:val="auto"/>
          <w:highlight w:val="none"/>
          <w:lang w:eastAsia="zh-CN"/>
        </w:rPr>
        <w:t>29.3 合同备案存档：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ascii="Times New Roman" w:hAnsi="Times New Roman" w:cs="Times New Roman"/>
          <w:color w:val="auto"/>
          <w:highlight w:val="none"/>
          <w:lang w:eastAsia="zh-CN"/>
        </w:rPr>
        <w:t>采购代理机构</w:t>
      </w:r>
      <w:r>
        <w:rPr>
          <w:rFonts w:ascii="Times New Roman" w:hAnsi="Times New Roman" w:eastAsia="宋体" w:cs="Times New Roman"/>
          <w:color w:val="auto"/>
          <w:highlight w:val="none"/>
          <w:lang w:eastAsia="zh-CN"/>
        </w:rPr>
        <w:t>存档。</w:t>
      </w:r>
    </w:p>
    <w:p w14:paraId="1E88FFE2">
      <w:pPr>
        <w:widowControl w:val="0"/>
        <w:spacing w:line="400" w:lineRule="exact"/>
        <w:jc w:val="center"/>
        <w:rPr>
          <w:rFonts w:ascii="Times New Roman" w:hAnsi="Times New Roman" w:eastAsia="宋体" w:cs="Times New Roman"/>
          <w:b/>
          <w:bCs/>
          <w:color w:val="auto"/>
          <w:sz w:val="28"/>
          <w:szCs w:val="28"/>
          <w:highlight w:val="none"/>
          <w:lang w:eastAsia="zh-CN"/>
        </w:rPr>
      </w:pPr>
    </w:p>
    <w:p w14:paraId="0F945622">
      <w:pPr>
        <w:widowControl w:val="0"/>
        <w:spacing w:line="400" w:lineRule="exact"/>
        <w:jc w:val="center"/>
        <w:rPr>
          <w:rFonts w:ascii="Times New Roman" w:hAnsi="Times New Roman" w:eastAsia="宋体" w:cs="Times New Roman"/>
          <w:b/>
          <w:bCs/>
          <w:color w:val="auto"/>
          <w:sz w:val="28"/>
          <w:szCs w:val="28"/>
          <w:highlight w:val="none"/>
          <w:lang w:eastAsia="zh-CN"/>
        </w:rPr>
      </w:pPr>
    </w:p>
    <w:p w14:paraId="6CBEF1CA">
      <w:pPr>
        <w:widowControl w:val="0"/>
        <w:spacing w:line="400" w:lineRule="exact"/>
        <w:jc w:val="center"/>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六、其他事项</w:t>
      </w:r>
    </w:p>
    <w:p w14:paraId="744EC339">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30.采购代理服务费</w:t>
      </w:r>
    </w:p>
    <w:p w14:paraId="0CA450D4">
      <w:pPr>
        <w:spacing w:line="400" w:lineRule="exact"/>
        <w:ind w:firstLine="411" w:firstLineChars="196"/>
        <w:outlineLvl w:val="4"/>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30.1</w:t>
      </w:r>
      <w:r>
        <w:rPr>
          <w:rFonts w:ascii="Times New Roman" w:hAnsi="Times New Roman" w:eastAsia="宋体" w:cs="Times New Roman"/>
          <w:color w:val="auto"/>
          <w:spacing w:val="4"/>
          <w:highlight w:val="none"/>
          <w:lang w:eastAsia="zh-CN"/>
        </w:rPr>
        <w:t>成交供应商领取成交通知书前，向</w:t>
      </w:r>
      <w:r>
        <w:rPr>
          <w:rFonts w:hint="eastAsia" w:ascii="Times New Roman" w:hAnsi="Times New Roman" w:eastAsia="宋体" w:cs="Times New Roman"/>
          <w:color w:val="auto"/>
          <w:spacing w:val="4"/>
          <w:highlight w:val="none"/>
          <w:lang w:eastAsia="zh-CN"/>
        </w:rPr>
        <w:t>广西邕政采购代理有限公司</w:t>
      </w:r>
      <w:r>
        <w:rPr>
          <w:rFonts w:ascii="Times New Roman" w:hAnsi="Times New Roman" w:eastAsia="宋体" w:cs="Times New Roman"/>
          <w:color w:val="auto"/>
          <w:spacing w:val="4"/>
          <w:highlight w:val="none"/>
          <w:lang w:eastAsia="zh-CN"/>
        </w:rPr>
        <w:t>一次性付清采购代理服务费。本项目采购代理服务收费标准参照计价格[2002]1980 号《招标代理服务收费管理暂行办法》货物类收费标准向成交供应商收取。</w:t>
      </w:r>
    </w:p>
    <w:p w14:paraId="16BD96E1">
      <w:pPr>
        <w:spacing w:line="4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30.2代理服务收费标准：</w:t>
      </w:r>
    </w:p>
    <w:tbl>
      <w:tblPr>
        <w:tblStyle w:val="22"/>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61E1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0252029E">
            <w:pPr>
              <w:spacing w:line="400" w:lineRule="exact"/>
              <w:ind w:left="23"/>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12700" b="12700"/>
                      <wp:wrapNone/>
                      <wp:docPr id="6"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gFTNNYAAAAIAQAADwAAAAAAAAABACAAAAAiAAAAZHJzL2Rvd25yZXYueG1sUEsBAhQA&#10;FAAAAAgAh07iQBIfZRv0AQAA6wMAAA4AAAAAAAAAAQAgAAAAJQEAAGRycy9lMm9Eb2MueG1sUEsF&#10;BgAAAAAGAAYAWQEAAIsFAAAAAA==&#10;">
                      <v:fill on="f" focussize="0,0"/>
                      <v:stroke color="#000000" joinstyle="round"/>
                      <v:imagedata o:title=""/>
                      <o:lock v:ext="edit" aspectratio="f"/>
                    </v:line>
                  </w:pict>
                </mc:Fallback>
              </mc:AlternateContent>
            </w:r>
            <w:r>
              <w:rPr>
                <w:rFonts w:ascii="Times New Roman" w:hAnsi="Times New Roman" w:eastAsia="宋体" w:cs="Times New Roman"/>
                <w:color w:val="auto"/>
                <w:highlight w:val="none"/>
                <w:lang w:eastAsia="zh-CN"/>
              </w:rPr>
              <w:t>费率           服务类型</w:t>
            </w:r>
          </w:p>
          <w:p w14:paraId="1F3B28D0">
            <w:pPr>
              <w:spacing w:line="400" w:lineRule="exact"/>
              <w:ind w:left="23"/>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AOr0TWAAAACAEAAA8AAAAAAAAAAQAgAAAAIgAAAGRycy9kb3ducmV2LnhtbFBL&#10;AQIUABQAAAAIAIdO4kD1LKMQ+AEAAOsDAAAOAAAAAAAAAAEAIAAAACUBAABkcnMvZTJvRG9jLnht&#10;bFBLBQYAAAAABgAGAFkBAACPBQAAAAA=&#10;">
                      <v:fill on="f" focussize="0,0"/>
                      <v:stroke color="#000000" joinstyle="round"/>
                      <v:imagedata o:title=""/>
                      <o:lock v:ext="edit" aspectratio="f"/>
                    </v:line>
                  </w:pict>
                </mc:Fallback>
              </mc:AlternateContent>
            </w:r>
          </w:p>
          <w:p w14:paraId="3B997CFF">
            <w:pPr>
              <w:spacing w:line="400" w:lineRule="exact"/>
              <w:ind w:left="23"/>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中标金额（万元）</w:t>
            </w:r>
          </w:p>
        </w:tc>
        <w:tc>
          <w:tcPr>
            <w:tcW w:w="1841" w:type="dxa"/>
            <w:vAlign w:val="center"/>
          </w:tcPr>
          <w:p w14:paraId="0A5D0D6B">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货物招标</w:t>
            </w:r>
          </w:p>
        </w:tc>
        <w:tc>
          <w:tcPr>
            <w:tcW w:w="1992" w:type="dxa"/>
            <w:vAlign w:val="center"/>
          </w:tcPr>
          <w:p w14:paraId="2ED87FFD">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服务招标</w:t>
            </w:r>
          </w:p>
        </w:tc>
        <w:tc>
          <w:tcPr>
            <w:tcW w:w="2293" w:type="dxa"/>
            <w:vAlign w:val="center"/>
          </w:tcPr>
          <w:p w14:paraId="42B2D6A4">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工程招标</w:t>
            </w:r>
          </w:p>
        </w:tc>
      </w:tr>
      <w:tr w14:paraId="0E1A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14C48B22">
            <w:pPr>
              <w:spacing w:line="400" w:lineRule="exact"/>
              <w:ind w:left="23"/>
              <w:rPr>
                <w:rFonts w:ascii="Times New Roman" w:hAnsi="Times New Roman" w:eastAsia="宋体" w:cs="Times New Roman"/>
                <w:color w:val="auto"/>
                <w:highlight w:val="none"/>
              </w:rPr>
            </w:pPr>
            <w:r>
              <w:rPr>
                <w:rFonts w:ascii="Times New Roman" w:hAnsi="Times New Roman" w:eastAsia="宋体" w:cs="Times New Roman"/>
                <w:color w:val="auto"/>
                <w:highlight w:val="none"/>
              </w:rPr>
              <w:t>100以下</w:t>
            </w:r>
          </w:p>
        </w:tc>
        <w:tc>
          <w:tcPr>
            <w:tcW w:w="1841" w:type="dxa"/>
          </w:tcPr>
          <w:p w14:paraId="531A61C1">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1.5%</w:t>
            </w:r>
          </w:p>
        </w:tc>
        <w:tc>
          <w:tcPr>
            <w:tcW w:w="1992" w:type="dxa"/>
          </w:tcPr>
          <w:p w14:paraId="3625111D">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1.5%</w:t>
            </w:r>
          </w:p>
        </w:tc>
        <w:tc>
          <w:tcPr>
            <w:tcW w:w="2293" w:type="dxa"/>
          </w:tcPr>
          <w:p w14:paraId="470E63DF">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1.0%</w:t>
            </w:r>
          </w:p>
        </w:tc>
      </w:tr>
      <w:tr w14:paraId="2F75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1DA820B1">
            <w:pPr>
              <w:spacing w:line="400" w:lineRule="exact"/>
              <w:ind w:left="23"/>
              <w:rPr>
                <w:rFonts w:ascii="Times New Roman" w:hAnsi="Times New Roman" w:eastAsia="宋体" w:cs="Times New Roman"/>
                <w:color w:val="auto"/>
                <w:highlight w:val="none"/>
              </w:rPr>
            </w:pPr>
            <w:r>
              <w:rPr>
                <w:rFonts w:ascii="Times New Roman" w:hAnsi="Times New Roman" w:eastAsia="宋体" w:cs="Times New Roman"/>
                <w:color w:val="auto"/>
                <w:highlight w:val="none"/>
              </w:rPr>
              <w:t>100-500</w:t>
            </w:r>
          </w:p>
        </w:tc>
        <w:tc>
          <w:tcPr>
            <w:tcW w:w="1841" w:type="dxa"/>
          </w:tcPr>
          <w:p w14:paraId="55FAE4A4">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1.1%</w:t>
            </w:r>
          </w:p>
        </w:tc>
        <w:tc>
          <w:tcPr>
            <w:tcW w:w="1992" w:type="dxa"/>
          </w:tcPr>
          <w:p w14:paraId="15224637">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0.8%</w:t>
            </w:r>
          </w:p>
        </w:tc>
        <w:tc>
          <w:tcPr>
            <w:tcW w:w="2293" w:type="dxa"/>
          </w:tcPr>
          <w:p w14:paraId="5EEC6F44">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0.7%</w:t>
            </w:r>
          </w:p>
        </w:tc>
      </w:tr>
      <w:tr w14:paraId="445A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453927AB">
            <w:pPr>
              <w:spacing w:line="400" w:lineRule="exact"/>
              <w:ind w:left="23"/>
              <w:rPr>
                <w:rFonts w:ascii="Times New Roman" w:hAnsi="Times New Roman" w:eastAsia="宋体" w:cs="Times New Roman"/>
                <w:color w:val="auto"/>
                <w:highlight w:val="none"/>
              </w:rPr>
            </w:pPr>
            <w:r>
              <w:rPr>
                <w:rFonts w:ascii="Times New Roman" w:hAnsi="Times New Roman" w:eastAsia="宋体" w:cs="Times New Roman"/>
                <w:color w:val="auto"/>
                <w:highlight w:val="none"/>
              </w:rPr>
              <w:t>500-1000</w:t>
            </w:r>
          </w:p>
        </w:tc>
        <w:tc>
          <w:tcPr>
            <w:tcW w:w="1841" w:type="dxa"/>
          </w:tcPr>
          <w:p w14:paraId="3CB39BAB">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0.8%</w:t>
            </w:r>
          </w:p>
        </w:tc>
        <w:tc>
          <w:tcPr>
            <w:tcW w:w="1992" w:type="dxa"/>
          </w:tcPr>
          <w:p w14:paraId="5167D313">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0.45%</w:t>
            </w:r>
          </w:p>
        </w:tc>
        <w:tc>
          <w:tcPr>
            <w:tcW w:w="2293" w:type="dxa"/>
          </w:tcPr>
          <w:p w14:paraId="17196595">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0.55%</w:t>
            </w:r>
          </w:p>
        </w:tc>
      </w:tr>
      <w:tr w14:paraId="04BB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6A34A3C7">
            <w:pPr>
              <w:spacing w:line="400" w:lineRule="exact"/>
              <w:ind w:left="23"/>
              <w:rPr>
                <w:rFonts w:ascii="Times New Roman" w:hAnsi="Times New Roman" w:eastAsia="宋体" w:cs="Times New Roman"/>
                <w:color w:val="auto"/>
                <w:highlight w:val="none"/>
              </w:rPr>
            </w:pPr>
            <w:r>
              <w:rPr>
                <w:rFonts w:ascii="Times New Roman" w:hAnsi="Times New Roman" w:eastAsia="宋体" w:cs="Times New Roman"/>
                <w:color w:val="auto"/>
                <w:highlight w:val="none"/>
              </w:rPr>
              <w:t>1000-5000</w:t>
            </w:r>
          </w:p>
        </w:tc>
        <w:tc>
          <w:tcPr>
            <w:tcW w:w="1841" w:type="dxa"/>
          </w:tcPr>
          <w:p w14:paraId="007BEC5A">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0.5%</w:t>
            </w:r>
          </w:p>
        </w:tc>
        <w:tc>
          <w:tcPr>
            <w:tcW w:w="1992" w:type="dxa"/>
          </w:tcPr>
          <w:p w14:paraId="2D26F11E">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0.25%</w:t>
            </w:r>
          </w:p>
        </w:tc>
        <w:tc>
          <w:tcPr>
            <w:tcW w:w="2293" w:type="dxa"/>
          </w:tcPr>
          <w:p w14:paraId="49FCDD1F">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0.35%</w:t>
            </w:r>
          </w:p>
        </w:tc>
      </w:tr>
      <w:tr w14:paraId="79AF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41C2207">
            <w:pPr>
              <w:spacing w:line="400" w:lineRule="exact"/>
              <w:ind w:left="23"/>
              <w:rPr>
                <w:rFonts w:ascii="Times New Roman" w:hAnsi="Times New Roman" w:eastAsia="宋体" w:cs="Times New Roman"/>
                <w:color w:val="auto"/>
                <w:highlight w:val="none"/>
              </w:rPr>
            </w:pPr>
            <w:r>
              <w:rPr>
                <w:rFonts w:ascii="Times New Roman" w:hAnsi="Times New Roman" w:eastAsia="宋体" w:cs="Times New Roman"/>
                <w:color w:val="auto"/>
                <w:highlight w:val="none"/>
              </w:rPr>
              <w:t>5000-10000</w:t>
            </w:r>
          </w:p>
        </w:tc>
        <w:tc>
          <w:tcPr>
            <w:tcW w:w="1841" w:type="dxa"/>
          </w:tcPr>
          <w:p w14:paraId="36524720">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0.25%</w:t>
            </w:r>
          </w:p>
        </w:tc>
        <w:tc>
          <w:tcPr>
            <w:tcW w:w="1992" w:type="dxa"/>
          </w:tcPr>
          <w:p w14:paraId="0D7F75A3">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0.1%</w:t>
            </w:r>
          </w:p>
        </w:tc>
        <w:tc>
          <w:tcPr>
            <w:tcW w:w="2293" w:type="dxa"/>
          </w:tcPr>
          <w:p w14:paraId="6DD0ADFA">
            <w:pPr>
              <w:spacing w:line="400" w:lineRule="exact"/>
              <w:ind w:left="23"/>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0.2%</w:t>
            </w:r>
          </w:p>
        </w:tc>
      </w:tr>
    </w:tbl>
    <w:p w14:paraId="532E0410">
      <w:pPr>
        <w:widowControl w:val="0"/>
        <w:spacing w:line="400" w:lineRule="exact"/>
        <w:ind w:firstLine="420" w:firstLineChars="200"/>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注：代理服务收费按差额定率累进法计算。</w:t>
      </w:r>
    </w:p>
    <w:p w14:paraId="275ECD21">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31.采购代理机构银行账户（用于缴纳采购代理服务费）：</w:t>
      </w:r>
    </w:p>
    <w:p w14:paraId="6F9F86D9">
      <w:pPr>
        <w:pStyle w:val="11"/>
        <w:snapToGrid w:val="0"/>
        <w:spacing w:line="360" w:lineRule="exact"/>
        <w:ind w:firstLine="420" w:firstLineChars="200"/>
        <w:rPr>
          <w:rFonts w:hint="eastAsia" w:hAnsi="宋体"/>
          <w:color w:val="auto"/>
          <w:szCs w:val="21"/>
          <w:highlight w:val="none"/>
        </w:rPr>
      </w:pPr>
      <w:bookmarkStart w:id="10" w:name="_Toc7094"/>
      <w:r>
        <w:rPr>
          <w:rFonts w:hint="eastAsia" w:hAnsi="宋体"/>
          <w:color w:val="auto"/>
          <w:szCs w:val="21"/>
          <w:highlight w:val="none"/>
        </w:rPr>
        <w:t>开户名称：广西邕政采购代理有限公司桂林分公司</w:t>
      </w:r>
      <w:bookmarkEnd w:id="10"/>
    </w:p>
    <w:p w14:paraId="4EB0A44C">
      <w:pPr>
        <w:pStyle w:val="11"/>
        <w:snapToGrid w:val="0"/>
        <w:spacing w:line="360" w:lineRule="exact"/>
        <w:ind w:firstLine="420" w:firstLineChars="200"/>
        <w:rPr>
          <w:rFonts w:hint="eastAsia" w:hAnsi="宋体"/>
          <w:color w:val="auto"/>
          <w:szCs w:val="21"/>
          <w:highlight w:val="none"/>
        </w:rPr>
      </w:pPr>
      <w:bookmarkStart w:id="11" w:name="_Toc16466"/>
      <w:r>
        <w:rPr>
          <w:rFonts w:hint="eastAsia" w:hAnsi="宋体"/>
          <w:color w:val="auto"/>
          <w:szCs w:val="21"/>
          <w:highlight w:val="none"/>
        </w:rPr>
        <w:t>开户银行：桂林银行观音阁支行</w:t>
      </w:r>
      <w:bookmarkEnd w:id="11"/>
    </w:p>
    <w:p w14:paraId="7ED522C4">
      <w:pPr>
        <w:widowControl w:val="0"/>
        <w:spacing w:line="400" w:lineRule="exact"/>
        <w:ind w:firstLine="420" w:firstLineChars="200"/>
        <w:rPr>
          <w:rFonts w:hint="eastAsia" w:hAnsi="宋体"/>
          <w:color w:val="auto"/>
          <w:szCs w:val="21"/>
          <w:highlight w:val="none"/>
        </w:rPr>
      </w:pPr>
      <w:bookmarkStart w:id="12" w:name="_Toc74"/>
      <w:r>
        <w:rPr>
          <w:rFonts w:hint="eastAsia" w:hAnsi="宋体"/>
          <w:color w:val="auto"/>
          <w:szCs w:val="21"/>
          <w:highlight w:val="none"/>
        </w:rPr>
        <w:t>账    号：660000013203500016</w:t>
      </w:r>
      <w:bookmarkEnd w:id="12"/>
    </w:p>
    <w:p w14:paraId="1CEE1472">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32.解释权：</w:t>
      </w:r>
      <w:r>
        <w:rPr>
          <w:rFonts w:ascii="Times New Roman" w:hAnsi="Times New Roman" w:eastAsia="宋体" w:cs="Times New Roman"/>
          <w:color w:val="auto"/>
          <w:highlight w:val="none"/>
          <w:lang w:eastAsia="zh-CN"/>
        </w:rPr>
        <w:t>本竞争性谈判文件是根据《中华人民共和国政府采购法》、《中华人民共和国政府采 购法实施条例》、《政府采购非招标采购方式管理办法》和政府采购管理有关规定编制，本竞争性谈判文件的解释权属于采购代理机构。</w:t>
      </w:r>
    </w:p>
    <w:p w14:paraId="7493108F">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33.监督管理机构：</w:t>
      </w:r>
      <w:r>
        <w:rPr>
          <w:rFonts w:hint="eastAsia" w:ascii="宋体" w:hAnsi="宋体"/>
          <w:color w:val="auto"/>
          <w:kern w:val="0"/>
          <w:szCs w:val="21"/>
          <w:highlight w:val="none"/>
        </w:rPr>
        <w:t>桂林市财政局；联系电话：0773-2829504</w:t>
      </w:r>
    </w:p>
    <w:p w14:paraId="5C9BB1CD">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color w:val="auto"/>
          <w:highlight w:val="none"/>
          <w:lang w:eastAsia="zh-CN"/>
        </w:rPr>
      </w:pPr>
      <w:r>
        <w:rPr>
          <w:rFonts w:ascii="Times New Roman" w:hAnsi="Times New Roman" w:eastAsia="宋体" w:cs="Times New Roman"/>
          <w:b/>
          <w:bCs/>
          <w:color w:val="auto"/>
          <w:highlight w:val="none"/>
          <w:lang w:eastAsia="zh-CN"/>
        </w:rPr>
        <w:t>3</w:t>
      </w:r>
      <w:r>
        <w:rPr>
          <w:rFonts w:hint="eastAsia" w:ascii="Times New Roman" w:hAnsi="Times New Roman" w:eastAsia="宋体" w:cs="Times New Roman"/>
          <w:b/>
          <w:bCs/>
          <w:color w:val="auto"/>
          <w:highlight w:val="none"/>
          <w:lang w:eastAsia="zh-CN"/>
        </w:rPr>
        <w:t>6</w:t>
      </w:r>
      <w:r>
        <w:rPr>
          <w:rFonts w:ascii="Times New Roman" w:hAnsi="Times New Roman" w:eastAsia="宋体" w:cs="Times New Roman"/>
          <w:b/>
          <w:bCs/>
          <w:color w:val="auto"/>
          <w:highlight w:val="none"/>
          <w:lang w:eastAsia="zh-CN"/>
        </w:rPr>
        <w:t>.对本国产品的支持政策</w:t>
      </w:r>
    </w:p>
    <w:p w14:paraId="5C00DD36">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3</w:t>
      </w:r>
      <w:r>
        <w:rPr>
          <w:rFonts w:hint="eastAsia" w:ascii="Times New Roman" w:hAnsi="Times New Roman" w:eastAsia="宋体" w:cs="Times New Roman"/>
          <w:snapToGrid/>
          <w:color w:val="auto"/>
          <w:kern w:val="2"/>
          <w:highlight w:val="none"/>
          <w:lang w:eastAsia="zh-CN"/>
        </w:rPr>
        <w:t>6</w:t>
      </w:r>
      <w:r>
        <w:rPr>
          <w:rFonts w:ascii="Times New Roman" w:hAnsi="Times New Roman" w:eastAsia="宋体" w:cs="Times New Roman"/>
          <w:snapToGrid/>
          <w:color w:val="auto"/>
          <w:kern w:val="2"/>
          <w:highlight w:val="none"/>
          <w:lang w:eastAsia="zh-CN"/>
        </w:rPr>
        <w:t>.1本国产品标准</w:t>
      </w:r>
    </w:p>
    <w:p w14:paraId="2833555B">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“本国产品标准的产品”是指：符合《国务院办公厅关于在政府采购中实施本国产品标准及相关政策的通知》（国办发〔2025〕34号）规定的本国产品标准的产品。</w:t>
      </w:r>
    </w:p>
    <w:p w14:paraId="545E5DBF">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3</w:t>
      </w:r>
      <w:r>
        <w:rPr>
          <w:rFonts w:hint="eastAsia" w:ascii="Times New Roman" w:hAnsi="Times New Roman" w:eastAsia="宋体" w:cs="Times New Roman"/>
          <w:snapToGrid/>
          <w:color w:val="auto"/>
          <w:kern w:val="2"/>
          <w:highlight w:val="none"/>
          <w:lang w:eastAsia="zh-CN"/>
        </w:rPr>
        <w:t>6</w:t>
      </w:r>
      <w:r>
        <w:rPr>
          <w:rFonts w:ascii="Times New Roman" w:hAnsi="Times New Roman" w:eastAsia="宋体" w:cs="Times New Roman"/>
          <w:snapToGrid/>
          <w:color w:val="auto"/>
          <w:kern w:val="2"/>
          <w:highlight w:val="none"/>
          <w:lang w:eastAsia="zh-CN"/>
        </w:rPr>
        <w:t>.2本国产品标准的适用范围</w:t>
      </w:r>
    </w:p>
    <w:p w14:paraId="433F527C">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ascii="Times New Roman" w:hAnsi="Times New Roman" w:eastAsia="宋体" w:cs="Times New Roman"/>
          <w:bCs/>
          <w:snapToGrid/>
          <w:color w:val="auto"/>
          <w:kern w:val="2"/>
          <w:highlight w:val="none"/>
          <w:lang w:eastAsia="zh-CN"/>
        </w:rPr>
        <w:t>本项目是否适用对本国产品的支持政策详见第</w:t>
      </w:r>
      <w:r>
        <w:rPr>
          <w:rFonts w:hint="eastAsia" w:ascii="Times New Roman" w:hAnsi="Times New Roman" w:eastAsia="宋体" w:cs="Times New Roman"/>
          <w:bCs/>
          <w:snapToGrid/>
          <w:color w:val="auto"/>
          <w:kern w:val="2"/>
          <w:highlight w:val="none"/>
          <w:lang w:eastAsia="zh-CN"/>
        </w:rPr>
        <w:t>三</w:t>
      </w:r>
      <w:r>
        <w:rPr>
          <w:rFonts w:ascii="Times New Roman" w:hAnsi="Times New Roman" w:eastAsia="宋体" w:cs="Times New Roman"/>
          <w:bCs/>
          <w:snapToGrid/>
          <w:color w:val="auto"/>
          <w:kern w:val="2"/>
          <w:highlight w:val="none"/>
          <w:lang w:eastAsia="zh-CN"/>
        </w:rPr>
        <w:t>章采购需求。</w:t>
      </w:r>
    </w:p>
    <w:p w14:paraId="4A6106E8">
      <w:pPr>
        <w:widowControl w:val="0"/>
        <w:spacing w:line="400" w:lineRule="exact"/>
        <w:ind w:firstLine="420" w:firstLineChars="200"/>
        <w:rPr>
          <w:rFonts w:ascii="Times New Roman" w:hAnsi="Times New Roman" w:eastAsia="宋体" w:cs="Times New Roman"/>
          <w:color w:val="auto"/>
          <w:highlight w:val="none"/>
          <w:lang w:eastAsia="zh-CN"/>
        </w:rPr>
        <w:sectPr>
          <w:footerReference r:id="rId6" w:type="default"/>
          <w:pgSz w:w="11906" w:h="16839"/>
          <w:pgMar w:top="1247" w:right="1247" w:bottom="1247" w:left="1247" w:header="0" w:footer="822" w:gutter="0"/>
          <w:cols w:space="0" w:num="1"/>
        </w:sectPr>
      </w:pPr>
    </w:p>
    <w:p w14:paraId="5B5A20AF">
      <w:pPr>
        <w:widowControl w:val="0"/>
        <w:spacing w:line="400" w:lineRule="exact"/>
        <w:ind w:firstLine="482"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b/>
          <w:bCs/>
          <w:color w:val="auto"/>
          <w:sz w:val="24"/>
          <w:szCs w:val="24"/>
          <w:highlight w:val="none"/>
          <w:lang w:eastAsia="zh-CN"/>
        </w:rPr>
        <w:t>附表</w:t>
      </w:r>
      <w:r>
        <w:rPr>
          <w:rFonts w:ascii="Times New Roman" w:hAnsi="Times New Roman" w:eastAsia="宋体" w:cs="Times New Roman"/>
          <w:color w:val="auto"/>
          <w:sz w:val="24"/>
          <w:szCs w:val="24"/>
          <w:highlight w:val="none"/>
          <w:lang w:eastAsia="zh-CN"/>
        </w:rPr>
        <w:t xml:space="preserve"> </w:t>
      </w:r>
      <w:r>
        <w:rPr>
          <w:rFonts w:ascii="Times New Roman" w:hAnsi="Times New Roman" w:eastAsia="宋体" w:cs="Times New Roman"/>
          <w:b/>
          <w:bCs/>
          <w:color w:val="auto"/>
          <w:sz w:val="24"/>
          <w:szCs w:val="24"/>
          <w:highlight w:val="none"/>
          <w:lang w:eastAsia="zh-CN"/>
        </w:rPr>
        <w:t>1：</w:t>
      </w:r>
    </w:p>
    <w:p w14:paraId="2BA4D2E2">
      <w:pPr>
        <w:widowControl w:val="0"/>
        <w:jc w:val="center"/>
        <w:rPr>
          <w:rFonts w:ascii="Times New Roman" w:hAnsi="Times New Roman" w:eastAsia="宋体" w:cs="Times New Roman"/>
          <w:color w:val="auto"/>
          <w:sz w:val="43"/>
          <w:szCs w:val="43"/>
          <w:highlight w:val="none"/>
          <w:lang w:eastAsia="zh-CN"/>
        </w:rPr>
      </w:pPr>
      <w:r>
        <w:rPr>
          <w:rFonts w:ascii="Times New Roman" w:hAnsi="Times New Roman" w:eastAsia="宋体" w:cs="Times New Roman"/>
          <w:color w:val="auto"/>
          <w:sz w:val="43"/>
          <w:szCs w:val="43"/>
          <w:highlight w:val="none"/>
          <w:lang w:eastAsia="zh-CN"/>
        </w:rPr>
        <w:t>质疑函（格式）</w:t>
      </w:r>
    </w:p>
    <w:p w14:paraId="6D3B04DC">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一、质疑供应商基本信息：</w:t>
      </w:r>
    </w:p>
    <w:p w14:paraId="0C36672F">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质疑供应商：</w:t>
      </w:r>
    </w:p>
    <w:p w14:paraId="1E2121E9">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地址：</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邮编：</w:t>
      </w:r>
    </w:p>
    <w:p w14:paraId="781EA515">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联系人：</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联系电话：</w:t>
      </w:r>
      <w:r>
        <w:rPr>
          <w:rFonts w:ascii="Times New Roman" w:hAnsi="Times New Roman" w:eastAsia="宋体" w:cs="Times New Roman"/>
          <w:color w:val="auto"/>
          <w:sz w:val="20"/>
          <w:szCs w:val="20"/>
          <w:highlight w:val="none"/>
          <w:u w:val="single"/>
          <w:lang w:eastAsia="zh-CN"/>
        </w:rPr>
        <w:t xml:space="preserve">                     </w:t>
      </w:r>
    </w:p>
    <w:p w14:paraId="4AB014B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授权代表：</w:t>
      </w:r>
      <w:r>
        <w:rPr>
          <w:rFonts w:ascii="Times New Roman" w:hAnsi="Times New Roman" w:eastAsia="宋体" w:cs="Times New Roman"/>
          <w:color w:val="auto"/>
          <w:sz w:val="20"/>
          <w:szCs w:val="20"/>
          <w:highlight w:val="none"/>
          <w:u w:val="single"/>
          <w:lang w:eastAsia="zh-CN"/>
        </w:rPr>
        <w:t xml:space="preserve">                     </w:t>
      </w:r>
    </w:p>
    <w:p w14:paraId="60183EBF">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联系电话：</w:t>
      </w:r>
      <w:r>
        <w:rPr>
          <w:rFonts w:ascii="Times New Roman" w:hAnsi="Times New Roman" w:eastAsia="宋体" w:cs="Times New Roman"/>
          <w:color w:val="auto"/>
          <w:sz w:val="20"/>
          <w:szCs w:val="20"/>
          <w:highlight w:val="none"/>
          <w:u w:val="single"/>
          <w:lang w:eastAsia="zh-CN"/>
        </w:rPr>
        <w:t xml:space="preserve">                     </w:t>
      </w:r>
    </w:p>
    <w:p w14:paraId="1D2C060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地址：</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邮编：</w:t>
      </w:r>
    </w:p>
    <w:p w14:paraId="3CF0B9F9">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二、质疑项目基本情况：</w:t>
      </w:r>
    </w:p>
    <w:p w14:paraId="7A1B6776">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质疑项目的名称：</w:t>
      </w:r>
      <w:r>
        <w:rPr>
          <w:rFonts w:ascii="Times New Roman" w:hAnsi="Times New Roman" w:eastAsia="宋体" w:cs="Times New Roman"/>
          <w:color w:val="auto"/>
          <w:sz w:val="20"/>
          <w:szCs w:val="20"/>
          <w:highlight w:val="none"/>
          <w:u w:val="single"/>
          <w:lang w:eastAsia="zh-CN"/>
        </w:rPr>
        <w:t xml:space="preserve">                     </w:t>
      </w:r>
    </w:p>
    <w:p w14:paraId="085D0A30">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质疑项目的编号：</w:t>
      </w:r>
      <w:r>
        <w:rPr>
          <w:rFonts w:ascii="Times New Roman" w:hAnsi="Times New Roman" w:eastAsia="宋体" w:cs="Times New Roman"/>
          <w:color w:val="auto"/>
          <w:sz w:val="20"/>
          <w:szCs w:val="20"/>
          <w:highlight w:val="none"/>
          <w:u w:val="single"/>
          <w:lang w:eastAsia="zh-CN"/>
        </w:rPr>
        <w:t xml:space="preserve">                     </w:t>
      </w:r>
    </w:p>
    <w:p w14:paraId="745C91B3">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采购人名称：</w:t>
      </w:r>
      <w:r>
        <w:rPr>
          <w:rFonts w:ascii="Times New Roman" w:hAnsi="Times New Roman" w:eastAsia="宋体" w:cs="Times New Roman"/>
          <w:color w:val="auto"/>
          <w:sz w:val="20"/>
          <w:szCs w:val="20"/>
          <w:highlight w:val="none"/>
          <w:u w:val="single"/>
          <w:lang w:eastAsia="zh-CN"/>
        </w:rPr>
        <w:t xml:space="preserve">                     </w:t>
      </w:r>
    </w:p>
    <w:p w14:paraId="1E4E7E0F">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质疑事项：</w:t>
      </w:r>
      <w:r>
        <w:rPr>
          <w:rFonts w:ascii="Times New Roman" w:hAnsi="Times New Roman" w:eastAsia="宋体" w:cs="Times New Roman"/>
          <w:color w:val="auto"/>
          <w:sz w:val="20"/>
          <w:szCs w:val="20"/>
          <w:highlight w:val="none"/>
          <w:u w:val="single"/>
          <w:lang w:eastAsia="zh-CN"/>
        </w:rPr>
        <w:t xml:space="preserve">                     </w:t>
      </w:r>
    </w:p>
    <w:p w14:paraId="4446CD01">
      <w:pPr>
        <w:widowControl w:val="0"/>
        <w:spacing w:line="400" w:lineRule="exact"/>
        <w:ind w:firstLine="6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30"/>
          <w:szCs w:val="30"/>
          <w:highlight w:val="none"/>
          <w:lang w:eastAsia="zh-CN"/>
        </w:rPr>
        <w:t>□</w:t>
      </w:r>
      <w:r>
        <w:rPr>
          <w:rFonts w:ascii="Times New Roman" w:hAnsi="Times New Roman" w:eastAsia="宋体" w:cs="Times New Roman"/>
          <w:color w:val="auto"/>
          <w:sz w:val="20"/>
          <w:szCs w:val="20"/>
          <w:highlight w:val="none"/>
          <w:lang w:eastAsia="zh-CN"/>
        </w:rPr>
        <w:t>谈判文件   谈判文件获取日期：</w:t>
      </w:r>
    </w:p>
    <w:p w14:paraId="6B338B1C">
      <w:pPr>
        <w:widowControl w:val="0"/>
        <w:spacing w:line="400" w:lineRule="exact"/>
        <w:ind w:firstLine="6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30"/>
          <w:szCs w:val="30"/>
          <w:highlight w:val="none"/>
          <w:lang w:eastAsia="zh-CN"/>
        </w:rPr>
        <w:t>□</w:t>
      </w:r>
      <w:r>
        <w:rPr>
          <w:rFonts w:ascii="Times New Roman" w:hAnsi="Times New Roman" w:eastAsia="宋体" w:cs="Times New Roman"/>
          <w:color w:val="auto"/>
          <w:sz w:val="20"/>
          <w:szCs w:val="20"/>
          <w:highlight w:val="none"/>
          <w:lang w:eastAsia="zh-CN"/>
        </w:rPr>
        <w:t>采购过程</w:t>
      </w:r>
    </w:p>
    <w:p w14:paraId="336C92A8">
      <w:pPr>
        <w:widowControl w:val="0"/>
        <w:spacing w:line="400" w:lineRule="exact"/>
        <w:ind w:firstLine="6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30"/>
          <w:szCs w:val="30"/>
          <w:highlight w:val="none"/>
          <w:lang w:eastAsia="zh-CN"/>
        </w:rPr>
        <w:t>□</w:t>
      </w:r>
      <w:r>
        <w:rPr>
          <w:rFonts w:ascii="Times New Roman" w:hAnsi="Times New Roman" w:eastAsia="宋体" w:cs="Times New Roman"/>
          <w:color w:val="auto"/>
          <w:sz w:val="20"/>
          <w:szCs w:val="20"/>
          <w:highlight w:val="none"/>
          <w:lang w:eastAsia="zh-CN"/>
        </w:rPr>
        <w:t>成交结果</w:t>
      </w:r>
    </w:p>
    <w:p w14:paraId="6742F6A5">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三、质疑事项具体内容</w:t>
      </w:r>
    </w:p>
    <w:p w14:paraId="0EFCF9F3">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质疑事项 1：</w:t>
      </w:r>
      <w:r>
        <w:rPr>
          <w:rFonts w:ascii="Times New Roman" w:hAnsi="Times New Roman" w:eastAsia="宋体" w:cs="Times New Roman"/>
          <w:color w:val="auto"/>
          <w:sz w:val="20"/>
          <w:szCs w:val="20"/>
          <w:highlight w:val="none"/>
          <w:u w:val="single"/>
          <w:lang w:eastAsia="zh-CN"/>
        </w:rPr>
        <w:t xml:space="preserve">                     </w:t>
      </w:r>
    </w:p>
    <w:p w14:paraId="1A0DA93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事实依据：</w:t>
      </w:r>
      <w:r>
        <w:rPr>
          <w:rFonts w:ascii="Times New Roman" w:hAnsi="Times New Roman" w:eastAsia="宋体" w:cs="Times New Roman"/>
          <w:color w:val="auto"/>
          <w:sz w:val="20"/>
          <w:szCs w:val="20"/>
          <w:highlight w:val="none"/>
          <w:u w:val="single"/>
          <w:lang w:eastAsia="zh-CN"/>
        </w:rPr>
        <w:t xml:space="preserve">                     </w:t>
      </w:r>
    </w:p>
    <w:p w14:paraId="192220FD">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法律依据：</w:t>
      </w:r>
      <w:r>
        <w:rPr>
          <w:rFonts w:ascii="Times New Roman" w:hAnsi="Times New Roman" w:eastAsia="宋体" w:cs="Times New Roman"/>
          <w:color w:val="auto"/>
          <w:sz w:val="20"/>
          <w:szCs w:val="20"/>
          <w:highlight w:val="none"/>
          <w:u w:val="single"/>
          <w:lang w:eastAsia="zh-CN"/>
        </w:rPr>
        <w:t xml:space="preserve">                     </w:t>
      </w:r>
    </w:p>
    <w:p w14:paraId="4D585A9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质疑事项 2</w:t>
      </w:r>
      <w:r>
        <w:rPr>
          <w:rFonts w:ascii="Times New Roman" w:hAnsi="Times New Roman" w:eastAsia="宋体" w:cs="Times New Roman"/>
          <w:color w:val="auto"/>
          <w:sz w:val="20"/>
          <w:szCs w:val="20"/>
          <w:highlight w:val="none"/>
          <w:u w:val="single"/>
          <w:lang w:eastAsia="zh-CN"/>
        </w:rPr>
        <w:t xml:space="preserve">                     </w:t>
      </w:r>
    </w:p>
    <w:p w14:paraId="5198DE33">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w:t>
      </w:r>
    </w:p>
    <w:p w14:paraId="709127F6">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四、与质疑事项相关的质疑请求：</w:t>
      </w:r>
    </w:p>
    <w:p w14:paraId="0BB6F59E">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请求：</w:t>
      </w:r>
      <w:r>
        <w:rPr>
          <w:rFonts w:ascii="Times New Roman" w:hAnsi="Times New Roman" w:eastAsia="宋体" w:cs="Times New Roman"/>
          <w:color w:val="auto"/>
          <w:sz w:val="20"/>
          <w:szCs w:val="20"/>
          <w:highlight w:val="none"/>
          <w:u w:val="single"/>
          <w:lang w:eastAsia="zh-CN"/>
        </w:rPr>
        <w:t xml:space="preserve">                     </w:t>
      </w:r>
    </w:p>
    <w:p w14:paraId="04F95B96">
      <w:pPr>
        <w:pStyle w:val="8"/>
        <w:widowControl w:val="0"/>
        <w:spacing w:line="400" w:lineRule="exact"/>
        <w:ind w:firstLine="420" w:firstLineChars="200"/>
        <w:rPr>
          <w:rFonts w:ascii="Times New Roman" w:hAnsi="Times New Roman" w:cs="Times New Roman"/>
          <w:color w:val="auto"/>
          <w:highlight w:val="none"/>
          <w:lang w:eastAsia="zh-CN"/>
        </w:rPr>
      </w:pPr>
    </w:p>
    <w:p w14:paraId="6D3B2AE8">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签字（签章）：                                         公章：</w:t>
      </w:r>
    </w:p>
    <w:p w14:paraId="11EA06F0">
      <w:pPr>
        <w:pStyle w:val="8"/>
        <w:widowControl w:val="0"/>
        <w:spacing w:line="400" w:lineRule="exact"/>
        <w:ind w:firstLine="420" w:firstLineChars="200"/>
        <w:rPr>
          <w:rFonts w:ascii="Times New Roman" w:hAnsi="Times New Roman" w:cs="Times New Roman"/>
          <w:color w:val="auto"/>
          <w:highlight w:val="none"/>
          <w:lang w:eastAsia="zh-CN"/>
        </w:rPr>
      </w:pPr>
    </w:p>
    <w:p w14:paraId="5A18D404">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日期：</w:t>
      </w:r>
    </w:p>
    <w:p w14:paraId="058A8B74">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说明：</w:t>
      </w:r>
    </w:p>
    <w:p w14:paraId="2F148721">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1.供应商提出质疑时，应提交质疑函和必要的证明材料。</w:t>
      </w:r>
    </w:p>
    <w:p w14:paraId="4190DA59">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2.质疑供应商若委托代理人进行质疑的，质疑函应按要求列明“授权代表</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”的有关内容，并在附件中</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提交由质疑供应商签署的授权委托书。授权委托书应载明代理人的姓名或者名称、代理事项、具体权限、期限和相关事项。</w:t>
      </w:r>
    </w:p>
    <w:p w14:paraId="6D156E9B">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3.质疑函的质疑事项应具体、明确，并有必要的事实依据和法律依据。</w:t>
      </w:r>
    </w:p>
    <w:p w14:paraId="6A412E30">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4.质疑函的质疑请求应与质疑事项相关。</w:t>
      </w:r>
    </w:p>
    <w:p w14:paraId="6195C745">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5.质疑供应商为自然人的，质疑函应由本人签字；质疑供应商为法人或者其他组织的，质疑函应由法</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定代表人、主要负责人，或者其授权代表签字或者盖章，并加盖公章。</w:t>
      </w:r>
    </w:p>
    <w:p w14:paraId="4A0A881E">
      <w:pPr>
        <w:widowControl w:val="0"/>
        <w:spacing w:line="400" w:lineRule="exact"/>
        <w:ind w:firstLine="482" w:firstLineChars="200"/>
        <w:rPr>
          <w:rFonts w:ascii="Times New Roman" w:hAnsi="Times New Roman" w:eastAsia="宋体" w:cs="Times New Roman"/>
          <w:b/>
          <w:bCs/>
          <w:color w:val="auto"/>
          <w:sz w:val="24"/>
          <w:szCs w:val="24"/>
          <w:highlight w:val="none"/>
          <w:lang w:eastAsia="zh-CN"/>
        </w:rPr>
      </w:pPr>
    </w:p>
    <w:p w14:paraId="1114CFE0">
      <w:pPr>
        <w:spacing w:line="400" w:lineRule="exact"/>
        <w:rPr>
          <w:rFonts w:ascii="Times New Roman" w:hAnsi="Times New Roman" w:eastAsia="宋体" w:cs="Times New Roman"/>
          <w:b/>
          <w:bCs/>
          <w:color w:val="auto"/>
          <w:sz w:val="24"/>
          <w:szCs w:val="24"/>
          <w:highlight w:val="none"/>
          <w:lang w:eastAsia="zh-CN"/>
        </w:rPr>
      </w:pPr>
      <w:r>
        <w:rPr>
          <w:rFonts w:ascii="Times New Roman" w:hAnsi="Times New Roman" w:eastAsia="宋体" w:cs="Times New Roman"/>
          <w:b/>
          <w:bCs/>
          <w:color w:val="auto"/>
          <w:sz w:val="24"/>
          <w:szCs w:val="24"/>
          <w:highlight w:val="none"/>
          <w:lang w:eastAsia="zh-CN"/>
        </w:rPr>
        <w:br w:type="page"/>
      </w:r>
    </w:p>
    <w:p w14:paraId="66778A35">
      <w:pPr>
        <w:widowControl w:val="0"/>
        <w:spacing w:line="400" w:lineRule="exact"/>
        <w:ind w:firstLine="482"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b/>
          <w:bCs/>
          <w:color w:val="auto"/>
          <w:sz w:val="24"/>
          <w:szCs w:val="24"/>
          <w:highlight w:val="none"/>
          <w:lang w:eastAsia="zh-CN"/>
        </w:rPr>
        <w:t>附表</w:t>
      </w:r>
      <w:r>
        <w:rPr>
          <w:rFonts w:ascii="Times New Roman" w:hAnsi="Times New Roman" w:eastAsia="宋体" w:cs="Times New Roman"/>
          <w:color w:val="auto"/>
          <w:sz w:val="24"/>
          <w:szCs w:val="24"/>
          <w:highlight w:val="none"/>
          <w:lang w:eastAsia="zh-CN"/>
        </w:rPr>
        <w:t xml:space="preserve"> </w:t>
      </w:r>
      <w:r>
        <w:rPr>
          <w:rFonts w:ascii="Times New Roman" w:hAnsi="Times New Roman" w:eastAsia="宋体" w:cs="Times New Roman"/>
          <w:b/>
          <w:bCs/>
          <w:color w:val="auto"/>
          <w:sz w:val="24"/>
          <w:szCs w:val="24"/>
          <w:highlight w:val="none"/>
          <w:lang w:eastAsia="zh-CN"/>
        </w:rPr>
        <w:t>2：</w:t>
      </w:r>
    </w:p>
    <w:p w14:paraId="12FDF82F">
      <w:pPr>
        <w:pStyle w:val="8"/>
        <w:widowControl w:val="0"/>
        <w:ind w:firstLine="420" w:firstLineChars="200"/>
        <w:rPr>
          <w:rFonts w:ascii="Times New Roman" w:hAnsi="Times New Roman" w:cs="Times New Roman"/>
          <w:color w:val="auto"/>
          <w:highlight w:val="none"/>
          <w:lang w:eastAsia="zh-CN"/>
        </w:rPr>
      </w:pPr>
    </w:p>
    <w:p w14:paraId="3426F040">
      <w:pPr>
        <w:widowControl w:val="0"/>
        <w:jc w:val="center"/>
        <w:rPr>
          <w:rFonts w:ascii="Times New Roman" w:hAnsi="Times New Roman" w:eastAsia="宋体" w:cs="Times New Roman"/>
          <w:color w:val="auto"/>
          <w:sz w:val="43"/>
          <w:szCs w:val="43"/>
          <w:highlight w:val="none"/>
          <w:lang w:eastAsia="zh-CN"/>
        </w:rPr>
      </w:pPr>
      <w:r>
        <w:rPr>
          <w:rFonts w:ascii="Times New Roman" w:hAnsi="Times New Roman" w:eastAsia="宋体" w:cs="Times New Roman"/>
          <w:color w:val="auto"/>
          <w:sz w:val="43"/>
          <w:szCs w:val="43"/>
          <w:highlight w:val="none"/>
          <w:lang w:eastAsia="zh-CN"/>
        </w:rPr>
        <w:t>投诉书（格式）</w:t>
      </w:r>
    </w:p>
    <w:p w14:paraId="54DBA489">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一、投诉相关主体基本情况：</w:t>
      </w:r>
    </w:p>
    <w:p w14:paraId="0943FB15">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供应商：</w:t>
      </w:r>
      <w:r>
        <w:rPr>
          <w:rFonts w:ascii="Times New Roman" w:hAnsi="Times New Roman" w:eastAsia="宋体" w:cs="Times New Roman"/>
          <w:color w:val="auto"/>
          <w:sz w:val="20"/>
          <w:szCs w:val="20"/>
          <w:highlight w:val="none"/>
          <w:u w:val="single"/>
          <w:lang w:eastAsia="zh-CN"/>
        </w:rPr>
        <w:t xml:space="preserve">                     </w:t>
      </w:r>
    </w:p>
    <w:p w14:paraId="100409E8">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地址：</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邮编：</w:t>
      </w:r>
      <w:r>
        <w:rPr>
          <w:rFonts w:ascii="Times New Roman" w:hAnsi="Times New Roman" w:eastAsia="宋体" w:cs="Times New Roman"/>
          <w:color w:val="auto"/>
          <w:sz w:val="20"/>
          <w:szCs w:val="20"/>
          <w:highlight w:val="none"/>
          <w:u w:val="single"/>
          <w:lang w:eastAsia="zh-CN"/>
        </w:rPr>
        <w:t xml:space="preserve">                     </w:t>
      </w:r>
    </w:p>
    <w:p w14:paraId="05FCC261">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法定代表人/主要负责人：</w:t>
      </w:r>
      <w:r>
        <w:rPr>
          <w:rFonts w:ascii="Times New Roman" w:hAnsi="Times New Roman" w:eastAsia="宋体" w:cs="Times New Roman"/>
          <w:color w:val="auto"/>
          <w:sz w:val="20"/>
          <w:szCs w:val="20"/>
          <w:highlight w:val="none"/>
          <w:u w:val="single"/>
          <w:lang w:eastAsia="zh-CN"/>
        </w:rPr>
        <w:t xml:space="preserve">                     </w:t>
      </w:r>
    </w:p>
    <w:p w14:paraId="4CB9C673">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联系电话：</w:t>
      </w:r>
      <w:r>
        <w:rPr>
          <w:rFonts w:ascii="Times New Roman" w:hAnsi="Times New Roman" w:eastAsia="宋体" w:cs="Times New Roman"/>
          <w:color w:val="auto"/>
          <w:sz w:val="20"/>
          <w:szCs w:val="20"/>
          <w:highlight w:val="none"/>
          <w:u w:val="single"/>
          <w:lang w:eastAsia="zh-CN"/>
        </w:rPr>
        <w:t xml:space="preserve">                     </w:t>
      </w:r>
    </w:p>
    <w:p w14:paraId="0DFF00FF">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授权代表：</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联系电话：</w:t>
      </w:r>
      <w:r>
        <w:rPr>
          <w:rFonts w:ascii="Times New Roman" w:hAnsi="Times New Roman" w:eastAsia="宋体" w:cs="Times New Roman"/>
          <w:color w:val="auto"/>
          <w:sz w:val="20"/>
          <w:szCs w:val="20"/>
          <w:highlight w:val="none"/>
          <w:u w:val="single"/>
          <w:lang w:eastAsia="zh-CN"/>
        </w:rPr>
        <w:t xml:space="preserve">                     </w:t>
      </w:r>
    </w:p>
    <w:p w14:paraId="0AD5FA9A">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地址：</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邮编：</w:t>
      </w:r>
      <w:r>
        <w:rPr>
          <w:rFonts w:ascii="Times New Roman" w:hAnsi="Times New Roman" w:eastAsia="宋体" w:cs="Times New Roman"/>
          <w:color w:val="auto"/>
          <w:sz w:val="20"/>
          <w:szCs w:val="20"/>
          <w:highlight w:val="none"/>
          <w:u w:val="single"/>
          <w:lang w:eastAsia="zh-CN"/>
        </w:rPr>
        <w:t xml:space="preserve">                     </w:t>
      </w:r>
    </w:p>
    <w:p w14:paraId="4DFB8FC1">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被投诉人 1：</w:t>
      </w:r>
    </w:p>
    <w:p w14:paraId="46C6C697">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地址：</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邮编：</w:t>
      </w:r>
      <w:r>
        <w:rPr>
          <w:rFonts w:ascii="Times New Roman" w:hAnsi="Times New Roman" w:eastAsia="宋体" w:cs="Times New Roman"/>
          <w:color w:val="auto"/>
          <w:sz w:val="20"/>
          <w:szCs w:val="20"/>
          <w:highlight w:val="none"/>
          <w:u w:val="single"/>
          <w:lang w:eastAsia="zh-CN"/>
        </w:rPr>
        <w:t xml:space="preserve">                     </w:t>
      </w:r>
    </w:p>
    <w:p w14:paraId="52BD62C6">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联系人：</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联系电话：</w:t>
      </w:r>
      <w:r>
        <w:rPr>
          <w:rFonts w:ascii="Times New Roman" w:hAnsi="Times New Roman" w:eastAsia="宋体" w:cs="Times New Roman"/>
          <w:color w:val="auto"/>
          <w:sz w:val="20"/>
          <w:szCs w:val="20"/>
          <w:highlight w:val="none"/>
          <w:u w:val="single"/>
          <w:lang w:eastAsia="zh-CN"/>
        </w:rPr>
        <w:t xml:space="preserve">                     </w:t>
      </w:r>
    </w:p>
    <w:p w14:paraId="4683308D">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被投诉人 2：</w:t>
      </w:r>
    </w:p>
    <w:p w14:paraId="31EA7D45">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w:t>
      </w:r>
    </w:p>
    <w:p w14:paraId="0BD49710">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相关供应商：</w:t>
      </w:r>
      <w:r>
        <w:rPr>
          <w:rFonts w:ascii="Times New Roman" w:hAnsi="Times New Roman" w:eastAsia="宋体" w:cs="Times New Roman"/>
          <w:color w:val="auto"/>
          <w:sz w:val="20"/>
          <w:szCs w:val="20"/>
          <w:highlight w:val="none"/>
          <w:u w:val="single"/>
          <w:lang w:eastAsia="zh-CN"/>
        </w:rPr>
        <w:t xml:space="preserve">                     </w:t>
      </w:r>
    </w:p>
    <w:p w14:paraId="75B3EFDD">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地址：</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邮编：</w:t>
      </w:r>
      <w:r>
        <w:rPr>
          <w:rFonts w:ascii="Times New Roman" w:hAnsi="Times New Roman" w:eastAsia="宋体" w:cs="Times New Roman"/>
          <w:color w:val="auto"/>
          <w:sz w:val="20"/>
          <w:szCs w:val="20"/>
          <w:highlight w:val="none"/>
          <w:u w:val="single"/>
          <w:lang w:eastAsia="zh-CN"/>
        </w:rPr>
        <w:t xml:space="preserve">                     </w:t>
      </w:r>
    </w:p>
    <w:p w14:paraId="1305F430">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联系人：</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联系电话：</w:t>
      </w:r>
      <w:r>
        <w:rPr>
          <w:rFonts w:ascii="Times New Roman" w:hAnsi="Times New Roman" w:eastAsia="宋体" w:cs="Times New Roman"/>
          <w:color w:val="auto"/>
          <w:sz w:val="20"/>
          <w:szCs w:val="20"/>
          <w:highlight w:val="none"/>
          <w:u w:val="single"/>
          <w:lang w:eastAsia="zh-CN"/>
        </w:rPr>
        <w:t xml:space="preserve">                     </w:t>
      </w:r>
    </w:p>
    <w:p w14:paraId="66759580">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二、投诉项目基本情况：</w:t>
      </w:r>
    </w:p>
    <w:p w14:paraId="47F534F4">
      <w:pPr>
        <w:widowControl w:val="0"/>
        <w:spacing w:line="400" w:lineRule="exact"/>
        <w:ind w:firstLine="400" w:firstLineChars="200"/>
        <w:rPr>
          <w:rFonts w:ascii="Times New Roman" w:hAnsi="Times New Roman" w:eastAsia="宋体" w:cs="Times New Roman"/>
          <w:color w:val="auto"/>
          <w:sz w:val="20"/>
          <w:szCs w:val="20"/>
          <w:highlight w:val="none"/>
          <w:u w:val="single"/>
          <w:lang w:eastAsia="zh-CN"/>
        </w:rPr>
      </w:pPr>
      <w:r>
        <w:rPr>
          <w:rFonts w:ascii="Times New Roman" w:hAnsi="Times New Roman" w:eastAsia="宋体" w:cs="Times New Roman"/>
          <w:color w:val="auto"/>
          <w:sz w:val="20"/>
          <w:szCs w:val="20"/>
          <w:highlight w:val="none"/>
          <w:lang w:eastAsia="zh-CN"/>
        </w:rPr>
        <w:t>采购项目的名称：</w:t>
      </w:r>
      <w:r>
        <w:rPr>
          <w:rFonts w:ascii="Times New Roman" w:hAnsi="Times New Roman" w:eastAsia="宋体" w:cs="Times New Roman"/>
          <w:color w:val="auto"/>
          <w:sz w:val="20"/>
          <w:szCs w:val="20"/>
          <w:highlight w:val="none"/>
          <w:u w:val="single"/>
          <w:lang w:eastAsia="zh-CN"/>
        </w:rPr>
        <w:t xml:space="preserve">                     </w:t>
      </w:r>
    </w:p>
    <w:p w14:paraId="24FD4C3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采购项目的编号：</w:t>
      </w:r>
      <w:r>
        <w:rPr>
          <w:rFonts w:ascii="Times New Roman" w:hAnsi="Times New Roman" w:eastAsia="宋体" w:cs="Times New Roman"/>
          <w:color w:val="auto"/>
          <w:sz w:val="20"/>
          <w:szCs w:val="20"/>
          <w:highlight w:val="none"/>
          <w:u w:val="single"/>
          <w:lang w:eastAsia="zh-CN"/>
        </w:rPr>
        <w:t xml:space="preserve">                     </w:t>
      </w:r>
    </w:p>
    <w:p w14:paraId="24625A3D">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采购人名称：</w:t>
      </w:r>
      <w:r>
        <w:rPr>
          <w:rFonts w:ascii="Times New Roman" w:hAnsi="Times New Roman" w:eastAsia="宋体" w:cs="Times New Roman"/>
          <w:color w:val="auto"/>
          <w:sz w:val="20"/>
          <w:szCs w:val="20"/>
          <w:highlight w:val="none"/>
          <w:u w:val="single"/>
          <w:lang w:eastAsia="zh-CN"/>
        </w:rPr>
        <w:t xml:space="preserve">                     </w:t>
      </w:r>
    </w:p>
    <w:p w14:paraId="6C2C91BA">
      <w:pPr>
        <w:widowControl w:val="0"/>
        <w:spacing w:line="400" w:lineRule="exact"/>
        <w:ind w:firstLine="400" w:firstLineChars="200"/>
        <w:rPr>
          <w:rFonts w:ascii="Times New Roman" w:hAnsi="Times New Roman" w:eastAsia="宋体" w:cs="Times New Roman"/>
          <w:color w:val="auto"/>
          <w:sz w:val="20"/>
          <w:szCs w:val="20"/>
          <w:highlight w:val="none"/>
          <w:u w:val="single"/>
          <w:lang w:eastAsia="zh-CN"/>
        </w:rPr>
      </w:pPr>
      <w:r>
        <w:rPr>
          <w:rFonts w:ascii="Times New Roman" w:hAnsi="Times New Roman" w:eastAsia="宋体" w:cs="Times New Roman"/>
          <w:color w:val="auto"/>
          <w:sz w:val="20"/>
          <w:szCs w:val="20"/>
          <w:highlight w:val="none"/>
          <w:lang w:eastAsia="zh-CN"/>
        </w:rPr>
        <w:t>代理机构名称：</w:t>
      </w:r>
      <w:r>
        <w:rPr>
          <w:rFonts w:ascii="Times New Roman" w:hAnsi="Times New Roman" w:eastAsia="宋体" w:cs="Times New Roman"/>
          <w:color w:val="auto"/>
          <w:sz w:val="20"/>
          <w:szCs w:val="20"/>
          <w:highlight w:val="none"/>
          <w:u w:val="single"/>
          <w:lang w:eastAsia="zh-CN"/>
        </w:rPr>
        <w:t xml:space="preserve">                     </w:t>
      </w:r>
    </w:p>
    <w:p w14:paraId="04DF75E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采购文件公告：</w:t>
      </w:r>
      <w:r>
        <w:rPr>
          <w:rFonts w:ascii="Times New Roman" w:hAnsi="Times New Roman" w:eastAsia="宋体" w:cs="Times New Roman"/>
          <w:color w:val="auto"/>
          <w:sz w:val="20"/>
          <w:szCs w:val="20"/>
          <w:highlight w:val="none"/>
          <w:u w:val="single"/>
          <w:lang w:eastAsia="zh-CN"/>
        </w:rPr>
        <w:t>是/否</w:t>
      </w:r>
      <w:r>
        <w:rPr>
          <w:rFonts w:ascii="Times New Roman" w:hAnsi="Times New Roman" w:eastAsia="宋体" w:cs="Times New Roman"/>
          <w:color w:val="auto"/>
          <w:sz w:val="20"/>
          <w:szCs w:val="20"/>
          <w:highlight w:val="none"/>
          <w:lang w:eastAsia="zh-CN"/>
        </w:rPr>
        <w:t>公告期限：</w:t>
      </w:r>
    </w:p>
    <w:p w14:paraId="0BBBA133">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采购结果公告：</w:t>
      </w:r>
      <w:r>
        <w:rPr>
          <w:rFonts w:ascii="Times New Roman" w:hAnsi="Times New Roman" w:eastAsia="宋体" w:cs="Times New Roman"/>
          <w:color w:val="auto"/>
          <w:sz w:val="20"/>
          <w:szCs w:val="20"/>
          <w:highlight w:val="none"/>
          <w:u w:val="single"/>
          <w:lang w:eastAsia="zh-CN"/>
        </w:rPr>
        <w:t>是/否</w:t>
      </w:r>
      <w:r>
        <w:rPr>
          <w:rFonts w:ascii="Times New Roman" w:hAnsi="Times New Roman" w:eastAsia="宋体" w:cs="Times New Roman"/>
          <w:color w:val="auto"/>
          <w:sz w:val="20"/>
          <w:szCs w:val="20"/>
          <w:highlight w:val="none"/>
          <w:lang w:eastAsia="zh-CN"/>
        </w:rPr>
        <w:t>公告期限：</w:t>
      </w:r>
    </w:p>
    <w:p w14:paraId="3823D96D">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三、质疑基本情况</w:t>
      </w:r>
    </w:p>
    <w:p w14:paraId="5258F167">
      <w:pPr>
        <w:widowControl w:val="0"/>
        <w:spacing w:line="400" w:lineRule="exact"/>
        <w:ind w:firstLine="400" w:firstLineChars="200"/>
        <w:rPr>
          <w:rFonts w:ascii="Times New Roman" w:hAnsi="Times New Roman" w:cs="Times New Roman"/>
          <w:color w:val="auto"/>
          <w:highlight w:val="none"/>
          <w:lang w:eastAsia="zh-CN"/>
        </w:rPr>
      </w:pPr>
      <w:r>
        <w:rPr>
          <w:rFonts w:ascii="Times New Roman" w:hAnsi="Times New Roman" w:eastAsia="宋体" w:cs="Times New Roman"/>
          <w:color w:val="auto"/>
          <w:sz w:val="20"/>
          <w:szCs w:val="20"/>
          <w:highlight w:val="none"/>
          <w:lang w:eastAsia="zh-CN"/>
        </w:rPr>
        <w:t xml:space="preserve">投诉人于 </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年 </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月 </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日，向 </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提出质疑，质疑事项为：</w:t>
      </w:r>
      <w:r>
        <w:rPr>
          <w:rFonts w:ascii="Times New Roman" w:hAnsi="Times New Roman" w:eastAsia="宋体" w:cs="Times New Roman"/>
          <w:color w:val="auto"/>
          <w:sz w:val="20"/>
          <w:szCs w:val="20"/>
          <w:highlight w:val="none"/>
          <w:u w:val="single"/>
          <w:lang w:eastAsia="zh-CN"/>
        </w:rPr>
        <w:t xml:space="preserve">                     </w:t>
      </w:r>
    </w:p>
    <w:p w14:paraId="3931EF35">
      <w:pPr>
        <w:widowControl w:val="0"/>
        <w:spacing w:line="400" w:lineRule="exact"/>
        <w:jc w:val="both"/>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u w:val="single"/>
          <w:lang w:eastAsia="zh-CN"/>
        </w:rPr>
        <w:t>采购人/代理机构</w:t>
      </w:r>
      <w:r>
        <w:rPr>
          <w:rFonts w:ascii="Times New Roman" w:hAnsi="Times New Roman" w:eastAsia="宋体" w:cs="Times New Roman"/>
          <w:color w:val="auto"/>
          <w:sz w:val="20"/>
          <w:szCs w:val="20"/>
          <w:highlight w:val="none"/>
          <w:lang w:eastAsia="zh-CN"/>
        </w:rPr>
        <w:t xml:space="preserve">于 </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年 </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月 </w:t>
      </w:r>
      <w:r>
        <w:rPr>
          <w:rFonts w:ascii="Times New Roman" w:hAnsi="Times New Roman" w:eastAsia="宋体" w:cs="Times New Roman"/>
          <w:color w:val="auto"/>
          <w:sz w:val="20"/>
          <w:szCs w:val="20"/>
          <w:highlight w:val="none"/>
          <w:u w:val="single"/>
          <w:lang w:eastAsia="zh-CN"/>
        </w:rPr>
        <w:t xml:space="preserve">   </w:t>
      </w:r>
      <w:r>
        <w:rPr>
          <w:rFonts w:ascii="Times New Roman" w:hAnsi="Times New Roman" w:eastAsia="宋体" w:cs="Times New Roman"/>
          <w:color w:val="auto"/>
          <w:sz w:val="20"/>
          <w:szCs w:val="20"/>
          <w:highlight w:val="none"/>
          <w:lang w:eastAsia="zh-CN"/>
        </w:rPr>
        <w:t xml:space="preserve"> 日，就质疑事项作出了答复/没有在法定期限内作出答复。</w:t>
      </w:r>
    </w:p>
    <w:p w14:paraId="4BB2A895">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四、投诉事项具体内容</w:t>
      </w:r>
    </w:p>
    <w:p w14:paraId="1FFA3E4A">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投诉事项 1：</w:t>
      </w:r>
    </w:p>
    <w:p w14:paraId="5E344E69">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事实依据：</w:t>
      </w:r>
    </w:p>
    <w:p w14:paraId="17B0EE75">
      <w:pPr>
        <w:pStyle w:val="8"/>
        <w:widowControl w:val="0"/>
        <w:spacing w:line="400" w:lineRule="exact"/>
        <w:ind w:firstLine="420" w:firstLineChars="200"/>
        <w:rPr>
          <w:rFonts w:ascii="Times New Roman" w:hAnsi="Times New Roman" w:cs="Times New Roman"/>
          <w:color w:val="auto"/>
          <w:highlight w:val="none"/>
          <w:lang w:eastAsia="zh-CN"/>
        </w:rPr>
      </w:pPr>
    </w:p>
    <w:p w14:paraId="79B8CFF3">
      <w:pPr>
        <w:pStyle w:val="8"/>
        <w:widowControl w:val="0"/>
        <w:spacing w:line="400" w:lineRule="exact"/>
        <w:ind w:firstLine="420" w:firstLineChars="200"/>
        <w:rPr>
          <w:rFonts w:ascii="Times New Roman" w:hAnsi="Times New Roman" w:cs="Times New Roman"/>
          <w:color w:val="auto"/>
          <w:highlight w:val="none"/>
          <w:lang w:eastAsia="zh-CN"/>
        </w:rPr>
      </w:pPr>
    </w:p>
    <w:p w14:paraId="420E8820">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法律依据：</w:t>
      </w:r>
    </w:p>
    <w:p w14:paraId="42890E5D">
      <w:pPr>
        <w:pStyle w:val="8"/>
        <w:widowControl w:val="0"/>
        <w:spacing w:line="400" w:lineRule="exact"/>
        <w:ind w:firstLine="420" w:firstLineChars="200"/>
        <w:rPr>
          <w:rFonts w:ascii="Times New Roman" w:hAnsi="Times New Roman" w:cs="Times New Roman"/>
          <w:color w:val="auto"/>
          <w:highlight w:val="none"/>
          <w:lang w:eastAsia="zh-CN"/>
        </w:rPr>
      </w:pPr>
    </w:p>
    <w:p w14:paraId="1EF8DE5A">
      <w:pPr>
        <w:pStyle w:val="8"/>
        <w:widowControl w:val="0"/>
        <w:spacing w:line="400" w:lineRule="exact"/>
        <w:ind w:firstLine="420" w:firstLineChars="200"/>
        <w:rPr>
          <w:rFonts w:ascii="Times New Roman" w:hAnsi="Times New Roman" w:cs="Times New Roman"/>
          <w:color w:val="auto"/>
          <w:highlight w:val="none"/>
          <w:lang w:eastAsia="zh-CN"/>
        </w:rPr>
      </w:pPr>
    </w:p>
    <w:p w14:paraId="4C76F0FF">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投诉事项 2</w:t>
      </w:r>
    </w:p>
    <w:p w14:paraId="0A08395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w:t>
      </w:r>
    </w:p>
    <w:p w14:paraId="788D4646">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五、与投诉事项相关的投诉请求：</w:t>
      </w:r>
    </w:p>
    <w:p w14:paraId="5ECDF30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请求：</w:t>
      </w:r>
    </w:p>
    <w:p w14:paraId="1DF20ADF">
      <w:pPr>
        <w:pStyle w:val="8"/>
        <w:widowControl w:val="0"/>
        <w:spacing w:line="400" w:lineRule="exact"/>
        <w:ind w:firstLine="420" w:firstLineChars="200"/>
        <w:rPr>
          <w:rFonts w:ascii="Times New Roman" w:hAnsi="Times New Roman" w:cs="Times New Roman"/>
          <w:color w:val="auto"/>
          <w:highlight w:val="none"/>
          <w:lang w:eastAsia="zh-CN"/>
        </w:rPr>
      </w:pPr>
    </w:p>
    <w:p w14:paraId="6997DBFC">
      <w:pPr>
        <w:pStyle w:val="8"/>
        <w:widowControl w:val="0"/>
        <w:spacing w:line="400" w:lineRule="exact"/>
        <w:ind w:firstLine="420" w:firstLineChars="200"/>
        <w:rPr>
          <w:rFonts w:ascii="Times New Roman" w:hAnsi="Times New Roman" w:cs="Times New Roman"/>
          <w:color w:val="auto"/>
          <w:highlight w:val="none"/>
          <w:lang w:eastAsia="zh-CN"/>
        </w:rPr>
      </w:pPr>
    </w:p>
    <w:p w14:paraId="01DF3DA0">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签字（签章）：                                         公章：</w:t>
      </w:r>
    </w:p>
    <w:p w14:paraId="6C4BC5E4">
      <w:pPr>
        <w:pStyle w:val="8"/>
        <w:widowControl w:val="0"/>
        <w:spacing w:line="400" w:lineRule="exact"/>
        <w:ind w:firstLine="420" w:firstLineChars="200"/>
        <w:rPr>
          <w:rFonts w:ascii="Times New Roman" w:hAnsi="Times New Roman" w:cs="Times New Roman"/>
          <w:color w:val="auto"/>
          <w:highlight w:val="none"/>
          <w:lang w:eastAsia="zh-CN"/>
        </w:rPr>
      </w:pPr>
    </w:p>
    <w:p w14:paraId="31F3A076">
      <w:pPr>
        <w:pStyle w:val="8"/>
        <w:widowControl w:val="0"/>
        <w:spacing w:line="400" w:lineRule="exact"/>
        <w:ind w:firstLine="420" w:firstLineChars="200"/>
        <w:rPr>
          <w:rFonts w:ascii="Times New Roman" w:hAnsi="Times New Roman" w:cs="Times New Roman"/>
          <w:color w:val="auto"/>
          <w:highlight w:val="none"/>
          <w:lang w:eastAsia="zh-CN"/>
        </w:rPr>
      </w:pPr>
    </w:p>
    <w:p w14:paraId="6A5F972C">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日期：</w:t>
      </w:r>
    </w:p>
    <w:p w14:paraId="703757AF">
      <w:pPr>
        <w:pStyle w:val="8"/>
        <w:widowControl w:val="0"/>
        <w:spacing w:line="400" w:lineRule="exact"/>
        <w:ind w:firstLine="420" w:firstLineChars="200"/>
        <w:rPr>
          <w:rFonts w:ascii="Times New Roman" w:hAnsi="Times New Roman" w:cs="Times New Roman"/>
          <w:color w:val="auto"/>
          <w:highlight w:val="none"/>
          <w:lang w:eastAsia="zh-CN"/>
        </w:rPr>
      </w:pPr>
    </w:p>
    <w:p w14:paraId="162BD993">
      <w:pPr>
        <w:pStyle w:val="8"/>
        <w:widowControl w:val="0"/>
        <w:spacing w:line="400" w:lineRule="exact"/>
        <w:ind w:firstLine="420" w:firstLineChars="200"/>
        <w:rPr>
          <w:rFonts w:ascii="Times New Roman" w:hAnsi="Times New Roman" w:cs="Times New Roman"/>
          <w:color w:val="auto"/>
          <w:highlight w:val="none"/>
          <w:lang w:eastAsia="zh-CN"/>
        </w:rPr>
      </w:pPr>
    </w:p>
    <w:p w14:paraId="2B469FC4">
      <w:pPr>
        <w:pStyle w:val="8"/>
        <w:widowControl w:val="0"/>
        <w:spacing w:line="400" w:lineRule="exact"/>
        <w:ind w:firstLine="420" w:firstLineChars="200"/>
        <w:rPr>
          <w:rFonts w:ascii="Times New Roman" w:hAnsi="Times New Roman" w:cs="Times New Roman"/>
          <w:color w:val="auto"/>
          <w:highlight w:val="none"/>
          <w:lang w:eastAsia="zh-CN"/>
        </w:rPr>
      </w:pPr>
    </w:p>
    <w:p w14:paraId="4F6BE0FE">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说明：</w:t>
      </w:r>
    </w:p>
    <w:p w14:paraId="78A3525A">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1.投诉人提起投诉时，应当提交投诉书和必要的证明材料，并按照被投诉人和与投诉事项有关的</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供应商数量提供投诉书副本。</w:t>
      </w:r>
    </w:p>
    <w:p w14:paraId="2C9B3DFC">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2.投诉人若委托代理人进行投诉的，投诉书应按要求列明“授权代表</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”的有关内容，并在附件中</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提交由投诉人签署的授权委托书。授权委托书应当载明代理人的姓名或者名称、代理事项、具体权限、</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期限和相关事项。</w:t>
      </w:r>
    </w:p>
    <w:p w14:paraId="5AA5A69D">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3.投诉书应简要列明质疑事项，质疑函、质疑答复等作为附件材料提供。</w:t>
      </w:r>
    </w:p>
    <w:p w14:paraId="1FF5CC79">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4.投诉书的投诉事项应具体、明确，并有必要的事实依据和法律依据。</w:t>
      </w:r>
    </w:p>
    <w:p w14:paraId="33B205F7">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5.投诉书的投诉请求应与投诉事项相关。</w:t>
      </w:r>
    </w:p>
    <w:p w14:paraId="4F9B9D8F">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6.投诉人为自然人的，投诉书应由本人签字；投诉人为法人或者其他组织的，投诉书应由法定代</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表人、主要负责人，或者其授权代表签字或者盖章，并加盖公章。</w:t>
      </w:r>
    </w:p>
    <w:p w14:paraId="13B9D41F">
      <w:pPr>
        <w:widowControl w:val="0"/>
        <w:spacing w:line="400" w:lineRule="exact"/>
        <w:ind w:firstLine="400" w:firstLineChars="200"/>
        <w:rPr>
          <w:rFonts w:ascii="Times New Roman" w:hAnsi="Times New Roman" w:eastAsia="宋体" w:cs="Times New Roman"/>
          <w:color w:val="auto"/>
          <w:sz w:val="20"/>
          <w:szCs w:val="20"/>
          <w:highlight w:val="none"/>
          <w:lang w:eastAsia="zh-CN"/>
        </w:rPr>
        <w:sectPr>
          <w:footerReference r:id="rId7" w:type="default"/>
          <w:pgSz w:w="11906" w:h="16839"/>
          <w:pgMar w:top="1247" w:right="1247" w:bottom="1247" w:left="1247" w:header="0" w:footer="822" w:gutter="0"/>
          <w:cols w:space="0" w:num="1"/>
        </w:sectPr>
      </w:pPr>
    </w:p>
    <w:p w14:paraId="17708254">
      <w:pPr>
        <w:widowControl w:val="0"/>
        <w:jc w:val="center"/>
        <w:rPr>
          <w:rFonts w:ascii="Times New Roman" w:hAnsi="Times New Roman" w:eastAsia="宋体" w:cs="Times New Roman"/>
          <w:color w:val="auto"/>
          <w:sz w:val="43"/>
          <w:szCs w:val="43"/>
          <w:highlight w:val="none"/>
          <w:lang w:eastAsia="zh-CN"/>
        </w:rPr>
      </w:pPr>
      <w:r>
        <w:rPr>
          <w:rFonts w:ascii="Times New Roman" w:hAnsi="Times New Roman" w:eastAsia="宋体" w:cs="Times New Roman"/>
          <w:color w:val="auto"/>
          <w:sz w:val="43"/>
          <w:szCs w:val="43"/>
          <w:highlight w:val="none"/>
          <w:lang w:eastAsia="zh-CN"/>
        </w:rPr>
        <w:t>广西线上“政采贷 ”政策告知函</w:t>
      </w:r>
    </w:p>
    <w:p w14:paraId="5244966C">
      <w:pPr>
        <w:pStyle w:val="8"/>
        <w:widowControl w:val="0"/>
        <w:ind w:firstLine="420" w:firstLineChars="200"/>
        <w:rPr>
          <w:rFonts w:ascii="Times New Roman" w:hAnsi="Times New Roman" w:cs="Times New Roman"/>
          <w:color w:val="auto"/>
          <w:highlight w:val="none"/>
          <w:lang w:eastAsia="zh-CN"/>
        </w:rPr>
      </w:pPr>
    </w:p>
    <w:p w14:paraId="2C4B9922">
      <w:pPr>
        <w:pStyle w:val="8"/>
        <w:widowControl w:val="0"/>
        <w:spacing w:line="400" w:lineRule="exact"/>
        <w:ind w:firstLine="420" w:firstLineChars="200"/>
        <w:rPr>
          <w:rFonts w:ascii="Times New Roman" w:hAnsi="Times New Roman" w:cs="Times New Roman"/>
          <w:color w:val="auto"/>
          <w:highlight w:val="none"/>
          <w:lang w:eastAsia="zh-CN"/>
        </w:rPr>
      </w:pPr>
    </w:p>
    <w:p w14:paraId="6B3E7668">
      <w:pPr>
        <w:widowControl w:val="0"/>
        <w:spacing w:line="400" w:lineRule="exact"/>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各供应商：</w:t>
      </w:r>
    </w:p>
    <w:p w14:paraId="56515171">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欢迎贵公司参与广西政府采购活动！</w:t>
      </w:r>
    </w:p>
    <w:p w14:paraId="08AE37FE">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线上“政采贷 ”是人民银行南宁中心支行和自治区财政厅共同支持企业发展，针对参 与政府采购活动的企业融资难、融资贵、融资慢、融资繁问题推出的一项融资政策。贵公 司若成为本次政府采购项目的中标（中标）供应商，可持政府采购合同在线向银行业金融 机构申请贷款，融资机构将根据《中国人民银行南宁中心支行 广西壮族自治区财政厅关 于推广线上“政采贷 ”融资模式的通知》（南宁银发〔2021〕258 号），按照双方自愿的 原则提供便捷、优惠的贷款服务。</w:t>
      </w:r>
    </w:p>
    <w:p w14:paraId="1EA6B9E2">
      <w:pPr>
        <w:widowControl w:val="0"/>
        <w:spacing w:line="400" w:lineRule="exact"/>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相关金融产品和银行业金融机构联系方式，可在中征应收账款融资服务平台查询（网</w:t>
      </w:r>
      <w:bookmarkStart w:id="13" w:name="_Toc17355"/>
      <w:r>
        <w:rPr>
          <w:rFonts w:ascii="Times New Roman" w:hAnsi="Times New Roman" w:eastAsia="宋体" w:cs="Times New Roman"/>
          <w:color w:val="auto"/>
          <w:sz w:val="24"/>
          <w:szCs w:val="24"/>
          <w:highlight w:val="none"/>
        </w:rPr>
        <w:t>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ascii="Times New Roman" w:hAnsi="Times New Roman" w:eastAsia="宋体" w:cs="Times New Roman"/>
          <w:color w:val="auto"/>
          <w:sz w:val="24"/>
          <w:szCs w:val="24"/>
          <w:highlight w:val="none"/>
          <w:u w:val="single"/>
        </w:rPr>
        <w:t>https://www.crcrfsp.com/</w:t>
      </w:r>
      <w:r>
        <w:rPr>
          <w:rFonts w:ascii="Times New Roman" w:hAnsi="Times New Roman" w:eastAsia="宋体" w:cs="Times New Roman"/>
          <w:color w:val="auto"/>
          <w:sz w:val="24"/>
          <w:szCs w:val="24"/>
          <w:highlight w:val="none"/>
          <w:u w:val="single"/>
        </w:rPr>
        <w:fldChar w:fldCharType="end"/>
      </w:r>
      <w:r>
        <w:rPr>
          <w:rFonts w:ascii="Times New Roman" w:hAnsi="Times New Roman" w:eastAsia="宋体" w:cs="Times New Roman"/>
          <w:color w:val="auto"/>
          <w:sz w:val="24"/>
          <w:szCs w:val="24"/>
          <w:highlight w:val="none"/>
        </w:rPr>
        <w:t>，客服电话：400-009-0001）。</w:t>
      </w:r>
      <w:bookmarkEnd w:id="13"/>
    </w:p>
    <w:p w14:paraId="2CEB491B">
      <w:pPr>
        <w:widowControl w:val="0"/>
        <w:spacing w:line="400" w:lineRule="exact"/>
        <w:ind w:firstLine="480" w:firstLineChars="200"/>
        <w:rPr>
          <w:rFonts w:ascii="Times New Roman" w:hAnsi="Times New Roman" w:eastAsia="宋体" w:cs="Times New Roman"/>
          <w:color w:val="auto"/>
          <w:sz w:val="24"/>
          <w:szCs w:val="24"/>
          <w:highlight w:val="none"/>
        </w:rPr>
        <w:sectPr>
          <w:footerReference r:id="rId8" w:type="default"/>
          <w:pgSz w:w="11906" w:h="16839"/>
          <w:pgMar w:top="1247" w:right="1247" w:bottom="1247" w:left="1247" w:header="0" w:footer="822" w:gutter="0"/>
          <w:cols w:space="0" w:num="1"/>
        </w:sectPr>
      </w:pPr>
    </w:p>
    <w:p w14:paraId="12F32EBC">
      <w:pPr>
        <w:widowControl w:val="0"/>
        <w:numPr>
          <w:ilvl w:val="0"/>
          <w:numId w:val="1"/>
        </w:numPr>
        <w:spacing w:line="400" w:lineRule="exact"/>
        <w:jc w:val="center"/>
        <w:outlineLvl w:val="0"/>
        <w:rPr>
          <w:rFonts w:ascii="Times New Roman" w:hAnsi="Times New Roman" w:eastAsia="宋体" w:cs="Times New Roman"/>
          <w:b/>
          <w:bCs/>
          <w:color w:val="auto"/>
          <w:sz w:val="31"/>
          <w:szCs w:val="31"/>
          <w:highlight w:val="none"/>
          <w:lang w:eastAsia="zh-CN"/>
        </w:rPr>
      </w:pPr>
      <w:bookmarkStart w:id="14" w:name="bookmark4"/>
      <w:bookmarkEnd w:id="14"/>
      <w:r>
        <w:rPr>
          <w:rFonts w:ascii="Times New Roman" w:hAnsi="Times New Roman" w:eastAsia="宋体" w:cs="Times New Roman"/>
          <w:color w:val="auto"/>
          <w:sz w:val="31"/>
          <w:szCs w:val="31"/>
          <w:highlight w:val="none"/>
          <w:lang w:eastAsia="zh-CN"/>
        </w:rPr>
        <w:t xml:space="preserve"> </w:t>
      </w:r>
      <w:bookmarkStart w:id="15" w:name="_Toc11093"/>
      <w:r>
        <w:rPr>
          <w:rFonts w:ascii="Times New Roman" w:hAnsi="Times New Roman" w:eastAsia="宋体" w:cs="Times New Roman"/>
          <w:b/>
          <w:bCs/>
          <w:color w:val="auto"/>
          <w:sz w:val="31"/>
          <w:szCs w:val="31"/>
          <w:highlight w:val="none"/>
          <w:lang w:eastAsia="zh-CN"/>
        </w:rPr>
        <w:t>采购需求</w:t>
      </w:r>
      <w:bookmarkEnd w:id="15"/>
    </w:p>
    <w:p w14:paraId="798821A8">
      <w:pPr>
        <w:keepNext w:val="0"/>
        <w:keepLines w:val="0"/>
        <w:pageBreakBefore w:val="0"/>
        <w:widowControl w:val="0"/>
        <w:kinsoku/>
        <w:wordWrap/>
        <w:overflowPunct/>
        <w:topLinePunct w:val="0"/>
        <w:autoSpaceDE/>
        <w:autoSpaceDN/>
        <w:bidi w:val="0"/>
        <w:adjustRightInd w:val="0"/>
        <w:snapToGrid/>
        <w:spacing w:line="480" w:lineRule="auto"/>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Ⅰ.说明：</w:t>
      </w:r>
    </w:p>
    <w:p w14:paraId="47364776">
      <w:pPr>
        <w:keepNext w:val="0"/>
        <w:keepLines w:val="0"/>
        <w:pageBreakBefore w:val="0"/>
        <w:widowControl w:val="0"/>
        <w:kinsoku/>
        <w:wordWrap/>
        <w:overflowPunct/>
        <w:topLinePunct w:val="0"/>
        <w:autoSpaceDE/>
        <w:autoSpaceDN/>
        <w:bidi w:val="0"/>
        <w:adjustRightInd w:val="0"/>
        <w:snapToGrid/>
        <w:spacing w:line="480" w:lineRule="auto"/>
        <w:ind w:firstLine="420"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一、本项目所要执行的政府采购政策：</w:t>
      </w:r>
    </w:p>
    <w:p w14:paraId="44DCB3E5">
      <w:pPr>
        <w:keepNext w:val="0"/>
        <w:keepLines w:val="0"/>
        <w:pageBreakBefore w:val="0"/>
        <w:widowControl w:val="0"/>
        <w:kinsoku/>
        <w:wordWrap/>
        <w:overflowPunct/>
        <w:topLinePunct w:val="0"/>
        <w:autoSpaceDE/>
        <w:autoSpaceDN/>
        <w:bidi w:val="0"/>
        <w:snapToGrid/>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（一）</w:t>
      </w:r>
      <w:r>
        <w:rPr>
          <w:rFonts w:ascii="宋体" w:hAnsi="宋体"/>
          <w:color w:val="auto"/>
          <w:sz w:val="21"/>
          <w:szCs w:val="21"/>
          <w:highlight w:val="none"/>
        </w:rPr>
        <w:t>根据《政府采购促进中小企业发展管理办法》（财库</w:t>
      </w:r>
      <w:r>
        <w:rPr>
          <w:rFonts w:hint="eastAsia" w:ascii="宋体" w:hAnsi="宋体"/>
          <w:color w:val="auto"/>
          <w:sz w:val="21"/>
          <w:szCs w:val="21"/>
          <w:highlight w:val="none"/>
        </w:rPr>
        <w:t>[</w:t>
      </w:r>
      <w:r>
        <w:rPr>
          <w:rFonts w:ascii="宋体" w:hAnsi="宋体"/>
          <w:color w:val="auto"/>
          <w:sz w:val="21"/>
          <w:szCs w:val="21"/>
          <w:highlight w:val="none"/>
        </w:rPr>
        <w:t>2020</w:t>
      </w:r>
      <w:r>
        <w:rPr>
          <w:rFonts w:hint="eastAsia" w:ascii="宋体" w:hAnsi="宋体"/>
          <w:color w:val="auto"/>
          <w:sz w:val="21"/>
          <w:szCs w:val="21"/>
          <w:highlight w:val="none"/>
        </w:rPr>
        <w:t>]</w:t>
      </w:r>
      <w:r>
        <w:rPr>
          <w:rFonts w:ascii="宋体" w:hAnsi="宋体"/>
          <w:color w:val="auto"/>
          <w:sz w:val="21"/>
          <w:szCs w:val="21"/>
          <w:highlight w:val="none"/>
        </w:rPr>
        <w:t>46号）</w:t>
      </w:r>
      <w:r>
        <w:rPr>
          <w:rFonts w:hint="eastAsia" w:ascii="宋体" w:hAnsi="宋体"/>
          <w:color w:val="auto"/>
          <w:sz w:val="21"/>
          <w:szCs w:val="21"/>
          <w:highlight w:val="none"/>
        </w:rPr>
        <w:t>、《广西壮族自治区财政厅关于持续优化政府采购营商环境推动高质量发展的通知》（桂财采〔2024〕55号）等有关</w:t>
      </w:r>
      <w:r>
        <w:rPr>
          <w:color w:val="auto"/>
          <w:sz w:val="21"/>
          <w:szCs w:val="21"/>
          <w:highlight w:val="none"/>
        </w:rPr>
        <w:t>规定</w:t>
      </w:r>
      <w:r>
        <w:rPr>
          <w:rFonts w:ascii="宋体" w:hAnsi="宋体"/>
          <w:color w:val="auto"/>
          <w:sz w:val="21"/>
          <w:szCs w:val="21"/>
          <w:highlight w:val="none"/>
        </w:rPr>
        <w:t>，</w:t>
      </w:r>
      <w:r>
        <w:rPr>
          <w:rFonts w:hint="eastAsia" w:ascii="宋体" w:hAnsi="宋体" w:eastAsia="宋体"/>
          <w:color w:val="auto"/>
          <w:sz w:val="21"/>
          <w:szCs w:val="21"/>
          <w:highlight w:val="none"/>
          <w:lang w:eastAsia="zh-CN"/>
        </w:rPr>
        <w:t>供应商</w:t>
      </w:r>
      <w:r>
        <w:rPr>
          <w:rFonts w:hint="eastAsia" w:ascii="宋体" w:hAnsi="宋体"/>
          <w:color w:val="auto"/>
          <w:sz w:val="21"/>
          <w:szCs w:val="21"/>
          <w:highlight w:val="none"/>
        </w:rPr>
        <w:t>提供的货物全部由符合政策要求的小型、微型企业制造，</w:t>
      </w:r>
      <w:r>
        <w:rPr>
          <w:rFonts w:hint="eastAsia" w:ascii="宋体" w:hAnsi="宋体" w:eastAsia="宋体"/>
          <w:color w:val="auto"/>
          <w:sz w:val="21"/>
          <w:szCs w:val="21"/>
          <w:highlight w:val="none"/>
          <w:lang w:eastAsia="zh-CN"/>
        </w:rPr>
        <w:t>响应文件</w:t>
      </w:r>
      <w:r>
        <w:rPr>
          <w:rFonts w:hint="eastAsia" w:ascii="宋体" w:hAnsi="宋体"/>
          <w:color w:val="auto"/>
          <w:sz w:val="21"/>
          <w:szCs w:val="21"/>
          <w:highlight w:val="none"/>
        </w:rPr>
        <w:t>中提供符合要求的《中小企业声明函》的</w:t>
      </w:r>
      <w:r>
        <w:rPr>
          <w:rFonts w:ascii="宋体" w:hAnsi="宋体"/>
          <w:color w:val="auto"/>
          <w:sz w:val="21"/>
          <w:szCs w:val="21"/>
          <w:highlight w:val="none"/>
        </w:rPr>
        <w:t>，</w:t>
      </w:r>
      <w:r>
        <w:rPr>
          <w:rFonts w:hint="eastAsia" w:ascii="宋体" w:hAnsi="宋体" w:eastAsia="宋体"/>
          <w:color w:val="auto"/>
          <w:sz w:val="21"/>
          <w:szCs w:val="21"/>
          <w:highlight w:val="none"/>
          <w:lang w:eastAsia="zh-CN"/>
        </w:rPr>
        <w:t>供应商</w:t>
      </w:r>
      <w:r>
        <w:rPr>
          <w:rFonts w:ascii="宋体" w:hAnsi="宋体"/>
          <w:color w:val="auto"/>
          <w:sz w:val="21"/>
          <w:szCs w:val="21"/>
          <w:highlight w:val="none"/>
        </w:rPr>
        <w:t>的</w:t>
      </w:r>
      <w:r>
        <w:rPr>
          <w:rFonts w:hint="eastAsia" w:ascii="宋体" w:hAnsi="宋体" w:eastAsia="宋体"/>
          <w:color w:val="auto"/>
          <w:sz w:val="21"/>
          <w:szCs w:val="21"/>
          <w:highlight w:val="none"/>
          <w:lang w:eastAsia="zh-CN"/>
        </w:rPr>
        <w:t>谈判报价</w:t>
      </w:r>
      <w:r>
        <w:rPr>
          <w:rFonts w:ascii="宋体" w:hAnsi="宋体"/>
          <w:color w:val="auto"/>
          <w:sz w:val="21"/>
          <w:szCs w:val="21"/>
          <w:highlight w:val="none"/>
        </w:rPr>
        <w:t>给予</w:t>
      </w:r>
      <w:r>
        <w:rPr>
          <w:rFonts w:hint="eastAsia" w:ascii="宋体" w:hAnsi="宋体"/>
          <w:color w:val="auto"/>
          <w:sz w:val="21"/>
          <w:szCs w:val="21"/>
          <w:highlight w:val="none"/>
        </w:rPr>
        <w:t>20</w:t>
      </w:r>
      <w:r>
        <w:rPr>
          <w:rFonts w:ascii="宋体" w:hAnsi="宋体"/>
          <w:color w:val="auto"/>
          <w:sz w:val="21"/>
          <w:szCs w:val="21"/>
          <w:highlight w:val="none"/>
        </w:rPr>
        <w:t>%的扣除。本项目非专门面向中小企业采购。</w:t>
      </w:r>
    </w:p>
    <w:p w14:paraId="7971910B">
      <w:pPr>
        <w:keepNext w:val="0"/>
        <w:keepLines w:val="0"/>
        <w:pageBreakBefore w:val="0"/>
        <w:widowControl w:val="0"/>
        <w:kinsoku/>
        <w:wordWrap/>
        <w:overflowPunct/>
        <w:topLinePunct w:val="0"/>
        <w:autoSpaceDE/>
        <w:autoSpaceDN/>
        <w:bidi w:val="0"/>
        <w:snapToGrid/>
        <w:spacing w:line="48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（二）根据财政部、司法部关于政府采购支持监狱企业发展有关问题的通知（财库[2014]68号），监狱企业视同小型、微型企业，</w:t>
      </w:r>
      <w:r>
        <w:rPr>
          <w:rFonts w:hint="eastAsia" w:hAnsi="宋体"/>
          <w:bCs/>
          <w:color w:val="auto"/>
          <w:sz w:val="21"/>
          <w:szCs w:val="21"/>
          <w:highlight w:val="none"/>
        </w:rPr>
        <w:t>享受预留份额、评审中价格扣除等政府采购政策。</w:t>
      </w:r>
      <w:r>
        <w:rPr>
          <w:rFonts w:hint="eastAsia" w:ascii="宋体" w:hAnsi="宋体"/>
          <w:color w:val="auto"/>
          <w:sz w:val="21"/>
          <w:szCs w:val="21"/>
          <w:highlight w:val="none"/>
        </w:rPr>
        <w:t>监狱企业</w:t>
      </w:r>
      <w:r>
        <w:rPr>
          <w:rFonts w:hint="eastAsia" w:ascii="宋体" w:hAnsi="宋体"/>
          <w:bCs/>
          <w:color w:val="auto"/>
          <w:sz w:val="21"/>
          <w:szCs w:val="21"/>
          <w:highlight w:val="none"/>
        </w:rPr>
        <w:t>属于小型、微型企业的，不重复享受政策。</w:t>
      </w:r>
    </w:p>
    <w:p w14:paraId="5288B9C0">
      <w:pPr>
        <w:keepNext w:val="0"/>
        <w:keepLines w:val="0"/>
        <w:pageBreakBefore w:val="0"/>
        <w:widowControl w:val="0"/>
        <w:kinsoku/>
        <w:wordWrap/>
        <w:overflowPunct/>
        <w:topLinePunct w:val="0"/>
        <w:autoSpaceDE/>
        <w:autoSpaceDN/>
        <w:bidi w:val="0"/>
        <w:snapToGrid/>
        <w:spacing w:line="480" w:lineRule="auto"/>
        <w:ind w:firstLine="420" w:firstLineChars="200"/>
        <w:textAlignment w:val="auto"/>
        <w:rPr>
          <w:rFonts w:hint="eastAsia" w:hAnsi="宋体"/>
          <w:bCs/>
          <w:color w:val="auto"/>
          <w:sz w:val="21"/>
          <w:szCs w:val="21"/>
          <w:highlight w:val="none"/>
        </w:rPr>
      </w:pPr>
      <w:r>
        <w:rPr>
          <w:rFonts w:hint="eastAsia" w:ascii="宋体" w:hAnsi="宋体"/>
          <w:color w:val="auto"/>
          <w:sz w:val="21"/>
          <w:szCs w:val="21"/>
          <w:highlight w:val="none"/>
        </w:rPr>
        <w:t>（三）按照</w:t>
      </w:r>
      <w:r>
        <w:rPr>
          <w:rFonts w:hint="eastAsia" w:ascii="宋体" w:hAnsi="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7DDAE828">
      <w:pPr>
        <w:pStyle w:val="7"/>
        <w:keepNext w:val="0"/>
        <w:keepLines w:val="0"/>
        <w:pageBreakBefore w:val="0"/>
        <w:widowControl w:val="0"/>
        <w:kinsoku/>
        <w:wordWrap/>
        <w:overflowPunct/>
        <w:topLinePunct w:val="0"/>
        <w:autoSpaceDE/>
        <w:autoSpaceDN/>
        <w:bidi w:val="0"/>
        <w:snapToGrid/>
        <w:spacing w:line="480" w:lineRule="auto"/>
        <w:textAlignment w:val="auto"/>
        <w:rPr>
          <w:rFonts w:ascii="宋体" w:hAnsi="宋体" w:cs="宋体"/>
          <w:b/>
          <w:color w:val="auto"/>
          <w:kern w:val="0"/>
          <w:sz w:val="21"/>
          <w:szCs w:val="21"/>
          <w:highlight w:val="none"/>
        </w:rPr>
      </w:pPr>
      <w:r>
        <w:rPr>
          <w:rFonts w:hint="eastAsia" w:ascii="宋体" w:hAnsi="宋体"/>
          <w:b/>
          <w:bCs/>
          <w:color w:val="auto"/>
          <w:sz w:val="21"/>
          <w:szCs w:val="21"/>
          <w:highlight w:val="none"/>
        </w:rPr>
        <w:t xml:space="preserve">    （四）根据财库〔2019〕9号及财库〔2019〕19号文件规定，台式计算机，便携式计算机、平板式微型计算机，制冷压缩机（冷水机组、溴化锂吸收式冷水机组），空调机组[多联式空调（热泵）机组（制冷量＞14000W），单元式空气调节机]，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的品目，属于政府强制采购节能产品。本项目不涉及政府强制采购节能产品。</w:t>
      </w:r>
    </w:p>
    <w:p w14:paraId="1B5B1CC6">
      <w:pPr>
        <w:keepNext w:val="0"/>
        <w:keepLines w:val="0"/>
        <w:pageBreakBefore w:val="0"/>
        <w:widowControl w:val="0"/>
        <w:kinsoku/>
        <w:wordWrap/>
        <w:overflowPunct/>
        <w:topLinePunct w:val="0"/>
        <w:autoSpaceDE/>
        <w:autoSpaceDN/>
        <w:bidi w:val="0"/>
        <w:adjustRightInd w:val="0"/>
        <w:snapToGrid/>
        <w:spacing w:line="480" w:lineRule="auto"/>
        <w:ind w:firstLine="431"/>
        <w:textAlignment w:val="auto"/>
        <w:rPr>
          <w:rFonts w:hint="eastAsia" w:ascii="宋体" w:hAnsi="宋体"/>
          <w:color w:val="auto"/>
          <w:sz w:val="21"/>
          <w:szCs w:val="21"/>
          <w:highlight w:val="none"/>
        </w:rPr>
      </w:pPr>
      <w:r>
        <w:rPr>
          <w:rFonts w:hint="eastAsia" w:ascii="宋体" w:hAnsi="宋体"/>
          <w:color w:val="auto"/>
          <w:sz w:val="21"/>
          <w:szCs w:val="21"/>
          <w:highlight w:val="none"/>
        </w:rPr>
        <w:t>（五）优先采购环境标志产品、节能产品。</w:t>
      </w:r>
    </w:p>
    <w:p w14:paraId="1E0F8425">
      <w:pPr>
        <w:keepNext w:val="0"/>
        <w:keepLines w:val="0"/>
        <w:pageBreakBefore w:val="0"/>
        <w:widowControl w:val="0"/>
        <w:kinsoku/>
        <w:wordWrap/>
        <w:overflowPunct/>
        <w:topLinePunct w:val="0"/>
        <w:autoSpaceDE/>
        <w:autoSpaceDN/>
        <w:bidi w:val="0"/>
        <w:snapToGrid/>
        <w:spacing w:line="480" w:lineRule="auto"/>
        <w:ind w:firstLine="420" w:firstLineChars="200"/>
        <w:textAlignment w:val="auto"/>
        <w:rPr>
          <w:rFonts w:hint="eastAsia" w:ascii="宋体" w:hAnsi="宋体"/>
          <w:bCs/>
          <w:color w:val="auto"/>
          <w:sz w:val="21"/>
          <w:szCs w:val="21"/>
          <w:highlight w:val="none"/>
        </w:rPr>
      </w:pPr>
      <w:r>
        <w:rPr>
          <w:rFonts w:hint="eastAsia" w:ascii="宋体" w:hAnsi="宋体"/>
          <w:bCs/>
          <w:color w:val="auto"/>
          <w:sz w:val="21"/>
          <w:szCs w:val="21"/>
          <w:highlight w:val="none"/>
        </w:rPr>
        <w:t>二、采购需求中出现的品牌、型号或者生产厂家仅起参考作用，不属于指定品牌、型号或者生产厂家的情形。</w:t>
      </w:r>
      <w:r>
        <w:rPr>
          <w:rFonts w:hint="eastAsia" w:ascii="宋体" w:hAnsi="宋体" w:eastAsia="宋体"/>
          <w:bCs/>
          <w:color w:val="auto"/>
          <w:sz w:val="21"/>
          <w:szCs w:val="21"/>
          <w:highlight w:val="none"/>
          <w:lang w:eastAsia="zh-CN"/>
        </w:rPr>
        <w:t>供应商</w:t>
      </w:r>
      <w:r>
        <w:rPr>
          <w:rFonts w:hint="eastAsia" w:ascii="宋体" w:hAnsi="宋体"/>
          <w:bCs/>
          <w:color w:val="auto"/>
          <w:sz w:val="21"/>
          <w:szCs w:val="21"/>
          <w:highlight w:val="none"/>
        </w:rPr>
        <w:t>可参照或者选用其他相当的品牌、型号或者生产厂家替代，但选用的</w:t>
      </w:r>
      <w:r>
        <w:rPr>
          <w:rFonts w:hint="eastAsia" w:ascii="宋体" w:hAnsi="宋体" w:eastAsia="宋体"/>
          <w:bCs/>
          <w:color w:val="auto"/>
          <w:sz w:val="21"/>
          <w:szCs w:val="21"/>
          <w:highlight w:val="none"/>
          <w:lang w:eastAsia="zh-CN"/>
        </w:rPr>
        <w:t>竞标产品</w:t>
      </w:r>
      <w:r>
        <w:rPr>
          <w:rFonts w:hint="eastAsia" w:ascii="宋体" w:hAnsi="宋体"/>
          <w:bCs/>
          <w:color w:val="auto"/>
          <w:sz w:val="21"/>
          <w:szCs w:val="21"/>
          <w:highlight w:val="none"/>
        </w:rPr>
        <w:t>参数性能必须满足实质性要求。</w:t>
      </w:r>
    </w:p>
    <w:p w14:paraId="4738B2EF">
      <w:pPr>
        <w:keepNext w:val="0"/>
        <w:keepLines w:val="0"/>
        <w:pageBreakBefore w:val="0"/>
        <w:widowControl w:val="0"/>
        <w:kinsoku/>
        <w:wordWrap/>
        <w:overflowPunct/>
        <w:topLinePunct w:val="0"/>
        <w:autoSpaceDE/>
        <w:autoSpaceDN/>
        <w:bidi w:val="0"/>
        <w:snapToGrid/>
        <w:spacing w:line="480" w:lineRule="auto"/>
        <w:ind w:firstLine="420" w:firstLineChars="200"/>
        <w:textAlignment w:val="auto"/>
        <w:rPr>
          <w:rFonts w:hint="eastAsia" w:ascii="宋体" w:hAnsi="宋体"/>
          <w:bCs/>
          <w:color w:val="auto"/>
          <w:sz w:val="21"/>
          <w:szCs w:val="21"/>
          <w:highlight w:val="none"/>
        </w:rPr>
      </w:pPr>
      <w:r>
        <w:rPr>
          <w:rFonts w:hint="eastAsia" w:ascii="宋体" w:hAnsi="宋体"/>
          <w:bCs/>
          <w:color w:val="auto"/>
          <w:sz w:val="21"/>
          <w:szCs w:val="21"/>
          <w:highlight w:val="none"/>
        </w:rPr>
        <w:t>三、</w:t>
      </w:r>
      <w:r>
        <w:rPr>
          <w:rFonts w:hint="eastAsia" w:ascii="宋体" w:hAnsi="宋体" w:eastAsia="宋体"/>
          <w:bCs/>
          <w:color w:val="auto"/>
          <w:sz w:val="21"/>
          <w:szCs w:val="21"/>
          <w:highlight w:val="none"/>
          <w:lang w:eastAsia="zh-CN"/>
        </w:rPr>
        <w:t>供应商</w:t>
      </w:r>
      <w:r>
        <w:rPr>
          <w:rFonts w:hint="eastAsia" w:ascii="宋体" w:hAnsi="宋体"/>
          <w:bCs/>
          <w:color w:val="auto"/>
          <w:sz w:val="21"/>
          <w:szCs w:val="21"/>
          <w:highlight w:val="none"/>
        </w:rPr>
        <w:t>必须自行为其</w:t>
      </w:r>
      <w:r>
        <w:rPr>
          <w:rFonts w:hint="eastAsia" w:ascii="宋体" w:hAnsi="宋体" w:eastAsia="宋体"/>
          <w:bCs/>
          <w:color w:val="auto"/>
          <w:sz w:val="21"/>
          <w:szCs w:val="21"/>
          <w:highlight w:val="none"/>
          <w:lang w:eastAsia="zh-CN"/>
        </w:rPr>
        <w:t>竞标产品</w:t>
      </w:r>
      <w:r>
        <w:rPr>
          <w:rFonts w:hint="eastAsia" w:ascii="宋体" w:hAnsi="宋体"/>
          <w:bCs/>
          <w:color w:val="auto"/>
          <w:sz w:val="21"/>
          <w:szCs w:val="21"/>
          <w:highlight w:val="none"/>
        </w:rPr>
        <w:t>侵犯他人的知识产权或者专利成果或其他合法权益的行为承担相应法律责任。</w:t>
      </w:r>
    </w:p>
    <w:p w14:paraId="2AD233A6">
      <w:pPr>
        <w:rPr>
          <w:rFonts w:hint="eastAsia" w:ascii="宋体" w:hAnsi="宋体"/>
          <w:b/>
          <w:color w:val="auto"/>
          <w:sz w:val="24"/>
          <w:highlight w:val="none"/>
        </w:rPr>
      </w:pPr>
    </w:p>
    <w:p w14:paraId="56C1B40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400" w:lineRule="exact"/>
        <w:jc w:val="both"/>
        <w:textAlignment w:val="baseline"/>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Ⅱ.采购需求一览表</w:t>
      </w:r>
    </w:p>
    <w:p w14:paraId="20889D2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400" w:lineRule="exact"/>
        <w:jc w:val="both"/>
        <w:textAlignment w:val="baseline"/>
        <w:outlineLvl w:val="9"/>
        <w:rPr>
          <w:rFonts w:hint="eastAsia" w:ascii="宋体" w:hAnsi="宋体" w:eastAsia="宋体" w:cs="宋体"/>
          <w:b/>
          <w:color w:val="auto"/>
          <w:sz w:val="21"/>
          <w:szCs w:val="21"/>
          <w:highlight w:val="none"/>
        </w:rPr>
      </w:pPr>
    </w:p>
    <w:p w14:paraId="773B7F74">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标项一</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112"/>
        <w:gridCol w:w="5107"/>
        <w:gridCol w:w="705"/>
        <w:gridCol w:w="765"/>
        <w:gridCol w:w="1230"/>
      </w:tblGrid>
      <w:tr w14:paraId="6BA2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6CB75B43">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序号</w:t>
            </w:r>
          </w:p>
        </w:tc>
        <w:tc>
          <w:tcPr>
            <w:tcW w:w="1112" w:type="dxa"/>
            <w:vAlign w:val="center"/>
          </w:tcPr>
          <w:p w14:paraId="3C5761D4">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项目名称</w:t>
            </w:r>
          </w:p>
        </w:tc>
        <w:tc>
          <w:tcPr>
            <w:tcW w:w="5107" w:type="dxa"/>
            <w:vAlign w:val="center"/>
          </w:tcPr>
          <w:p w14:paraId="0E14DA47">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技术参数及其性能（配置）要求</w:t>
            </w:r>
          </w:p>
        </w:tc>
        <w:tc>
          <w:tcPr>
            <w:tcW w:w="705" w:type="dxa"/>
            <w:vAlign w:val="center"/>
          </w:tcPr>
          <w:p w14:paraId="5F62454E">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数量</w:t>
            </w:r>
          </w:p>
        </w:tc>
        <w:tc>
          <w:tcPr>
            <w:tcW w:w="765" w:type="dxa"/>
            <w:vAlign w:val="center"/>
          </w:tcPr>
          <w:p w14:paraId="50B6D7C2">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单位</w:t>
            </w:r>
          </w:p>
        </w:tc>
        <w:tc>
          <w:tcPr>
            <w:tcW w:w="1230" w:type="dxa"/>
            <w:vAlign w:val="center"/>
          </w:tcPr>
          <w:p w14:paraId="33DE94EC">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预算总价（元）</w:t>
            </w:r>
          </w:p>
        </w:tc>
      </w:tr>
      <w:tr w14:paraId="792B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12D002B2">
            <w:pPr>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bidi="ar"/>
              </w:rPr>
              <w:t>1</w:t>
            </w:r>
          </w:p>
        </w:tc>
        <w:tc>
          <w:tcPr>
            <w:tcW w:w="1112" w:type="dxa"/>
            <w:vAlign w:val="center"/>
          </w:tcPr>
          <w:p w14:paraId="2B71A54B">
            <w:pPr>
              <w:widowControl w:val="0"/>
              <w:kinsoku/>
              <w:autoSpaceDE/>
              <w:autoSpaceDN/>
              <w:adjustRightInd/>
              <w:snapToGrid/>
              <w:spacing w:line="400" w:lineRule="exact"/>
              <w:jc w:val="center"/>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六角模块化教学实操工作站1及建设</w:t>
            </w:r>
          </w:p>
        </w:tc>
        <w:tc>
          <w:tcPr>
            <w:tcW w:w="5107" w:type="dxa"/>
            <w:vAlign w:val="center"/>
          </w:tcPr>
          <w:p w14:paraId="4D418642">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 整体规格（±5mm）：外形尺寸W2000mm×D2000mm×H750mm，六边形一体化实训操作平台，框架具备高强度承载结构，满足多人同步实操教学使用。</w:t>
            </w:r>
          </w:p>
          <w:p w14:paraId="48FB2BAA">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 操作平台面板：面板厚度≧25mm高强度复合基材，表面具备耐磨、抗冲击、耐腐蚀特性，适配各类实训工具作业；面板预留模块化组件安装槽位，可搭载各类实训配套单元，支持实训器件固定装配。</w:t>
            </w:r>
          </w:p>
          <w:p w14:paraId="4C8449D4">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 支撑框架：采用加厚型钢一体搭建支撑框架，配置底部加强横梁结构，整体稳固不易变形，具备优良承重与抗震动性能。</w:t>
            </w:r>
          </w:p>
          <w:p w14:paraId="337CC9D1">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 集成设备舱：主体配置封闭式钢制集成设备舱，采用冷轧钢板冲压成型；舱内设置组件安装导轨，用于收纳、安装实训控制主机、电源分配单元、实训模块等配套设备，便于线路规整与组件拆装维护。</w:t>
            </w:r>
          </w:p>
          <w:p w14:paraId="67CECB50">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 工艺要求：金属构件表面静电喷涂防腐处理，防锈耐磨损；所有拼接部位平整牢固，无尖锐棱角，保障实训操作安全。</w:t>
            </w:r>
          </w:p>
          <w:p w14:paraId="00C7E114">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含实训室整体改造建设，具体内容包括但不限于“操作台安装，门窗拆除、封堵;灯具及线路拆除；顶面造型;墙面造型;地面处理;造型灯;走廊透视窗;文化墙建设等”，供应商可在谈判文件规定时间内前往学校进行现场勘察，按实际要求做出报价。</w:t>
            </w:r>
          </w:p>
        </w:tc>
        <w:tc>
          <w:tcPr>
            <w:tcW w:w="705" w:type="dxa"/>
            <w:vAlign w:val="center"/>
          </w:tcPr>
          <w:p w14:paraId="59AB7EB0">
            <w:pPr>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bidi="ar"/>
              </w:rPr>
              <w:t>6</w:t>
            </w:r>
          </w:p>
        </w:tc>
        <w:tc>
          <w:tcPr>
            <w:tcW w:w="765" w:type="dxa"/>
            <w:vAlign w:val="center"/>
          </w:tcPr>
          <w:p w14:paraId="18B5C3FC">
            <w:pPr>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bidi="ar"/>
              </w:rPr>
              <w:t>套</w:t>
            </w:r>
          </w:p>
        </w:tc>
        <w:tc>
          <w:tcPr>
            <w:tcW w:w="1230" w:type="dxa"/>
            <w:vAlign w:val="center"/>
          </w:tcPr>
          <w:p w14:paraId="63F7BE25">
            <w:pPr>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232700</w:t>
            </w:r>
          </w:p>
        </w:tc>
      </w:tr>
      <w:tr w14:paraId="6CD6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22E05B54">
            <w:pPr>
              <w:jc w:val="center"/>
              <w:textAlignment w:val="center"/>
              <w:rPr>
                <w:rFonts w:hint="eastAsia" w:ascii="宋体" w:hAnsi="宋体" w:eastAsia="宋体" w:cs="宋体"/>
                <w:color w:val="auto"/>
                <w:sz w:val="21"/>
                <w:szCs w:val="21"/>
                <w:highlight w:val="none"/>
                <w:lang w:eastAsia="zh-CN" w:bidi="ar"/>
              </w:rPr>
            </w:pPr>
            <w:bookmarkStart w:id="16" w:name="_Hlk236562416"/>
            <w:r>
              <w:rPr>
                <w:rFonts w:hint="eastAsia" w:ascii="宋体" w:hAnsi="宋体" w:eastAsia="宋体" w:cs="宋体"/>
                <w:color w:val="auto"/>
                <w:sz w:val="21"/>
                <w:szCs w:val="21"/>
                <w:highlight w:val="none"/>
                <w:lang w:eastAsia="zh-CN" w:bidi="ar"/>
              </w:rPr>
              <w:t>2</w:t>
            </w:r>
          </w:p>
        </w:tc>
        <w:tc>
          <w:tcPr>
            <w:tcW w:w="1112" w:type="dxa"/>
            <w:vAlign w:val="center"/>
          </w:tcPr>
          <w:p w14:paraId="03EA7A28">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多媒体控制器</w:t>
            </w:r>
          </w:p>
        </w:tc>
        <w:tc>
          <w:tcPr>
            <w:tcW w:w="5107" w:type="dxa"/>
          </w:tcPr>
          <w:p w14:paraId="2A2B168F">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多媒体控制器的屏幕采用≥23.8英寸电容触摸屏（简称：屏幕）且采用防眩光钢化玻璃面板，厚度≥2mm；支持≥10点触控；支持屏幕手动角度调节，可实现与桌面形成20°至80°角度调节；（履约验收时须提供具有国家认可的第三方检测机构所出具的满足要求的检测报告复印件）</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2.侧面具有物理实体快捷按键≥6个，按键功能包括对屏幕一键开/关屏幕、对匹配的大屏（如智慧黑板，简称：大屏）进行一键熄屏以及一键音量加、一键音量减。</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3.侧边具有≥2路USB数据口，可接入U盘等设备，且可被匹配的大屏识别和通讯；≥1路Type-C和HDMI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履约验收时须提供具有国家认可的第三方检测机构所出具的关于该功能的检测报告复印件）</w:t>
            </w:r>
          </w:p>
          <w:p w14:paraId="4040F675">
            <w:pPr>
              <w:widowControl w:val="0"/>
              <w:kinsoku/>
              <w:autoSpaceDE/>
              <w:autoSpaceDN/>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4.底座内置接口：HDMI IN≥2个；HDMI OUT≥1个;USB≥4个；RJ45≥1个；AUDIO OUT≥1个；RS232≥1个。</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5.侧边内置NFC模块；讲台屏至少支持NFC刷卡、二</w:t>
            </w:r>
            <w:r>
              <w:rPr>
                <w:rFonts w:hint="eastAsia" w:ascii="宋体" w:hAnsi="宋体" w:eastAsia="宋体" w:cs="宋体"/>
                <w:color w:val="auto"/>
                <w:sz w:val="21"/>
                <w:szCs w:val="21"/>
                <w:highlight w:val="none"/>
                <w:lang w:eastAsia="zh-CN" w:bidi="ar"/>
              </w:rPr>
              <w:t>维码2种方式实现设备使用前的用户身份认证。</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6.控制器自带定制化独立操作系统，基于Android 11及以上版本，可在任意通道下唤出多功能中控菜单并实现相关操作。</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7.屏幕可调出中控菜单界面，支持一键上课及下课两种场景控制，也可以对连接的设备单独控制开关机；支持对屏幕输入源显示画面切换，包括智能平板、电脑、HDMI、Type-C；</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8.支持当接入匹配教室内的录播产品时，可显示录播导播流画面，选择开始录制、暂停录制和结束录制等功能；支持当接入匹配教室内的物联产品时，可视化显示物联设备且可进行应用场景化管理；</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9.支持控制讲桌升降，无需使用升降控制器物理按键操作，并可通过软件与老师账号绑定记录老师独有的升降高度数据。</w:t>
            </w:r>
          </w:p>
        </w:tc>
        <w:tc>
          <w:tcPr>
            <w:tcW w:w="705" w:type="dxa"/>
            <w:vAlign w:val="center"/>
          </w:tcPr>
          <w:p w14:paraId="646CF68B">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765" w:type="dxa"/>
            <w:vAlign w:val="center"/>
          </w:tcPr>
          <w:p w14:paraId="41C7B6FD">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台</w:t>
            </w:r>
          </w:p>
        </w:tc>
        <w:tc>
          <w:tcPr>
            <w:tcW w:w="1230" w:type="dxa"/>
            <w:vAlign w:val="center"/>
          </w:tcPr>
          <w:p w14:paraId="28806715">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5800</w:t>
            </w:r>
          </w:p>
        </w:tc>
      </w:tr>
      <w:bookmarkEnd w:id="16"/>
      <w:tr w14:paraId="0E44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4B67935F">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3</w:t>
            </w:r>
          </w:p>
        </w:tc>
        <w:tc>
          <w:tcPr>
            <w:tcW w:w="1112" w:type="dxa"/>
            <w:vAlign w:val="center"/>
          </w:tcPr>
          <w:p w14:paraId="7B6D7EC0">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智能音频主机</w:t>
            </w:r>
          </w:p>
        </w:tc>
        <w:tc>
          <w:tcPr>
            <w:tcW w:w="5107" w:type="dxa"/>
          </w:tcPr>
          <w:p w14:paraId="174AC989">
            <w:pPr>
              <w:spacing w:line="360" w:lineRule="auto"/>
              <w:textAlignment w:val="top"/>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1.主机前面板带TFT彩屏，支持触摸屏操作，屏幕尺寸≥2.0寸，支持设置屏幕操作6位密码。</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2.信噪比：≥97dB；频率响应：20Hz-20kHz（±2dB）；.总谐波失真：≤0.1%；增益差：≤0.2dB。【在履约验收时提供国家认可的第三方检验（检测）机构出具的满足上述要求的检验（检测）报告复印件，并加盖供应商公章】</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3.主机支持闪避器功能，可以软件灵活设置优先通道、阈值、衰减增益、启动时间、释放时间和保持时间，当优先信号信号输入时，其他信号被衰减。</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4.主机和软件具有“一键自动调音”功能，具有良好建声和较差建声环境两种调音模式，自动发生粉红噪声并自动适配教室空间声学参数，并自动调整房间均衡参数平衡平整，每路麦克风具有不少于14段参数均衡。</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5.主机支持插入U盘随堂录制讲课语音及课件音频混音文件，录音支持降噪录音，mp3格式，最大支持32GB，FAT32 格式,最多录音时长＞999小时。</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6.主机具有不少于6路音频输入、8路音频输出（其中2路音频输出到功放）。</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7.软件支持局域网集中远程管理、查看设备在线情况、版本信息等；可远程管理音量或静音。支持一键远程开机关机功能，支持网络远程升级;</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8.主机支持内部可增加IP广播模块功能，根据甲方需求进行扩展。</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9.功率放大器的额定输出功率≥2*150W，满足大教室多对音箱需求;</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10.</w:t>
            </w:r>
            <w:bookmarkStart w:id="17" w:name="OLE_LINK1"/>
            <w:r>
              <w:rPr>
                <w:rFonts w:hint="eastAsia" w:ascii="宋体" w:hAnsi="宋体" w:eastAsia="宋体" w:cs="宋体"/>
                <w:color w:val="auto"/>
                <w:sz w:val="21"/>
                <w:szCs w:val="21"/>
                <w:highlight w:val="none"/>
                <w:lang w:eastAsia="zh-CN" w:bidi="ar"/>
              </w:rPr>
              <w:t>主机软件可消除输入通道白噪声</w:t>
            </w:r>
            <w:bookmarkEnd w:id="17"/>
            <w:r>
              <w:rPr>
                <w:rFonts w:hint="eastAsia" w:ascii="宋体" w:hAnsi="宋体" w:eastAsia="宋体" w:cs="宋体"/>
                <w:color w:val="auto"/>
                <w:sz w:val="21"/>
                <w:szCs w:val="21"/>
                <w:highlight w:val="none"/>
                <w:lang w:eastAsia="zh-CN" w:bidi="ar"/>
              </w:rPr>
              <w:t>。【在履约验收时提供国家认可的第三方检验（检测）机构出具的满足上述要求的检验（检测）报告复印件，并加盖供应商公章】</w:t>
            </w:r>
          </w:p>
        </w:tc>
        <w:tc>
          <w:tcPr>
            <w:tcW w:w="705" w:type="dxa"/>
            <w:vAlign w:val="center"/>
          </w:tcPr>
          <w:p w14:paraId="55D72FCB">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765" w:type="dxa"/>
            <w:vAlign w:val="center"/>
          </w:tcPr>
          <w:p w14:paraId="483CCD8D">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台</w:t>
            </w:r>
          </w:p>
        </w:tc>
        <w:tc>
          <w:tcPr>
            <w:tcW w:w="1230" w:type="dxa"/>
            <w:vAlign w:val="center"/>
          </w:tcPr>
          <w:p w14:paraId="231546C9">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5500</w:t>
            </w:r>
          </w:p>
        </w:tc>
      </w:tr>
      <w:tr w14:paraId="7216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57F1AB77">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4</w:t>
            </w:r>
          </w:p>
        </w:tc>
        <w:tc>
          <w:tcPr>
            <w:tcW w:w="1112" w:type="dxa"/>
            <w:vAlign w:val="center"/>
          </w:tcPr>
          <w:p w14:paraId="72DAE499">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方管吊麦</w:t>
            </w:r>
          </w:p>
        </w:tc>
        <w:tc>
          <w:tcPr>
            <w:tcW w:w="5107" w:type="dxa"/>
          </w:tcPr>
          <w:p w14:paraId="1652D554">
            <w:pPr>
              <w:spacing w:line="360" w:lineRule="auto"/>
              <w:textAlignment w:val="top"/>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1、麦克风采用方形外形设计，白色外壳，麦克风线路隐藏，不外露；</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2、麦克风与伸缩吊杆一体化设计，整体呈现白色，吊杆最小处直径≤10mm；</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3、采用大振膜设计，声聚焦技术，声音还原度高，音头直径≥14mm；</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4、采用特殊音头和电路，弥补远距离拾音时的低频损失，拾音距离≥8米，远距离拾音低频声音依旧饱满，具备包围感，具备返听感；</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5、带绿色工作指示灯；</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6、指向特性：心型单指向。</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7、频率响应：等于或优于50Hz~20KHz。</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8、灵敏度：等于或优于-42dB；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9、高通滤波：80Hz18dB/OCTAVE；</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10、输出阻抗：250Ω±30% (at 1KHz)；</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6、最大承受音压：≥139dBSPL；</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7、信噪比：≥70dB；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8、动态范围：≥115dBSPL；</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9、电源供应：DC48V。</w:t>
            </w:r>
          </w:p>
        </w:tc>
        <w:tc>
          <w:tcPr>
            <w:tcW w:w="705" w:type="dxa"/>
            <w:vAlign w:val="center"/>
          </w:tcPr>
          <w:p w14:paraId="0863E8AF">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765" w:type="dxa"/>
            <w:vAlign w:val="center"/>
          </w:tcPr>
          <w:p w14:paraId="1D7B87D5">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支</w:t>
            </w:r>
          </w:p>
        </w:tc>
        <w:tc>
          <w:tcPr>
            <w:tcW w:w="1230" w:type="dxa"/>
            <w:vAlign w:val="center"/>
          </w:tcPr>
          <w:p w14:paraId="148AE40E">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1000</w:t>
            </w:r>
          </w:p>
        </w:tc>
      </w:tr>
      <w:tr w14:paraId="1A21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78F2FEF0">
            <w:pPr>
              <w:jc w:val="center"/>
              <w:textAlignment w:val="center"/>
              <w:rPr>
                <w:rFonts w:hint="eastAsia" w:ascii="宋体" w:hAnsi="宋体" w:eastAsia="宋体" w:cs="宋体"/>
                <w:color w:val="auto"/>
                <w:sz w:val="21"/>
                <w:szCs w:val="21"/>
                <w:highlight w:val="none"/>
                <w:lang w:eastAsia="zh-CN" w:bidi="ar"/>
              </w:rPr>
            </w:pPr>
            <w:bookmarkStart w:id="18" w:name="_Hlk236567720"/>
            <w:r>
              <w:rPr>
                <w:rFonts w:hint="eastAsia" w:ascii="宋体" w:hAnsi="宋体" w:eastAsia="宋体" w:cs="宋体"/>
                <w:color w:val="auto"/>
                <w:sz w:val="21"/>
                <w:szCs w:val="21"/>
                <w:highlight w:val="none"/>
                <w:lang w:eastAsia="zh-CN" w:bidi="ar"/>
              </w:rPr>
              <w:t>5</w:t>
            </w:r>
          </w:p>
        </w:tc>
        <w:tc>
          <w:tcPr>
            <w:tcW w:w="1112" w:type="dxa"/>
            <w:vAlign w:val="center"/>
          </w:tcPr>
          <w:p w14:paraId="178A526A">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教学扩声系统音箱</w:t>
            </w:r>
          </w:p>
        </w:tc>
        <w:tc>
          <w:tcPr>
            <w:tcW w:w="5107" w:type="dxa"/>
          </w:tcPr>
          <w:p w14:paraId="66D0DE86">
            <w:pPr>
              <w:spacing w:line="360" w:lineRule="auto"/>
              <w:textAlignment w:val="top"/>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1、采用白色环保水性漆表面处理；箱体采用12mm中纤板；</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2、音箱内有≥3个喇叭，采用三分频设计，低音和中音采用≥4.5吋低音，高音采用≥3吋高音；</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3、采用线性音箱技术，传输距离更远；</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4、频率响应范围：等于或优于50Hz-20kHz；</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5、额定功率：≥65W；</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6、灵敏度：≥87dB；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7、最大声压级：≥101dB。</w:t>
            </w:r>
          </w:p>
        </w:tc>
        <w:tc>
          <w:tcPr>
            <w:tcW w:w="705" w:type="dxa"/>
            <w:vAlign w:val="center"/>
          </w:tcPr>
          <w:p w14:paraId="37A08F0D">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765" w:type="dxa"/>
            <w:vAlign w:val="center"/>
          </w:tcPr>
          <w:p w14:paraId="684EC828">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对</w:t>
            </w:r>
          </w:p>
        </w:tc>
        <w:tc>
          <w:tcPr>
            <w:tcW w:w="1230" w:type="dxa"/>
            <w:vAlign w:val="center"/>
          </w:tcPr>
          <w:p w14:paraId="229C69AA">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1500</w:t>
            </w:r>
          </w:p>
        </w:tc>
      </w:tr>
      <w:bookmarkEnd w:id="18"/>
      <w:tr w14:paraId="4BDA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334EB084">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6</w:t>
            </w:r>
          </w:p>
        </w:tc>
        <w:tc>
          <w:tcPr>
            <w:tcW w:w="1112" w:type="dxa"/>
            <w:vAlign w:val="center"/>
          </w:tcPr>
          <w:p w14:paraId="4FEBDF82">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鹅颈麦克风</w:t>
            </w:r>
          </w:p>
        </w:tc>
        <w:tc>
          <w:tcPr>
            <w:tcW w:w="5107" w:type="dxa"/>
          </w:tcPr>
          <w:p w14:paraId="5D4F139F">
            <w:pPr>
              <w:spacing w:line="360" w:lineRule="auto"/>
              <w:textAlignment w:val="top"/>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1、采用锌合金金属底座，抗手机、电磁、高频干扰；</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2、底座底部可以与DM-810无线麦底座扩展，无缝拼装组合；</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3、麦克风鹅颈杆采用弯管可拆卸设计，具有红色发言灯圈；</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4、麦杆长度≥60cm；</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5、采用专业电容式镀金音头，具有超心型锐指向性，平衡式放大电路，音域宽广优美，音色清晰；</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6、具有自锁式发言按键，发言按键带有指示灯。发言时指示灯和灯圈点亮，关闭话筒时灯灭；</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7、鹅颈麦支持48V幻象电源；</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8、灵敏度：等于或优于-40dB±2dB；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9、频响范围：20Hz-20kHz（±3dB）；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10、拾音距离：≥10-50cm；</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11、信噪比：≥60dB；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12、输出阻抗：≥75Ω；</w:t>
            </w:r>
          </w:p>
        </w:tc>
        <w:tc>
          <w:tcPr>
            <w:tcW w:w="705" w:type="dxa"/>
            <w:vAlign w:val="center"/>
          </w:tcPr>
          <w:p w14:paraId="57B4A27F">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765" w:type="dxa"/>
            <w:vAlign w:val="center"/>
          </w:tcPr>
          <w:p w14:paraId="2ADA3364">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支</w:t>
            </w:r>
          </w:p>
        </w:tc>
        <w:tc>
          <w:tcPr>
            <w:tcW w:w="1230" w:type="dxa"/>
            <w:vAlign w:val="center"/>
          </w:tcPr>
          <w:p w14:paraId="5182E36F">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500</w:t>
            </w:r>
          </w:p>
        </w:tc>
      </w:tr>
      <w:tr w14:paraId="579F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Align w:val="center"/>
          </w:tcPr>
          <w:p w14:paraId="20BD8104">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7</w:t>
            </w:r>
          </w:p>
        </w:tc>
        <w:tc>
          <w:tcPr>
            <w:tcW w:w="1112" w:type="dxa"/>
            <w:vAlign w:val="center"/>
          </w:tcPr>
          <w:p w14:paraId="61AF92B7">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AI接收主机</w:t>
            </w:r>
          </w:p>
        </w:tc>
        <w:tc>
          <w:tcPr>
            <w:tcW w:w="5107" w:type="dxa"/>
          </w:tcPr>
          <w:p w14:paraId="550715EE">
            <w:pPr>
              <w:spacing w:line="360" w:lineRule="auto"/>
              <w:textAlignment w:val="top"/>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1、麦克风无线接收主机、AI音频处理器、双麦充电仓一体式设计。接收主机前面板带透明窗可查看麦克风充电状态，顶部内置双充电槽，翻盖保护罩可开合。</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2、整机采用壁挂式外观设计、背部具有≥4个壁挂孔位。</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3、接收主机内置AI降噪与AI反馈抑制算法，无需调试可做到：</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①完全消除课堂稳态噪声，降噪深度≥30dB（如风扇、建筑噪音等持续噪音）</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②完全消除非稳态噪声，降噪深度≥30dB（敲击、摩擦、跌落等突发噪音）</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4、接收主机内置喇叭，支持对开机、对频指引、音量调节、麦克风归还提醒等进行中文语音播报。</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5、接收主机具有≥1路3.5mm立体声课件输入、≥1路3.5mm混合输出、≥1路3.5mm独立语音输出、≥1路USB语音控制接口，可同时满足本地扩声、远程录播及PC语音控制需求。</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6、可通过PC软件，实时查看麦克风电量、在位状态，调节音量、音效模式（清亮/标准/浑厚），并设置智能提示模式开关。</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7、接收主机前面板采用触摸式音量“+、-”键，且音量加减时主机内置喇叭具有中文语音播报。接收主机前面板配备红绿双色状态指示灯，清晰显示对频、连接、语音识别、音量调节等状态。</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8、无线制式：2.4GHz 自适应跳频</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9、频响范围：等于或优于70Hz - 20kHz</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10、AI降噪深度：≥30dB（支持稳态与非稳态噪声）</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11、反馈抑制增益提升：≥12dB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12、电源输入：DC 12V/1A</w:t>
            </w:r>
          </w:p>
        </w:tc>
        <w:tc>
          <w:tcPr>
            <w:tcW w:w="705" w:type="dxa"/>
            <w:vAlign w:val="center"/>
          </w:tcPr>
          <w:p w14:paraId="3944D2C2">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765" w:type="dxa"/>
            <w:vAlign w:val="center"/>
          </w:tcPr>
          <w:p w14:paraId="4FA24AB0">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台</w:t>
            </w:r>
          </w:p>
        </w:tc>
        <w:tc>
          <w:tcPr>
            <w:tcW w:w="1230" w:type="dxa"/>
            <w:vAlign w:val="center"/>
          </w:tcPr>
          <w:p w14:paraId="0F0966BA">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2000</w:t>
            </w:r>
          </w:p>
        </w:tc>
      </w:tr>
      <w:tr w14:paraId="4FF9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703" w:type="dxa"/>
            <w:vAlign w:val="center"/>
          </w:tcPr>
          <w:p w14:paraId="2FCD64DA">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8</w:t>
            </w:r>
          </w:p>
        </w:tc>
        <w:tc>
          <w:tcPr>
            <w:tcW w:w="1112" w:type="dxa"/>
            <w:vAlign w:val="center"/>
          </w:tcPr>
          <w:p w14:paraId="463B59EB">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佩戴式话筒</w:t>
            </w:r>
          </w:p>
        </w:tc>
        <w:tc>
          <w:tcPr>
            <w:tcW w:w="5107" w:type="dxa"/>
          </w:tcPr>
          <w:p w14:paraId="3BF1E68F">
            <w:pPr>
              <w:spacing w:line="360" w:lineRule="auto"/>
              <w:textAlignment w:val="top"/>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1、麦克风主体长宽≤30mm，领夹采用硅胶材质，麦克风主体与磁吸领夹一体式设计，磁吸夹无丢失风险。</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2、麦克风内置NFC模块，无线麦克风开机后，触碰接收主机对频区域即可完成对频，对频完成后自动锁频，杜绝串频风险。</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3、采用2.4GHz自适应跳频技术，支持48KHz/24bit无损音质传输，确保人声清晰饱满，低中高频均衡，还原度高。</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4、单台接收主机可实现两支无线麦克风同时使用，实现师生互动。支持≥3套系统在相邻教室同时使用互不干扰。</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5、麦克风含≤2个按键，侧面按键支持电源开关与静音功能；正面按键支持语音指令功能：按住正面语音指令按键可通过语音指令对一体机、智慧黑板、电脑等设备中打开或关闭已下载的常用软件、幻灯片放映、PPT上下翻页等功能。</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6、单次充满电可连续使用≥6小时。放入充电仓可通过POG PIN进行充电，并可在软件内查看麦克风实时电量、在位状态、音量等信息。</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7、麦克风可通过内置红、绿、黄三色LED灯清晰指示对频、使用、静音、充电、低电量、断频等状态。</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8、麦克风具有归还提醒功能，麦克风被带离使用区域后，麦克风发出蜂鸣声即刻提醒。</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9、音频延时：≤16ms</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10、拾音范围：≥50cm</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11、频响范围：等于或优于70Hz - 20kHz (±3dB)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12、信噪比：≥81dB</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13、失真度：&lt;1% (100Hz - 20kHz)</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14、无线距离：室内&gt;20米，户外&gt;30米（稳定无断续）</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15、连续使用时间：≥6小时</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16、充电时间：≤1.5-2小时</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17、整机重量：≤12g</w:t>
            </w:r>
          </w:p>
        </w:tc>
        <w:tc>
          <w:tcPr>
            <w:tcW w:w="705" w:type="dxa"/>
            <w:vAlign w:val="center"/>
          </w:tcPr>
          <w:p w14:paraId="7B5CB1A3">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1</w:t>
            </w:r>
          </w:p>
        </w:tc>
        <w:tc>
          <w:tcPr>
            <w:tcW w:w="765" w:type="dxa"/>
            <w:vAlign w:val="center"/>
          </w:tcPr>
          <w:p w14:paraId="52431551">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支</w:t>
            </w:r>
          </w:p>
        </w:tc>
        <w:tc>
          <w:tcPr>
            <w:tcW w:w="1230" w:type="dxa"/>
            <w:vAlign w:val="center"/>
          </w:tcPr>
          <w:p w14:paraId="281EAE3C">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1000</w:t>
            </w:r>
          </w:p>
        </w:tc>
      </w:tr>
      <w:tr w14:paraId="4689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gridSpan w:val="2"/>
            <w:vAlign w:val="center"/>
          </w:tcPr>
          <w:p w14:paraId="339258A7">
            <w:pP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rPr>
              <w:t>核心产品</w:t>
            </w:r>
          </w:p>
        </w:tc>
        <w:tc>
          <w:tcPr>
            <w:tcW w:w="7807" w:type="dxa"/>
            <w:gridSpan w:val="4"/>
            <w:vAlign w:val="center"/>
          </w:tcPr>
          <w:p w14:paraId="5FFF032F">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本分标核心产品是第1项“六角模块化实训操作工作站</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及建设”。</w:t>
            </w:r>
          </w:p>
        </w:tc>
      </w:tr>
      <w:tr w14:paraId="3DDB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815" w:type="dxa"/>
            <w:gridSpan w:val="2"/>
            <w:vAlign w:val="center"/>
          </w:tcPr>
          <w:p w14:paraId="0FCDDFF3">
            <w:pPr>
              <w:pStyle w:val="32"/>
              <w:spacing w:before="116" w:line="270" w:lineRule="auto"/>
              <w:ind w:left="110" w:right="107" w:firstLine="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售后服务要求及免费保修期</w:t>
            </w:r>
          </w:p>
        </w:tc>
        <w:tc>
          <w:tcPr>
            <w:tcW w:w="7807" w:type="dxa"/>
            <w:gridSpan w:val="4"/>
            <w:vAlign w:val="center"/>
          </w:tcPr>
          <w:p w14:paraId="1EB9515E">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按国家有关产品“三包”规定执行“三包”，免费维护期最短不得少于1年（设备技术要求栏中有特别注明的除外）；免费维护期内上门维护免收维修费和元器件费，免费维护期外提供终身维修服务，并提最优惠价格的零配件供应。</w:t>
            </w:r>
          </w:p>
          <w:p w14:paraId="041BF0FC">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2.免费送货上门，安装、调试，提供现场技术培训，保证使用人员正常操作设备的各种功能；若</w:t>
            </w:r>
            <w:r>
              <w:rPr>
                <w:rFonts w:hint="eastAsia" w:ascii="宋体" w:hAnsi="宋体" w:eastAsia="宋体" w:cs="宋体"/>
                <w:color w:val="auto"/>
                <w:sz w:val="21"/>
                <w:szCs w:val="21"/>
                <w:highlight w:val="none"/>
                <w:lang w:val="zh-CN" w:eastAsia="zh-CN"/>
              </w:rPr>
              <w:t>设备自带</w:t>
            </w:r>
            <w:r>
              <w:rPr>
                <w:rFonts w:hint="eastAsia" w:ascii="宋体" w:hAnsi="宋体" w:eastAsia="宋体" w:cs="宋体"/>
                <w:color w:val="auto"/>
                <w:sz w:val="21"/>
                <w:szCs w:val="21"/>
                <w:highlight w:val="none"/>
                <w:lang w:eastAsia="zh-CN"/>
              </w:rPr>
              <w:t>软件，则在维护期免费升级；提供二次开发支持。</w:t>
            </w:r>
          </w:p>
          <w:p w14:paraId="1D423FD7">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要求提供售后服务联系电话及联系人，免费维护期内，接到报障电话在承诺时间内派工程技术人员上门维修解决问题。如果需要更换配件的，要求更换的配件应跟被更换的品牌、类型相一致或者是同类同档次的替代品，后者需征得采购人管理人员同意。</w:t>
            </w:r>
          </w:p>
          <w:p w14:paraId="438FC5B8">
            <w:pPr>
              <w:spacing w:line="400" w:lineRule="exact"/>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rPr>
              <w:t>4.要求提供7×24小时技术支持服务，若出现故障时，接到采购人报修通知2小时内立即响应，24小时内解决问题排除故障。</w:t>
            </w:r>
          </w:p>
        </w:tc>
      </w:tr>
      <w:tr w14:paraId="5B91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815" w:type="dxa"/>
            <w:gridSpan w:val="2"/>
            <w:vAlign w:val="center"/>
          </w:tcPr>
          <w:p w14:paraId="66337367">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现场勘察</w:t>
            </w:r>
          </w:p>
        </w:tc>
        <w:tc>
          <w:tcPr>
            <w:tcW w:w="7807" w:type="dxa"/>
            <w:gridSpan w:val="4"/>
            <w:vAlign w:val="center"/>
          </w:tcPr>
          <w:p w14:paraId="39D23D2B">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为使供应商了解本分标安装场地位置、现场改造及场地内现有设施情况，以便项目的实施。本分标现场踏勘时间为项目截标前任意工作日下午15时-17时内接待，现场踏勘所发生的一切费用由供应商自行承担。联系人：蒋老师；电话：</w:t>
            </w:r>
            <w:r>
              <w:rPr>
                <w:rFonts w:hint="eastAsia" w:ascii="宋体" w:hAnsi="宋体" w:eastAsia="宋体" w:cs="宋体"/>
                <w:color w:val="auto"/>
                <w:sz w:val="21"/>
                <w:szCs w:val="21"/>
                <w:highlight w:val="none"/>
                <w:lang w:val="en-US" w:eastAsia="zh-CN"/>
              </w:rPr>
              <w:t>17707738229</w:t>
            </w:r>
            <w:r>
              <w:rPr>
                <w:rFonts w:hint="eastAsia" w:ascii="宋体" w:hAnsi="宋体" w:eastAsia="宋体" w:cs="宋体"/>
                <w:color w:val="auto"/>
                <w:sz w:val="21"/>
                <w:szCs w:val="21"/>
                <w:highlight w:val="none"/>
                <w:lang w:eastAsia="zh-CN"/>
              </w:rPr>
              <w:t>。</w:t>
            </w:r>
          </w:p>
          <w:p w14:paraId="25839717">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.供应商在踏勘现场中考察的工作场地和相关的周边环境情况，供供应商在编制响应文件时参考，采购人对供应商由此做出的推论、理解和结论概不负责。</w:t>
            </w:r>
          </w:p>
          <w:p w14:paraId="17207952">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.供应商自行负责在考察现场或参加答疑会中所发生的人员伤亡和财产损失。</w:t>
            </w:r>
          </w:p>
        </w:tc>
      </w:tr>
      <w:tr w14:paraId="4559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9622" w:type="dxa"/>
            <w:gridSpan w:val="6"/>
            <w:vAlign w:val="center"/>
          </w:tcPr>
          <w:p w14:paraId="59FB2197">
            <w:pPr>
              <w:jc w:val="both"/>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商务要求</w:t>
            </w:r>
          </w:p>
        </w:tc>
      </w:tr>
      <w:tr w14:paraId="7C93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gridSpan w:val="2"/>
            <w:vAlign w:val="center"/>
          </w:tcPr>
          <w:p w14:paraId="05E74D90">
            <w:pPr>
              <w:spacing w:line="36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交付使用时间及地点</w:t>
            </w:r>
          </w:p>
        </w:tc>
        <w:tc>
          <w:tcPr>
            <w:tcW w:w="7807" w:type="dxa"/>
            <w:gridSpan w:val="4"/>
            <w:vAlign w:val="center"/>
          </w:tcPr>
          <w:p w14:paraId="796A6464">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1.交付时间：自签订合同之日起10个工作日必须到货全部安装调试合格并验收完毕。</w:t>
            </w:r>
          </w:p>
          <w:p w14:paraId="4D0A79F3">
            <w:pPr>
              <w:spacing w:line="400" w:lineRule="exact"/>
              <w:jc w:val="both"/>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rPr>
              <w:t>2.交付地点：广西桂林市采购人指定地点。</w:t>
            </w:r>
          </w:p>
        </w:tc>
      </w:tr>
      <w:tr w14:paraId="2B40D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gridSpan w:val="2"/>
            <w:vAlign w:val="center"/>
          </w:tcPr>
          <w:p w14:paraId="6CD5A5A2">
            <w:pPr>
              <w:spacing w:line="36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7807" w:type="dxa"/>
            <w:gridSpan w:val="4"/>
            <w:vAlign w:val="center"/>
          </w:tcPr>
          <w:p w14:paraId="2208E5EF">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在货物交货正常使用并验收合格后，成交供应商在3个日历日内开具增值税专用发票给采购人，等待桂林市级财政部门拨付专项资金至采购人账户后的3个工作日内一次性支付全部合同价款（无息）。</w:t>
            </w:r>
          </w:p>
        </w:tc>
      </w:tr>
      <w:tr w14:paraId="3090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gridSpan w:val="2"/>
            <w:vAlign w:val="center"/>
          </w:tcPr>
          <w:p w14:paraId="0D203E04">
            <w:pPr>
              <w:spacing w:line="36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验收要求</w:t>
            </w:r>
          </w:p>
        </w:tc>
        <w:tc>
          <w:tcPr>
            <w:tcW w:w="7807" w:type="dxa"/>
            <w:gridSpan w:val="4"/>
            <w:vAlign w:val="center"/>
          </w:tcPr>
          <w:p w14:paraId="3B230292">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1.设备符合国家相关标准及制造厂家合格产品的出厂质量标准。</w:t>
            </w:r>
          </w:p>
          <w:p w14:paraId="4DD0D9A1">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2.验收条件及标准：设备需全新、完好、无破损，按照技术要求的各项指标进行验收。</w:t>
            </w:r>
          </w:p>
          <w:p w14:paraId="4CC23E7D">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3.验收方法及方案：设备开机试运行，测试设备的技术性能指标，确认各项功能正常运行，同时检查随机文件应齐全。</w:t>
            </w:r>
          </w:p>
        </w:tc>
      </w:tr>
      <w:tr w14:paraId="52BD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gridSpan w:val="2"/>
            <w:vAlign w:val="center"/>
          </w:tcPr>
          <w:p w14:paraId="0CB0A0F5">
            <w:pPr>
              <w:spacing w:line="360" w:lineRule="atLeas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7807" w:type="dxa"/>
            <w:gridSpan w:val="4"/>
            <w:vAlign w:val="center"/>
          </w:tcPr>
          <w:p w14:paraId="43D9F1CC">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1.要求在成交通知书发出之日起8个工作日内签订合同。</w:t>
            </w:r>
          </w:p>
          <w:p w14:paraId="739CB843">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成交供应商需在合同签订前，采购人将依据响应文件，对产品参数的真实性及实际效果进行逐项验证，验证通过后方可签订合同。若在检测测试中发现存在虚假应标行为，采购人有权拒绝签订合同并判定其响应无效；相关后果由成交供应商全权承担，采购人将依法追究其责任、索赔全部损失，并视情况上报上级采购监管部门。</w:t>
            </w:r>
          </w:p>
          <w:p w14:paraId="4665E0EE">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3.为确保货物质量及原厂品质，成交供应商须在合同签订前，向采购人提供生产厂家针对本项目出具的供货证明原件及售后服务承诺函原件。若无法提交上述文件，将被视为响应无效，采购人有权不予签订合同。</w:t>
            </w:r>
          </w:p>
          <w:p w14:paraId="496F4462">
            <w:pPr>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4.成交供应商在履约验收前必须提供谈判文件中要求</w:t>
            </w:r>
            <w:r>
              <w:rPr>
                <w:rFonts w:hint="eastAsia" w:ascii="宋体" w:hAnsi="宋体" w:eastAsia="宋体" w:cs="宋体"/>
                <w:color w:val="auto"/>
                <w:sz w:val="21"/>
                <w:szCs w:val="21"/>
                <w:highlight w:val="none"/>
              </w:rPr>
              <w:t>所竞标产品</w:t>
            </w:r>
            <w:r>
              <w:rPr>
                <w:rFonts w:hint="eastAsia" w:ascii="宋体" w:hAnsi="宋体" w:eastAsia="宋体" w:cs="宋体"/>
                <w:color w:val="auto"/>
                <w:sz w:val="21"/>
                <w:szCs w:val="21"/>
                <w:highlight w:val="none"/>
                <w:lang w:eastAsia="zh-CN"/>
              </w:rPr>
              <w:t>由国家认可的资质认证的</w:t>
            </w:r>
            <w:r>
              <w:rPr>
                <w:rFonts w:hint="eastAsia" w:ascii="宋体" w:hAnsi="宋体" w:eastAsia="宋体" w:cs="宋体"/>
                <w:color w:val="auto"/>
                <w:sz w:val="21"/>
                <w:szCs w:val="21"/>
                <w:highlight w:val="none"/>
              </w:rPr>
              <w:t>第三方检测机构出具的检测报告；该检测报告在全国认证认可信息公共服务平台网（全国认证认可信息公共服务平台http://cx.cnca.cn/CertECloud/index/index/page）可以查询到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否则不予签订合同</w:t>
            </w:r>
            <w:r>
              <w:rPr>
                <w:rFonts w:hint="eastAsia" w:ascii="宋体" w:hAnsi="宋体" w:eastAsia="宋体" w:cs="宋体"/>
                <w:color w:val="auto"/>
                <w:sz w:val="21"/>
                <w:szCs w:val="21"/>
                <w:highlight w:val="none"/>
                <w:lang w:eastAsia="zh-CN"/>
              </w:rPr>
              <w:t>，采购人将依法追究其责任、索赔全部损失，并视情况上报上级采购监管部门。</w:t>
            </w:r>
          </w:p>
          <w:p w14:paraId="7D74A109">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5.本分标采购预算金额（人民币）：贰拾伍万元整（￥250000.00），报价超出采购预算总金额的，将被视为无效响应文件。</w:t>
            </w:r>
          </w:p>
          <w:p w14:paraId="26C50661">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6.本分标货物不接受进口产品（即通过中国海关报关验放进入中国境内且产自关境外的产品）参与报价，如有此类产品参与竞标的作无效报价处理。</w:t>
            </w:r>
          </w:p>
          <w:p w14:paraId="0D4EEE10">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本分标谈判报价应包括本次采购范围内货物（包括备品备件、专用工具等）的价格、检测、包装、运输、装卸、保险、国家及地方规定的任何收费（如登记费、手续费）、税金、现场协调、现场配合验收、抽样检测、办理相关手续、因货物质量问题引起的维修和更换等为实现合同目的而发生的一切费用；供应商综合考虑在报价中。</w:t>
            </w:r>
          </w:p>
          <w:p w14:paraId="733965F9">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8.本分标“货物采购需求”中的所有技术参数及要求均为实质性要求。</w:t>
            </w:r>
          </w:p>
        </w:tc>
      </w:tr>
    </w:tbl>
    <w:p w14:paraId="424CE295">
      <w:pPr>
        <w:rPr>
          <w:rFonts w:hint="eastAsia" w:ascii="宋体" w:hAnsi="宋体" w:eastAsia="宋体" w:cs="宋体"/>
          <w:b/>
          <w:color w:val="auto"/>
          <w:sz w:val="21"/>
          <w:szCs w:val="21"/>
          <w:highlight w:val="none"/>
          <w:lang w:val="en-US" w:eastAsia="zh-CN"/>
        </w:rPr>
      </w:pPr>
    </w:p>
    <w:p w14:paraId="7275BBC0">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标项二</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649"/>
        <w:gridCol w:w="5564"/>
        <w:gridCol w:w="720"/>
        <w:gridCol w:w="795"/>
        <w:gridCol w:w="1170"/>
      </w:tblGrid>
      <w:tr w14:paraId="670F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3A007B7">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序号</w:t>
            </w:r>
          </w:p>
        </w:tc>
        <w:tc>
          <w:tcPr>
            <w:tcW w:w="649" w:type="dxa"/>
            <w:vAlign w:val="center"/>
          </w:tcPr>
          <w:p w14:paraId="012ECFCF">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项目名称</w:t>
            </w:r>
          </w:p>
        </w:tc>
        <w:tc>
          <w:tcPr>
            <w:tcW w:w="5564" w:type="dxa"/>
            <w:vAlign w:val="center"/>
          </w:tcPr>
          <w:p w14:paraId="71EAF2A3">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技术参数及其性能（配置）要求</w:t>
            </w:r>
          </w:p>
        </w:tc>
        <w:tc>
          <w:tcPr>
            <w:tcW w:w="720" w:type="dxa"/>
            <w:vAlign w:val="center"/>
          </w:tcPr>
          <w:p w14:paraId="5058C0E9">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数量</w:t>
            </w:r>
          </w:p>
        </w:tc>
        <w:tc>
          <w:tcPr>
            <w:tcW w:w="795" w:type="dxa"/>
            <w:vAlign w:val="center"/>
          </w:tcPr>
          <w:p w14:paraId="4E3886CC">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单位</w:t>
            </w:r>
          </w:p>
        </w:tc>
        <w:tc>
          <w:tcPr>
            <w:tcW w:w="1170" w:type="dxa"/>
            <w:vAlign w:val="center"/>
          </w:tcPr>
          <w:p w14:paraId="00C9225D">
            <w:pPr>
              <w:keepNext w:val="0"/>
              <w:keepLines w:val="0"/>
              <w:pageBreakBefore w:val="0"/>
              <w:widowControl/>
              <w:kinsoku w:val="0"/>
              <w:wordWrap/>
              <w:overflowPunct/>
              <w:topLinePunct w:val="0"/>
              <w:autoSpaceDE w:val="0"/>
              <w:autoSpaceDN w:val="0"/>
              <w:bidi w:val="0"/>
              <w:adjustRightInd w:val="0"/>
              <w:snapToGrid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val="en-US" w:eastAsia="zh-CN"/>
              </w:rPr>
              <w:t>预算总价（元）</w:t>
            </w:r>
          </w:p>
        </w:tc>
      </w:tr>
      <w:tr w14:paraId="574C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73796F1">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649" w:type="dxa"/>
            <w:vAlign w:val="center"/>
          </w:tcPr>
          <w:p w14:paraId="3C1971A6">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rPr>
              <w:t>具身智能机器人</w:t>
            </w:r>
          </w:p>
        </w:tc>
        <w:tc>
          <w:tcPr>
            <w:tcW w:w="5564" w:type="dxa"/>
            <w:vAlign w:val="center"/>
          </w:tcPr>
          <w:p w14:paraId="48DAC8A1">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1.整体尺寸：</w:t>
            </w:r>
          </w:p>
          <w:p w14:paraId="0BB7CBAE">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1.1高宽厚(站立)≥1320mm×450mm×200mm；</w:t>
            </w:r>
          </w:p>
          <w:p w14:paraId="1747477E">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1.2高宽厚(折叠)≥690mm×450mm×300mm。</w:t>
            </w:r>
          </w:p>
          <w:p w14:paraId="0AA80D5E">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2.带电池重量≥35kg。</w:t>
            </w:r>
          </w:p>
          <w:p w14:paraId="1439AE9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3.总自由度(关节电机)≥29。</w:t>
            </w:r>
          </w:p>
          <w:p w14:paraId="28AE4C3C">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4.单腿自由度≥6个。</w:t>
            </w:r>
          </w:p>
          <w:p w14:paraId="67746D60">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5.腰部自由度≥3个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并带有水平仪</w:t>
            </w:r>
            <w:r>
              <w:rPr>
                <w:rFonts w:hint="eastAsia" w:ascii="宋体" w:hAnsi="宋体" w:eastAsia="宋体" w:cs="宋体"/>
                <w:color w:val="auto"/>
                <w:sz w:val="21"/>
                <w:szCs w:val="21"/>
                <w:highlight w:val="none"/>
              </w:rPr>
              <w:t>。</w:t>
            </w:r>
          </w:p>
          <w:p w14:paraId="0BA0BB83">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6.单手臂自由度≥7个。</w:t>
            </w:r>
          </w:p>
          <w:p w14:paraId="28ADD3E7">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7.配备2只五指黑色假手。</w:t>
            </w:r>
          </w:p>
          <w:p w14:paraId="7DED9CF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8.支持智能OTA升级。</w:t>
            </w:r>
          </w:p>
          <w:p w14:paraId="5D40C8B9">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9.感知传感器：深度相机+3D激光雷达 </w:t>
            </w:r>
          </w:p>
          <w:p w14:paraId="7FFA442D">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9.1深度相机：</w:t>
            </w:r>
          </w:p>
          <w:p w14:paraId="30E1F330">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9.1.1 传感器类型：主动立体红外成像，包含1个RGB传感器,2个红外传感器及红外发射器；</w:t>
            </w:r>
          </w:p>
          <w:p w14:paraId="3D066162">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 IMU模块：支持6自由度运动追踪（平移+旋转），为3D模型重建提供数据支持；</w:t>
            </w:r>
          </w:p>
          <w:p w14:paraId="74BED3F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9.1.3 深度分辨率：1280×720（双目）；</w:t>
            </w:r>
          </w:p>
          <w:p w14:paraId="26676E1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9.1.4 帧率：最高90FPS；</w:t>
            </w:r>
          </w:p>
          <w:p w14:paraId="652CC0F2">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9.1.5 深度探测范围：0.2m</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10m；</w:t>
            </w:r>
          </w:p>
          <w:p w14:paraId="69B1C67A">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9.1.6 视场深度：H:87°，V:58°。</w:t>
            </w:r>
          </w:p>
          <w:p w14:paraId="6D1A730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  3D混合固态激光雷达：</w:t>
            </w:r>
          </w:p>
          <w:p w14:paraId="4EE7722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 激光波长:905 nm；</w:t>
            </w:r>
          </w:p>
          <w:p w14:paraId="1584C3BC">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9.2.2 FOV:水平360°，竖直 -7°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52°；</w:t>
            </w:r>
          </w:p>
          <w:p w14:paraId="5A7C1C5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9.2.3 测距随机误差 (1σ) :≤ 2 cm (@ 10m)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 3 cm (@ 0.2m)；</w:t>
            </w:r>
          </w:p>
          <w:p w14:paraId="51F0B61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9.2.4 角度随机误差（1σ）：&lt; 0.15º；</w:t>
            </w:r>
          </w:p>
          <w:p w14:paraId="63957D9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9.2.5 点云输出:200000点/秒 (可配置第一回波)；</w:t>
            </w:r>
          </w:p>
          <w:p w14:paraId="45D67F94">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9.2.6 点云帧率：10Hz (典型值)；</w:t>
            </w:r>
          </w:p>
          <w:p w14:paraId="23D3ED1D">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9.2.7 数据网口：100BASE-TX 以太网；</w:t>
            </w:r>
          </w:p>
          <w:p w14:paraId="154B58E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9.2.8 数据同步方式:IEEE 1588-2008 (PTPv2), GPS；</w:t>
            </w:r>
          </w:p>
          <w:p w14:paraId="6EA18CA8">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9.2.9具有抗串扰功能；</w:t>
            </w:r>
          </w:p>
          <w:p w14:paraId="61460EC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9.2.10虚警率 (@ 100 klx)：&lt; 0.01%；</w:t>
            </w:r>
          </w:p>
          <w:p w14:paraId="49C69A3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9.2.11  IMU：内置 IMU 型号：ICM40609；</w:t>
            </w:r>
          </w:p>
          <w:p w14:paraId="2E8C2999">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9.2.12 防护等级：IP67；</w:t>
            </w:r>
          </w:p>
          <w:p w14:paraId="174243EC">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9.2.13 功率：6.5 W；</w:t>
            </w:r>
          </w:p>
          <w:p w14:paraId="1E21ABD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9.2.14 供电电压范围：9 ~ 27 V DC。</w:t>
            </w:r>
          </w:p>
          <w:p w14:paraId="20570D2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10.膝关节最大扭矩≥120N.m。（</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lang w:val="en-US" w:eastAsia="zh-CN"/>
              </w:rPr>
              <w:t>验收</w:t>
            </w:r>
            <w:r>
              <w:rPr>
                <w:rFonts w:hint="eastAsia" w:ascii="宋体" w:hAnsi="宋体" w:eastAsia="宋体" w:cs="宋体"/>
                <w:color w:val="auto"/>
                <w:sz w:val="21"/>
                <w:szCs w:val="21"/>
                <w:highlight w:val="none"/>
              </w:rPr>
              <w:t>时提供由</w:t>
            </w:r>
            <w:r>
              <w:rPr>
                <w:rFonts w:hint="eastAsia" w:ascii="宋体" w:hAnsi="宋体" w:eastAsia="宋体" w:cs="宋体"/>
                <w:color w:val="auto"/>
                <w:sz w:val="21"/>
                <w:szCs w:val="21"/>
                <w:highlight w:val="none"/>
                <w:lang w:eastAsia="zh-CN"/>
              </w:rPr>
              <w:t>国家认可的第三方检测机构出具</w:t>
            </w:r>
            <w:r>
              <w:rPr>
                <w:rFonts w:hint="eastAsia" w:ascii="宋体" w:hAnsi="宋体" w:eastAsia="宋体" w:cs="宋体"/>
                <w:color w:val="auto"/>
                <w:sz w:val="21"/>
                <w:szCs w:val="21"/>
                <w:highlight w:val="none"/>
              </w:rPr>
              <w:t>的满足标注本项技术要求的检测报告复印件证明，加盖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公章）；</w:t>
            </w:r>
          </w:p>
          <w:p w14:paraId="72F605B8">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11.手臂最大负载≥3kg。</w:t>
            </w:r>
          </w:p>
          <w:p w14:paraId="06119AF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12.小腿+大腿长度≥0.6m。</w:t>
            </w:r>
          </w:p>
          <w:p w14:paraId="6440B059">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13.手臂臂展≥0.45m。</w:t>
            </w:r>
          </w:p>
          <w:p w14:paraId="5954EF13">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14.关节运动空间要求：（包含以下14.1-14.4的要求）（</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lang w:val="en-US" w:eastAsia="zh-CN"/>
              </w:rPr>
              <w:t>验收</w:t>
            </w:r>
            <w:r>
              <w:rPr>
                <w:rFonts w:hint="eastAsia" w:ascii="宋体" w:hAnsi="宋体" w:eastAsia="宋体" w:cs="宋体"/>
                <w:color w:val="auto"/>
                <w:sz w:val="21"/>
                <w:szCs w:val="21"/>
                <w:highlight w:val="none"/>
              </w:rPr>
              <w:t>时提供由</w:t>
            </w:r>
            <w:r>
              <w:rPr>
                <w:rFonts w:hint="eastAsia" w:ascii="宋体" w:hAnsi="宋体" w:eastAsia="宋体" w:cs="宋体"/>
                <w:color w:val="auto"/>
                <w:sz w:val="21"/>
                <w:szCs w:val="21"/>
                <w:highlight w:val="none"/>
                <w:lang w:eastAsia="zh-CN"/>
              </w:rPr>
              <w:t>国家认可的的第三方检测机构出具</w:t>
            </w:r>
            <w:r>
              <w:rPr>
                <w:rFonts w:hint="eastAsia" w:ascii="宋体" w:hAnsi="宋体" w:eastAsia="宋体" w:cs="宋体"/>
                <w:color w:val="auto"/>
                <w:sz w:val="21"/>
                <w:szCs w:val="21"/>
                <w:highlight w:val="none"/>
              </w:rPr>
              <w:t>的满足标注本项技术要求的检测报告复印件证明，加盖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公章）</w:t>
            </w:r>
          </w:p>
          <w:p w14:paraId="761399D8">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14.1腰部Z轴关节：Z±155°或优于；</w:t>
            </w:r>
          </w:p>
          <w:p w14:paraId="04271979">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14.2膝关节：0~165°或优于；</w:t>
            </w:r>
          </w:p>
          <w:p w14:paraId="39BE3B6A">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14.3髋关节：P±154°、R-30~±170°、Y±158°或优于；</w:t>
            </w:r>
          </w:p>
          <w:p w14:paraId="649B7BA8">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14.4手腕关节：二自由度手腕P±92.5°、Y±92.5°或优于。</w:t>
            </w:r>
          </w:p>
          <w:p w14:paraId="2B0F430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15.走线和散热及编码器的要求：</w:t>
            </w:r>
          </w:p>
          <w:p w14:paraId="5771C1D0">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15.1具备全关节中空内走线；</w:t>
            </w:r>
          </w:p>
          <w:p w14:paraId="6FB46B39">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15.2散热系统：局部风冷散热；</w:t>
            </w:r>
          </w:p>
          <w:p w14:paraId="285C33F4">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15.3关节编码器：双编码器或优于。</w:t>
            </w:r>
          </w:p>
          <w:p w14:paraId="573EED29">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16.人形机器人专用电池，要求如下：</w:t>
            </w:r>
          </w:p>
          <w:p w14:paraId="70EAA601">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16.1产品尺寸≤120mm×80mm×182mm；</w:t>
            </w:r>
          </w:p>
          <w:p w14:paraId="06F59D6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16.2额定容量≥9000mAh 额定能量不得低于421.2Wh ；</w:t>
            </w:r>
          </w:p>
          <w:p w14:paraId="5BB3BA7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16.3自研电池管理系统（BMS）；</w:t>
            </w:r>
          </w:p>
          <w:p w14:paraId="642D909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16.4功能：电量显示、电池储存自放电保护、平衡充电保护、过充电保护、过充电保护、过放电保护、短路保护、电池负载检测保护。</w:t>
            </w:r>
          </w:p>
          <w:p w14:paraId="1D58FD98">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17.通用人形机器人专用，调试保护支架 ，要求如下：</w:t>
            </w:r>
          </w:p>
          <w:p w14:paraId="638AF4F5">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负载≥ 200KG；</w:t>
            </w:r>
          </w:p>
          <w:p w14:paraId="0D5D2D23">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后轮间距≥800mm；</w:t>
            </w:r>
          </w:p>
          <w:p w14:paraId="5F2EC17A">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 立柱地盘双钢梁支撑，配有5个可锁万向轮，地盘深度约700</w:t>
            </w:r>
          </w:p>
          <w:p w14:paraId="39F0C8B7">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mm；两腿内宽 ≥900mm；后轮间距 ≥800mm；支腿长度 ≥850mm；</w:t>
            </w:r>
          </w:p>
          <w:p w14:paraId="65345CC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吊钩离地面最大距离≥2000mm；</w:t>
            </w:r>
          </w:p>
          <w:p w14:paraId="076656A5">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17.5 吊钩离立柱的距离≥600mm。</w:t>
            </w:r>
          </w:p>
          <w:p w14:paraId="1F23D571">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18.基础算力：8核高性能CPU或优于。</w:t>
            </w:r>
          </w:p>
          <w:p w14:paraId="7D82BA75">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19.具备≥100Tops算力的拓展坞，含AI算法及技术支持。</w:t>
            </w:r>
          </w:p>
          <w:p w14:paraId="38EEE6CC">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20.支持高层和底层的二次开发，供货时必须提供所标产品的以下相关资料：</w:t>
            </w:r>
          </w:p>
          <w:p w14:paraId="3814C1F8">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 详细的用户使用，软件开发等手册等。</w:t>
            </w:r>
          </w:p>
          <w:p w14:paraId="63882EDF">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 提供高层控制（如行走）功能的二次开发文档及例程。</w:t>
            </w:r>
          </w:p>
          <w:p w14:paraId="79472B0B">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提供底层控制（电机的位置、速度和力矩）功能的二次开发文档及例程。</w:t>
            </w:r>
          </w:p>
          <w:p w14:paraId="314D66D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 通用Ubuntu操作系统，易于使用通用数学库、机器人库，开发程序。</w:t>
            </w:r>
          </w:p>
          <w:p w14:paraId="6291A529">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20.5 提供调用运动控制的接口。</w:t>
            </w:r>
          </w:p>
          <w:p w14:paraId="1AD416E8">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21.运动控制：</w:t>
            </w:r>
          </w:p>
          <w:p w14:paraId="176B1701">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21.1</w:t>
            </w:r>
            <w:r>
              <w:rPr>
                <w:rFonts w:hint="eastAsia" w:ascii="宋体" w:hAnsi="宋体" w:eastAsia="宋体" w:cs="宋体"/>
                <w:color w:val="auto"/>
                <w:sz w:val="21"/>
                <w:szCs w:val="21"/>
                <w:highlight w:val="none"/>
              </w:rPr>
              <w:t>支持越障运控模式；</w:t>
            </w:r>
          </w:p>
          <w:p w14:paraId="473B8F8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21.2</w:t>
            </w:r>
            <w:r>
              <w:rPr>
                <w:rFonts w:hint="eastAsia" w:ascii="宋体" w:hAnsi="宋体" w:eastAsia="宋体" w:cs="宋体"/>
                <w:color w:val="auto"/>
                <w:sz w:val="21"/>
                <w:szCs w:val="21"/>
                <w:highlight w:val="none"/>
              </w:rPr>
              <w:t>支持舞蹈运控模式（提供原厂自带的功夫/3段查尔斯顿舞蹈/3段机械舞/截拳道/扭扭舞/芭蕾等多段舞蹈程序）。</w:t>
            </w:r>
          </w:p>
          <w:p w14:paraId="28BD1F1E">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21.3 </w:t>
            </w:r>
            <w:r>
              <w:rPr>
                <w:rFonts w:hint="eastAsia" w:ascii="宋体" w:hAnsi="宋体" w:eastAsia="宋体" w:cs="宋体"/>
                <w:b w:val="0"/>
                <w:bCs w:val="0"/>
                <w:color w:val="auto"/>
                <w:sz w:val="21"/>
                <w:szCs w:val="21"/>
                <w:highlight w:val="none"/>
              </w:rPr>
              <w:t>机器人自带二次开发好的舞蹈包：精武门、鲨鱼舞、英歌舞（街舞）、阳光沙滩小白羊（现代舞)、机械舞2（Myltiply Remix）、机械舞1（R2红豆街舞）、青春修炼手册、火力全开(DJ版)、Zoo(新)</w:t>
            </w:r>
            <w:r>
              <w:rPr>
                <w:rFonts w:hint="eastAsia" w:ascii="宋体" w:hAnsi="宋体" w:eastAsia="宋体" w:cs="宋体"/>
                <w:b w:val="0"/>
                <w:bCs w:val="0"/>
                <w:color w:val="auto"/>
                <w:sz w:val="21"/>
                <w:szCs w:val="21"/>
                <w:highlight w:val="none"/>
              </w:rPr>
              <w:tab/>
            </w:r>
            <w:r>
              <w:rPr>
                <w:rFonts w:hint="eastAsia" w:ascii="宋体" w:hAnsi="宋体" w:eastAsia="宋体" w:cs="宋体"/>
                <w:b w:val="0"/>
                <w:bCs w:val="0"/>
                <w:color w:val="auto"/>
                <w:sz w:val="21"/>
                <w:szCs w:val="21"/>
                <w:highlight w:val="none"/>
              </w:rPr>
              <w:t>/太极双刀</w:t>
            </w:r>
            <w:r>
              <w:rPr>
                <w:rFonts w:hint="eastAsia" w:ascii="宋体" w:hAnsi="宋体" w:eastAsia="宋体" w:cs="宋体"/>
                <w:b w:val="0"/>
                <w:bCs w:val="0"/>
                <w:color w:val="auto"/>
                <w:sz w:val="21"/>
                <w:szCs w:val="21"/>
                <w:highlight w:val="none"/>
              </w:rPr>
              <w:tab/>
            </w:r>
            <w:r>
              <w:rPr>
                <w:rFonts w:hint="eastAsia" w:ascii="宋体" w:hAnsi="宋体" w:eastAsia="宋体" w:cs="宋体"/>
                <w:b w:val="0"/>
                <w:bCs w:val="0"/>
                <w:color w:val="auto"/>
                <w:sz w:val="21"/>
                <w:szCs w:val="21"/>
                <w:highlight w:val="none"/>
              </w:rPr>
              <w:t>beat it、本草纲目、龙拳、谢礼、咆哮 （韩舞）、陈家沟太极拳、青花瓷（中国风）、大花轿、她他他、洗衣歌（中国风）、太极剑、爱情鸟、Fast cars&amp;superstar等不少于23个舞蹈；</w:t>
            </w:r>
          </w:p>
          <w:p w14:paraId="1D09996C">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 交互手势联动:在语音交互过程中，机器人将自动配合自然的交互手势。</w:t>
            </w:r>
          </w:p>
          <w:p w14:paraId="32840636">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22.导航功能：支持APP建图、路径规划、巡逻等功能。</w:t>
            </w:r>
          </w:p>
          <w:p w14:paraId="299BD04E">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23.音频管理：支持APP录音音频、外部导入音频在设备上播放。</w:t>
            </w:r>
          </w:p>
          <w:p w14:paraId="48D6AB0E">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24.示教功能：支持可通过控制手臂关节、腰部旋转关节自己编排舞蹈动作。</w:t>
            </w:r>
          </w:p>
          <w:p w14:paraId="76966442">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25.日志上传：支持授权后将日志上传到后台，供研发查看异常日志功能入口。</w:t>
            </w:r>
          </w:p>
          <w:p w14:paraId="18895D6D">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26.权限管理：支持公网远程连接管理功能，此功能默认关闭，需要授权，授权成功后，机器人连接网络，可以看到基础的产品本体信息(如机器人编号、健康状态)。                             </w:t>
            </w:r>
          </w:p>
          <w:p w14:paraId="1FD67A7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27.该具身智能机器人须能支持教育部的A类赛：中国高校智能机器人创意大赛，全国大学生机器人大赛R</w:t>
            </w:r>
            <w:r>
              <w:rPr>
                <w:rFonts w:hint="eastAsia" w:ascii="宋体" w:hAnsi="宋体" w:eastAsia="宋体" w:cs="宋体"/>
                <w:b w:val="0"/>
                <w:bCs w:val="0"/>
                <w:color w:val="auto"/>
                <w:sz w:val="21"/>
                <w:szCs w:val="21"/>
                <w:highlight w:val="none"/>
              </w:rPr>
              <w:t>OBOTAC；</w:t>
            </w:r>
          </w:p>
          <w:p w14:paraId="189D6F46">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28.供货时需</w:t>
            </w:r>
            <w:r>
              <w:rPr>
                <w:rFonts w:hint="eastAsia" w:ascii="宋体" w:hAnsi="宋体" w:eastAsia="宋体" w:cs="宋体"/>
                <w:b w:val="0"/>
                <w:bCs w:val="0"/>
                <w:color w:val="auto"/>
                <w:sz w:val="21"/>
                <w:szCs w:val="21"/>
                <w:highlight w:val="none"/>
              </w:rPr>
              <w:t>提供人形机器人《G1智能机器人仿真开发》45个课时的</w:t>
            </w:r>
            <w:r>
              <w:rPr>
                <w:rFonts w:hint="eastAsia" w:ascii="宋体" w:hAnsi="宋体" w:eastAsia="宋体" w:cs="宋体"/>
                <w:b w:val="0"/>
                <w:bCs w:val="0"/>
                <w:color w:val="auto"/>
                <w:sz w:val="21"/>
                <w:szCs w:val="21"/>
                <w:highlight w:val="none"/>
                <w:lang w:val="en-US" w:eastAsia="zh-CN"/>
              </w:rPr>
              <w:t>学习资料</w:t>
            </w:r>
            <w:r>
              <w:rPr>
                <w:rFonts w:hint="eastAsia" w:ascii="宋体" w:hAnsi="宋体" w:eastAsia="宋体" w:cs="宋体"/>
                <w:b w:val="0"/>
                <w:bCs w:val="0"/>
                <w:color w:val="auto"/>
                <w:sz w:val="21"/>
                <w:szCs w:val="21"/>
                <w:highlight w:val="none"/>
              </w:rPr>
              <w:t>,具体的章节包含：</w:t>
            </w:r>
          </w:p>
          <w:p w14:paraId="78EE8B2E">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.1.人形机器人简介与仿真入门(含3个课时的课件资料)</w:t>
            </w:r>
          </w:p>
          <w:p w14:paraId="1419599C">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.2.人形机器人的行走控制(含5个课时的课件资料)</w:t>
            </w:r>
          </w:p>
          <w:p w14:paraId="1427B326">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.3.人形机器人的复杂动作(含5个课时的课件资料)</w:t>
            </w:r>
          </w:p>
          <w:p w14:paraId="2AA4C5A8">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.4.人形机器人的感知系统(含5个课时的课件资料)</w:t>
            </w:r>
          </w:p>
          <w:p w14:paraId="0EF1B9A3">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.5.人形机器人的目标识别(含5个课时的课件资料)</w:t>
            </w:r>
          </w:p>
          <w:p w14:paraId="6FC5D36B">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.6.人形机器人的定位系统(含5个课时的课件资料)</w:t>
            </w:r>
          </w:p>
          <w:p w14:paraId="1AB0F917">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.7.人形机器人的路径规划(含5个课时的课件资料)</w:t>
            </w:r>
          </w:p>
          <w:p w14:paraId="0C646B9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28</w:t>
            </w:r>
            <w:r>
              <w:rPr>
                <w:rFonts w:hint="eastAsia" w:ascii="宋体" w:hAnsi="宋体" w:eastAsia="宋体" w:cs="宋体"/>
                <w:b w:val="0"/>
                <w:bCs w:val="0"/>
                <w:color w:val="auto"/>
                <w:sz w:val="21"/>
                <w:szCs w:val="21"/>
                <w:highlight w:val="none"/>
              </w:rPr>
              <w:t xml:space="preserve">.8.综合实践应用(含12个课时的课件资料) </w:t>
            </w:r>
          </w:p>
        </w:tc>
        <w:tc>
          <w:tcPr>
            <w:tcW w:w="720" w:type="dxa"/>
            <w:vAlign w:val="center"/>
          </w:tcPr>
          <w:p w14:paraId="60F789B1">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795" w:type="dxa"/>
            <w:vAlign w:val="center"/>
          </w:tcPr>
          <w:p w14:paraId="10F405EF">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kern w:val="0"/>
                <w:sz w:val="21"/>
                <w:szCs w:val="21"/>
                <w:highlight w:val="none"/>
                <w:u w:val="none"/>
                <w:lang w:val="en-US" w:eastAsia="zh-CN" w:bidi="ar"/>
              </w:rPr>
              <w:t>台</w:t>
            </w:r>
          </w:p>
        </w:tc>
        <w:tc>
          <w:tcPr>
            <w:tcW w:w="1170" w:type="dxa"/>
            <w:vAlign w:val="center"/>
          </w:tcPr>
          <w:p w14:paraId="4BCBCE1A">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sz w:val="21"/>
                <w:szCs w:val="21"/>
                <w:highlight w:val="none"/>
                <w:u w:val="none"/>
                <w:lang w:val="en-US" w:eastAsia="zh-CN"/>
              </w:rPr>
              <w:t>460000</w:t>
            </w:r>
          </w:p>
        </w:tc>
      </w:tr>
      <w:tr w14:paraId="39BF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gridSpan w:val="2"/>
            <w:vAlign w:val="center"/>
          </w:tcPr>
          <w:p w14:paraId="57119BA2">
            <w:pPr>
              <w:pStyle w:val="32"/>
              <w:keepNext w:val="0"/>
              <w:keepLines w:val="0"/>
              <w:pageBreakBefore w:val="0"/>
              <w:widowControl/>
              <w:kinsoku w:val="0"/>
              <w:wordWrap/>
              <w:overflowPunct/>
              <w:topLinePunct w:val="0"/>
              <w:autoSpaceDE w:val="0"/>
              <w:autoSpaceDN w:val="0"/>
              <w:bidi w:val="0"/>
              <w:adjustRightInd w:val="0"/>
              <w:snapToGrid w:val="0"/>
              <w:spacing w:before="116" w:line="270" w:lineRule="auto"/>
              <w:ind w:left="110" w:leftChars="0" w:right="107" w:rightChars="0" w:firstLine="5"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eastAsia="zh-CN"/>
              </w:rPr>
              <w:t>售后服务要求及免费保修期</w:t>
            </w:r>
          </w:p>
        </w:tc>
        <w:tc>
          <w:tcPr>
            <w:tcW w:w="8249" w:type="dxa"/>
            <w:gridSpan w:val="4"/>
            <w:vAlign w:val="center"/>
          </w:tcPr>
          <w:p w14:paraId="19583ED4">
            <w:pPr>
              <w:keepNext w:val="0"/>
              <w:keepLines w:val="0"/>
              <w:pageBreakBefore w:val="0"/>
              <w:widowControl/>
              <w:kinsoku w:val="0"/>
              <w:wordWrap/>
              <w:overflowPunct/>
              <w:topLinePunct w:val="0"/>
              <w:autoSpaceDE w:val="0"/>
              <w:autoSpaceDN w:val="0"/>
              <w:bidi w:val="0"/>
              <w:adjustRightInd w:val="0"/>
              <w:snapToGrid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按国家有关产品“三包”规定执行“三包”，免费维护期最短不得少于1年（设备技术要求栏中有特别注明的除外）；免费维护期内上门维护免收维修费和元器件费，免费维护期</w:t>
            </w:r>
            <w:r>
              <w:rPr>
                <w:rFonts w:hint="eastAsia" w:ascii="宋体" w:hAnsi="宋体" w:eastAsia="宋体" w:cs="宋体"/>
                <w:color w:val="auto"/>
                <w:kern w:val="0"/>
                <w:sz w:val="21"/>
                <w:szCs w:val="21"/>
                <w:highlight w:val="none"/>
              </w:rPr>
              <w:t>外提供终身维修服务，并</w:t>
            </w:r>
            <w:r>
              <w:rPr>
                <w:rFonts w:hint="eastAsia" w:ascii="宋体" w:hAnsi="宋体" w:eastAsia="宋体" w:cs="宋体"/>
                <w:color w:val="auto"/>
                <w:sz w:val="21"/>
                <w:szCs w:val="21"/>
                <w:highlight w:val="none"/>
              </w:rPr>
              <w:t>提最优惠价格的零配件供应。</w:t>
            </w:r>
          </w:p>
          <w:p w14:paraId="011CDB20">
            <w:pPr>
              <w:keepNext w:val="0"/>
              <w:keepLines w:val="0"/>
              <w:pageBreakBefore w:val="0"/>
              <w:widowControl/>
              <w:kinsoku w:val="0"/>
              <w:wordWrap/>
              <w:overflowPunct/>
              <w:topLinePunct w:val="0"/>
              <w:autoSpaceDE w:val="0"/>
              <w:autoSpaceDN w:val="0"/>
              <w:bidi w:val="0"/>
              <w:adjustRightInd w:val="0"/>
              <w:snapToGrid w:val="0"/>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免费</w:t>
            </w:r>
            <w:r>
              <w:rPr>
                <w:rFonts w:hint="eastAsia" w:ascii="宋体" w:hAnsi="宋体" w:eastAsia="宋体" w:cs="宋体"/>
                <w:color w:val="auto"/>
                <w:kern w:val="0"/>
                <w:sz w:val="21"/>
                <w:szCs w:val="21"/>
                <w:highlight w:val="none"/>
              </w:rPr>
              <w:t>送货上门，安装、调试，提供现场技术培训，保证使用人员正常操作设备的各种功能；若</w:t>
            </w:r>
            <w:r>
              <w:rPr>
                <w:rFonts w:hint="eastAsia" w:ascii="宋体" w:hAnsi="宋体" w:eastAsia="宋体" w:cs="宋体"/>
                <w:color w:val="auto"/>
                <w:kern w:val="0"/>
                <w:sz w:val="21"/>
                <w:szCs w:val="21"/>
                <w:highlight w:val="none"/>
                <w:lang w:val="zh-CN"/>
              </w:rPr>
              <w:t>设备自带</w:t>
            </w:r>
            <w:r>
              <w:rPr>
                <w:rFonts w:hint="eastAsia" w:ascii="宋体" w:hAnsi="宋体" w:eastAsia="宋体" w:cs="宋体"/>
                <w:color w:val="auto"/>
                <w:kern w:val="0"/>
                <w:sz w:val="21"/>
                <w:szCs w:val="21"/>
                <w:highlight w:val="none"/>
              </w:rPr>
              <w:t>软件，则在维护期免费升级；提供二次开发支持。</w:t>
            </w:r>
          </w:p>
          <w:p w14:paraId="2A3DCA57">
            <w:pPr>
              <w:keepNext w:val="0"/>
              <w:keepLines w:val="0"/>
              <w:pageBreakBefore w:val="0"/>
              <w:widowControl/>
              <w:kinsoku w:val="0"/>
              <w:wordWrap/>
              <w:overflowPunct/>
              <w:topLinePunct w:val="0"/>
              <w:autoSpaceDE w:val="0"/>
              <w:autoSpaceDN w:val="0"/>
              <w:bidi w:val="0"/>
              <w:adjustRightInd w:val="0"/>
              <w:snapToGrid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要求提供售后服务联系电话及联系人，免费维护期内，接到报障电话在承诺时间内派工程技术人员上门维修解决问题。如果需要更换配件的，要求更换的配件应跟被更换的品牌、类型相一致或者是同类同档次的替代品，后者需征得采购人管理人员同意。</w:t>
            </w:r>
          </w:p>
          <w:p w14:paraId="5F1C6E0E">
            <w:pPr>
              <w:keepNext w:val="0"/>
              <w:keepLines w:val="0"/>
              <w:pageBreakBefore w:val="0"/>
              <w:widowControl/>
              <w:kinsoku w:val="0"/>
              <w:wordWrap/>
              <w:overflowPunct/>
              <w:topLinePunct w:val="0"/>
              <w:autoSpaceDE w:val="0"/>
              <w:autoSpaceDN w:val="0"/>
              <w:bidi w:val="0"/>
              <w:adjustRightInd w:val="0"/>
              <w:snapToGrid w:val="0"/>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4.要求提供7×24小时技术支持服务，若出现故障时，接到采购人报修通知2小时内立即响应，24小时内解决问题排除故障。</w:t>
            </w:r>
          </w:p>
        </w:tc>
      </w:tr>
      <w:tr w14:paraId="4AA1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9607" w:type="dxa"/>
            <w:gridSpan w:val="6"/>
            <w:vAlign w:val="center"/>
          </w:tcPr>
          <w:p w14:paraId="7C49518C">
            <w:pPr>
              <w:keepNext w:val="0"/>
              <w:keepLines w:val="0"/>
              <w:pageBreakBefore w:val="0"/>
              <w:widowControl/>
              <w:kinsoku w:val="0"/>
              <w:wordWrap/>
              <w:overflowPunct/>
              <w:topLinePunct w:val="0"/>
              <w:autoSpaceDE w:val="0"/>
              <w:autoSpaceDN w:val="0"/>
              <w:bidi w:val="0"/>
              <w:adjustRightInd w:val="0"/>
              <w:snapToGrid w:val="0"/>
              <w:spacing w:line="400" w:lineRule="exac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商务要求</w:t>
            </w:r>
          </w:p>
        </w:tc>
      </w:tr>
      <w:tr w14:paraId="7032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358" w:type="dxa"/>
            <w:gridSpan w:val="2"/>
            <w:vAlign w:val="center"/>
          </w:tcPr>
          <w:p w14:paraId="22F4FB62">
            <w:pPr>
              <w:keepNext w:val="0"/>
              <w:keepLines w:val="0"/>
              <w:pageBreakBefore w:val="0"/>
              <w:widowControl/>
              <w:kinsoku w:val="0"/>
              <w:wordWrap/>
              <w:overflowPunct/>
              <w:topLinePunct w:val="0"/>
              <w:autoSpaceDE w:val="0"/>
              <w:autoSpaceDN w:val="0"/>
              <w:bidi w:val="0"/>
              <w:adjustRightInd w:val="0"/>
              <w:snapToGrid w:val="0"/>
              <w:spacing w:line="360" w:lineRule="atLeas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rPr>
              <w:t>交付使用时间及地点</w:t>
            </w:r>
          </w:p>
        </w:tc>
        <w:tc>
          <w:tcPr>
            <w:tcW w:w="8249" w:type="dxa"/>
            <w:gridSpan w:val="4"/>
            <w:vAlign w:val="center"/>
          </w:tcPr>
          <w:p w14:paraId="3B663151">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1.交付时间：自签订合同之日起</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个工作日必须到货全部安装调试合格并验收完毕。</w:t>
            </w:r>
          </w:p>
          <w:p w14:paraId="757EB611">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rPr>
              <w:t>2.交付地点：广西桂林市采购人指定地点。</w:t>
            </w:r>
          </w:p>
        </w:tc>
      </w:tr>
      <w:tr w14:paraId="2606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358" w:type="dxa"/>
            <w:gridSpan w:val="2"/>
            <w:vAlign w:val="center"/>
          </w:tcPr>
          <w:p w14:paraId="6D51B6C1">
            <w:pPr>
              <w:keepNext w:val="0"/>
              <w:keepLines w:val="0"/>
              <w:pageBreakBefore w:val="0"/>
              <w:widowControl/>
              <w:kinsoku w:val="0"/>
              <w:wordWrap/>
              <w:overflowPunct/>
              <w:topLinePunct w:val="0"/>
              <w:autoSpaceDE w:val="0"/>
              <w:autoSpaceDN w:val="0"/>
              <w:bidi w:val="0"/>
              <w:adjustRightInd w:val="0"/>
              <w:snapToGrid w:val="0"/>
              <w:spacing w:line="360" w:lineRule="atLeas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rPr>
              <w:t>付款方式</w:t>
            </w:r>
          </w:p>
        </w:tc>
        <w:tc>
          <w:tcPr>
            <w:tcW w:w="8249" w:type="dxa"/>
            <w:gridSpan w:val="4"/>
            <w:vAlign w:val="center"/>
          </w:tcPr>
          <w:p w14:paraId="04CB7639">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rPr>
              <w:t>在货物交货正常使用并验收合格后，成交供应商在3个日历日内开具增值税专用发票给采购人，等待桂林市级财政部门拨付专项资金至采购人账户后的3个工作日内一次性支付全部合同价款（无息）。</w:t>
            </w:r>
          </w:p>
        </w:tc>
      </w:tr>
      <w:tr w14:paraId="4EE7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358" w:type="dxa"/>
            <w:gridSpan w:val="2"/>
            <w:vAlign w:val="center"/>
          </w:tcPr>
          <w:p w14:paraId="76F1FB4F">
            <w:pPr>
              <w:keepNext w:val="0"/>
              <w:keepLines w:val="0"/>
              <w:pageBreakBefore w:val="0"/>
              <w:widowControl/>
              <w:kinsoku w:val="0"/>
              <w:wordWrap/>
              <w:overflowPunct/>
              <w:topLinePunct w:val="0"/>
              <w:autoSpaceDE w:val="0"/>
              <w:autoSpaceDN w:val="0"/>
              <w:bidi w:val="0"/>
              <w:adjustRightInd w:val="0"/>
              <w:snapToGrid w:val="0"/>
              <w:spacing w:line="360" w:lineRule="atLeas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rPr>
              <w:t>验收要求</w:t>
            </w:r>
          </w:p>
        </w:tc>
        <w:tc>
          <w:tcPr>
            <w:tcW w:w="8249" w:type="dxa"/>
            <w:gridSpan w:val="4"/>
            <w:vAlign w:val="center"/>
          </w:tcPr>
          <w:p w14:paraId="18B65606">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1.设备符合国家相关标准及制造厂家合格产品的出厂质量标准。</w:t>
            </w:r>
          </w:p>
          <w:p w14:paraId="3E7CC291">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2.验收条件及标准：设备需全新、完好、无破损，按照技术要求的各项指标进行验收。</w:t>
            </w:r>
          </w:p>
          <w:p w14:paraId="49D98E9C">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3.验收方法及方案：设备开机试运行，测试设备的技术性能指标，确认各项功能正常运行，同时检查随机文件应齐全。</w:t>
            </w:r>
          </w:p>
        </w:tc>
      </w:tr>
      <w:tr w14:paraId="1EBC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358" w:type="dxa"/>
            <w:gridSpan w:val="2"/>
            <w:vAlign w:val="center"/>
          </w:tcPr>
          <w:p w14:paraId="57167BA1">
            <w:pPr>
              <w:keepNext w:val="0"/>
              <w:keepLines w:val="0"/>
              <w:pageBreakBefore w:val="0"/>
              <w:widowControl/>
              <w:kinsoku w:val="0"/>
              <w:wordWrap/>
              <w:overflowPunct/>
              <w:topLinePunct w:val="0"/>
              <w:autoSpaceDE w:val="0"/>
              <w:autoSpaceDN w:val="0"/>
              <w:bidi w:val="0"/>
              <w:adjustRightInd w:val="0"/>
              <w:snapToGrid w:val="0"/>
              <w:spacing w:line="360" w:lineRule="atLeast"/>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val="0"/>
                <w:bCs w:val="0"/>
                <w:color w:val="auto"/>
                <w:kern w:val="0"/>
                <w:sz w:val="21"/>
                <w:szCs w:val="21"/>
                <w:highlight w:val="none"/>
                <w:shd w:val="clear" w:color="auto" w:fill="auto"/>
              </w:rPr>
              <w:t>其他要求</w:t>
            </w:r>
          </w:p>
        </w:tc>
        <w:tc>
          <w:tcPr>
            <w:tcW w:w="8249" w:type="dxa"/>
            <w:gridSpan w:val="4"/>
            <w:vAlign w:val="center"/>
          </w:tcPr>
          <w:p w14:paraId="1851C610">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1.要求在成交通知书发出之日起8个工作日内签订合同。</w:t>
            </w:r>
          </w:p>
          <w:p w14:paraId="14CF420B">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成交供应商需在合同签订前，提供样机进行现场演示，并配合采购人对产品参数进行逐条核对。采购人将依据响应文件，对产品参数的真实性及实际效果进行逐项验证，验证通过后方可签订合同。若在检测测试中发现存在虚假应标行为，采购人有权拒绝签订合同并判定其响应无效；相关后果由成交供应商全权承担，采购人将依法追究其责任、索赔全部损失，并视情况上报上级采购监管部门。</w:t>
            </w:r>
          </w:p>
          <w:p w14:paraId="1D6A91E3">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3.为确保货物质量及原厂品质，成交供应商须在合同签订前，向采购人提供生产厂家针对本项目出具的供货证明原件及售后服务承诺函原件。若无法提交上述文件，将被视为</w:t>
            </w:r>
            <w:r>
              <w:rPr>
                <w:rFonts w:hint="eastAsia" w:ascii="宋体" w:hAnsi="宋体" w:eastAsia="宋体" w:cs="宋体"/>
                <w:color w:val="auto"/>
                <w:sz w:val="21"/>
                <w:szCs w:val="21"/>
                <w:highlight w:val="none"/>
                <w:lang w:eastAsia="zh-CN"/>
              </w:rPr>
              <w:t>响应无效</w:t>
            </w:r>
            <w:r>
              <w:rPr>
                <w:rFonts w:hint="eastAsia" w:ascii="宋体" w:hAnsi="宋体" w:eastAsia="宋体" w:cs="宋体"/>
                <w:color w:val="auto"/>
                <w:sz w:val="21"/>
                <w:szCs w:val="21"/>
                <w:highlight w:val="none"/>
              </w:rPr>
              <w:t>，采购人有权不予签订合同。</w:t>
            </w:r>
          </w:p>
          <w:p w14:paraId="604987D0">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成交供应商需在谈判阶段承诺：为采购方提供不少于10场机器人表演活动的现场技术指导与支持服务。技术指导内容需包括：现场部署、操作调试、效果验证、人员培训及活动期间全程技术保障。若未按承诺完成服务场次或质量不达标，将视为违约，采购方将依法追究其相关责任。</w:t>
            </w:r>
          </w:p>
          <w:p w14:paraId="3EA9C475">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成交供应商在履约验收前必须提供谈判文件中要求</w:t>
            </w:r>
            <w:r>
              <w:rPr>
                <w:rFonts w:hint="eastAsia" w:ascii="宋体" w:hAnsi="宋体" w:eastAsia="宋体" w:cs="宋体"/>
                <w:color w:val="auto"/>
                <w:sz w:val="21"/>
                <w:szCs w:val="21"/>
                <w:highlight w:val="none"/>
              </w:rPr>
              <w:t>所竞标产品</w:t>
            </w:r>
            <w:r>
              <w:rPr>
                <w:rFonts w:hint="eastAsia" w:ascii="宋体" w:hAnsi="宋体" w:eastAsia="宋体" w:cs="宋体"/>
                <w:color w:val="auto"/>
                <w:sz w:val="21"/>
                <w:szCs w:val="21"/>
                <w:highlight w:val="none"/>
                <w:lang w:eastAsia="zh-CN"/>
              </w:rPr>
              <w:t>由国家认可的资质认证的</w:t>
            </w:r>
            <w:r>
              <w:rPr>
                <w:rFonts w:hint="eastAsia" w:ascii="宋体" w:hAnsi="宋体" w:eastAsia="宋体" w:cs="宋体"/>
                <w:color w:val="auto"/>
                <w:sz w:val="21"/>
                <w:szCs w:val="21"/>
                <w:highlight w:val="none"/>
              </w:rPr>
              <w:t>第三方检测机构出具的检测报告；该检测报告在全国认证认可信息公共服务平台网（全国认证认可信息公共服务平台http://cx.cnca.cn/CertECloud/index/index/page）可以查询到；该检测报告包括该以下七个方面的检测内容：①性能及功能检查；②静电放电抗扰度试验；③电快速瞬变脉冲群抗扰度试验；④浪涌(冲击)抗扰度试验；⑤射频场感应的传导骚扰抗扰度试验；⑥工频磁场抗扰度试验；⑦电压暂降、短时中断和电压变化的抗扰度试验；否则不予签订合同</w:t>
            </w:r>
            <w:r>
              <w:rPr>
                <w:rFonts w:hint="eastAsia" w:ascii="宋体" w:hAnsi="宋体" w:eastAsia="宋体" w:cs="宋体"/>
                <w:color w:val="auto"/>
                <w:sz w:val="21"/>
                <w:szCs w:val="21"/>
                <w:highlight w:val="none"/>
                <w:lang w:eastAsia="zh-CN"/>
              </w:rPr>
              <w:t>，采购人将依法追究其责任、索赔全部损失，并视情况上报上级采购监管部门。</w:t>
            </w:r>
          </w:p>
          <w:p w14:paraId="308CF770">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采购预算金额（人民币）：</w:t>
            </w:r>
            <w:r>
              <w:rPr>
                <w:rFonts w:hint="eastAsia" w:ascii="宋体" w:hAnsi="宋体" w:eastAsia="宋体" w:cs="宋体"/>
                <w:color w:val="auto"/>
                <w:sz w:val="21"/>
                <w:szCs w:val="21"/>
                <w:highlight w:val="none"/>
                <w:lang w:eastAsia="zh-CN"/>
              </w:rPr>
              <w:t>肆拾陆万元整（￥</w:t>
            </w:r>
            <w:r>
              <w:rPr>
                <w:rFonts w:hint="eastAsia" w:ascii="宋体" w:hAnsi="宋体" w:eastAsia="宋体" w:cs="宋体"/>
                <w:color w:val="auto"/>
                <w:sz w:val="21"/>
                <w:szCs w:val="21"/>
                <w:highlight w:val="none"/>
                <w:lang w:val="en-US" w:eastAsia="zh-CN"/>
              </w:rPr>
              <w:t>46</w:t>
            </w:r>
            <w:r>
              <w:rPr>
                <w:rFonts w:hint="eastAsia" w:ascii="宋体" w:hAnsi="宋体" w:eastAsia="宋体" w:cs="宋体"/>
                <w:color w:val="auto"/>
                <w:sz w:val="21"/>
                <w:szCs w:val="21"/>
                <w:highlight w:val="none"/>
                <w:lang w:eastAsia="zh-CN"/>
              </w:rPr>
              <w:t>0000.00）</w:t>
            </w:r>
            <w:r>
              <w:rPr>
                <w:rFonts w:hint="eastAsia" w:ascii="宋体" w:hAnsi="宋体" w:eastAsia="宋体" w:cs="宋体"/>
                <w:color w:val="auto"/>
                <w:sz w:val="21"/>
                <w:szCs w:val="21"/>
                <w:highlight w:val="none"/>
              </w:rPr>
              <w:t>，报价超出采购预算总金额的，将被视为无效响应文件。</w:t>
            </w:r>
          </w:p>
          <w:p w14:paraId="5EB227E3">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货物不接受进口产品（即通过中国海关报关验放进入中国境内且产自关境外的产品）参与报价，如有此类产品参与竞标的作无效报价处理。</w:t>
            </w:r>
          </w:p>
          <w:p w14:paraId="603F4A92">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谈判报价应包括本次采购范围内货物（包括备品备件、专用工具等）的价格、检测、包装、运输、装卸、保险、国家及地方规定的任何收费（如登记费、手续费）、税金、现场协调、现场配合验收、抽样检测、办理相关手续、因货物质量问题引起的维修和更换等为实现合同目的而发生的一切费用；供应商综合考虑在报价中。</w:t>
            </w:r>
          </w:p>
          <w:p w14:paraId="754C5385">
            <w:pPr>
              <w:keepNext w:val="0"/>
              <w:keepLines w:val="0"/>
              <w:pageBreakBefore w:val="0"/>
              <w:widowControl/>
              <w:kinsoku w:val="0"/>
              <w:wordWrap/>
              <w:overflowPunct/>
              <w:topLinePunct w:val="0"/>
              <w:autoSpaceDE w:val="0"/>
              <w:autoSpaceDN w:val="0"/>
              <w:bidi w:val="0"/>
              <w:adjustRightInd w:val="0"/>
              <w:snapToGrid w:val="0"/>
              <w:spacing w:line="40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“货物采购需求”中的所有技术参数及要求均为实质性要求。</w:t>
            </w:r>
          </w:p>
        </w:tc>
      </w:tr>
    </w:tbl>
    <w:p w14:paraId="18D207AA">
      <w:pPr>
        <w:rPr>
          <w:rFonts w:hint="eastAsia" w:ascii="宋体" w:hAnsi="宋体" w:eastAsia="宋体" w:cs="宋体"/>
          <w:b/>
          <w:bCs w:val="0"/>
          <w:color w:val="auto"/>
          <w:sz w:val="21"/>
          <w:szCs w:val="21"/>
          <w:highlight w:val="none"/>
          <w:lang w:val="en-US" w:eastAsia="zh-CN"/>
        </w:rPr>
      </w:pPr>
    </w:p>
    <w:p w14:paraId="68369C47">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标项三</w:t>
      </w:r>
    </w:p>
    <w:tbl>
      <w:tblPr>
        <w:tblStyle w:val="23"/>
        <w:tblpPr w:leftFromText="180" w:rightFromText="180" w:vertAnchor="text" w:horzAnchor="page" w:tblpX="1230" w:tblpY="3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46"/>
        <w:gridCol w:w="4950"/>
        <w:gridCol w:w="825"/>
        <w:gridCol w:w="735"/>
        <w:gridCol w:w="1263"/>
      </w:tblGrid>
      <w:tr w14:paraId="54E6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4D7901B">
            <w:pPr>
              <w:keepNext w:val="0"/>
              <w:keepLines w:val="0"/>
              <w:pageBreakBefore w:val="0"/>
              <w:widowControl/>
              <w:wordWrap/>
              <w:overflowPunct/>
              <w:topLinePunct w:val="0"/>
              <w:bidi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序号</w:t>
            </w:r>
          </w:p>
        </w:tc>
        <w:tc>
          <w:tcPr>
            <w:tcW w:w="1146" w:type="dxa"/>
            <w:vAlign w:val="center"/>
          </w:tcPr>
          <w:p w14:paraId="7A573C0F">
            <w:pPr>
              <w:keepNext w:val="0"/>
              <w:keepLines w:val="0"/>
              <w:pageBreakBefore w:val="0"/>
              <w:widowControl/>
              <w:wordWrap/>
              <w:overflowPunct/>
              <w:topLinePunct w:val="0"/>
              <w:bidi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项目名称</w:t>
            </w:r>
          </w:p>
        </w:tc>
        <w:tc>
          <w:tcPr>
            <w:tcW w:w="4950" w:type="dxa"/>
            <w:vAlign w:val="center"/>
          </w:tcPr>
          <w:p w14:paraId="45CC94B7">
            <w:pPr>
              <w:keepNext w:val="0"/>
              <w:keepLines w:val="0"/>
              <w:pageBreakBefore w:val="0"/>
              <w:widowControl/>
              <w:wordWrap/>
              <w:overflowPunct/>
              <w:topLinePunct w:val="0"/>
              <w:bidi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技术参数及其性能（配置）要求</w:t>
            </w:r>
          </w:p>
        </w:tc>
        <w:tc>
          <w:tcPr>
            <w:tcW w:w="825" w:type="dxa"/>
            <w:vAlign w:val="center"/>
          </w:tcPr>
          <w:p w14:paraId="69FE2FA4">
            <w:pPr>
              <w:keepNext w:val="0"/>
              <w:keepLines w:val="0"/>
              <w:pageBreakBefore w:val="0"/>
              <w:widowControl/>
              <w:wordWrap/>
              <w:overflowPunct/>
              <w:topLinePunct w:val="0"/>
              <w:bidi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数量</w:t>
            </w:r>
          </w:p>
        </w:tc>
        <w:tc>
          <w:tcPr>
            <w:tcW w:w="735" w:type="dxa"/>
            <w:vAlign w:val="center"/>
          </w:tcPr>
          <w:p w14:paraId="502123CB">
            <w:pPr>
              <w:keepNext w:val="0"/>
              <w:keepLines w:val="0"/>
              <w:pageBreakBefore w:val="0"/>
              <w:widowControl/>
              <w:wordWrap/>
              <w:overflowPunct/>
              <w:topLinePunct w:val="0"/>
              <w:bidi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kern w:val="0"/>
                <w:sz w:val="21"/>
                <w:szCs w:val="21"/>
                <w:highlight w:val="none"/>
              </w:rPr>
              <w:t>单位</w:t>
            </w:r>
          </w:p>
        </w:tc>
        <w:tc>
          <w:tcPr>
            <w:tcW w:w="1263" w:type="dxa"/>
            <w:vAlign w:val="center"/>
          </w:tcPr>
          <w:p w14:paraId="5098700D">
            <w:pPr>
              <w:keepNext w:val="0"/>
              <w:keepLines w:val="0"/>
              <w:pageBreakBefore w:val="0"/>
              <w:widowControl/>
              <w:wordWrap/>
              <w:overflowPunct/>
              <w:topLinePunct w:val="0"/>
              <w:bidi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val="en-US" w:eastAsia="zh-CN"/>
              </w:rPr>
              <w:t>预算总价（元）</w:t>
            </w:r>
          </w:p>
        </w:tc>
      </w:tr>
      <w:tr w14:paraId="6C1C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Align w:val="center"/>
          </w:tcPr>
          <w:p w14:paraId="01280388">
            <w:pPr>
              <w:keepNext w:val="0"/>
              <w:keepLines w:val="0"/>
              <w:pageBreakBefore w:val="0"/>
              <w:widowControl/>
              <w:suppressLineNumbers w:val="0"/>
              <w:wordWrap/>
              <w:overflowPunct/>
              <w:topLinePunct w:val="0"/>
              <w:bidi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1146" w:type="dxa"/>
            <w:vAlign w:val="center"/>
          </w:tcPr>
          <w:p w14:paraId="01CD29E6">
            <w:pPr>
              <w:keepNext w:val="0"/>
              <w:keepLines w:val="0"/>
              <w:pageBreakBefore w:val="0"/>
              <w:widowControl/>
              <w:tabs>
                <w:tab w:val="left" w:pos="180"/>
                <w:tab w:val="left" w:pos="1620"/>
              </w:tabs>
              <w:kinsoku/>
              <w:wordWrap/>
              <w:overflowPunct/>
              <w:topLinePunct w:val="0"/>
              <w:autoSpaceDE/>
              <w:autoSpaceDN/>
              <w:bidi w:val="0"/>
              <w:adjustRightInd w:val="0"/>
              <w:snapToGrid w:val="0"/>
              <w:spacing w:line="340" w:lineRule="exact"/>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kern w:val="0"/>
                <w:sz w:val="21"/>
                <w:szCs w:val="21"/>
                <w:highlight w:val="none"/>
                <w:u w:val="none"/>
                <w:lang w:val="en-US" w:eastAsia="zh-CN" w:bidi="ar"/>
              </w:rPr>
              <w:t>加工中心</w:t>
            </w:r>
          </w:p>
        </w:tc>
        <w:tc>
          <w:tcPr>
            <w:tcW w:w="4950" w:type="dxa"/>
            <w:vAlign w:val="center"/>
          </w:tcPr>
          <w:p w14:paraId="1AC49AD2">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一、技术参数</w:t>
            </w:r>
          </w:p>
          <w:p w14:paraId="7D19E69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1、工作台尺寸：≥1000×500mm</w:t>
            </w:r>
          </w:p>
          <w:p w14:paraId="46EB5B30">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2、允许最大荷重：≥600kg</w:t>
            </w:r>
          </w:p>
          <w:p w14:paraId="4D45D586">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3、T形槽尺寸：18×5×个</w:t>
            </w:r>
          </w:p>
          <w:p w14:paraId="30A3F765">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4、工作台最大行程- X轴：≥850mm</w:t>
            </w:r>
          </w:p>
          <w:p w14:paraId="154EC716">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5、滑座最大行程-Y轴：≥500mm</w:t>
            </w:r>
          </w:p>
          <w:p w14:paraId="641464D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6、主轴最大行程-Z轴：≥540mm</w:t>
            </w:r>
          </w:p>
          <w:p w14:paraId="40B9C40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7、数控系统：FANUC 0i-MF Plus系统</w:t>
            </w:r>
          </w:p>
          <w:p w14:paraId="13240BEB">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8、主轴中心到Z轴导轨面距离：≥640mm</w:t>
            </w:r>
          </w:p>
          <w:p w14:paraId="00625F2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9、主轴锥孔型号：BT40</w:t>
            </w:r>
          </w:p>
          <w:p w14:paraId="64B8493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10、主轴最高转数：≥10000r/min</w:t>
            </w:r>
          </w:p>
          <w:p w14:paraId="6F857676">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11、主轴电机扭矩：≥35.8N.m</w:t>
            </w:r>
          </w:p>
          <w:p w14:paraId="034B23B4">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12、主轴电机功率：≥7.5/11kW</w:t>
            </w:r>
          </w:p>
          <w:p w14:paraId="114BD2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13、刀柄型号：MAS 403 BT40 </w:t>
            </w:r>
          </w:p>
          <w:p w14:paraId="6969CC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14、拉钉型号：MAS 403 P40T-I </w:t>
            </w:r>
          </w:p>
          <w:p w14:paraId="32D038C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15、X\Y\Z轴快速移动：≥48m/min</w:t>
            </w:r>
          </w:p>
          <w:p w14:paraId="3BD1A3B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16、X\Y\Z轴</w:t>
            </w:r>
            <w:r>
              <w:rPr>
                <w:rFonts w:hint="eastAsia" w:ascii="宋体" w:hAnsi="宋体" w:eastAsia="宋体" w:cs="宋体"/>
                <w:i w:val="0"/>
                <w:iCs w:val="0"/>
                <w:color w:val="auto"/>
                <w:kern w:val="0"/>
                <w:sz w:val="21"/>
                <w:szCs w:val="21"/>
                <w:highlight w:val="none"/>
                <w:u w:val="none"/>
                <w:lang w:val="en-US" w:eastAsia="zh-CN" w:bidi="ar"/>
              </w:rPr>
              <w:t>拖动电机功率：</w:t>
            </w:r>
            <w:r>
              <w:rPr>
                <w:rFonts w:hint="eastAsia" w:ascii="宋体" w:hAnsi="宋体" w:eastAsia="宋体" w:cs="宋体"/>
                <w:color w:val="auto"/>
                <w:sz w:val="21"/>
                <w:szCs w:val="21"/>
                <w:highlight w:val="none"/>
                <w:lang w:val="en-US" w:eastAsia="zh-CN"/>
              </w:rPr>
              <w:t>≥1.8\1.8\3kw</w:t>
            </w:r>
          </w:p>
          <w:p w14:paraId="3F39559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17、X\Y\Z轴</w:t>
            </w:r>
            <w:r>
              <w:rPr>
                <w:rFonts w:hint="eastAsia" w:ascii="宋体" w:hAnsi="宋体" w:eastAsia="宋体" w:cs="宋体"/>
                <w:i w:val="0"/>
                <w:iCs w:val="0"/>
                <w:color w:val="auto"/>
                <w:kern w:val="0"/>
                <w:sz w:val="21"/>
                <w:szCs w:val="21"/>
                <w:highlight w:val="none"/>
                <w:u w:val="none"/>
                <w:lang w:val="en-US" w:eastAsia="zh-CN" w:bidi="ar"/>
              </w:rPr>
              <w:t>拖动电机扭矩：</w:t>
            </w:r>
            <w:r>
              <w:rPr>
                <w:rFonts w:hint="eastAsia" w:ascii="宋体" w:hAnsi="宋体" w:eastAsia="宋体" w:cs="宋体"/>
                <w:color w:val="auto"/>
                <w:sz w:val="21"/>
                <w:szCs w:val="21"/>
                <w:highlight w:val="none"/>
                <w:lang w:val="en-US" w:eastAsia="zh-CN"/>
              </w:rPr>
              <w:t>≥11\11\20</w:t>
            </w:r>
            <w:r>
              <w:rPr>
                <w:rFonts w:hint="eastAsia" w:ascii="宋体" w:hAnsi="宋体" w:eastAsia="宋体" w:cs="宋体"/>
                <w:i w:val="0"/>
                <w:iCs w:val="0"/>
                <w:color w:val="auto"/>
                <w:kern w:val="0"/>
                <w:sz w:val="21"/>
                <w:szCs w:val="21"/>
                <w:highlight w:val="none"/>
                <w:u w:val="none"/>
                <w:lang w:val="en-US" w:eastAsia="zh-CN" w:bidi="ar"/>
              </w:rPr>
              <w:t>N.m</w:t>
            </w:r>
          </w:p>
          <w:p w14:paraId="1353357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18、进给速度：1-20000mm/min </w:t>
            </w:r>
          </w:p>
          <w:p w14:paraId="0950BD92">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19、定位精度：≤</w:t>
            </w:r>
            <w:r>
              <w:rPr>
                <w:rFonts w:hint="eastAsia" w:ascii="宋体" w:hAnsi="宋体" w:eastAsia="宋体" w:cs="宋体"/>
                <w:color w:val="auto"/>
                <w:sz w:val="21"/>
                <w:szCs w:val="21"/>
                <w:highlight w:val="none"/>
              </w:rPr>
              <w:t>0.008</w:t>
            </w:r>
            <w:r>
              <w:rPr>
                <w:rFonts w:hint="eastAsia" w:ascii="宋体" w:hAnsi="宋体" w:eastAsia="宋体" w:cs="宋体"/>
                <w:color w:val="auto"/>
                <w:sz w:val="21"/>
                <w:szCs w:val="21"/>
                <w:highlight w:val="none"/>
                <w:lang w:val="en-US" w:eastAsia="zh-CN"/>
              </w:rPr>
              <w:t>mm</w:t>
            </w:r>
          </w:p>
          <w:p w14:paraId="13A495D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20、Y轴定位精度：≤</w:t>
            </w:r>
            <w:r>
              <w:rPr>
                <w:rFonts w:hint="eastAsia" w:ascii="宋体" w:hAnsi="宋体" w:eastAsia="宋体" w:cs="宋体"/>
                <w:color w:val="auto"/>
                <w:sz w:val="21"/>
                <w:szCs w:val="21"/>
                <w:highlight w:val="none"/>
              </w:rPr>
              <w:t>0.00</w:t>
            </w:r>
            <w:r>
              <w:rPr>
                <w:rFonts w:hint="eastAsia" w:ascii="宋体" w:hAnsi="宋体" w:eastAsia="宋体" w:cs="宋体"/>
                <w:color w:val="auto"/>
                <w:sz w:val="21"/>
                <w:szCs w:val="21"/>
                <w:highlight w:val="none"/>
                <w:lang w:val="en-US" w:eastAsia="zh-CN"/>
              </w:rPr>
              <w:t>6mm</w:t>
            </w:r>
          </w:p>
          <w:p w14:paraId="056BACB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21、Z轴定位精度：≤</w:t>
            </w:r>
            <w:r>
              <w:rPr>
                <w:rFonts w:hint="eastAsia" w:ascii="宋体" w:hAnsi="宋体" w:eastAsia="宋体" w:cs="宋体"/>
                <w:color w:val="auto"/>
                <w:sz w:val="21"/>
                <w:szCs w:val="21"/>
                <w:highlight w:val="none"/>
              </w:rPr>
              <w:t>0.00</w:t>
            </w:r>
            <w:r>
              <w:rPr>
                <w:rFonts w:hint="eastAsia" w:ascii="宋体" w:hAnsi="宋体" w:eastAsia="宋体" w:cs="宋体"/>
                <w:color w:val="auto"/>
                <w:sz w:val="21"/>
                <w:szCs w:val="21"/>
                <w:highlight w:val="none"/>
                <w:lang w:val="en-US" w:eastAsia="zh-CN"/>
              </w:rPr>
              <w:t>6mm</w:t>
            </w:r>
          </w:p>
          <w:p w14:paraId="7730614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22、X轴重复定位精度：≤</w:t>
            </w:r>
            <w:r>
              <w:rPr>
                <w:rFonts w:hint="eastAsia" w:ascii="宋体" w:hAnsi="宋体" w:eastAsia="宋体" w:cs="宋体"/>
                <w:color w:val="auto"/>
                <w:sz w:val="21"/>
                <w:szCs w:val="21"/>
                <w:highlight w:val="none"/>
              </w:rPr>
              <w:t>0.00</w:t>
            </w:r>
            <w:r>
              <w:rPr>
                <w:rFonts w:hint="eastAsia" w:ascii="宋体" w:hAnsi="宋体" w:eastAsia="宋体" w:cs="宋体"/>
                <w:color w:val="auto"/>
                <w:sz w:val="21"/>
                <w:szCs w:val="21"/>
                <w:highlight w:val="none"/>
                <w:lang w:val="en-US" w:eastAsia="zh-CN"/>
              </w:rPr>
              <w:t>5mm</w:t>
            </w:r>
          </w:p>
          <w:p w14:paraId="5534DDE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23、Y轴重复定位精度：≤</w:t>
            </w:r>
            <w:r>
              <w:rPr>
                <w:rFonts w:hint="eastAsia" w:ascii="宋体" w:hAnsi="宋体" w:eastAsia="宋体" w:cs="宋体"/>
                <w:color w:val="auto"/>
                <w:sz w:val="21"/>
                <w:szCs w:val="21"/>
                <w:highlight w:val="none"/>
              </w:rPr>
              <w:t>0.00</w:t>
            </w:r>
            <w:r>
              <w:rPr>
                <w:rFonts w:hint="eastAsia" w:ascii="宋体" w:hAnsi="宋体" w:eastAsia="宋体" w:cs="宋体"/>
                <w:color w:val="auto"/>
                <w:sz w:val="21"/>
                <w:szCs w:val="21"/>
                <w:highlight w:val="none"/>
                <w:lang w:val="en-US" w:eastAsia="zh-CN"/>
              </w:rPr>
              <w:t>4mm</w:t>
            </w:r>
          </w:p>
          <w:p w14:paraId="518C4A26">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24、Z轴重复定位精度：≤</w:t>
            </w:r>
            <w:r>
              <w:rPr>
                <w:rFonts w:hint="eastAsia" w:ascii="宋体" w:hAnsi="宋体" w:eastAsia="宋体" w:cs="宋体"/>
                <w:color w:val="auto"/>
                <w:sz w:val="21"/>
                <w:szCs w:val="21"/>
                <w:highlight w:val="none"/>
              </w:rPr>
              <w:t>0.00</w:t>
            </w:r>
            <w:r>
              <w:rPr>
                <w:rFonts w:hint="eastAsia" w:ascii="宋体" w:hAnsi="宋体" w:eastAsia="宋体" w:cs="宋体"/>
                <w:color w:val="auto"/>
                <w:sz w:val="21"/>
                <w:szCs w:val="21"/>
                <w:highlight w:val="none"/>
                <w:lang w:val="en-US" w:eastAsia="zh-CN"/>
              </w:rPr>
              <w:t>4mm</w:t>
            </w:r>
          </w:p>
          <w:p w14:paraId="7ADA539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25、刀库形式：机械手</w:t>
            </w:r>
          </w:p>
          <w:p w14:paraId="53E0F424">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26、刀库容量：≥24把</w:t>
            </w:r>
          </w:p>
          <w:p w14:paraId="12B4178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27、最大刀具长度：≥300mm</w:t>
            </w:r>
          </w:p>
          <w:p w14:paraId="19E91775">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28、最大刀具重量：≥7kg</w:t>
            </w:r>
          </w:p>
          <w:p w14:paraId="46F69CCA">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29、换刀时间：≤2.5s</w:t>
            </w:r>
          </w:p>
          <w:p w14:paraId="402C60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30、满刀状态最大刀盘直径：≥φ80mm </w:t>
            </w:r>
          </w:p>
          <w:p w14:paraId="02C126C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31、相邻空刀状态最大刀盘直径：≥φ150mm </w:t>
            </w:r>
          </w:p>
          <w:p w14:paraId="4513D78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32、选刀方式：双向就近选刀 </w:t>
            </w:r>
          </w:p>
          <w:p w14:paraId="3659ECAE">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33、电气总容量（标准配置）：≥22KVA</w:t>
            </w:r>
          </w:p>
          <w:p w14:paraId="384BDE0E">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34、机床轮廓尺寸（长×宽×高）：≥2400×2800×2950mm</w:t>
            </w:r>
          </w:p>
          <w:p w14:paraId="5496445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35、机床重量：≥5100kg</w:t>
            </w:r>
          </w:p>
          <w:p w14:paraId="118DA7C8">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二、机床配套设备  </w:t>
            </w:r>
          </w:p>
          <w:p w14:paraId="10235E29">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1、配套工具及刀具  1套</w:t>
            </w:r>
          </w:p>
          <w:p w14:paraId="341A0AB9">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（1）精密虎钳（开口150MM及以上、配套装夹虎钳用的压板螺栓和螺母一套）×1</w:t>
            </w:r>
          </w:p>
          <w:p w14:paraId="43802908">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（2）BT40刀柄、ER32弹簧夹头（从4mm、6mm、8mm、10mm、12mm、16mm、20mm两套）×4</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（3）BT40刀柄（装盘铣刀用）×2</w:t>
            </w:r>
          </w:p>
          <w:p w14:paraId="238FCD12">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（4）盘铣刀+配套刀片（配套BT40刀柄用）×2</w:t>
            </w:r>
          </w:p>
          <w:p w14:paraId="470BD91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（5）BT40刀柄（钻夹头）×2</w:t>
            </w:r>
          </w:p>
          <w:p w14:paraId="028F9170">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i w:val="0"/>
                <w:iCs w:val="0"/>
                <w:color w:val="auto"/>
                <w:kern w:val="0"/>
                <w:sz w:val="21"/>
                <w:szCs w:val="21"/>
                <w:highlight w:val="none"/>
                <w:u w:val="none"/>
                <w:lang w:val="en-US" w:eastAsia="zh-CN" w:bidi="ar"/>
              </w:rPr>
              <w:t>移动智慧编程终端</w:t>
            </w:r>
            <w:r>
              <w:rPr>
                <w:rFonts w:hint="eastAsia" w:ascii="宋体" w:hAnsi="宋体" w:eastAsia="宋体" w:cs="宋体"/>
                <w:b/>
                <w:bCs/>
                <w:color w:val="auto"/>
                <w:sz w:val="21"/>
                <w:szCs w:val="21"/>
                <w:highlight w:val="none"/>
                <w:lang w:val="en-US" w:eastAsia="zh-CN"/>
              </w:rPr>
              <w:t xml:space="preserve">  1台</w:t>
            </w:r>
          </w:p>
          <w:p w14:paraId="00C9FE7B">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（一）核心显示系统参数</w:t>
            </w:r>
          </w:p>
          <w:p w14:paraId="2A7A3F3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1、显示分辨率：≥2560×1600 像素，支持超高清图像渲染，适配多窗口编程界面、代码高亮显示及复杂数据可视化需求，满足大尺寸代码文件并行编辑场景；</w:t>
            </w:r>
          </w:p>
          <w:p w14:paraId="7CE82DF8">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2、色彩表现：屏幕色域覆盖≥100% sRGB，色彩还原度高，精准呈现设计类编程、图形化开发等场景下的色彩细节，避免色彩偏差导致的开发误差。</w:t>
            </w:r>
          </w:p>
          <w:p w14:paraId="6717C25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(二）运算处理核心参数</w:t>
            </w:r>
          </w:p>
          <w:p w14:paraId="5095EE66">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1、图形处理单元：具备高性能光线追踪及 AI 加速计算能力，支持 GPU 并行计算、深度学习模型训练、三维建模渲染等重型编程任务，适配机器学习、视觉算法开发等专业场景；</w:t>
            </w:r>
          </w:p>
          <w:p w14:paraId="5713B7E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2、中央处理单元：24核心线程架构，主频及睿频性能强劲，可高效支撑多任务并发处理、大型项目编译、复杂算法运算等高强度编程工作，保障高负载场景下的运行流畅性。</w:t>
            </w:r>
          </w:p>
          <w:p w14:paraId="414D7BA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(三)存储扩展系统参数</w:t>
            </w:r>
          </w:p>
          <w:p w14:paraId="183E2F8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1、运行内存：≥16GB 高速内存，内存带宽充足，支持超大容量代码库加载、多 IDE 同时运行、虚拟机多开等场景，减少程序切换及编译过程中的卡顿延迟；</w:t>
            </w:r>
          </w:p>
          <w:p w14:paraId="4FDED8E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2、存储容量：≥1TB 高速固态硬盘（SSD），具备高速读写性能，满足海量代码文件、项目资源、测试数据的存储需求，同时缩短程序启动、项目加载及数据读取的响应时间。</w:t>
            </w:r>
          </w:p>
          <w:p w14:paraId="5D51F970">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(四)设备适配要求</w:t>
            </w:r>
          </w:p>
          <w:p w14:paraId="1161C5D0">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1、设备采用便携一体化设计，支持移动场景下的编程作业，适配实验室、现场调试等多场景使用；</w:t>
            </w:r>
          </w:p>
          <w:p w14:paraId="088FE7A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2、具备稳定的散热系统，保障高负载编程任务（如长时间编译、模型训练）下的持续稳定运行，避免因过热导致的性能降频；</w:t>
            </w:r>
          </w:p>
          <w:p w14:paraId="542BD14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接口配置丰富，支持调试设备、存储扩展等，满足多设备协同编程及开发调试需求。</w:t>
            </w:r>
          </w:p>
          <w:p w14:paraId="207B50CA">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3、配套数控加工仿真训练与智能化考核系统  1节点</w:t>
            </w:r>
          </w:p>
          <w:p w14:paraId="6389DDC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（1）可选仿真的数控系统</w:t>
            </w:r>
          </w:p>
          <w:p w14:paraId="4097A0A5">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可针对广州数控25i、广州数控988TA、北京凯恩帝、武汉华中、浙江凯达、法那克、西门子等厂家的数车、数铣、加工中心数控系统的数控代码进行仿真操作训练考核，用户可自由选择各工种对应的数控系统。</w:t>
            </w:r>
          </w:p>
          <w:p w14:paraId="56D1CBD7">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（2）仿真的控制面板：多种机床厂家的自定义控制面板（包括手动方式、MDI、自动方式、编辑、单段、回零等功能），可仿真按钮，旋钮、带刻度及数字手轮等操作，操作有错误时有相应提示。</w:t>
            </w:r>
          </w:p>
          <w:p w14:paraId="4A85833A">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（3）.有配套的教学课件：数控车有配套的教学课件,可动态展现G代码的运行轨迹以及其他辅助代码的功能。</w:t>
            </w:r>
          </w:p>
          <w:p w14:paraId="09E1ED07">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（4）可仿真实际的装刀：可进行装刀对刀全过程仿真操作,鼠标拖动装刀，数控铣、加工中心仿真时，可使用寻边器对刀，并可自动显示寻边器离工件的距离。</w:t>
            </w:r>
          </w:p>
          <w:p w14:paraId="753B098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（5）刀具参数自定义：可完全自由定义外圆刀,圆弧刀,切断,螺纹刀等刀具角度和刀具宽度,以便加工各类复杂的零件，并提供多种类型的加工刀具（如：白钢刀、机夹刀等）。</w:t>
            </w:r>
          </w:p>
          <w:p w14:paraId="1922C6C7">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零件加工成型仿真：可自由定义工件大小，提供多种毛坯材料（如：铝、钢、铜等）;安装数控车工件时可以手动拖动安装，工件可以左右移动及掉头加工，并且可剖开显示工件，以便观察内孔加工;完全仿真实际数控设备的MDI功能、自动功能、单段等功能的操作,直到进行三维工件的实时切削，体现M、S、T、G代码真实效果;提供刀具补偿、坐标系等参数的设置，并且可对加工成型的零件可以进行状态保存，以便下次调用或观察加工。</w:t>
            </w:r>
          </w:p>
          <w:p w14:paraId="3B2FEEF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虚拟机床的仿真：根据实际机床的尺寸进行虚拟机床的设计，完全仿真实际机床各零部件的运动及操作工艺（如毛坯的安装：首先定义毛坯尺寸，然后松开卡盘，并且卡盘松开的空间能够放下工件，再拖动毛坯放入卡盘，最后收紧卡盘，在上述过程中如有任何的操作不合理，系统都会进行实时的报警）。</w:t>
            </w:r>
          </w:p>
          <w:p w14:paraId="6DD7D329">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数控程序处理：能导入并可兼容Mastercam、Pro/E、UG、CAXA-ME、Cimatron等CAD/CAM软件生成的数控程序；也可以直接用记事本手工编辑的数控程序再粘贴到本软件中，也可用软件面板手工编辑程序，软件有预检查程序语法功能；经过仿真后的软件程序能提取出来，可传送到数控机床上使用。</w:t>
            </w:r>
          </w:p>
          <w:p w14:paraId="490EF35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可对操作过程自动评分：本系统具有即时提示和记录考试操作全过程错误，学员交卷后，系统可以对本次的加工操作过程进行自动评分，并能将本次考试结果保存,便于以后查阅,同一工种不同等级的考试可以在同一个服务程序下监控考试和评分。</w:t>
            </w:r>
          </w:p>
          <w:p w14:paraId="43E44ADA">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4、配套分体式教学终端  1台</w:t>
            </w:r>
          </w:p>
          <w:p w14:paraId="22BF832C">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（一）硬件参数</w:t>
            </w:r>
          </w:p>
          <w:p w14:paraId="3F8FD134">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处理器:≥I5 14400  </w:t>
            </w:r>
          </w:p>
          <w:p w14:paraId="7A5EFDD1">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内存：≥16G </w:t>
            </w:r>
          </w:p>
          <w:p w14:paraId="4618B7E7">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固态硬盘：≥512G </w:t>
            </w:r>
          </w:p>
          <w:p w14:paraId="68C49121">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（二）显示器</w:t>
            </w:r>
          </w:p>
          <w:p w14:paraId="6C9170A4">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显示器≥23.8英寸显示屏幕，分辨率≥1920*1080</w:t>
            </w:r>
          </w:p>
          <w:p w14:paraId="223F58FA">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屏幕亮度≥250nit，IPS屏。</w:t>
            </w:r>
          </w:p>
          <w:p w14:paraId="4BE4AD22">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支持VGA≥1，HDMI≥1。</w:t>
            </w:r>
          </w:p>
          <w:p w14:paraId="3D79D8E7">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为保证屏幕色彩显示真实度，显示屏幕DCI-P3色域覆盖率≥ 90%。（</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的第三方检测机构出具的关于该功能的检测报告复印件）</w:t>
            </w:r>
          </w:p>
          <w:p w14:paraId="6D138A81">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对比度达到1000:1，屏幕刷新率达到75Hz，响应时间≤7ms，可视角度178/178。（</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的第三方检测机构出具的关于该功能的检测报告复印件）</w:t>
            </w:r>
          </w:p>
          <w:p w14:paraId="5BAE3AED">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显示屏幕提供护眼模式，护眼模式下，蓝光比例≤20%。（</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的第三方检测机构出具的关于该功能的检测报告复印件）</w:t>
            </w:r>
          </w:p>
          <w:p w14:paraId="47E73948">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显示屏幕采用窄边设计，上左右边框≤3.6mm，下边框≤16.5mm，屏占比≥92%。</w:t>
            </w:r>
          </w:p>
          <w:p w14:paraId="4B43E5C5">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w:t>
            </w:r>
            <w:r>
              <w:rPr>
                <w:rFonts w:hint="eastAsia" w:ascii="宋体" w:hAnsi="宋体" w:eastAsia="宋体" w:cs="宋体"/>
                <w:b/>
                <w:bCs/>
                <w:color w:val="auto"/>
                <w:kern w:val="0"/>
                <w:sz w:val="21"/>
                <w:szCs w:val="21"/>
                <w:highlight w:val="none"/>
              </w:rPr>
              <w:t>显示器与主机兼容性良好，可稳定匹配教学终端设备输出信号，满足教学长期稳定使用</w:t>
            </w:r>
            <w:r>
              <w:rPr>
                <w:rFonts w:hint="eastAsia" w:ascii="宋体" w:hAnsi="宋体" w:eastAsia="宋体" w:cs="宋体"/>
                <w:color w:val="auto"/>
                <w:kern w:val="0"/>
                <w:sz w:val="21"/>
                <w:szCs w:val="21"/>
                <w:highlight w:val="none"/>
              </w:rPr>
              <w:t>。</w:t>
            </w:r>
          </w:p>
          <w:p w14:paraId="4503AC9A">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三</w:t>
            </w:r>
            <w:r>
              <w:rPr>
                <w:rFonts w:hint="eastAsia" w:ascii="宋体" w:hAnsi="宋体" w:eastAsia="宋体" w:cs="宋体"/>
                <w:b/>
                <w:bCs/>
                <w:color w:val="auto"/>
                <w:kern w:val="0"/>
                <w:sz w:val="21"/>
                <w:szCs w:val="21"/>
                <w:highlight w:val="none"/>
              </w:rPr>
              <w:t>）系统设计</w:t>
            </w:r>
          </w:p>
          <w:p w14:paraId="60BCA9B1">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在配置管理平台使用终端设备时，支持多种身份识别方式。</w:t>
            </w:r>
          </w:p>
          <w:p w14:paraId="2C0271E3">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支持通过账号登录、手机扫码登录、无账号访客登录。</w:t>
            </w:r>
          </w:p>
          <w:p w14:paraId="6A381503">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支持断网使用，即在终端设备网络中断或管理平台连接中断时，正在操作的教学业务不受影响，依然可使用当前云桌面镜像继续开展业务，打开的程序也不会中断，保障业务连续性。</w:t>
            </w:r>
          </w:p>
          <w:p w14:paraId="7159512A">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4</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账号互通：在配置管理平台使用终端设备时，支持统一互通的用户身份认证服务，账号登录进入云桌面镜像后，打开教学白板软件、学生行为评价软件的教学应用工具时无需再次输入账号密码重复登录。（</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的第三方检测机构出具的关于该功能检测报告复印件）</w:t>
            </w:r>
          </w:p>
          <w:p w14:paraId="2FD2D31E">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支持终端设备运行时无需运行独立的虚拟化系统，终端设备配置的IP与进入云桌面镜像后的IP能够保持一致，同一个终端无需使用多个IP，简化运维管理与网络规划复杂度。</w:t>
            </w:r>
          </w:p>
          <w:p w14:paraId="341E524D">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支持在终端设备部署多个云桌面镜像切换使用，支持Windows、UOS、KylinOS、Ubuntu等桌面操作系统的云桌面镜像支持国产化操作系统的使用，包括但不限于UOS、银河麒麟。</w:t>
            </w:r>
          </w:p>
          <w:p w14:paraId="24EE27E0">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7</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支持在无法进入操作系统的情况下，快速恢复操作系统的使用，无需依赖网络、服务器、以及还原类软件。</w:t>
            </w:r>
          </w:p>
          <w:p w14:paraId="420F2FF7">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四</w:t>
            </w:r>
            <w:r>
              <w:rPr>
                <w:rFonts w:hint="eastAsia" w:ascii="宋体" w:hAnsi="宋体" w:eastAsia="宋体" w:cs="宋体"/>
                <w:color w:val="auto"/>
                <w:kern w:val="0"/>
                <w:sz w:val="21"/>
                <w:szCs w:val="21"/>
                <w:highlight w:val="none"/>
              </w:rPr>
              <w:t>）管理平台设计</w:t>
            </w:r>
          </w:p>
          <w:p w14:paraId="58DA0528">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 xml:space="preserve"> 管理平台采用B/S架构，中文图形化操作界面；无需本地额外部署服务器等设备，通过浏览器打开即可运维管理云桌面终端设备，支持手机扫码登录/账号密码登录完成鉴权。</w:t>
            </w:r>
          </w:p>
          <w:p w14:paraId="65171231">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 xml:space="preserve"> 具备基于广域网统一纳管多分支机构云桌面的能力，支持三层网络、多校区等复杂网络环境安装。（</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的第三方检测机构出具的关于该功能检测报告复印件）</w:t>
            </w:r>
          </w:p>
          <w:p w14:paraId="0713C200">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 xml:space="preserve"> 基于Web浏览器，提供用户统一登录认证功能，包括：手机号码注册、登录、忘记密码、扫码登录、账号管理功能。</w:t>
            </w:r>
          </w:p>
          <w:p w14:paraId="7D2D6E14">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支持查看全部设备和分组下设备的运行状态，包括CPU、内存、磁盘的使用率，CPU温度，实时上下行网速与上下行网络流量。</w:t>
            </w:r>
          </w:p>
          <w:p w14:paraId="540570E1">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硬件资产管理：收集平台中所有云桌面终端和PC终端的硬件配置与状态信息，包括终端名称、主板型号、CPU型号、内存容量、最近运行时间、硬盘信息等。</w:t>
            </w:r>
          </w:p>
          <w:p w14:paraId="68C38D04">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 xml:space="preserve"> 支持增强终端发现，安装插件后通过浏览器即可扫描局域网内不可访问互联网的终端设备进行批量配置，包括关联学校、关联分组、设置名称、配置网络（</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的第三方检测机构出具的关于该功能检测报告复印件）</w:t>
            </w:r>
          </w:p>
          <w:p w14:paraId="48BCC768">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支持远程管理终端设备，通过管理平台进行开机、关机、重启、还原、初始化、删除、配置更改、硬件信息查看、桌面运行状态查看等。</w:t>
            </w:r>
          </w:p>
          <w:p w14:paraId="192D3635">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支持终端设备分组管理，支持按照楼栋、楼层、教室、小组等范围进行终端分组划分管理，支持在终端组中添加不同型号的终端设备，支持为终端组添加不同的云桌面镜像，统一管理多台终端；同时能够实现对独立分组中的教师终端分别进行配置和管理。</w:t>
            </w:r>
          </w:p>
          <w:p w14:paraId="1E2C8AFF">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支持终端批量配置，通过管理平台批量修改终端设备的所属组织（学校、校区）、设备名称、网络IP、上电自启BIOS配置、时间自动同步等设置，无需逐台配置。（</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的第三方检测机构出具的关于该功能检测报告复印件）</w:t>
            </w:r>
          </w:p>
          <w:p w14:paraId="5D2F0F48">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单个终端可同时支持访客桌面和登录桌面两种使用方式，访客桌面开机无需账号直接进入桌面；登录桌面开机须输入账号密码进入桌面，便于个性化实验或教师办公使用；管理台可控制允许终端进入的桌面类型，包括仅使用访客桌面，仅使用登录桌面，混合登录三种方式；。（</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的第三方检测机构出具的关于该功能检测报告复印件）</w:t>
            </w:r>
          </w:p>
          <w:p w14:paraId="6F53842A">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11）</w:t>
            </w:r>
            <w:r>
              <w:rPr>
                <w:rFonts w:hint="eastAsia" w:ascii="宋体" w:hAnsi="宋体" w:eastAsia="宋体" w:cs="宋体"/>
                <w:color w:val="auto"/>
                <w:kern w:val="0"/>
                <w:sz w:val="21"/>
                <w:szCs w:val="21"/>
                <w:highlight w:val="none"/>
              </w:rPr>
              <w:t>支持终端云桌面系统升级，开启自动升级后，终端自动下载最新的终端版本并升级安装</w:t>
            </w:r>
          </w:p>
          <w:p w14:paraId="7F5E75FD">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rPr>
              <w:t>支持配置终端设备使用鉴权方式统一配置，可配置成仅使用无账号登录、仅使用有账号登录、同时启用两种登录方式，支持同时配置不同登录方式的还原设置。（</w:t>
            </w:r>
            <w:r>
              <w:rPr>
                <w:rFonts w:hint="eastAsia" w:ascii="宋体" w:hAnsi="宋体" w:eastAsia="宋体" w:cs="宋体"/>
                <w:color w:val="auto"/>
                <w:kern w:val="0"/>
                <w:sz w:val="21"/>
                <w:szCs w:val="21"/>
                <w:highlight w:val="none"/>
                <w:lang w:eastAsia="zh-CN"/>
              </w:rPr>
              <w:t>履约验收时须提供具有国家认可</w:t>
            </w:r>
            <w:r>
              <w:rPr>
                <w:rFonts w:hint="eastAsia" w:ascii="宋体" w:hAnsi="宋体" w:eastAsia="宋体" w:cs="宋体"/>
                <w:color w:val="auto"/>
                <w:kern w:val="0"/>
                <w:sz w:val="21"/>
                <w:szCs w:val="21"/>
                <w:highlight w:val="none"/>
              </w:rPr>
              <w:t>的第三方检测机构出具的关于该功能检测报告复印件）</w:t>
            </w:r>
          </w:p>
          <w:p w14:paraId="41E1CACD">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13）</w:t>
            </w:r>
            <w:r>
              <w:rPr>
                <w:rFonts w:hint="eastAsia" w:ascii="宋体" w:hAnsi="宋体" w:eastAsia="宋体" w:cs="宋体"/>
                <w:color w:val="auto"/>
                <w:kern w:val="0"/>
                <w:sz w:val="21"/>
                <w:szCs w:val="21"/>
                <w:highlight w:val="none"/>
              </w:rPr>
              <w:t>支持策略生命周期管理，包括新建、删除、启用、停用。</w:t>
            </w:r>
          </w:p>
          <w:p w14:paraId="0F9823E0">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14）</w:t>
            </w:r>
            <w:r>
              <w:rPr>
                <w:rFonts w:hint="eastAsia" w:ascii="宋体" w:hAnsi="宋体" w:eastAsia="宋体" w:cs="宋体"/>
                <w:color w:val="auto"/>
                <w:kern w:val="0"/>
                <w:sz w:val="21"/>
                <w:szCs w:val="21"/>
                <w:highlight w:val="none"/>
              </w:rPr>
              <w:t>支持设备计划关机，支持按照全部设备、指定分组、指定设备，设置终端关机操作，并可设置某时间单次执行或周期循环执行。</w:t>
            </w:r>
          </w:p>
          <w:p w14:paraId="72A64B23">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提供组织管理员管理功能，包括：管理员添加、移除和转移，同时支持设置管理员的管理权限，包括：组织管理，系统管理员管理，角色权限，工作台配置，应用管理，区域语言和操作日志。</w:t>
            </w:r>
          </w:p>
          <w:p w14:paraId="43C67739">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16）</w:t>
            </w:r>
            <w:r>
              <w:rPr>
                <w:rFonts w:hint="eastAsia" w:ascii="宋体" w:hAnsi="宋体" w:eastAsia="宋体" w:cs="宋体"/>
                <w:color w:val="auto"/>
                <w:kern w:val="0"/>
                <w:sz w:val="21"/>
                <w:szCs w:val="21"/>
                <w:highlight w:val="none"/>
              </w:rPr>
              <w:t>教职工管理：支持管理员手动添加教职工，教职工信息包括：教工号，姓名，手机号码，角色，管理范围；添加方式包括：Excel批量导入，批量复制，手动添加；支持导出，查询，删除教职工；教职工支持设置部门组织架构，支持多级组织架构，支持在组织架构节点上导入用户。</w:t>
            </w:r>
          </w:p>
          <w:p w14:paraId="7FEE8C26">
            <w:pPr>
              <w:keepNext w:val="0"/>
              <w:keepLines w:val="0"/>
              <w:pageBreakBefore w:val="0"/>
              <w:widowControl/>
              <w:kinsoku/>
              <w:wordWrap/>
              <w:overflowPunct/>
              <w:topLinePunct w:val="0"/>
              <w:autoSpaceDE/>
              <w:autoSpaceDN/>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五</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品质及服务</w:t>
            </w:r>
          </w:p>
          <w:p w14:paraId="1D9AFD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（1）产品生产厂家具备完善的售后服务体系，具备专业的教育设备服务能力、数据安全管理能力；</w:t>
            </w:r>
          </w:p>
          <w:p w14:paraId="4FF060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（2）整机提供三年免费上门质保服务，提供7×24小时技术咨询，故障快速响应，全年无休售后保障；</w:t>
            </w:r>
          </w:p>
          <w:p w14:paraId="3F022D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（3）交货时提供原厂针对本项目的专项售后服务承诺函，确保项目落地、培训、质保、售后全程保障。</w:t>
            </w:r>
          </w:p>
        </w:tc>
        <w:tc>
          <w:tcPr>
            <w:tcW w:w="825" w:type="dxa"/>
            <w:vAlign w:val="center"/>
          </w:tcPr>
          <w:p w14:paraId="70AA667F">
            <w:pPr>
              <w:keepNext w:val="0"/>
              <w:keepLines w:val="0"/>
              <w:pageBreakBefore w:val="0"/>
              <w:widowControl/>
              <w:suppressLineNumbers w:val="0"/>
              <w:wordWrap/>
              <w:overflowPunct/>
              <w:topLinePunct w:val="0"/>
              <w:bidi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735" w:type="dxa"/>
            <w:vAlign w:val="center"/>
          </w:tcPr>
          <w:p w14:paraId="3C887A95">
            <w:pPr>
              <w:keepNext w:val="0"/>
              <w:keepLines w:val="0"/>
              <w:pageBreakBefore w:val="0"/>
              <w:widowControl/>
              <w:suppressLineNumbers w:val="0"/>
              <w:wordWrap/>
              <w:overflowPunct/>
              <w:topLinePunct w:val="0"/>
              <w:bidi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1263" w:type="dxa"/>
            <w:vAlign w:val="center"/>
          </w:tcPr>
          <w:p w14:paraId="2F7D68D0">
            <w:pPr>
              <w:keepNext w:val="0"/>
              <w:keepLines w:val="0"/>
              <w:pageBreakBefore w:val="0"/>
              <w:widowControl/>
              <w:suppressLineNumbers w:val="0"/>
              <w:wordWrap/>
              <w:overflowPunct/>
              <w:topLinePunct w:val="0"/>
              <w:bidi w:val="0"/>
              <w:jc w:val="center"/>
              <w:textAlignment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lang w:val="en-US" w:eastAsia="zh-CN"/>
              </w:rPr>
              <w:t>320000</w:t>
            </w:r>
          </w:p>
        </w:tc>
      </w:tr>
      <w:tr w14:paraId="7A32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5" w:type="dxa"/>
            <w:gridSpan w:val="2"/>
            <w:vAlign w:val="center"/>
          </w:tcPr>
          <w:p w14:paraId="16BB0850">
            <w:pPr>
              <w:pStyle w:val="32"/>
              <w:keepNext w:val="0"/>
              <w:keepLines w:val="0"/>
              <w:pageBreakBefore w:val="0"/>
              <w:widowControl/>
              <w:wordWrap/>
              <w:overflowPunct/>
              <w:topLinePunct w:val="0"/>
              <w:bidi w:val="0"/>
              <w:snapToGrid w:val="0"/>
              <w:spacing w:before="116" w:line="270" w:lineRule="auto"/>
              <w:ind w:left="110" w:leftChars="0" w:right="107" w:rightChars="0" w:firstLine="5" w:firstLineChars="0"/>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eastAsia="zh-CN"/>
              </w:rPr>
              <w:t>售后服务要求及免费保修期</w:t>
            </w:r>
          </w:p>
        </w:tc>
        <w:tc>
          <w:tcPr>
            <w:tcW w:w="7773" w:type="dxa"/>
            <w:gridSpan w:val="4"/>
            <w:vAlign w:val="center"/>
          </w:tcPr>
          <w:p w14:paraId="597F551D">
            <w:pPr>
              <w:keepNext w:val="0"/>
              <w:keepLines w:val="0"/>
              <w:pageBreakBefore w:val="0"/>
              <w:widowControl/>
              <w:wordWrap/>
              <w:overflowPunct/>
              <w:topLinePunct w:val="0"/>
              <w:bidi w:val="0"/>
              <w:snapToGrid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按国家有关产品“三包”规定执行“三包”，免费维护期最短不得少于1年（设备技术要求栏中有特别注明的除外）；免费维护期内上门维护免收维修费和元器件费，免费维护期</w:t>
            </w:r>
            <w:r>
              <w:rPr>
                <w:rFonts w:hint="eastAsia" w:ascii="宋体" w:hAnsi="宋体" w:eastAsia="宋体" w:cs="宋体"/>
                <w:color w:val="auto"/>
                <w:kern w:val="0"/>
                <w:sz w:val="21"/>
                <w:szCs w:val="21"/>
                <w:highlight w:val="none"/>
              </w:rPr>
              <w:t>外提供终身维修服务，并</w:t>
            </w:r>
            <w:r>
              <w:rPr>
                <w:rFonts w:hint="eastAsia" w:ascii="宋体" w:hAnsi="宋体" w:eastAsia="宋体" w:cs="宋体"/>
                <w:color w:val="auto"/>
                <w:sz w:val="21"/>
                <w:szCs w:val="21"/>
                <w:highlight w:val="none"/>
              </w:rPr>
              <w:t>提最优惠价格的零配件供应。</w:t>
            </w:r>
          </w:p>
          <w:p w14:paraId="4BB0E41F">
            <w:pPr>
              <w:keepNext w:val="0"/>
              <w:keepLines w:val="0"/>
              <w:pageBreakBefore w:val="0"/>
              <w:widowControl/>
              <w:wordWrap/>
              <w:overflowPunct/>
              <w:topLinePunct w:val="0"/>
              <w:bidi w:val="0"/>
              <w:snapToGrid w:val="0"/>
              <w:spacing w:line="4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免费</w:t>
            </w:r>
            <w:r>
              <w:rPr>
                <w:rFonts w:hint="eastAsia" w:ascii="宋体" w:hAnsi="宋体" w:eastAsia="宋体" w:cs="宋体"/>
                <w:color w:val="auto"/>
                <w:kern w:val="0"/>
                <w:sz w:val="21"/>
                <w:szCs w:val="21"/>
                <w:highlight w:val="none"/>
              </w:rPr>
              <w:t>送货上门，安装、调试，提供现场技术培训，保证使用人员正常操作设备的各种功能；若</w:t>
            </w:r>
            <w:r>
              <w:rPr>
                <w:rFonts w:hint="eastAsia" w:ascii="宋体" w:hAnsi="宋体" w:eastAsia="宋体" w:cs="宋体"/>
                <w:color w:val="auto"/>
                <w:kern w:val="0"/>
                <w:sz w:val="21"/>
                <w:szCs w:val="21"/>
                <w:highlight w:val="none"/>
                <w:lang w:val="zh-CN"/>
              </w:rPr>
              <w:t>设备自带</w:t>
            </w:r>
            <w:r>
              <w:rPr>
                <w:rFonts w:hint="eastAsia" w:ascii="宋体" w:hAnsi="宋体" w:eastAsia="宋体" w:cs="宋体"/>
                <w:color w:val="auto"/>
                <w:kern w:val="0"/>
                <w:sz w:val="21"/>
                <w:szCs w:val="21"/>
                <w:highlight w:val="none"/>
              </w:rPr>
              <w:t>软件，则在维护期免费升级；提供二次开发支持。</w:t>
            </w:r>
          </w:p>
          <w:p w14:paraId="7B2CE9E3">
            <w:pPr>
              <w:keepNext w:val="0"/>
              <w:keepLines w:val="0"/>
              <w:pageBreakBefore w:val="0"/>
              <w:widowControl/>
              <w:wordWrap/>
              <w:overflowPunct/>
              <w:topLinePunct w:val="0"/>
              <w:bidi w:val="0"/>
              <w:snapToGrid w:val="0"/>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要求提供售后服务联系电话及联系人，免费维护期内，接到报障电话在承诺时间内派工程技术人员上门维修解决问题。如果需要更换配件的，要求更换的配件应跟被更换的品牌、类型相一致或者是同类同档次的替代品，后者需征得采购人管理人员同意。</w:t>
            </w:r>
          </w:p>
          <w:p w14:paraId="23FB47C5">
            <w:pPr>
              <w:keepNext w:val="0"/>
              <w:keepLines w:val="0"/>
              <w:pageBreakBefore w:val="0"/>
              <w:widowControl/>
              <w:wordWrap/>
              <w:overflowPunct/>
              <w:topLinePunct w:val="0"/>
              <w:bidi w:val="0"/>
              <w:snapToGrid w:val="0"/>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4.要求提供7×24小时技术支持服务，若出现故障时，接到采购人报修通知2小时内立即响应，24小时内解决问题排除故障。</w:t>
            </w:r>
          </w:p>
        </w:tc>
      </w:tr>
      <w:tr w14:paraId="19A5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28" w:type="dxa"/>
            <w:gridSpan w:val="6"/>
            <w:vAlign w:val="center"/>
          </w:tcPr>
          <w:p w14:paraId="26406D87">
            <w:pPr>
              <w:keepNext w:val="0"/>
              <w:keepLines w:val="0"/>
              <w:pageBreakBefore w:val="0"/>
              <w:widowControl/>
              <w:wordWrap/>
              <w:overflowPunct/>
              <w:topLinePunct w:val="0"/>
              <w:bidi w:val="0"/>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商务要求</w:t>
            </w:r>
          </w:p>
        </w:tc>
      </w:tr>
      <w:tr w14:paraId="75AC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5" w:type="dxa"/>
            <w:gridSpan w:val="2"/>
            <w:vAlign w:val="center"/>
          </w:tcPr>
          <w:p w14:paraId="0EF7EA6F">
            <w:pPr>
              <w:keepNext w:val="0"/>
              <w:keepLines w:val="0"/>
              <w:pageBreakBefore w:val="0"/>
              <w:widowControl/>
              <w:wordWrap/>
              <w:overflowPunct/>
              <w:topLinePunct w:val="0"/>
              <w:bidi w:val="0"/>
              <w:snapToGrid w:val="0"/>
              <w:spacing w:line="360" w:lineRule="atLeas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交付使用时间及地点</w:t>
            </w:r>
          </w:p>
        </w:tc>
        <w:tc>
          <w:tcPr>
            <w:tcW w:w="7773" w:type="dxa"/>
            <w:gridSpan w:val="4"/>
            <w:vAlign w:val="center"/>
          </w:tcPr>
          <w:p w14:paraId="49732B80">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1.交付时间：自签订合同之日起</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个工作日必须到货全部安装调试合格并验收完毕。</w:t>
            </w:r>
          </w:p>
          <w:p w14:paraId="30D556CC">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2.交付地点：广西桂林市采购人指定地点。</w:t>
            </w:r>
          </w:p>
        </w:tc>
      </w:tr>
      <w:tr w14:paraId="07DB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5" w:type="dxa"/>
            <w:gridSpan w:val="2"/>
            <w:vAlign w:val="center"/>
          </w:tcPr>
          <w:p w14:paraId="302E91B8">
            <w:pPr>
              <w:keepNext w:val="0"/>
              <w:keepLines w:val="0"/>
              <w:pageBreakBefore w:val="0"/>
              <w:widowControl/>
              <w:wordWrap/>
              <w:overflowPunct/>
              <w:topLinePunct w:val="0"/>
              <w:bidi w:val="0"/>
              <w:snapToGrid w:val="0"/>
              <w:spacing w:line="360" w:lineRule="atLeas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付款方式</w:t>
            </w:r>
          </w:p>
        </w:tc>
        <w:tc>
          <w:tcPr>
            <w:tcW w:w="7773" w:type="dxa"/>
            <w:gridSpan w:val="4"/>
            <w:vAlign w:val="center"/>
          </w:tcPr>
          <w:p w14:paraId="2A48AB3F">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在货物交货正常使用并验收合格后，成交供应商在3个日历日内开具增值税专用发票给采购人，等待桂林市级财政部门拨付专项资金至采购人账户后的3个工作日内一次性支付全部合同价款（无息）。</w:t>
            </w:r>
          </w:p>
        </w:tc>
      </w:tr>
      <w:tr w14:paraId="1E3C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5" w:type="dxa"/>
            <w:gridSpan w:val="2"/>
            <w:vAlign w:val="center"/>
          </w:tcPr>
          <w:p w14:paraId="63DC7F82">
            <w:pPr>
              <w:keepNext w:val="0"/>
              <w:keepLines w:val="0"/>
              <w:pageBreakBefore w:val="0"/>
              <w:widowControl/>
              <w:wordWrap/>
              <w:overflowPunct/>
              <w:topLinePunct w:val="0"/>
              <w:bidi w:val="0"/>
              <w:snapToGrid w:val="0"/>
              <w:spacing w:line="360" w:lineRule="atLeas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验收要求</w:t>
            </w:r>
          </w:p>
        </w:tc>
        <w:tc>
          <w:tcPr>
            <w:tcW w:w="7773" w:type="dxa"/>
            <w:gridSpan w:val="4"/>
            <w:vAlign w:val="center"/>
          </w:tcPr>
          <w:p w14:paraId="74BE52F4">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1.设备符合国家相关标准及制造厂家合格产品的出厂质量标准。</w:t>
            </w:r>
          </w:p>
          <w:p w14:paraId="461A4A24">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2.验收条件及标准：设备需全新、完好、无破损，按照技术要求的各项指标进行验收。</w:t>
            </w:r>
          </w:p>
          <w:p w14:paraId="2EB4882E">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3.验收方法及方案：设备开机试运行，测试设备的技术性能指标，确认各项功能正常运行，同时检查随机文件应齐全。</w:t>
            </w:r>
          </w:p>
        </w:tc>
      </w:tr>
      <w:tr w14:paraId="7A01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5" w:type="dxa"/>
            <w:gridSpan w:val="2"/>
            <w:vAlign w:val="center"/>
          </w:tcPr>
          <w:p w14:paraId="1AF7546F">
            <w:pPr>
              <w:keepNext w:val="0"/>
              <w:keepLines w:val="0"/>
              <w:pageBreakBefore w:val="0"/>
              <w:widowControl/>
              <w:wordWrap/>
              <w:overflowPunct/>
              <w:topLinePunct w:val="0"/>
              <w:bidi w:val="0"/>
              <w:snapToGrid w:val="0"/>
              <w:spacing w:line="360" w:lineRule="atLeas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b w:val="0"/>
                <w:bCs w:val="0"/>
                <w:color w:val="auto"/>
                <w:kern w:val="0"/>
                <w:sz w:val="21"/>
                <w:szCs w:val="21"/>
                <w:highlight w:val="none"/>
                <w:shd w:val="clear" w:color="auto" w:fill="auto"/>
              </w:rPr>
              <w:t>其他要求</w:t>
            </w:r>
          </w:p>
        </w:tc>
        <w:tc>
          <w:tcPr>
            <w:tcW w:w="7773" w:type="dxa"/>
            <w:gridSpan w:val="4"/>
            <w:vAlign w:val="center"/>
          </w:tcPr>
          <w:p w14:paraId="7E5344CB">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1.要求在成交通知书发出之日起8个工作日内签订合同。</w:t>
            </w:r>
          </w:p>
          <w:p w14:paraId="053A38FD">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采购预算金额（人民币）：</w:t>
            </w:r>
            <w:r>
              <w:rPr>
                <w:rFonts w:hint="eastAsia" w:ascii="宋体" w:hAnsi="宋体" w:eastAsia="宋体" w:cs="宋体"/>
                <w:color w:val="auto"/>
                <w:sz w:val="21"/>
                <w:szCs w:val="21"/>
                <w:highlight w:val="none"/>
                <w:lang w:eastAsia="zh-CN"/>
              </w:rPr>
              <w:t>叁拾贰万元整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0000.00），报价超出采购预算总金额的，将被视为无效响应文件。</w:t>
            </w:r>
          </w:p>
          <w:p w14:paraId="58901531">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货物不接受进口产品（即通过中国海关报关验放进入中国境内且产自关境外的产品）参与报价，如有此类产品参与竞标的作无效报价处理。</w:t>
            </w:r>
          </w:p>
          <w:p w14:paraId="63156075">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谈判报价应包括本次采购范围内货物（包括备品备件、专用工具等）的价格、检测、包装、运输、装卸、保险、国家及地方规定的任何收费（如登记费、手续费）、税金、现场协调、现场配合验收、抽样检测、办理相关手续、因货物质量问题引起的维修和更换等为实现合同目的而发生的一切费用；供应商综合考虑在报价中。</w:t>
            </w:r>
          </w:p>
          <w:p w14:paraId="28BF11E1">
            <w:pPr>
              <w:keepNext w:val="0"/>
              <w:keepLines w:val="0"/>
              <w:pageBreakBefore w:val="0"/>
              <w:widowControl/>
              <w:wordWrap/>
              <w:overflowPunct/>
              <w:topLinePunct w:val="0"/>
              <w:bidi w:val="0"/>
              <w:snapToGrid w:val="0"/>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eastAsia="zh-CN"/>
              </w:rPr>
              <w:t>分标</w:t>
            </w:r>
            <w:r>
              <w:rPr>
                <w:rFonts w:hint="eastAsia" w:ascii="宋体" w:hAnsi="宋体" w:eastAsia="宋体" w:cs="宋体"/>
                <w:color w:val="auto"/>
                <w:sz w:val="21"/>
                <w:szCs w:val="21"/>
                <w:highlight w:val="none"/>
              </w:rPr>
              <w:t>“货物采购需求”中的所有技术参数及要求均为实质性要求。</w:t>
            </w:r>
          </w:p>
        </w:tc>
      </w:tr>
    </w:tbl>
    <w:p w14:paraId="032D2790">
      <w:pPr>
        <w:rPr>
          <w:rFonts w:hint="eastAsia" w:ascii="宋体" w:hAnsi="宋体" w:eastAsia="宋体" w:cs="宋体"/>
          <w:b/>
          <w:bCs w:val="0"/>
          <w:color w:val="auto"/>
          <w:sz w:val="21"/>
          <w:szCs w:val="21"/>
          <w:highlight w:val="none"/>
          <w:lang w:val="en-US" w:eastAsia="zh-CN"/>
        </w:rPr>
      </w:pPr>
    </w:p>
    <w:p w14:paraId="24C557A1">
      <w:pPr>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标项四</w:t>
      </w:r>
    </w:p>
    <w:tbl>
      <w:tblPr>
        <w:tblStyle w:val="2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98"/>
        <w:gridCol w:w="5145"/>
        <w:gridCol w:w="645"/>
        <w:gridCol w:w="765"/>
        <w:gridCol w:w="1266"/>
      </w:tblGrid>
      <w:tr w14:paraId="0566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DEB090C">
            <w:pPr>
              <w:spacing w:line="340" w:lineRule="exact"/>
              <w:jc w:val="center"/>
              <w:rPr>
                <w:rFonts w:hint="eastAsia" w:ascii="宋体" w:hAnsi="宋体" w:eastAsia="宋体" w:cs="宋体"/>
                <w:color w:val="auto"/>
                <w:sz w:val="21"/>
                <w:szCs w:val="21"/>
                <w:highlight w:val="none"/>
                <w:lang w:eastAsia="zh-CN"/>
              </w:rPr>
            </w:pPr>
            <w:bookmarkStart w:id="19" w:name="_Hlk236567308"/>
            <w:r>
              <w:rPr>
                <w:rFonts w:hint="eastAsia" w:ascii="宋体" w:hAnsi="宋体" w:eastAsia="宋体" w:cs="宋体"/>
                <w:b/>
                <w:bCs/>
                <w:color w:val="auto"/>
                <w:sz w:val="21"/>
                <w:szCs w:val="21"/>
                <w:highlight w:val="none"/>
              </w:rPr>
              <w:t>序号</w:t>
            </w:r>
          </w:p>
        </w:tc>
        <w:tc>
          <w:tcPr>
            <w:tcW w:w="1098" w:type="dxa"/>
            <w:vAlign w:val="center"/>
          </w:tcPr>
          <w:p w14:paraId="343C008D">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项目名称</w:t>
            </w:r>
          </w:p>
        </w:tc>
        <w:tc>
          <w:tcPr>
            <w:tcW w:w="5145" w:type="dxa"/>
            <w:vAlign w:val="center"/>
          </w:tcPr>
          <w:p w14:paraId="47AB8298">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技术参数及其性能（配置）要求</w:t>
            </w:r>
          </w:p>
        </w:tc>
        <w:tc>
          <w:tcPr>
            <w:tcW w:w="645" w:type="dxa"/>
            <w:vAlign w:val="center"/>
          </w:tcPr>
          <w:p w14:paraId="4509EB1E">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数量</w:t>
            </w:r>
          </w:p>
        </w:tc>
        <w:tc>
          <w:tcPr>
            <w:tcW w:w="765" w:type="dxa"/>
            <w:vAlign w:val="center"/>
          </w:tcPr>
          <w:p w14:paraId="5AD1FCB9">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单位</w:t>
            </w:r>
          </w:p>
        </w:tc>
        <w:tc>
          <w:tcPr>
            <w:tcW w:w="1266" w:type="dxa"/>
            <w:vAlign w:val="center"/>
          </w:tcPr>
          <w:p w14:paraId="53D2146B">
            <w:pPr>
              <w:spacing w:line="3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预算总价（元）</w:t>
            </w:r>
          </w:p>
        </w:tc>
      </w:tr>
      <w:tr w14:paraId="3ADB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C6A176A">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w:t>
            </w:r>
          </w:p>
        </w:tc>
        <w:tc>
          <w:tcPr>
            <w:tcW w:w="1098" w:type="dxa"/>
            <w:vAlign w:val="center"/>
          </w:tcPr>
          <w:p w14:paraId="215E7979">
            <w:pPr>
              <w:jc w:val="both"/>
              <w:textAlignment w:val="top"/>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六角模块化实训操作工作站2及建设</w:t>
            </w:r>
          </w:p>
          <w:p w14:paraId="05EF8441">
            <w:pPr>
              <w:jc w:val="center"/>
              <w:textAlignment w:val="center"/>
              <w:rPr>
                <w:rFonts w:hint="eastAsia" w:ascii="宋体" w:hAnsi="宋体" w:eastAsia="宋体" w:cs="宋体"/>
                <w:color w:val="auto"/>
                <w:sz w:val="21"/>
                <w:szCs w:val="21"/>
                <w:highlight w:val="none"/>
                <w:lang w:eastAsia="zh-CN"/>
              </w:rPr>
            </w:pPr>
          </w:p>
        </w:tc>
        <w:tc>
          <w:tcPr>
            <w:tcW w:w="5145" w:type="dxa"/>
          </w:tcPr>
          <w:p w14:paraId="2D7E4C56">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规格(mm)：W2000D2000H750mm（±</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mm），集成设备安装舱，钢木复合结构，饰面颜色可选</w:t>
            </w:r>
          </w:p>
          <w:p w14:paraId="5A8B78C4">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1、实训操作面板：采用25mm ENF级实木颗粒基材，执行标准GB/T 4897-2015《刨花板》、GB/T 17657-2022《人造板及饰面人造板理化性能试验方法》、GB 18580-2017《室内装饰装修材料人造板及其制品中甲醛释放限量》、GB/T 39600-2021《人造板及其制品甲醛释放量分级》、GB/T 21510-2024《纳米无机材料抗菌性能检测方法及评价》、JC/T 2039-2010《抗菌防霉木质装饰板》；</w:t>
            </w:r>
          </w:p>
          <w:p w14:paraId="37C12F95">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性能指标：甲醛释放量(气候箱法)ENF级≤0.025mg/m³、防霉菌性能0级、耐高温无裂纹；尺寸偏差、外观质量检验合格；含水率≦8%；板内密度偏差:±10%；静曲强度≧10.5MPa；弹性模量≧5000MPa；内结合强度≧1.5MPa；表面结合强度≧1.5MPa；板边握螺钉力≧1100N；板面握螺钉力≧1500N；2h吸水厚度膨胀率≤2.5%；宛氏拟青霉防菌等级0级；大肠杆菌抗菌率＞99.9%；面板预留实训器件安装点位，满足教学实训器材固定布设需求。</w:t>
            </w:r>
          </w:p>
          <w:p w14:paraId="2EAFEE51">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集成设备舱与承载框架：设备舱壳体采用0.8mm厚度冷轧钢板冲压成型（无舱门），用于布设实训主机、控制单元、线路收纳；整套承载支撑框架采用1.2mm厚型钢制作，底部配备加强承重横梁，提升整体结构稳定性；所有钢制构件经过除油、除锈、磷化、静电喷涂防腐处理，涂层均匀牢固，无流挂、气泡等缺陷。</w:t>
            </w:r>
          </w:p>
          <w:p w14:paraId="6D3DC9DF">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3、粘接材料技术要求：所用胶粘剂符合GB 18583-2008《室内装饰装修材料胶粘剂中有害物质限量》、GB 33372-2020《胶粘剂挥发性有机化合物限量》；水基聚乙酸乙烯酯类胶粘剂VOC≤50g/L；游离甲醛≤1.0g/kg；苯≤0.20g/kg；甲苯+二甲苯≤0.3g/kg；总挥发性有机物≤30g/L。</w:t>
            </w:r>
          </w:p>
          <w:p w14:paraId="2F708290">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4、金属表面喷涂技术要求：采用热固性粉末塑粉，符合HG/T 2006-2022《热固性和热塑性粉末涂料》、GB 18581-2020《木器涂料中有害物质限量》、GB/T 1768-2006《色漆和清漆耐磨性的测定旋转橡胶砂轮法》、GB/T 34706-2017《涂料中有机锡含量的测定气质联用法》、GB/T 36497-2018《涂料中多氯联苯的测定》、HG/T 395007《抗菌涂料》；</w:t>
            </w:r>
          </w:p>
          <w:p w14:paraId="54F601FB">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性能指标：抗肺炎克雷伯氏菌抗菌率≧99%、土曲霉长霉等级0级、耐磨性≧30mg，满足I型1类热固性粉末涂料标准；耐酸性240h无异常；耐碱性168h无异常；可溶性重金属：镉（Cd）≤75mg/kg、铬（Cr）≤60mg/kg、汞（Hg）≤60mg/kg；多氯联苯总和≤1.0mg/kg；各类有机锡总含量≤30mg/kg。</w:t>
            </w:r>
          </w:p>
          <w:p w14:paraId="046E1B24">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5、连接紧固组件：选用品牌优质五金组件，抗锈蚀，承载强度高，耐环境腐蚀。</w:t>
            </w:r>
          </w:p>
          <w:p w14:paraId="383397AD">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6、整套设备所有紧固五金组件：优质品牌五金，不易锈蚀，承载力强，具备良好耐腐蚀性能。</w:t>
            </w:r>
          </w:p>
          <w:p w14:paraId="24B54785">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含实训室整体改造建设，具体内容包括但不限于“操作台安装，门窗拆除、封堵;灯具及线路拆除；顶面造型;墙面造型;地面处理;造型灯;走廊透视窗;文化墙建设等”，供应商可在谈判文件规定时间内前往学校进行现场勘察，按实际要求做出报价。</w:t>
            </w:r>
          </w:p>
        </w:tc>
        <w:tc>
          <w:tcPr>
            <w:tcW w:w="645" w:type="dxa"/>
            <w:vAlign w:val="center"/>
          </w:tcPr>
          <w:p w14:paraId="2398107E">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w:t>
            </w:r>
          </w:p>
        </w:tc>
        <w:tc>
          <w:tcPr>
            <w:tcW w:w="765" w:type="dxa"/>
            <w:vAlign w:val="center"/>
          </w:tcPr>
          <w:p w14:paraId="3F4BA9BE">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套</w:t>
            </w:r>
          </w:p>
        </w:tc>
        <w:tc>
          <w:tcPr>
            <w:tcW w:w="1266" w:type="dxa"/>
            <w:vAlign w:val="center"/>
          </w:tcPr>
          <w:p w14:paraId="06B7A2E2">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215200</w:t>
            </w:r>
          </w:p>
        </w:tc>
      </w:tr>
      <w:tr w14:paraId="2350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D80F646">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2</w:t>
            </w:r>
          </w:p>
        </w:tc>
        <w:tc>
          <w:tcPr>
            <w:tcW w:w="1098" w:type="dxa"/>
            <w:vAlign w:val="center"/>
          </w:tcPr>
          <w:p w14:paraId="4569726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固态硬盘</w:t>
            </w:r>
          </w:p>
        </w:tc>
        <w:tc>
          <w:tcPr>
            <w:tcW w:w="5145" w:type="dxa"/>
            <w:vAlign w:val="bottom"/>
          </w:tcPr>
          <w:p w14:paraId="07FA580D">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硬盘容量: ≥256GB/接口类型:SATA3/存储颗粒:TLC/尺寸:2.5英寸/读写速度:读取速度≥520MB/s，写入速度≥420MB/s</w:t>
            </w:r>
          </w:p>
        </w:tc>
        <w:tc>
          <w:tcPr>
            <w:tcW w:w="645" w:type="dxa"/>
            <w:vAlign w:val="center"/>
          </w:tcPr>
          <w:p w14:paraId="3B03CBC6">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260</w:t>
            </w:r>
          </w:p>
        </w:tc>
        <w:tc>
          <w:tcPr>
            <w:tcW w:w="765" w:type="dxa"/>
            <w:vAlign w:val="center"/>
          </w:tcPr>
          <w:p w14:paraId="55A17BF8">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个</w:t>
            </w:r>
          </w:p>
        </w:tc>
        <w:tc>
          <w:tcPr>
            <w:tcW w:w="1266" w:type="dxa"/>
            <w:vAlign w:val="center"/>
          </w:tcPr>
          <w:p w14:paraId="2A5C48A6">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109200</w:t>
            </w:r>
          </w:p>
        </w:tc>
      </w:tr>
      <w:tr w14:paraId="2891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2B145E2">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3</w:t>
            </w:r>
          </w:p>
        </w:tc>
        <w:tc>
          <w:tcPr>
            <w:tcW w:w="1098" w:type="dxa"/>
            <w:vAlign w:val="center"/>
          </w:tcPr>
          <w:p w14:paraId="45F75934">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固态硬盘</w:t>
            </w:r>
          </w:p>
        </w:tc>
        <w:tc>
          <w:tcPr>
            <w:tcW w:w="5145" w:type="dxa"/>
            <w:vAlign w:val="center"/>
          </w:tcPr>
          <w:p w14:paraId="58C2D34D">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硬盘容量: ≥256G/接口:M2/尺寸:2280/存储颗粒:TLC/读写速度:写入速度≥2600MB/S,读取速度≥3000MB/S</w:t>
            </w:r>
          </w:p>
        </w:tc>
        <w:tc>
          <w:tcPr>
            <w:tcW w:w="645" w:type="dxa"/>
            <w:vAlign w:val="center"/>
          </w:tcPr>
          <w:p w14:paraId="1AFD5994">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51</w:t>
            </w:r>
          </w:p>
        </w:tc>
        <w:tc>
          <w:tcPr>
            <w:tcW w:w="765" w:type="dxa"/>
            <w:vAlign w:val="center"/>
          </w:tcPr>
          <w:p w14:paraId="7792F5B5">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个</w:t>
            </w:r>
          </w:p>
        </w:tc>
        <w:tc>
          <w:tcPr>
            <w:tcW w:w="1266" w:type="dxa"/>
            <w:vAlign w:val="center"/>
          </w:tcPr>
          <w:p w14:paraId="4C12C230">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26520</w:t>
            </w:r>
          </w:p>
        </w:tc>
      </w:tr>
      <w:tr w14:paraId="6ABD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3E6C541">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4</w:t>
            </w:r>
          </w:p>
        </w:tc>
        <w:tc>
          <w:tcPr>
            <w:tcW w:w="1098" w:type="dxa"/>
            <w:vAlign w:val="center"/>
          </w:tcPr>
          <w:p w14:paraId="0E149843">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电脑固态硬盘专用安装支架</w:t>
            </w:r>
          </w:p>
        </w:tc>
        <w:tc>
          <w:tcPr>
            <w:tcW w:w="5145" w:type="dxa"/>
            <w:vAlign w:val="center"/>
          </w:tcPr>
          <w:p w14:paraId="6FC1C0B8">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适配学校现有电脑安装使用</w:t>
            </w:r>
          </w:p>
        </w:tc>
        <w:tc>
          <w:tcPr>
            <w:tcW w:w="645" w:type="dxa"/>
            <w:vAlign w:val="center"/>
          </w:tcPr>
          <w:p w14:paraId="5173DD33">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51</w:t>
            </w:r>
          </w:p>
        </w:tc>
        <w:tc>
          <w:tcPr>
            <w:tcW w:w="765" w:type="dxa"/>
            <w:vAlign w:val="center"/>
          </w:tcPr>
          <w:p w14:paraId="1F10285E">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个</w:t>
            </w:r>
          </w:p>
        </w:tc>
        <w:tc>
          <w:tcPr>
            <w:tcW w:w="1266" w:type="dxa"/>
            <w:vAlign w:val="center"/>
          </w:tcPr>
          <w:p w14:paraId="285F3ED9">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1275</w:t>
            </w:r>
          </w:p>
        </w:tc>
      </w:tr>
      <w:tr w14:paraId="4191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AA5246F">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5</w:t>
            </w:r>
          </w:p>
        </w:tc>
        <w:tc>
          <w:tcPr>
            <w:tcW w:w="1098" w:type="dxa"/>
            <w:vAlign w:val="center"/>
          </w:tcPr>
          <w:p w14:paraId="149ACFAD">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MiniDP 转 VGA 线</w:t>
            </w:r>
          </w:p>
        </w:tc>
        <w:tc>
          <w:tcPr>
            <w:tcW w:w="5145" w:type="dxa"/>
            <w:vAlign w:val="center"/>
          </w:tcPr>
          <w:p w14:paraId="4C37C6A3">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 xml:space="preserve">线长:&gt;1.5米/分辨率:&gt;1920*1080/线芯:镀锡无氧铜/屏蔽:铝镁编织网+底线+铝箔  </w:t>
            </w:r>
          </w:p>
        </w:tc>
        <w:tc>
          <w:tcPr>
            <w:tcW w:w="645" w:type="dxa"/>
            <w:vAlign w:val="center"/>
          </w:tcPr>
          <w:p w14:paraId="5C5647E1">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10</w:t>
            </w:r>
          </w:p>
        </w:tc>
        <w:tc>
          <w:tcPr>
            <w:tcW w:w="765" w:type="dxa"/>
            <w:vAlign w:val="center"/>
          </w:tcPr>
          <w:p w14:paraId="3288409C">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根</w:t>
            </w:r>
          </w:p>
        </w:tc>
        <w:tc>
          <w:tcPr>
            <w:tcW w:w="1266" w:type="dxa"/>
            <w:vAlign w:val="center"/>
          </w:tcPr>
          <w:p w14:paraId="0151AAFE">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1650</w:t>
            </w:r>
          </w:p>
        </w:tc>
      </w:tr>
      <w:tr w14:paraId="5CE9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709" w:type="dxa"/>
            <w:vAlign w:val="center"/>
          </w:tcPr>
          <w:p w14:paraId="0D8979A7">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6</w:t>
            </w:r>
          </w:p>
        </w:tc>
        <w:tc>
          <w:tcPr>
            <w:tcW w:w="1098" w:type="dxa"/>
            <w:vAlign w:val="center"/>
          </w:tcPr>
          <w:p w14:paraId="6E0CC1CC">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rPr>
              <w:t>多媒体控制器</w:t>
            </w:r>
          </w:p>
        </w:tc>
        <w:tc>
          <w:tcPr>
            <w:tcW w:w="5145" w:type="dxa"/>
          </w:tcPr>
          <w:p w14:paraId="767B6470">
            <w:pPr>
              <w:widowControl w:val="0"/>
              <w:kinsoku/>
              <w:autoSpaceDE/>
              <w:autoSpaceDN/>
              <w:adjustRightInd/>
              <w:snapToGrid/>
              <w:spacing w:line="400" w:lineRule="exact"/>
              <w:textAlignment w:val="auto"/>
              <w:rPr>
                <w:rFonts w:hint="eastAsia" w:ascii="宋体" w:hAnsi="宋体" w:eastAsia="宋体" w:cs="宋体"/>
                <w:b/>
                <w:bCs/>
                <w:i/>
                <w:iCs/>
                <w:color w:val="auto"/>
                <w:sz w:val="21"/>
                <w:szCs w:val="21"/>
                <w:highlight w:val="none"/>
                <w:lang w:eastAsia="zh-CN"/>
              </w:rPr>
            </w:pPr>
            <w:r>
              <w:rPr>
                <w:rFonts w:hint="eastAsia" w:ascii="宋体" w:hAnsi="宋体" w:eastAsia="宋体" w:cs="宋体"/>
                <w:color w:val="auto"/>
                <w:sz w:val="21"/>
                <w:szCs w:val="21"/>
                <w:highlight w:val="none"/>
                <w:lang w:eastAsia="zh-CN"/>
              </w:rPr>
              <w:t>多媒体控制器的屏幕采用≥23.8英寸电容触摸屏（简称：屏幕）且采用防眩光钢化玻璃面板，厚度≥2mm；支持≥10点触控；支持屏幕手动角度调节，可实现与桌面形成20°至80°角度调节；（履约验收时须提供具有国家认可的第三方检测机构所出具的满足要求的检测报告复印件）</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2.侧面具有物理实体快捷按键≥6个，按键功能包括对屏幕一键开/关屏幕、对匹配的大屏（如智慧黑板，简称：大屏）进行一键熄屏以及一键音量加、一键音量减。</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3.侧边具有≥2路USB数据口，可接入U盘等设备，且可被匹配的大屏识别和通讯；≥1路Type-C和HDMI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履约验收时须提供具有国家认可的第三方检测机构所出具的关于该功能的检测报告复印件）</w:t>
            </w:r>
          </w:p>
          <w:p w14:paraId="7A73AFE8">
            <w:pPr>
              <w:numPr>
                <w:ilvl w:val="0"/>
                <w:numId w:val="0"/>
              </w:num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4.底座内置接口：HDMI IN≥2个；HDMI OUT≥1个;USB≥4个；RJ45≥1个；AUDIO OUT≥1个；RS232≥1个。</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5.侧边内置NFC模块；讲台屏至少支持NFC刷卡、二</w:t>
            </w:r>
            <w:r>
              <w:rPr>
                <w:rFonts w:hint="eastAsia" w:ascii="宋体" w:hAnsi="宋体" w:eastAsia="宋体" w:cs="宋体"/>
                <w:color w:val="auto"/>
                <w:sz w:val="21"/>
                <w:szCs w:val="21"/>
                <w:highlight w:val="none"/>
                <w:lang w:eastAsia="zh-CN" w:bidi="ar"/>
              </w:rPr>
              <w:t>维码2种方式实现设备使用前的用户身份认证。</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6.控制器自带定制化独立操作系统，基于Android 11及以上版本，可在任意通道下唤出多功能中控菜单并实现相关操作。</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7.屏幕可调出中控菜单界面，支持一键上课及下课两种场景控制，也可以对连接的设备单独控制开关机；支持对屏幕输入源显示画面切换，包括智能平板、电脑、HDMI、Type-C；</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8.支持当接入匹配教室内的录播产品时，可显示录播导播流画面，选择开始录制、暂停录制和结束录制等功能；支持当接入匹配教室内的物联产品时，可视化显示物联设备且可进行应用场景化管理；</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9.支持控制讲桌升降，无需使用升降控制器物理按键操作，并可通过软件与老师账号绑定记录老师独有的升降高度数据。</w:t>
            </w:r>
          </w:p>
        </w:tc>
        <w:tc>
          <w:tcPr>
            <w:tcW w:w="645" w:type="dxa"/>
            <w:vAlign w:val="center"/>
          </w:tcPr>
          <w:p w14:paraId="433060C6">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w:t>
            </w:r>
          </w:p>
        </w:tc>
        <w:tc>
          <w:tcPr>
            <w:tcW w:w="765" w:type="dxa"/>
            <w:vAlign w:val="center"/>
          </w:tcPr>
          <w:p w14:paraId="31FD71C2">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台</w:t>
            </w:r>
          </w:p>
        </w:tc>
        <w:tc>
          <w:tcPr>
            <w:tcW w:w="1266" w:type="dxa"/>
            <w:vAlign w:val="center"/>
          </w:tcPr>
          <w:p w14:paraId="6301F38B">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5800</w:t>
            </w:r>
          </w:p>
        </w:tc>
      </w:tr>
      <w:tr w14:paraId="09B8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B506CC3">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7</w:t>
            </w:r>
          </w:p>
        </w:tc>
        <w:tc>
          <w:tcPr>
            <w:tcW w:w="1098" w:type="dxa"/>
            <w:vAlign w:val="center"/>
          </w:tcPr>
          <w:p w14:paraId="2CB8AA04">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智能音频主机</w:t>
            </w:r>
          </w:p>
        </w:tc>
        <w:tc>
          <w:tcPr>
            <w:tcW w:w="5145" w:type="dxa"/>
          </w:tcPr>
          <w:p w14:paraId="6B69BA7E">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1.主机前面板带TFT彩屏，支持触摸屏操作，屏幕尺寸≥2.0寸，支持设置屏幕操作6位密码。</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2.信噪比：≥97dB；频率响应：20Hz-20kHz（±2dB）；.总谐波失真：≤0.1%；增益差：≤0.2dB。【在履约验收时提供国家认可的第三方检验（检测）机构出具的满足上述要求的检验（检测）报告复印件，并加盖供应商公章】</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3.主机支持闪避器功能，可以软件灵活设置优先通道、阈值、衰减增益、启动时间、释放时间和保持时间，当优先信号信号输入时，其他信号被衰减。</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4.主机和软件具有“一键自动调音”功能，具有良好建声和较差建声环境两种调音模式，自动发生粉红噪声并自动适配教室空间声学参数，并自动调整房间均衡参数平衡平整，每路麦克风具有不少于14段参数均衡。</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5.主机支持插入U盘随堂录制讲课语音及课件音频混音文件，录音支持降噪录音，mp3格式，最大支持32GB，FAT32 格式,最多录音时长＞999小时。</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6.主机具有不少于6路音频输入、8路音频输出（其中2路音频输出到功放）。</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7.软件支持局域网集中远程管理、查看设备在线情况、版本信息等；可远程管理音量或静音。支持一键远程开机关机功能，支持网络远程升级;</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8.主机支持内部可增加IP广播模块功能，根据甲方需求进行扩展。</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9.功率放大器的额定输出功率≥2*150W，满足大教室多对音箱需求;</w:t>
            </w:r>
            <w:r>
              <w:rPr>
                <w:rFonts w:hint="eastAsia" w:ascii="宋体" w:hAnsi="宋体" w:eastAsia="宋体" w:cs="宋体"/>
                <w:color w:val="auto"/>
                <w:sz w:val="21"/>
                <w:szCs w:val="21"/>
                <w:highlight w:val="none"/>
                <w:lang w:eastAsia="zh-CN" w:bidi="ar"/>
              </w:rPr>
              <w:br w:type="textWrapping"/>
            </w:r>
            <w:r>
              <w:rPr>
                <w:rFonts w:hint="eastAsia" w:ascii="宋体" w:hAnsi="宋体" w:eastAsia="宋体" w:cs="宋体"/>
                <w:color w:val="auto"/>
                <w:sz w:val="21"/>
                <w:szCs w:val="21"/>
                <w:highlight w:val="none"/>
                <w:lang w:eastAsia="zh-CN" w:bidi="ar"/>
              </w:rPr>
              <w:t>10.主机软件可消除输入通道白噪声。【在履约验收时提供国家认可的第三方检验（检测）机构出具的满足上述要求的检验（检测）报告复印件，并加盖供应商公章】</w:t>
            </w:r>
          </w:p>
        </w:tc>
        <w:tc>
          <w:tcPr>
            <w:tcW w:w="645" w:type="dxa"/>
            <w:vAlign w:val="center"/>
          </w:tcPr>
          <w:p w14:paraId="597ADB0D">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c>
          <w:tcPr>
            <w:tcW w:w="765" w:type="dxa"/>
            <w:vAlign w:val="center"/>
          </w:tcPr>
          <w:p w14:paraId="4019504E">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台</w:t>
            </w:r>
          </w:p>
        </w:tc>
        <w:tc>
          <w:tcPr>
            <w:tcW w:w="1266" w:type="dxa"/>
            <w:vAlign w:val="center"/>
          </w:tcPr>
          <w:p w14:paraId="21B41DE1">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5500</w:t>
            </w:r>
          </w:p>
        </w:tc>
      </w:tr>
      <w:tr w14:paraId="3671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6E31C7F">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8</w:t>
            </w:r>
          </w:p>
        </w:tc>
        <w:tc>
          <w:tcPr>
            <w:tcW w:w="1098" w:type="dxa"/>
            <w:vAlign w:val="center"/>
          </w:tcPr>
          <w:p w14:paraId="04217D9C">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无线手持麦克风</w:t>
            </w:r>
          </w:p>
        </w:tc>
        <w:tc>
          <w:tcPr>
            <w:tcW w:w="5145" w:type="dxa"/>
          </w:tcPr>
          <w:p w14:paraId="722C7D59">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当无线麦充电底座和音频接收盒正确接线通电后，开启无线麦克风电源，短按电源按键5次，即可进入红外对频功能，自动对频；</w:t>
            </w:r>
          </w:p>
          <w:p w14:paraId="0D3EA829">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手持无线麦具有≥1.05英寸彩色TFT显示屏，具有≥6个软质硅胶按键，正面有激光发射、上翻页、下翻页按键，侧面有电源按键、音量加、音量减按键；</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3、无线麦克风支持激光笔功能，支持无线PPT翻页功能；</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4、手持无线麦显示页面可显示无线连接状态、电池电量、动态电平、音量大小数值；支持通过显示屏进行≥5档屏幕亮度调节、设置限幅器开关、设置自动增益开关、进行≥5档EQ高频参数调节、进行≥5档EQ低频参数调节、设置降噪开关；</w:t>
            </w:r>
          </w:p>
          <w:p w14:paraId="6E4D68C9">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手持无线麦采用笔形设计，抓握舒适，适合手持使用；</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6、手持无线麦克风无线传输距离≥31m；（验收时提供国家认可第三方检测报告证明，并加盖供应商公章）</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7、手持无线麦充满电后，可连续拾扩音使用≥10小时；（验收时提供国家认可第三方检测报告证明，并加盖供应商公章）</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8、手持无线麦Type-C接口支持麦克风充电和拓展头戴麦克风和领夹麦克风咪头；</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9、将手持麦克风脱离信号接收范围，麦克风自动发出蜂鸣报警声，同时麦克风显示屏自动显示“请放回”；</w:t>
            </w:r>
          </w:p>
          <w:p w14:paraId="08D493CC">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10、当无线麦克风超过20秒未进行功能操作，屏幕自动熄屏，熄屏后进入省电模式，不影响麦克风扩声。麦克风放入充电底座后自动进入静音待机状态，30分钟后麦克风未取出，麦克风自动关机，加快充电速度；</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11、手持无线麦具有≥1.2米自由落体耐摔功能，外壳及麦内部件不会损坏；（验收时提供国家认可第三方检测报告证明，并加盖供应商公章）</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12、频率范围：等于或优于100Hz-12KHz（±3dB）</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13、工作频率：2402Hz-2480Hz</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14、总谐波失真：≤0.2%</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15、音频系统延时：≤12ms（验收时提供国家认可第三方检测报告证明，并加盖供应商公章）</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16、智控主机具有≥1路TYPE-B USB接口可以连接电脑；≥1个SMA天线射频接口；≥1路3.5红外对频接口；≥1路凤凰端子音频输出接口；≥2路RS232通讯接口，可以与中控及其他主机通讯。智控主机具有≥1路RJ45网口可以与云平台通讯；</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17、智控主机具有电源开关，适配DC9V,1A电源。可以AC180~240V宽电压范围正常工作；</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18、智控主机具有≥2路TYPE-A USB接口可以和两个智能充电底座通讯；</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19、智控主机具有无线一拖二功能，一个智控主机可以同时连接2只无线麦克风，并接收2只无线麦克风音频信号；</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20、麦克风软件可动态显示无线麦使用状态，包括电量、充电状态、音量、实时电压、触摸锁定状态、中控锁定状态、麦克风编号、底座编号、固件版本号等信息，可显示无线麦是否已放入底座，无线麦是否锁定等状态，支持以动态图的形式显示无线麦放入底座、无线麦从底座取出等实时状态。可单独控制一只无线麦的音量加减，音量共有0-7的档位调节。可单独控制底座的解锁状态，解锁状态分为中控解锁和触摸解锁，先中控解锁后再触摸解锁方可取出无线麦。</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21、云平台软件可动态显示无线麦使用状态，包括电量、充电状态、音量、实时电压、触摸锁定状态、中控锁定状态、麦克风编号、底座编号、固件版本号等信息，可显示无线麦是否已放入底座，无线麦是否锁定等状态，支持以动态图的形式显示无线麦放入底座、无线麦从底座取出等实时状态。可以单独控制一只无线麦的音量加减，音量共有0-7的档位调节。云平台软件可以单独控制底座的解锁状态，解锁状态分为中控解锁和触摸解锁，先中控解锁后再触摸解锁方可取出无线麦。云平台软件可以同时控制底座解锁状态，同时控制两个底座的中控解锁和触摸解锁状态。</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22、智控主机外观：可壁挂式设计。</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23、智能充电底座具有充电槽，槽内具有霍尔传感器检测开关、微型电磁铁、底部到位检测开关。底座具有自动锁止麦克风功能，便于学校管理；</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24、智能充电底座具有触摸解锁按键、状态指示灯、红外对频窗口；</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25、当麦克风靠近智能充电底座插槽，终端磁控锁自动打开，麦克风放入后终端磁控锁自动锁定；当智能充电底座的处于允许解锁状态，此时触摸解锁键即可解锁取出麦克风；当智能充电底座处于不允许解锁状态，此时触摸解锁键无反应，无法解锁取出麦克风；</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26、智能充电底座背板具有≥1路Type-c电源输入接口，≥1路USB数据传输接口，≥1路3.5红外对频接口；</w:t>
            </w:r>
            <w:r>
              <w:rPr>
                <w:rFonts w:hint="eastAsia" w:ascii="宋体" w:hAnsi="宋体" w:eastAsia="宋体" w:cs="宋体"/>
                <w:color w:val="auto"/>
                <w:sz w:val="21"/>
                <w:szCs w:val="21"/>
                <w:highlight w:val="none"/>
                <w:lang w:eastAsia="zh-CN"/>
              </w:rPr>
              <w:br w:type="textWrapping"/>
            </w:r>
            <w:r>
              <w:rPr>
                <w:rFonts w:hint="eastAsia" w:ascii="宋体" w:hAnsi="宋体" w:eastAsia="宋体" w:cs="宋体"/>
                <w:color w:val="auto"/>
                <w:sz w:val="21"/>
                <w:szCs w:val="21"/>
                <w:highlight w:val="none"/>
                <w:lang w:eastAsia="zh-CN"/>
              </w:rPr>
              <w:t>27、智能充电底座具有可自由组合功能，支持两个底座拼接在一起，组成双底座。</w:t>
            </w:r>
          </w:p>
        </w:tc>
        <w:tc>
          <w:tcPr>
            <w:tcW w:w="645" w:type="dxa"/>
            <w:vAlign w:val="center"/>
          </w:tcPr>
          <w:p w14:paraId="28146C21">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c>
          <w:tcPr>
            <w:tcW w:w="765" w:type="dxa"/>
            <w:vAlign w:val="center"/>
          </w:tcPr>
          <w:p w14:paraId="7650A63A">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支</w:t>
            </w:r>
          </w:p>
        </w:tc>
        <w:tc>
          <w:tcPr>
            <w:tcW w:w="1266" w:type="dxa"/>
            <w:vAlign w:val="center"/>
          </w:tcPr>
          <w:p w14:paraId="71266495">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2000</w:t>
            </w:r>
          </w:p>
        </w:tc>
      </w:tr>
      <w:tr w14:paraId="444C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C954B08">
            <w:pPr>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9</w:t>
            </w:r>
          </w:p>
        </w:tc>
        <w:tc>
          <w:tcPr>
            <w:tcW w:w="1098" w:type="dxa"/>
            <w:vAlign w:val="center"/>
          </w:tcPr>
          <w:p w14:paraId="4354D2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智能吊麦</w:t>
            </w:r>
          </w:p>
        </w:tc>
        <w:tc>
          <w:tcPr>
            <w:tcW w:w="5145" w:type="dxa"/>
            <w:vAlign w:val="center"/>
          </w:tcPr>
          <w:p w14:paraId="21D5AF2B">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1、阵列麦克风，采用≥6咪线性阵列，高声源定位和波束成形，语音更清晰；</w:t>
            </w:r>
          </w:p>
          <w:p w14:paraId="7DB4A852">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2、可≥10米远距离宽范围拾音；</w:t>
            </w:r>
          </w:p>
          <w:p w14:paraId="4D0B4C16">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3、内置防风棉，可良好过滤杂音和环境噪声，提升人声清晰度；</w:t>
            </w:r>
          </w:p>
          <w:p w14:paraId="6180AA08">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4、48V幻象电源供电；</w:t>
            </w:r>
          </w:p>
          <w:p w14:paraId="007E9AD7">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5、抗手机、电磁、高频干扰；</w:t>
            </w:r>
          </w:p>
          <w:p w14:paraId="026BAC83">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6、颜色：白色；</w:t>
            </w:r>
          </w:p>
          <w:p w14:paraId="0A4A2380">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7、频率响应：20-20KHZ（±3dB）；</w:t>
            </w:r>
          </w:p>
          <w:p w14:paraId="427B24B6">
            <w:pPr>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8、敏感度：等于或优于-38dB±3dB；</w:t>
            </w:r>
          </w:p>
          <w:p w14:paraId="536C8A79">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9、最大声压级：≥138dB SPL；</w:t>
            </w:r>
          </w:p>
          <w:p w14:paraId="564178E9">
            <w:pPr>
              <w:spacing w:line="40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10、信噪比：≥82dB。</w:t>
            </w:r>
          </w:p>
        </w:tc>
        <w:tc>
          <w:tcPr>
            <w:tcW w:w="645" w:type="dxa"/>
            <w:vAlign w:val="center"/>
          </w:tcPr>
          <w:p w14:paraId="51BC71F4">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c>
          <w:tcPr>
            <w:tcW w:w="765" w:type="dxa"/>
            <w:vAlign w:val="center"/>
          </w:tcPr>
          <w:p w14:paraId="10D770AF">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支</w:t>
            </w:r>
          </w:p>
        </w:tc>
        <w:tc>
          <w:tcPr>
            <w:tcW w:w="1266" w:type="dxa"/>
            <w:vAlign w:val="center"/>
          </w:tcPr>
          <w:p w14:paraId="3720EE60">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1500</w:t>
            </w:r>
          </w:p>
        </w:tc>
      </w:tr>
      <w:tr w14:paraId="3DAA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trPr>
        <w:tc>
          <w:tcPr>
            <w:tcW w:w="709" w:type="dxa"/>
            <w:vAlign w:val="center"/>
          </w:tcPr>
          <w:p w14:paraId="1EF9CD19">
            <w:pPr>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10</w:t>
            </w:r>
          </w:p>
        </w:tc>
        <w:tc>
          <w:tcPr>
            <w:tcW w:w="1098" w:type="dxa"/>
            <w:vAlign w:val="center"/>
          </w:tcPr>
          <w:p w14:paraId="17D9C472">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防火墙</w:t>
            </w:r>
          </w:p>
        </w:tc>
        <w:tc>
          <w:tcPr>
            <w:tcW w:w="5145" w:type="dxa"/>
            <w:vAlign w:val="center"/>
          </w:tcPr>
          <w:p w14:paraId="2FB0512C">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1、防火墙需采用国产芯片及操作系统，吞吐量≥1.2Gbps，应用层吞吐量≥0.9Gbps，最大并发连接数≥50万，每秒新建连接数≥1.5万，开启全功能威胁防护吞吐量≥0.5Gbps，IPSec吞吐量≥0.5Gbps，IPSec最大隧道数≥500，SSL VPN并发用户数≥300，含SSL VPN 100个用户授权。</w:t>
            </w:r>
          </w:p>
          <w:p w14:paraId="663E2DAB">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交流主机1U设备，配置≥10个GE电口，≥2个SFP+万兆光口，1个Console口，1个USB接口，1个SD卡槽；含3年的硬件质保服务，3年高级威胁防护服务（含反病毒、入侵防御、URL远程查询、上网行为管理、威胁信息服务）。</w:t>
            </w:r>
          </w:p>
          <w:p w14:paraId="2CAFA736">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3、防火墙采用国产芯片，采用国产安全操作系统。</w:t>
            </w:r>
          </w:p>
          <w:p w14:paraId="0671F38B">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4、IPV6能力，支持IPv6协议栈、IPV6穿越技术、IPV6路由协议。 </w:t>
            </w:r>
          </w:p>
          <w:p w14:paraId="02A04490">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5、策略管理，支持将基于端口的安全策略转换为基于应用的安全策略，分析设备策略风险，及冗余策略，提供安全策略优化建议</w:t>
            </w:r>
          </w:p>
          <w:p w14:paraId="62A08F39">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6、NAT转换，支持NAT地址复用技术，可实现单个公网IP地址的无限制端口转换，可有效解决地址短缺问题。</w:t>
            </w:r>
          </w:p>
          <w:p w14:paraId="14886616">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7、支持工控协议识别及管控。</w:t>
            </w:r>
          </w:p>
          <w:p w14:paraId="4A03340B">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应支持数据防泄露，对传输的文件和内容进行识别过滤，对内容与身份证、信用卡、银行卡、社会安全卡号等类型进行匹配，支持DNS过滤，应支持对DNS高、中、低、自定义过滤级别选择，从而提高网站过滤的性能。</w:t>
            </w:r>
          </w:p>
          <w:p w14:paraId="656E257E">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9、应支持多出口智能选路可根据目的地址智能优选运营商链路，支持主备接口配置以及按比例分配的负载分担方式</w:t>
            </w:r>
          </w:p>
          <w:p w14:paraId="4A02FEC5">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10、防火墙应支持安全运营管理，对安全状态评估，评估流程至少包括安全配置、威胁事件、待办事项等进行评估，同时支持资产风险统计，包括已失陷、被攻击、正常等统计。</w:t>
            </w:r>
          </w:p>
          <w:p w14:paraId="2AFD4541">
            <w:pPr>
              <w:spacing w:line="40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应支持虚拟防火墙，能够对虚拟资源灵活配置，配置项包括会话数、策略数、IPSec隧道数，整体带宽、新建回话速率等进行按需分配，同时应支持剩余资源查询，确保灵活分配；支持虚拟服务安全管控，虚拟服务策略应包括IP地址/地区、协议、时间段、WAN ID、反病毒/入侵防御/URL过滤/内容过滤/WEB应用防护等。</w:t>
            </w:r>
          </w:p>
        </w:tc>
        <w:tc>
          <w:tcPr>
            <w:tcW w:w="645" w:type="dxa"/>
            <w:vAlign w:val="center"/>
          </w:tcPr>
          <w:p w14:paraId="0EBD4E16">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p>
        </w:tc>
        <w:tc>
          <w:tcPr>
            <w:tcW w:w="765" w:type="dxa"/>
            <w:vAlign w:val="center"/>
          </w:tcPr>
          <w:p w14:paraId="3254DA25">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台</w:t>
            </w:r>
          </w:p>
        </w:tc>
        <w:tc>
          <w:tcPr>
            <w:tcW w:w="1266" w:type="dxa"/>
            <w:vAlign w:val="center"/>
          </w:tcPr>
          <w:p w14:paraId="43EDDE00">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1355</w:t>
            </w:r>
          </w:p>
        </w:tc>
      </w:tr>
      <w:tr w14:paraId="5181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807" w:type="dxa"/>
            <w:gridSpan w:val="2"/>
            <w:vAlign w:val="center"/>
          </w:tcPr>
          <w:p w14:paraId="61FAD58F">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核心产品</w:t>
            </w:r>
          </w:p>
        </w:tc>
        <w:tc>
          <w:tcPr>
            <w:tcW w:w="7821" w:type="dxa"/>
            <w:gridSpan w:val="4"/>
            <w:vAlign w:val="center"/>
          </w:tcPr>
          <w:p w14:paraId="2F7C2B9F">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本分标核心产品是第1项“六角模块化实训操作工作站2及建设”。</w:t>
            </w:r>
          </w:p>
        </w:tc>
      </w:tr>
      <w:tr w14:paraId="1D7C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807" w:type="dxa"/>
            <w:gridSpan w:val="2"/>
            <w:vAlign w:val="center"/>
          </w:tcPr>
          <w:p w14:paraId="17EC95F3">
            <w:pPr>
              <w:pStyle w:val="32"/>
              <w:spacing w:before="116" w:line="270" w:lineRule="auto"/>
              <w:ind w:left="110" w:right="107" w:firstLine="5"/>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售后服务要求及免费保修期</w:t>
            </w:r>
          </w:p>
        </w:tc>
        <w:tc>
          <w:tcPr>
            <w:tcW w:w="7821" w:type="dxa"/>
            <w:gridSpan w:val="4"/>
            <w:vAlign w:val="center"/>
          </w:tcPr>
          <w:p w14:paraId="4453490D">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按国家有关产品“三包”规定执行“三包”，免费维护期最短不得少于1年（设备技术要求栏中有特别注明的除外）；免费维护期内上门维护免收维修费和元器件费，免费维护期外提供终身维修服务，并提最优惠价格的零配件供应。</w:t>
            </w:r>
          </w:p>
          <w:p w14:paraId="33745AA3">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2.免费送货上门，安装、调试，提供现场技术培训，保证使用人员正常操作设备的各种功能；若</w:t>
            </w:r>
            <w:r>
              <w:rPr>
                <w:rFonts w:hint="eastAsia" w:ascii="宋体" w:hAnsi="宋体" w:eastAsia="宋体" w:cs="宋体"/>
                <w:color w:val="auto"/>
                <w:sz w:val="21"/>
                <w:szCs w:val="21"/>
                <w:highlight w:val="none"/>
                <w:lang w:val="zh-CN" w:eastAsia="zh-CN"/>
              </w:rPr>
              <w:t>设备自带</w:t>
            </w:r>
            <w:r>
              <w:rPr>
                <w:rFonts w:hint="eastAsia" w:ascii="宋体" w:hAnsi="宋体" w:eastAsia="宋体" w:cs="宋体"/>
                <w:color w:val="auto"/>
                <w:sz w:val="21"/>
                <w:szCs w:val="21"/>
                <w:highlight w:val="none"/>
                <w:lang w:eastAsia="zh-CN"/>
              </w:rPr>
              <w:t>软件，则在维护期免费升级；提供二次开发支持。</w:t>
            </w:r>
          </w:p>
          <w:p w14:paraId="7634F076">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要求提供售后服务联系电话及联系人，免费维护期内，接到报障电话在承诺时间内派工程技术人员上门维修解决问题。如果需要更换配件的，要求更换的配件应跟被更换的品牌、类型相一致或者是同类同档次的替代品，后者需征得采购人管理人员同意。</w:t>
            </w:r>
          </w:p>
          <w:p w14:paraId="4540653E">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4.要求提供7×24小时技术支持服务，若出现故障时，接到采购人报修通知2小时内立即响应，24小时内解决问题排除故障。</w:t>
            </w:r>
          </w:p>
        </w:tc>
      </w:tr>
      <w:tr w14:paraId="0F87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trPr>
        <w:tc>
          <w:tcPr>
            <w:tcW w:w="1807" w:type="dxa"/>
            <w:gridSpan w:val="2"/>
            <w:vAlign w:val="center"/>
          </w:tcPr>
          <w:p w14:paraId="7A46E4F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现场勘察</w:t>
            </w:r>
          </w:p>
        </w:tc>
        <w:tc>
          <w:tcPr>
            <w:tcW w:w="7821" w:type="dxa"/>
            <w:gridSpan w:val="4"/>
            <w:vAlign w:val="center"/>
          </w:tcPr>
          <w:p w14:paraId="5D72BBD8">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为使供应商了解本分标安装场地位置、现场改造及场地内现有设施情况，以便项目的实施。本分标现场踏勘时间为项目截标前任意工作日下午15时-17时内接待，现场踏勘所发生的一切费用由供应商自行承担。联系人：蒋老师；电话：</w:t>
            </w:r>
            <w:r>
              <w:rPr>
                <w:rFonts w:hint="eastAsia" w:ascii="宋体" w:hAnsi="宋体" w:eastAsia="宋体" w:cs="宋体"/>
                <w:color w:val="auto"/>
                <w:sz w:val="21"/>
                <w:szCs w:val="21"/>
                <w:highlight w:val="none"/>
                <w:lang w:val="en-US" w:eastAsia="zh-CN"/>
              </w:rPr>
              <w:t>17707738229</w:t>
            </w:r>
            <w:r>
              <w:rPr>
                <w:rFonts w:hint="eastAsia" w:ascii="宋体" w:hAnsi="宋体" w:eastAsia="宋体" w:cs="宋体"/>
                <w:color w:val="auto"/>
                <w:sz w:val="21"/>
                <w:szCs w:val="21"/>
                <w:highlight w:val="none"/>
                <w:lang w:eastAsia="zh-CN"/>
              </w:rPr>
              <w:t>。</w:t>
            </w:r>
          </w:p>
          <w:p w14:paraId="796EEE46">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.供应商在踏勘现场中考察的工作场地和相关的周边环境情况，供供应商在编制响应文件时参考，采购人对供应商由此做出的推论、理解和结论概不负责。</w:t>
            </w:r>
          </w:p>
          <w:p w14:paraId="3281954A">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.供应商自行负责在考察现场或参加答疑会中所发生的人员伤亡和财产损失。</w:t>
            </w:r>
          </w:p>
        </w:tc>
      </w:tr>
      <w:tr w14:paraId="435D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9628" w:type="dxa"/>
            <w:gridSpan w:val="6"/>
            <w:vAlign w:val="center"/>
          </w:tcPr>
          <w:p w14:paraId="4D6E66C9">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商务要求</w:t>
            </w:r>
          </w:p>
        </w:tc>
      </w:tr>
      <w:tr w14:paraId="7ACC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807" w:type="dxa"/>
            <w:gridSpan w:val="2"/>
            <w:vAlign w:val="center"/>
          </w:tcPr>
          <w:p w14:paraId="60224CCC">
            <w:pPr>
              <w:spacing w:line="360" w:lineRule="atLeas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交付使用时间及地点</w:t>
            </w:r>
          </w:p>
        </w:tc>
        <w:tc>
          <w:tcPr>
            <w:tcW w:w="7821" w:type="dxa"/>
            <w:gridSpan w:val="4"/>
            <w:vAlign w:val="center"/>
          </w:tcPr>
          <w:p w14:paraId="4ECD3558">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1.交付时间：自签订合同之日起10个工作日必须到货全部安装调试合格并验收完毕。</w:t>
            </w:r>
          </w:p>
          <w:p w14:paraId="69D7D850">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2.交付地点：广西桂林市采购人指定地点。</w:t>
            </w:r>
          </w:p>
        </w:tc>
      </w:tr>
      <w:tr w14:paraId="2FC1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807" w:type="dxa"/>
            <w:gridSpan w:val="2"/>
            <w:vAlign w:val="center"/>
          </w:tcPr>
          <w:p w14:paraId="7300ABA2">
            <w:pPr>
              <w:spacing w:line="360" w:lineRule="atLeas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付款方式</w:t>
            </w:r>
          </w:p>
        </w:tc>
        <w:tc>
          <w:tcPr>
            <w:tcW w:w="7821" w:type="dxa"/>
            <w:gridSpan w:val="4"/>
            <w:vAlign w:val="center"/>
          </w:tcPr>
          <w:p w14:paraId="7E41E0E2">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在货物交货正常使用并验收合格后，成交供应商在3个日历日内开具增值税专用发票给采购人，等待桂林市级财政部门拨付专项资金至采购人账户后的3个工作日内一次性支付全部合同价款（无息）。</w:t>
            </w:r>
          </w:p>
        </w:tc>
      </w:tr>
      <w:tr w14:paraId="6CD3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807" w:type="dxa"/>
            <w:gridSpan w:val="2"/>
            <w:vAlign w:val="center"/>
          </w:tcPr>
          <w:p w14:paraId="6BEE9F57">
            <w:pPr>
              <w:spacing w:line="360" w:lineRule="atLeas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验收要求</w:t>
            </w:r>
          </w:p>
        </w:tc>
        <w:tc>
          <w:tcPr>
            <w:tcW w:w="7821" w:type="dxa"/>
            <w:gridSpan w:val="4"/>
            <w:vAlign w:val="center"/>
          </w:tcPr>
          <w:p w14:paraId="6A7A1CF1">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1.设备符合国家相关标准及制造厂家合格产品的出厂质量标准。</w:t>
            </w:r>
          </w:p>
          <w:p w14:paraId="2E74C4E8">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2.验收条件及标准：设备需全新、完好、无破损，按照技术要求的各项指标进行验收。</w:t>
            </w:r>
          </w:p>
          <w:p w14:paraId="6747D1F0">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3.验收方法及方案：设备开机试运行，测试设备的技术性能指标，确认各项功能正常运行，同时检查随机文件应齐全。</w:t>
            </w:r>
          </w:p>
        </w:tc>
      </w:tr>
      <w:tr w14:paraId="7598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807" w:type="dxa"/>
            <w:gridSpan w:val="2"/>
            <w:vAlign w:val="center"/>
          </w:tcPr>
          <w:p w14:paraId="7601F35A">
            <w:pPr>
              <w:spacing w:line="360" w:lineRule="atLeas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其他要求</w:t>
            </w:r>
          </w:p>
        </w:tc>
        <w:tc>
          <w:tcPr>
            <w:tcW w:w="7821" w:type="dxa"/>
            <w:gridSpan w:val="4"/>
            <w:vAlign w:val="center"/>
          </w:tcPr>
          <w:p w14:paraId="7A3A5B10">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1.要求在</w:t>
            </w:r>
            <w:r>
              <w:rPr>
                <w:rFonts w:hint="eastAsia" w:ascii="宋体" w:hAnsi="宋体" w:eastAsia="宋体" w:cs="宋体"/>
                <w:color w:val="auto"/>
                <w:sz w:val="21"/>
                <w:szCs w:val="21"/>
                <w:highlight w:val="none"/>
              </w:rPr>
              <w:t>成交通知书发出之日起8个工作日内</w:t>
            </w:r>
            <w:r>
              <w:rPr>
                <w:rFonts w:hint="eastAsia" w:ascii="宋体" w:hAnsi="宋体" w:eastAsia="宋体" w:cs="宋体"/>
                <w:color w:val="auto"/>
                <w:sz w:val="21"/>
                <w:szCs w:val="21"/>
                <w:highlight w:val="none"/>
                <w:lang w:eastAsia="zh-CN"/>
              </w:rPr>
              <w:t>签订合同。</w:t>
            </w:r>
          </w:p>
          <w:p w14:paraId="3AEDF245">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成交供应商需在合同签订前，提供样机进行现场演示，并配合采购人对产品参数进行逐条核对。采购人将依据响应文件，对产品参数的真实性及实际效果进行逐项验证，验证通过后方可签订合同。若在检测测试中发现存在虚假应标行为，采购人有权拒绝签订合同并判定其响应无效；相关后果由成交供应商全权承担，采购人将依法追究其责任、索赔全部损失，并视情况上报上级采购监管部门。</w:t>
            </w:r>
          </w:p>
          <w:p w14:paraId="267ECAC4">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3.为确保货物质量及原厂品质，成交供应商须在合同签订前，向采购人提供生产厂家针对本分标出具的供货证明原件及售后服务承诺函原件。若无法提交上述文件，将被视为响应无效，采购人有权不予签订合同。</w:t>
            </w:r>
          </w:p>
          <w:p w14:paraId="7AC35902">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4.成交供应商在履约验收前必须提供谈判文件中要求的</w:t>
            </w:r>
            <w:r>
              <w:rPr>
                <w:rFonts w:hint="eastAsia" w:ascii="宋体" w:hAnsi="宋体" w:eastAsia="宋体" w:cs="宋体"/>
                <w:color w:val="auto"/>
                <w:sz w:val="21"/>
                <w:szCs w:val="21"/>
                <w:highlight w:val="none"/>
              </w:rPr>
              <w:t>所竞标产品</w:t>
            </w:r>
            <w:r>
              <w:rPr>
                <w:rFonts w:hint="eastAsia" w:ascii="宋体" w:hAnsi="宋体" w:eastAsia="宋体" w:cs="宋体"/>
                <w:color w:val="auto"/>
                <w:sz w:val="21"/>
                <w:szCs w:val="21"/>
                <w:highlight w:val="none"/>
                <w:lang w:eastAsia="zh-CN"/>
              </w:rPr>
              <w:t>由国家认可的资质认证的</w:t>
            </w:r>
            <w:r>
              <w:rPr>
                <w:rFonts w:hint="eastAsia" w:ascii="宋体" w:hAnsi="宋体" w:eastAsia="宋体" w:cs="宋体"/>
                <w:color w:val="auto"/>
                <w:sz w:val="21"/>
                <w:szCs w:val="21"/>
                <w:highlight w:val="none"/>
              </w:rPr>
              <w:t>第三方检测机构出具的检测报告；该检测报告在全国认证认可信息公共服务平台网（全国认证认可信息公共服务平台http://cx.cnca.cn/CertECloud/index/index/page）可以查询到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否则不予签订合同</w:t>
            </w:r>
            <w:r>
              <w:rPr>
                <w:rFonts w:hint="eastAsia" w:ascii="宋体" w:hAnsi="宋体" w:eastAsia="宋体" w:cs="宋体"/>
                <w:color w:val="auto"/>
                <w:sz w:val="21"/>
                <w:szCs w:val="21"/>
                <w:highlight w:val="none"/>
                <w:lang w:eastAsia="zh-CN"/>
              </w:rPr>
              <w:t>，采购人将依法追究其责任、索赔全部损失，并视情况上报上级采购监管部门。</w:t>
            </w:r>
          </w:p>
          <w:p w14:paraId="728EB0E8">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6.本分标采购预算金额（人民币）：叁拾柒万元整（￥370000.00），报价超出采购预算总金额的，将被视为无效响应文件。</w:t>
            </w:r>
          </w:p>
          <w:p w14:paraId="1E98E065">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7.本分标货物不接受进口产品（即通过中国海关报关验放进入中国境内且产自关境外的产品）参与报价，如有此类产品参与竞标的作无效报价处理。</w:t>
            </w:r>
          </w:p>
          <w:p w14:paraId="39A32B61">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本项分标谈判报价应包括本次采购范围内货物（包括备品备件、专用工具等）的价格、检测、包装、运输、装卸、保险、国家及地方规定的任何收费（如登记费、手续费）、税金、现场协调、现场配合验收、抽样检测、办理相关手续、因货物质量问题引起的维修和更换等为实现合同目的而发生的一切费用；供应商综合考虑在报价中。</w:t>
            </w:r>
          </w:p>
          <w:p w14:paraId="3BE2EB97">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9.本分标“货物采购需求”中的所有技术参数及要求均为实质性要求。</w:t>
            </w:r>
          </w:p>
        </w:tc>
      </w:tr>
      <w:bookmarkEnd w:id="19"/>
    </w:tbl>
    <w:p w14:paraId="7B905380">
      <w:pPr>
        <w:rPr>
          <w:rFonts w:ascii="Times New Roman" w:hAnsi="Times New Roman" w:eastAsia="宋体" w:cs="Times New Roman"/>
          <w:bCs/>
          <w:color w:val="auto"/>
          <w:sz w:val="31"/>
          <w:szCs w:val="31"/>
          <w:highlight w:val="none"/>
          <w:lang w:eastAsia="zh-CN"/>
        </w:rPr>
      </w:pPr>
      <w:bookmarkStart w:id="20" w:name="_Toc29533"/>
      <w:r>
        <w:rPr>
          <w:rFonts w:ascii="Times New Roman" w:hAnsi="Times New Roman" w:eastAsia="宋体" w:cs="Times New Roman"/>
          <w:bCs/>
          <w:color w:val="auto"/>
          <w:sz w:val="31"/>
          <w:szCs w:val="31"/>
          <w:highlight w:val="none"/>
          <w:lang w:eastAsia="zh-CN"/>
        </w:rPr>
        <w:br w:type="page"/>
      </w:r>
    </w:p>
    <w:p w14:paraId="299EBE83">
      <w:pPr>
        <w:pStyle w:val="2"/>
        <w:keepNext w:val="0"/>
        <w:keepLines w:val="0"/>
        <w:widowControl w:val="0"/>
        <w:spacing w:line="400" w:lineRule="exact"/>
        <w:jc w:val="center"/>
        <w:rPr>
          <w:rFonts w:ascii="Times New Roman" w:hAnsi="Times New Roman" w:eastAsia="宋体" w:cs="Times New Roman"/>
          <w:bCs/>
          <w:color w:val="auto"/>
          <w:sz w:val="31"/>
          <w:szCs w:val="31"/>
          <w:highlight w:val="none"/>
          <w:lang w:eastAsia="zh-CN"/>
        </w:rPr>
      </w:pPr>
      <w:r>
        <w:rPr>
          <w:rFonts w:ascii="Times New Roman" w:hAnsi="Times New Roman" w:eastAsia="宋体" w:cs="Times New Roman"/>
          <w:bCs/>
          <w:color w:val="auto"/>
          <w:sz w:val="31"/>
          <w:szCs w:val="31"/>
          <w:highlight w:val="none"/>
          <w:lang w:eastAsia="zh-CN"/>
        </w:rPr>
        <w:t>第四章 评审办法</w:t>
      </w:r>
      <w:bookmarkEnd w:id="20"/>
    </w:p>
    <w:p w14:paraId="49FF6EFF">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color w:val="auto"/>
          <w:kern w:val="2"/>
          <w:szCs w:val="24"/>
          <w:highlight w:val="none"/>
          <w:lang w:eastAsia="zh-CN"/>
        </w:rPr>
      </w:pPr>
      <w:r>
        <w:rPr>
          <w:rFonts w:ascii="Times New Roman" w:hAnsi="Times New Roman" w:eastAsia="宋体" w:cs="Times New Roman"/>
          <w:b/>
          <w:bCs/>
          <w:snapToGrid/>
          <w:color w:val="auto"/>
          <w:kern w:val="2"/>
          <w:szCs w:val="24"/>
          <w:highlight w:val="none"/>
          <w:lang w:eastAsia="zh-CN"/>
        </w:rPr>
        <w:t>一、评审依据</w:t>
      </w:r>
    </w:p>
    <w:p w14:paraId="67520A72">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1. 评审依据：谈判小组以谈判文件和响应文件为评审依据。</w:t>
      </w:r>
    </w:p>
    <w:p w14:paraId="5167A123">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2. 采购人和采购代理机构、竞争性谈判小组成员要严格遵守政府采购相关法律制度，依法履行各自职责，公正、客观、审慎地组织和参与评审工作。</w:t>
      </w:r>
    </w:p>
    <w:p w14:paraId="0F9DA0DF">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color w:val="auto"/>
          <w:kern w:val="2"/>
          <w:szCs w:val="24"/>
          <w:highlight w:val="none"/>
          <w:lang w:eastAsia="zh-CN"/>
        </w:rPr>
      </w:pPr>
      <w:r>
        <w:rPr>
          <w:rFonts w:ascii="Times New Roman" w:hAnsi="Times New Roman" w:eastAsia="宋体" w:cs="Times New Roman"/>
          <w:b/>
          <w:bCs/>
          <w:snapToGrid/>
          <w:color w:val="auto"/>
          <w:kern w:val="2"/>
          <w:szCs w:val="24"/>
          <w:highlight w:val="none"/>
          <w:lang w:eastAsia="zh-CN"/>
        </w:rPr>
        <w:t>二、评审办法</w:t>
      </w:r>
    </w:p>
    <w:p w14:paraId="2D3146BB">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1. 谈判小组应当从质量和服务均能满足竞争性谈判文件全部实质性响应要求的供应商中，按照评审报价由低到高顺序提出3名以上（含3名）成交候选供应商。</w:t>
      </w:r>
    </w:p>
    <w:p w14:paraId="567344DB">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2. 根据《广西壮族自治区财政厅关于持续优化政府采购营商环境推动高质量发展的通知》（桂财采〔2024〕55号），凡符合《政府采购促进中小企业发展管理办法》（财库〔2020〕46号）规定条件且按该办法中规定的格式提供了《中小企业声明函》的小型和微型企业，对其最后报价给予20%的扣除，扣除后的价格为评审报价，即评审报价=最后报价×（1-20%）。</w:t>
      </w:r>
    </w:p>
    <w:p w14:paraId="1F2565FE">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除上述情况外，评审报价=最后报价。</w:t>
      </w:r>
    </w:p>
    <w:p w14:paraId="78C69258">
      <w:pPr>
        <w:widowControl w:val="0"/>
        <w:spacing w:line="400" w:lineRule="exact"/>
        <w:ind w:firstLine="422" w:firstLineChars="200"/>
        <w:jc w:val="both"/>
        <w:rPr>
          <w:rFonts w:ascii="Times New Roman" w:hAnsi="Times New Roman" w:eastAsia="宋体" w:cs="Times New Roman"/>
          <w:b/>
          <w:bCs/>
          <w:color w:val="auto"/>
          <w:kern w:val="2"/>
          <w:highlight w:val="none"/>
          <w:lang w:eastAsia="zh-CN"/>
        </w:rPr>
      </w:pPr>
      <w:r>
        <w:rPr>
          <w:rFonts w:ascii="Times New Roman" w:hAnsi="Times New Roman" w:eastAsia="宋体" w:cs="Times New Roman"/>
          <w:b/>
          <w:bCs/>
          <w:color w:val="auto"/>
          <w:kern w:val="2"/>
          <w:highlight w:val="none"/>
          <w:lang w:eastAsia="zh-CN"/>
        </w:rPr>
        <w:t>注：①谈判小组应当按扣除后的报价由低到高进行排序，该扣除后报价仅作为评审报价排序，不作为合同签订报价，合同将按实际最后报价签订。</w:t>
      </w:r>
    </w:p>
    <w:p w14:paraId="74E92856">
      <w:pPr>
        <w:widowControl w:val="0"/>
        <w:spacing w:line="400" w:lineRule="exact"/>
        <w:ind w:firstLine="422" w:firstLineChars="200"/>
        <w:jc w:val="both"/>
        <w:rPr>
          <w:rFonts w:ascii="Times New Roman" w:hAnsi="Times New Roman" w:eastAsia="宋体" w:cs="Times New Roman"/>
          <w:b/>
          <w:bCs/>
          <w:color w:val="auto"/>
          <w:kern w:val="2"/>
          <w:highlight w:val="none"/>
          <w:lang w:eastAsia="zh-CN"/>
        </w:rPr>
      </w:pPr>
      <w:r>
        <w:rPr>
          <w:rFonts w:ascii="Times New Roman" w:hAnsi="Times New Roman" w:eastAsia="宋体" w:cs="Times New Roman"/>
          <w:b/>
          <w:bCs/>
          <w:color w:val="auto"/>
          <w:kern w:val="2"/>
          <w:highlight w:val="none"/>
          <w:lang w:eastAsia="zh-CN"/>
        </w:rPr>
        <w:t>②中小微型企业划分标准按照《国家统计局关于印发&lt;统计上大中小微型企业划分办法〔2017〕&gt;的通知》（国统字〔2017〕213号）执行，具体划分标准见附表《统计上大中小微型企业划分标准》。</w:t>
      </w:r>
    </w:p>
    <w:p w14:paraId="2FBD5A83">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szCs w:val="24"/>
          <w:highlight w:val="none"/>
          <w:lang w:eastAsia="zh-CN"/>
        </w:rPr>
      </w:pPr>
      <w:r>
        <w:rPr>
          <w:rFonts w:ascii="Times New Roman" w:hAnsi="Times New Roman" w:eastAsia="宋体" w:cs="Times New Roman"/>
          <w:snapToGrid/>
          <w:color w:val="auto"/>
          <w:kern w:val="2"/>
          <w:highlight w:val="none"/>
          <w:lang w:eastAsia="zh-CN"/>
        </w:rPr>
        <w:t>3. 根据按《关于政府采购支持监狱企业发展有关问题的通知》(财库〔2014〕68号)和《关于促进残疾人就业政府采购政策的通知》（财库〔2017〕141 号）监狱企业和符合条件的残疾人福利性单位视同小型、微型企业，享受小型、微型企业评审中价格扣除的政府采购政策。残疾人福利性单位属于小型、微型企业的，不重复享受政策。监狱企业参加政府采购活动时，应当提供由省级以上监狱管理局、戒毒管理局(含新疆生产建设兵团)出具的属于监狱企业的证明文件；符合条件的残疾人福利性单位在参加政府采购活动时，应当提供本通知规定的《残疾人福利性单位声明函》，并对声明的真实性负责。</w:t>
      </w:r>
    </w:p>
    <w:p w14:paraId="0E462364">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b/>
          <w:bCs/>
          <w:snapToGrid/>
          <w:color w:val="auto"/>
          <w:kern w:val="2"/>
          <w:highlight w:val="none"/>
          <w:lang w:eastAsia="zh-CN"/>
        </w:rPr>
      </w:pPr>
      <w:r>
        <w:rPr>
          <w:rFonts w:ascii="Times New Roman" w:hAnsi="Times New Roman" w:eastAsia="宋体" w:cs="Times New Roman"/>
          <w:snapToGrid/>
          <w:color w:val="auto"/>
          <w:kern w:val="2"/>
          <w:highlight w:val="none"/>
          <w:lang w:eastAsia="zh-CN"/>
        </w:rPr>
        <w:t>4.评审时，应当将通过资格性审查和符合性审查各供应商的评审报价，按照由低到高顺序排序，当评审报价相同时，按照故障响应时间由短到长顺序排序，当故障响应时间相同时，由谈判小组按照抽签的方式决定排名次序。</w:t>
      </w:r>
    </w:p>
    <w:p w14:paraId="33C877F7">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color w:val="auto"/>
          <w:kern w:val="2"/>
          <w:szCs w:val="24"/>
          <w:highlight w:val="none"/>
          <w:lang w:eastAsia="zh-CN"/>
        </w:rPr>
      </w:pPr>
      <w:r>
        <w:rPr>
          <w:rFonts w:ascii="Times New Roman" w:hAnsi="Times New Roman" w:eastAsia="宋体" w:cs="Times New Roman"/>
          <w:b/>
          <w:bCs/>
          <w:snapToGrid/>
          <w:color w:val="auto"/>
          <w:kern w:val="2"/>
          <w:szCs w:val="24"/>
          <w:highlight w:val="none"/>
          <w:lang w:eastAsia="zh-CN"/>
        </w:rPr>
        <w:t>三、成交候选人推荐原则</w:t>
      </w:r>
    </w:p>
    <w:p w14:paraId="2CAF00E5">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（1）采购单位应当确定谈判小组推荐排名第一的成交候选人为成交供应商。</w:t>
      </w:r>
    </w:p>
    <w:p w14:paraId="50C21394">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2）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14:paraId="4075EC0F">
      <w:pPr>
        <w:widowControl w:val="0"/>
        <w:kinsoku/>
        <w:autoSpaceDE/>
        <w:autoSpaceDN/>
        <w:adjustRightInd/>
        <w:snapToGrid/>
        <w:spacing w:line="40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（3）排名第二的成交候选人因前款规定的同样原因不能签订合同的，采购单位可以确定排名第三的成交候选人为成交供应商。</w:t>
      </w:r>
    </w:p>
    <w:p w14:paraId="06EDC662">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color w:val="auto"/>
          <w:kern w:val="2"/>
          <w:highlight w:val="none"/>
          <w:lang w:eastAsia="zh-CN"/>
        </w:rPr>
      </w:pPr>
    </w:p>
    <w:p w14:paraId="26D52B8D">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color w:val="auto"/>
          <w:kern w:val="2"/>
          <w:highlight w:val="none"/>
          <w:lang w:eastAsia="zh-CN"/>
        </w:rPr>
      </w:pPr>
    </w:p>
    <w:p w14:paraId="6AE0434A">
      <w:pPr>
        <w:widowControl w:val="0"/>
        <w:kinsoku/>
        <w:autoSpaceDE/>
        <w:autoSpaceDN/>
        <w:adjustRightInd/>
        <w:snapToGrid/>
        <w:spacing w:line="400" w:lineRule="exact"/>
        <w:ind w:firstLine="422" w:firstLineChars="200"/>
        <w:jc w:val="both"/>
        <w:textAlignment w:val="auto"/>
        <w:rPr>
          <w:rFonts w:ascii="Times New Roman" w:hAnsi="Times New Roman" w:eastAsia="宋体" w:cs="Times New Roman"/>
          <w:b/>
          <w:bCs/>
          <w:snapToGrid/>
          <w:color w:val="auto"/>
          <w:kern w:val="2"/>
          <w:highlight w:val="none"/>
          <w:lang w:eastAsia="zh-CN"/>
        </w:rPr>
      </w:pPr>
      <w:r>
        <w:rPr>
          <w:rFonts w:ascii="Times New Roman" w:hAnsi="Times New Roman" w:eastAsia="宋体" w:cs="Times New Roman"/>
          <w:b/>
          <w:bCs/>
          <w:snapToGrid/>
          <w:color w:val="auto"/>
          <w:kern w:val="2"/>
          <w:highlight w:val="none"/>
          <w:lang w:eastAsia="zh-CN"/>
        </w:rPr>
        <w:t>四、特别说明</w:t>
      </w:r>
    </w:p>
    <w:p w14:paraId="388255BC">
      <w:pPr>
        <w:widowControl w:val="0"/>
        <w:kinsoku/>
        <w:autoSpaceDE/>
        <w:autoSpaceDN/>
        <w:adjustRightInd/>
        <w:snapToGrid/>
        <w:spacing w:line="400" w:lineRule="exact"/>
        <w:ind w:firstLine="632" w:firstLineChars="300"/>
        <w:jc w:val="both"/>
        <w:textAlignment w:val="auto"/>
        <w:rPr>
          <w:rFonts w:ascii="Times New Roman" w:hAnsi="Times New Roman" w:eastAsia="宋体" w:cs="Times New Roman"/>
          <w:b/>
          <w:bCs/>
          <w:snapToGrid/>
          <w:color w:val="auto"/>
          <w:kern w:val="2"/>
          <w:highlight w:val="none"/>
          <w:lang w:eastAsia="zh-CN"/>
        </w:rPr>
      </w:pPr>
      <w:r>
        <w:rPr>
          <w:rFonts w:ascii="Times New Roman" w:hAnsi="Times New Roman" w:eastAsia="宋体" w:cs="Times New Roman"/>
          <w:b/>
          <w:bCs/>
          <w:snapToGrid/>
          <w:color w:val="auto"/>
          <w:kern w:val="2"/>
          <w:highlight w:val="none"/>
          <w:lang w:eastAsia="zh-CN"/>
        </w:rPr>
        <w:t>评审时，谈判小组根据《关于推动解决政府采购异常低价问题的通知》（财库〔2026〕2号）相关规定启动异常低价投标（响应）审查程序。启动异常低价投标（响应）审查后，</w:t>
      </w:r>
      <w:r>
        <w:rPr>
          <w:rStyle w:val="34"/>
          <w:rFonts w:ascii="Times New Roman" w:hAnsi="Times New Roman" w:eastAsia="宋体" w:cs="Times New Roman"/>
          <w:b/>
          <w:bCs/>
          <w:snapToGrid/>
          <w:color w:val="auto"/>
          <w:kern w:val="2"/>
          <w:highlight w:val="none"/>
          <w:lang w:eastAsia="zh-CN"/>
        </w:rPr>
        <w:t>应当要求供应商在谈判小组要求的时间内</w:t>
      </w:r>
      <w:r>
        <w:rPr>
          <w:rFonts w:ascii="Times New Roman" w:hAnsi="Times New Roman" w:eastAsia="宋体" w:cs="Times New Roman"/>
          <w:b/>
          <w:bCs/>
          <w:snapToGrid/>
          <w:color w:val="auto"/>
          <w:kern w:val="2"/>
          <w:highlight w:val="none"/>
          <w:lang w:eastAsia="zh-CN"/>
        </w:rPr>
        <w:t>对投标（响应）价格作出解释，</w:t>
      </w:r>
      <w:r>
        <w:rPr>
          <w:rFonts w:ascii="Times New Roman" w:hAnsi="Times New Roman" w:eastAsia="宋体" w:cs="Times New Roman"/>
          <w:b/>
          <w:bCs/>
          <w:snapToGrid/>
          <w:color w:val="auto"/>
          <w:kern w:val="2"/>
          <w:highlight w:val="none"/>
          <w:shd w:val="clear" w:color="auto" w:fill="FFFFFF"/>
          <w:lang w:eastAsia="zh-CN"/>
        </w:rPr>
        <w:t>提供项目具体成本测算等与报价合理性相关的书面说明及必要的证明材料（包括但不限于原材料成本、人工成本、制造费用等）。</w:t>
      </w:r>
      <w:r>
        <w:rPr>
          <w:rFonts w:ascii="Times New Roman" w:hAnsi="Times New Roman" w:eastAsia="宋体" w:cs="Times New Roman"/>
          <w:b/>
          <w:bCs/>
          <w:snapToGrid/>
          <w:color w:val="auto"/>
          <w:kern w:val="2"/>
          <w:highlight w:val="none"/>
          <w:lang w:eastAsia="zh-CN"/>
        </w:rPr>
        <w:t>投标（响应）供应商不能提供书面说明、证明材料，或者提供的书面说明、证明材料不能证明其报价合理性的，谈判小组应当将其作为无效投标（响应）处理。 异常低价投标（响应）审查的启动原因、审查意见和审查结果应当在评审报告中记录。</w:t>
      </w:r>
    </w:p>
    <w:p w14:paraId="7B1FDDD7">
      <w:pPr>
        <w:widowControl w:val="0"/>
        <w:kinsoku/>
        <w:autoSpaceDE/>
        <w:autoSpaceDN/>
        <w:adjustRightInd/>
        <w:snapToGrid/>
        <w:spacing w:line="400" w:lineRule="exact"/>
        <w:ind w:firstLine="632" w:firstLineChars="300"/>
        <w:jc w:val="both"/>
        <w:textAlignment w:val="auto"/>
        <w:rPr>
          <w:rFonts w:ascii="Times New Roman" w:hAnsi="Times New Roman" w:eastAsia="宋体" w:cs="Times New Roman"/>
          <w:b/>
          <w:bCs/>
          <w:snapToGrid/>
          <w:color w:val="auto"/>
          <w:kern w:val="2"/>
          <w:highlight w:val="none"/>
          <w:lang w:eastAsia="zh-CN"/>
        </w:rPr>
      </w:pPr>
      <w:r>
        <w:rPr>
          <w:rFonts w:ascii="Times New Roman" w:hAnsi="Times New Roman" w:eastAsia="宋体" w:cs="Times New Roman"/>
          <w:b/>
          <w:bCs/>
          <w:snapToGrid/>
          <w:color w:val="auto"/>
          <w:kern w:val="2"/>
          <w:highlight w:val="none"/>
          <w:lang w:eastAsia="zh-CN"/>
        </w:rPr>
        <w:t>为避免因未能及时提供说明而导致被评审委员会作为无效投标（响应）情形，供应商可提前准备或随投标（响应）文件一并提交相关书面说明及必要的证明材料。</w:t>
      </w:r>
    </w:p>
    <w:p w14:paraId="50740A7C">
      <w:pPr>
        <w:pStyle w:val="3"/>
        <w:spacing w:line="400" w:lineRule="exact"/>
        <w:rPr>
          <w:rFonts w:ascii="Times New Roman" w:hAnsi="Times New Roman"/>
          <w:color w:val="auto"/>
          <w:highlight w:val="none"/>
        </w:rPr>
        <w:sectPr>
          <w:footerReference r:id="rId9" w:type="default"/>
          <w:pgSz w:w="11906" w:h="16839"/>
          <w:pgMar w:top="1247" w:right="1247" w:bottom="1247" w:left="1247" w:header="0" w:footer="822" w:gutter="0"/>
          <w:cols w:space="0" w:num="1"/>
        </w:sectPr>
      </w:pPr>
    </w:p>
    <w:p w14:paraId="49246BC0">
      <w:pPr>
        <w:widowControl w:val="0"/>
        <w:spacing w:line="400" w:lineRule="exact"/>
        <w:jc w:val="center"/>
        <w:outlineLvl w:val="0"/>
        <w:rPr>
          <w:rFonts w:ascii="Times New Roman" w:hAnsi="Times New Roman" w:eastAsia="宋体" w:cs="Times New Roman"/>
          <w:color w:val="auto"/>
          <w:sz w:val="31"/>
          <w:szCs w:val="31"/>
          <w:highlight w:val="none"/>
          <w:lang w:eastAsia="zh-CN"/>
        </w:rPr>
      </w:pPr>
      <w:bookmarkStart w:id="21" w:name="_Toc22972"/>
      <w:r>
        <w:rPr>
          <w:rFonts w:ascii="Times New Roman" w:hAnsi="Times New Roman" w:eastAsia="宋体" w:cs="Times New Roman"/>
          <w:b/>
          <w:bCs/>
          <w:color w:val="auto"/>
          <w:sz w:val="31"/>
          <w:szCs w:val="31"/>
          <w:highlight w:val="none"/>
          <w:lang w:eastAsia="zh-CN"/>
        </w:rPr>
        <w:t>第五章</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政府采购合同（合同主要条款及格式）</w:t>
      </w:r>
      <w:bookmarkEnd w:id="21"/>
    </w:p>
    <w:p w14:paraId="15468F9A">
      <w:pPr>
        <w:pStyle w:val="8"/>
        <w:spacing w:line="400" w:lineRule="exact"/>
        <w:ind w:left="2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5"/>
          <w:highlight w:val="none"/>
          <w:lang w:eastAsia="zh-CN"/>
        </w:rPr>
        <w:t>合同编号：</w:t>
      </w:r>
    </w:p>
    <w:p w14:paraId="4EFFBB2B">
      <w:pPr>
        <w:pStyle w:val="8"/>
        <w:spacing w:line="400" w:lineRule="exact"/>
        <w:ind w:left="31"/>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项目名称：</w:t>
      </w:r>
      <w:r>
        <w:rPr>
          <w:rFonts w:hint="eastAsia" w:ascii="Times New Roman" w:hAnsi="Times New Roman" w:eastAsia="宋体" w:cs="Times New Roman"/>
          <w:color w:val="auto"/>
          <w:spacing w:val="9"/>
          <w:highlight w:val="none"/>
          <w:lang w:eastAsia="zh-CN"/>
        </w:rPr>
        <w:t>桂林技师学院实训室建设项目</w:t>
      </w:r>
    </w:p>
    <w:p w14:paraId="43BC519D">
      <w:pPr>
        <w:pStyle w:val="8"/>
        <w:spacing w:line="400" w:lineRule="exact"/>
        <w:ind w:left="31"/>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7"/>
          <w:highlight w:val="none"/>
          <w:lang w:eastAsia="zh-CN"/>
        </w:rPr>
        <w:t>项目编号：</w:t>
      </w:r>
    </w:p>
    <w:p w14:paraId="2A93CA94">
      <w:pPr>
        <w:pStyle w:val="8"/>
        <w:spacing w:line="400" w:lineRule="exact"/>
        <w:ind w:left="54"/>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6"/>
          <w:highlight w:val="none"/>
          <w:lang w:eastAsia="zh-CN"/>
        </w:rPr>
        <w:t>甲方</w:t>
      </w:r>
      <w:r>
        <w:rPr>
          <w:rFonts w:ascii="Times New Roman" w:hAnsi="Times New Roman" w:eastAsia="宋体" w:cs="Times New Roman"/>
          <w:color w:val="auto"/>
          <w:spacing w:val="-3"/>
          <w:highlight w:val="none"/>
          <w:lang w:eastAsia="zh-CN"/>
        </w:rPr>
        <w:t>：</w:t>
      </w:r>
      <w:r>
        <w:rPr>
          <w:rFonts w:ascii="Times New Roman" w:hAnsi="Times New Roman" w:eastAsia="宋体" w:cs="Times New Roman"/>
          <w:color w:val="auto"/>
          <w:spacing w:val="2"/>
          <w:highlight w:val="none"/>
          <w:u w:val="single"/>
          <w:lang w:eastAsia="zh-CN"/>
        </w:rPr>
        <w:t xml:space="preserve">                                        </w:t>
      </w:r>
      <w:r>
        <w:rPr>
          <w:rFonts w:ascii="Times New Roman" w:hAnsi="Times New Roman" w:eastAsia="宋体" w:cs="Times New Roman"/>
          <w:color w:val="auto"/>
          <w:spacing w:val="-3"/>
          <w:highlight w:val="none"/>
          <w:lang w:eastAsia="zh-CN"/>
        </w:rPr>
        <w:t>（</w:t>
      </w:r>
      <w:r>
        <w:rPr>
          <w:rFonts w:ascii="Times New Roman" w:hAnsi="Times New Roman" w:eastAsia="宋体" w:cs="Times New Roman"/>
          <w:color w:val="auto"/>
          <w:spacing w:val="6"/>
          <w:highlight w:val="none"/>
          <w:lang w:eastAsia="zh-CN"/>
        </w:rPr>
        <w:t>采购人）</w:t>
      </w:r>
    </w:p>
    <w:p w14:paraId="02CF61BE">
      <w:pPr>
        <w:pStyle w:val="8"/>
        <w:spacing w:line="400" w:lineRule="exact"/>
        <w:ind w:left="4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乙方</w:t>
      </w:r>
      <w:r>
        <w:rPr>
          <w:rFonts w:ascii="Times New Roman" w:hAnsi="Times New Roman" w:eastAsia="宋体" w:cs="Times New Roman"/>
          <w:color w:val="auto"/>
          <w:spacing w:val="-4"/>
          <w:highlight w:val="none"/>
          <w:lang w:eastAsia="zh-CN"/>
        </w:rPr>
        <w:t>：</w:t>
      </w:r>
      <w:r>
        <w:rPr>
          <w:rFonts w:ascii="Times New Roman" w:hAnsi="Times New Roman" w:eastAsia="宋体" w:cs="Times New Roman"/>
          <w:color w:val="auto"/>
          <w:spacing w:val="2"/>
          <w:highlight w:val="none"/>
          <w:u w:val="single"/>
          <w:lang w:eastAsia="zh-CN"/>
        </w:rPr>
        <w:t xml:space="preserve">                                        </w:t>
      </w:r>
      <w:r>
        <w:rPr>
          <w:rFonts w:ascii="Times New Roman" w:hAnsi="Times New Roman" w:eastAsia="宋体" w:cs="Times New Roman"/>
          <w:color w:val="auto"/>
          <w:spacing w:val="-4"/>
          <w:highlight w:val="none"/>
          <w:lang w:eastAsia="zh-CN"/>
        </w:rPr>
        <w:t>（</w:t>
      </w:r>
      <w:r>
        <w:rPr>
          <w:rFonts w:ascii="Times New Roman" w:hAnsi="Times New Roman" w:eastAsia="宋体" w:cs="Times New Roman"/>
          <w:color w:val="auto"/>
          <w:spacing w:val="8"/>
          <w:highlight w:val="none"/>
          <w:lang w:eastAsia="zh-CN"/>
        </w:rPr>
        <w:t>成交供应商）</w:t>
      </w:r>
    </w:p>
    <w:p w14:paraId="68E55E8F">
      <w:pPr>
        <w:pStyle w:val="8"/>
        <w:spacing w:line="400" w:lineRule="exact"/>
        <w:ind w:left="48" w:right="157" w:firstLine="399"/>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10"/>
          <w:highlight w:val="none"/>
          <w:lang w:eastAsia="zh-CN"/>
        </w:rPr>
        <w:t>根据《中华人民共和国政府采购法》、《中华人民共和国政府采购法实施</w:t>
      </w:r>
      <w:r>
        <w:rPr>
          <w:rFonts w:ascii="Times New Roman" w:hAnsi="Times New Roman" w:eastAsia="宋体" w:cs="Times New Roman"/>
          <w:color w:val="auto"/>
          <w:spacing w:val="9"/>
          <w:highlight w:val="none"/>
          <w:lang w:eastAsia="zh-CN"/>
        </w:rPr>
        <w:t>条例》、《中华人民共和国</w:t>
      </w:r>
      <w:r>
        <w:rPr>
          <w:rFonts w:ascii="Times New Roman" w:hAnsi="Times New Roman" w:eastAsia="宋体" w:cs="Times New Roman"/>
          <w:color w:val="auto"/>
          <w:spacing w:val="8"/>
          <w:highlight w:val="none"/>
          <w:lang w:eastAsia="zh-CN"/>
        </w:rPr>
        <w:t>民法典》等法律、法规规定，按照谈判文件、响应文件规定条款和成交供应商承诺、</w:t>
      </w:r>
      <w:r>
        <w:rPr>
          <w:rFonts w:ascii="Times New Roman" w:hAnsi="Times New Roman" w:eastAsia="宋体" w:cs="Times New Roman"/>
          <w:color w:val="auto"/>
          <w:spacing w:val="-49"/>
          <w:highlight w:val="none"/>
          <w:lang w:eastAsia="zh-CN"/>
        </w:rPr>
        <w:t xml:space="preserve"> </w:t>
      </w:r>
      <w:r>
        <w:rPr>
          <w:rFonts w:ascii="Times New Roman" w:hAnsi="Times New Roman" w:eastAsia="宋体" w:cs="Times New Roman"/>
          <w:color w:val="auto"/>
          <w:spacing w:val="8"/>
          <w:highlight w:val="none"/>
          <w:lang w:eastAsia="zh-CN"/>
        </w:rPr>
        <w:t>甲乙双方签订本采购合同。</w:t>
      </w:r>
    </w:p>
    <w:p w14:paraId="4269780E">
      <w:pPr>
        <w:pStyle w:val="8"/>
        <w:numPr>
          <w:ilvl w:val="0"/>
          <w:numId w:val="3"/>
        </w:numPr>
        <w:spacing w:line="400" w:lineRule="exact"/>
        <w:ind w:left="440"/>
        <w:outlineLvl w:val="1"/>
        <w:rPr>
          <w:rFonts w:ascii="Times New Roman" w:hAnsi="Times New Roman" w:eastAsia="宋体" w:cs="Times New Roman"/>
          <w:b/>
          <w:bCs/>
          <w:color w:val="auto"/>
          <w:spacing w:val="7"/>
          <w:highlight w:val="none"/>
          <w:lang w:eastAsia="zh-CN"/>
        </w:rPr>
      </w:pPr>
      <w:bookmarkStart w:id="22" w:name="bookmark53"/>
      <w:bookmarkEnd w:id="22"/>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合同标的及合同金额</w:t>
      </w:r>
    </w:p>
    <w:p w14:paraId="2DDA0A2F">
      <w:pPr>
        <w:pStyle w:val="8"/>
        <w:numPr>
          <w:ilvl w:val="0"/>
          <w:numId w:val="0"/>
        </w:numPr>
        <w:spacing w:line="400" w:lineRule="exact"/>
        <w:outlineLvl w:val="1"/>
        <w:rPr>
          <w:rFonts w:ascii="Times New Roman" w:hAnsi="Times New Roman" w:eastAsia="宋体" w:cs="Times New Roman"/>
          <w:b/>
          <w:bCs/>
          <w:color w:val="auto"/>
          <w:spacing w:val="7"/>
          <w:highlight w:val="none"/>
          <w:lang w:eastAsia="zh-CN"/>
        </w:rPr>
      </w:pPr>
      <w:r>
        <w:rPr>
          <w:rFonts w:hint="eastAsia" w:ascii="Times New Roman" w:hAnsi="Times New Roman" w:eastAsia="宋体" w:cs="Times New Roman"/>
          <w:b/>
          <w:bCs/>
          <w:color w:val="auto"/>
          <w:spacing w:val="7"/>
          <w:highlight w:val="none"/>
          <w:lang w:val="en-US" w:eastAsia="zh-CN"/>
        </w:rPr>
        <w:t xml:space="preserve">     分</w:t>
      </w:r>
      <w:r>
        <w:rPr>
          <w:rFonts w:hint="eastAsia" w:ascii="Times New Roman" w:hAnsi="Times New Roman" w:eastAsia="宋体" w:cs="Times New Roman"/>
          <w:b/>
          <w:bCs/>
          <w:color w:val="auto"/>
          <w:spacing w:val="7"/>
          <w:highlight w:val="none"/>
          <w:lang w:eastAsia="zh-CN"/>
        </w:rPr>
        <w:t>标</w:t>
      </w:r>
    </w:p>
    <w:tbl>
      <w:tblPr>
        <w:tblStyle w:val="31"/>
        <w:tblW w:w="97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1231"/>
        <w:gridCol w:w="1444"/>
        <w:gridCol w:w="1356"/>
        <w:gridCol w:w="1199"/>
        <w:gridCol w:w="714"/>
        <w:gridCol w:w="1544"/>
        <w:gridCol w:w="1579"/>
      </w:tblGrid>
      <w:tr w14:paraId="7E92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713" w:type="dxa"/>
            <w:shd w:val="clear" w:color="auto" w:fill="8DB3E2"/>
          </w:tcPr>
          <w:p w14:paraId="632F9557">
            <w:pPr>
              <w:spacing w:line="400" w:lineRule="exact"/>
              <w:rPr>
                <w:rFonts w:ascii="Times New Roman" w:hAnsi="Times New Roman" w:eastAsia="宋体" w:cs="Times New Roman"/>
                <w:color w:val="auto"/>
                <w:highlight w:val="none"/>
                <w:lang w:eastAsia="zh-CN"/>
              </w:rPr>
            </w:pPr>
          </w:p>
          <w:p w14:paraId="338105CB">
            <w:pPr>
              <w:pStyle w:val="32"/>
              <w:spacing w:line="400" w:lineRule="exact"/>
              <w:ind w:left="153"/>
              <w:rPr>
                <w:rFonts w:ascii="Times New Roman" w:hAnsi="Times New Roman" w:cs="Times New Roman"/>
                <w:color w:val="auto"/>
                <w:sz w:val="21"/>
                <w:szCs w:val="21"/>
                <w:highlight w:val="none"/>
              </w:rPr>
            </w:pPr>
            <w:r>
              <w:rPr>
                <w:rFonts w:ascii="Times New Roman" w:hAnsi="Times New Roman" w:cs="Times New Roman"/>
                <w:b/>
                <w:bCs/>
                <w:color w:val="auto"/>
                <w:spacing w:val="2"/>
                <w:sz w:val="21"/>
                <w:szCs w:val="21"/>
                <w:highlight w:val="none"/>
              </w:rPr>
              <w:t>项号</w:t>
            </w:r>
          </w:p>
        </w:tc>
        <w:tc>
          <w:tcPr>
            <w:tcW w:w="1231" w:type="dxa"/>
            <w:shd w:val="clear" w:color="auto" w:fill="8DB3E2"/>
          </w:tcPr>
          <w:p w14:paraId="77C818C1">
            <w:pPr>
              <w:spacing w:line="400" w:lineRule="exact"/>
              <w:rPr>
                <w:rFonts w:ascii="Times New Roman" w:hAnsi="Times New Roman" w:eastAsia="宋体" w:cs="Times New Roman"/>
                <w:color w:val="auto"/>
                <w:highlight w:val="none"/>
              </w:rPr>
            </w:pPr>
          </w:p>
          <w:p w14:paraId="526AA66A">
            <w:pPr>
              <w:pStyle w:val="32"/>
              <w:spacing w:line="400" w:lineRule="exact"/>
              <w:ind w:left="202"/>
              <w:rPr>
                <w:rFonts w:ascii="Times New Roman" w:hAnsi="Times New Roman" w:cs="Times New Roman"/>
                <w:color w:val="auto"/>
                <w:sz w:val="21"/>
                <w:szCs w:val="21"/>
                <w:highlight w:val="none"/>
              </w:rPr>
            </w:pPr>
            <w:r>
              <w:rPr>
                <w:rFonts w:ascii="Times New Roman" w:hAnsi="Times New Roman" w:cs="Times New Roman"/>
                <w:b/>
                <w:bCs/>
                <w:color w:val="auto"/>
                <w:spacing w:val="5"/>
                <w:sz w:val="21"/>
                <w:szCs w:val="21"/>
                <w:highlight w:val="none"/>
              </w:rPr>
              <w:t>货物名称</w:t>
            </w:r>
          </w:p>
        </w:tc>
        <w:tc>
          <w:tcPr>
            <w:tcW w:w="1444" w:type="dxa"/>
            <w:shd w:val="clear" w:color="auto" w:fill="8DB3E2"/>
          </w:tcPr>
          <w:p w14:paraId="607F058D">
            <w:pPr>
              <w:pStyle w:val="32"/>
              <w:spacing w:line="400" w:lineRule="exact"/>
              <w:ind w:left="112" w:right="106"/>
              <w:rPr>
                <w:rFonts w:ascii="Times New Roman" w:hAnsi="Times New Roman" w:cs="Times New Roman"/>
                <w:color w:val="auto"/>
                <w:sz w:val="21"/>
                <w:szCs w:val="21"/>
                <w:highlight w:val="none"/>
                <w:lang w:eastAsia="zh-CN"/>
              </w:rPr>
            </w:pPr>
            <w:r>
              <w:rPr>
                <w:rFonts w:ascii="Times New Roman" w:hAnsi="Times New Roman" w:cs="Times New Roman"/>
                <w:b/>
                <w:bCs/>
                <w:color w:val="auto"/>
                <w:spacing w:val="1"/>
                <w:sz w:val="21"/>
                <w:szCs w:val="21"/>
                <w:highlight w:val="none"/>
                <w:lang w:eastAsia="zh-CN"/>
              </w:rPr>
              <w:t>生产厂家、品牌、规格型号</w:t>
            </w:r>
          </w:p>
        </w:tc>
        <w:tc>
          <w:tcPr>
            <w:tcW w:w="1356" w:type="dxa"/>
            <w:shd w:val="clear" w:color="auto" w:fill="8DB3E2"/>
          </w:tcPr>
          <w:p w14:paraId="0404D249">
            <w:pPr>
              <w:spacing w:line="400" w:lineRule="exact"/>
              <w:rPr>
                <w:rFonts w:ascii="Times New Roman" w:hAnsi="Times New Roman" w:eastAsia="宋体" w:cs="Times New Roman"/>
                <w:color w:val="auto"/>
                <w:highlight w:val="none"/>
                <w:lang w:eastAsia="zh-CN"/>
              </w:rPr>
            </w:pPr>
          </w:p>
          <w:p w14:paraId="4803E8C0">
            <w:pPr>
              <w:pStyle w:val="32"/>
              <w:spacing w:line="400" w:lineRule="exact"/>
              <w:ind w:left="326"/>
              <w:rPr>
                <w:rFonts w:ascii="Times New Roman" w:hAnsi="Times New Roman" w:cs="Times New Roman"/>
                <w:color w:val="auto"/>
                <w:sz w:val="21"/>
                <w:szCs w:val="21"/>
                <w:highlight w:val="none"/>
              </w:rPr>
            </w:pPr>
            <w:r>
              <w:rPr>
                <w:rFonts w:ascii="Times New Roman" w:hAnsi="Times New Roman" w:cs="Times New Roman"/>
                <w:b/>
                <w:bCs/>
                <w:color w:val="auto"/>
                <w:spacing w:val="6"/>
                <w:sz w:val="21"/>
                <w:szCs w:val="21"/>
                <w:highlight w:val="none"/>
              </w:rPr>
              <w:t>技术参数</w:t>
            </w:r>
          </w:p>
        </w:tc>
        <w:tc>
          <w:tcPr>
            <w:tcW w:w="1199" w:type="dxa"/>
            <w:shd w:val="clear" w:color="auto" w:fill="8DB3E2"/>
            <w:vAlign w:val="center"/>
          </w:tcPr>
          <w:p w14:paraId="5904EA5C">
            <w:pPr>
              <w:pStyle w:val="32"/>
              <w:spacing w:line="400" w:lineRule="exact"/>
              <w:ind w:right="323"/>
              <w:jc w:val="center"/>
              <w:rPr>
                <w:rFonts w:ascii="Times New Roman" w:hAnsi="Times New Roman" w:cs="Times New Roman"/>
                <w:color w:val="auto"/>
                <w:sz w:val="21"/>
                <w:szCs w:val="21"/>
                <w:highlight w:val="none"/>
                <w:lang w:eastAsia="zh-CN"/>
              </w:rPr>
            </w:pPr>
            <w:r>
              <w:rPr>
                <w:rFonts w:ascii="Times New Roman" w:hAnsi="Times New Roman" w:cs="Times New Roman"/>
                <w:b/>
                <w:bCs/>
                <w:color w:val="auto"/>
                <w:spacing w:val="6"/>
                <w:sz w:val="21"/>
                <w:szCs w:val="21"/>
                <w:highlight w:val="none"/>
              </w:rPr>
              <w:t>数量①</w:t>
            </w:r>
          </w:p>
        </w:tc>
        <w:tc>
          <w:tcPr>
            <w:tcW w:w="714" w:type="dxa"/>
            <w:shd w:val="clear" w:color="auto" w:fill="8DB3E2"/>
          </w:tcPr>
          <w:p w14:paraId="2C9FB8BE">
            <w:pPr>
              <w:spacing w:line="400" w:lineRule="exact"/>
              <w:rPr>
                <w:rFonts w:ascii="Times New Roman" w:hAnsi="Times New Roman" w:eastAsia="宋体" w:cs="Times New Roman"/>
                <w:color w:val="auto"/>
                <w:highlight w:val="none"/>
              </w:rPr>
            </w:pPr>
          </w:p>
          <w:p w14:paraId="067F2B64">
            <w:pPr>
              <w:pStyle w:val="32"/>
              <w:spacing w:line="400" w:lineRule="exact"/>
              <w:ind w:left="153"/>
              <w:rPr>
                <w:rFonts w:ascii="Times New Roman" w:hAnsi="Times New Roman" w:cs="Times New Roman"/>
                <w:color w:val="auto"/>
                <w:sz w:val="21"/>
                <w:szCs w:val="21"/>
                <w:highlight w:val="none"/>
              </w:rPr>
            </w:pPr>
            <w:r>
              <w:rPr>
                <w:rFonts w:ascii="Times New Roman" w:hAnsi="Times New Roman" w:cs="Times New Roman"/>
                <w:b/>
                <w:bCs/>
                <w:color w:val="auto"/>
                <w:spacing w:val="3"/>
                <w:sz w:val="21"/>
                <w:szCs w:val="21"/>
                <w:highlight w:val="none"/>
              </w:rPr>
              <w:t>单位</w:t>
            </w:r>
          </w:p>
        </w:tc>
        <w:tc>
          <w:tcPr>
            <w:tcW w:w="1544" w:type="dxa"/>
            <w:shd w:val="clear" w:color="auto" w:fill="8DB3E2"/>
          </w:tcPr>
          <w:p w14:paraId="57B0510D">
            <w:pPr>
              <w:pStyle w:val="32"/>
              <w:spacing w:line="400" w:lineRule="exact"/>
              <w:ind w:left="672" w:right="262" w:hanging="419"/>
              <w:rPr>
                <w:rFonts w:ascii="Times New Roman" w:hAnsi="Times New Roman" w:cs="Times New Roman"/>
                <w:color w:val="auto"/>
                <w:sz w:val="21"/>
                <w:szCs w:val="21"/>
                <w:highlight w:val="none"/>
              </w:rPr>
            </w:pPr>
            <w:r>
              <w:rPr>
                <w:rFonts w:ascii="Times New Roman" w:hAnsi="Times New Roman" w:cs="Times New Roman"/>
                <w:b/>
                <w:bCs/>
                <w:color w:val="auto"/>
                <w:spacing w:val="2"/>
                <w:sz w:val="21"/>
                <w:szCs w:val="21"/>
                <w:highlight w:val="none"/>
              </w:rPr>
              <w:t>单价（元）</w:t>
            </w:r>
            <w:r>
              <w:rPr>
                <w:rFonts w:ascii="Times New Roman" w:hAnsi="Times New Roman" w:cs="Times New Roman"/>
                <w:color w:val="auto"/>
                <w:spacing w:val="1"/>
                <w:sz w:val="21"/>
                <w:szCs w:val="21"/>
                <w:highlight w:val="none"/>
              </w:rPr>
              <w:t xml:space="preserve"> </w:t>
            </w:r>
            <w:r>
              <w:rPr>
                <w:rFonts w:ascii="Times New Roman" w:hAnsi="Times New Roman" w:cs="Times New Roman"/>
                <w:b/>
                <w:bCs/>
                <w:color w:val="auto"/>
                <w:sz w:val="21"/>
                <w:szCs w:val="21"/>
                <w:highlight w:val="none"/>
              </w:rPr>
              <w:t>②</w:t>
            </w:r>
          </w:p>
        </w:tc>
        <w:tc>
          <w:tcPr>
            <w:tcW w:w="1579" w:type="dxa"/>
            <w:shd w:val="clear" w:color="auto" w:fill="8DB3E2"/>
          </w:tcPr>
          <w:p w14:paraId="222242A1">
            <w:pPr>
              <w:pStyle w:val="32"/>
              <w:spacing w:line="400" w:lineRule="exact"/>
              <w:ind w:left="163"/>
              <w:rPr>
                <w:rFonts w:ascii="Times New Roman" w:hAnsi="Times New Roman" w:cs="Times New Roman"/>
                <w:color w:val="auto"/>
                <w:sz w:val="21"/>
                <w:szCs w:val="21"/>
                <w:highlight w:val="none"/>
                <w:lang w:eastAsia="zh-CN"/>
              </w:rPr>
            </w:pPr>
            <w:r>
              <w:rPr>
                <w:rFonts w:ascii="Times New Roman" w:hAnsi="Times New Roman" w:cs="Times New Roman"/>
                <w:b/>
                <w:bCs/>
                <w:color w:val="auto"/>
                <w:spacing w:val="6"/>
                <w:sz w:val="21"/>
                <w:szCs w:val="21"/>
                <w:highlight w:val="none"/>
                <w:lang w:eastAsia="zh-CN"/>
              </w:rPr>
              <w:t>单项合计金额</w:t>
            </w:r>
          </w:p>
          <w:p w14:paraId="1762EB57">
            <w:pPr>
              <w:pStyle w:val="32"/>
              <w:spacing w:line="400" w:lineRule="exact"/>
              <w:ind w:left="488"/>
              <w:rPr>
                <w:rFonts w:ascii="Times New Roman" w:hAnsi="Times New Roman" w:cs="Times New Roman"/>
                <w:color w:val="auto"/>
                <w:sz w:val="21"/>
                <w:szCs w:val="21"/>
                <w:highlight w:val="none"/>
                <w:lang w:eastAsia="zh-CN"/>
              </w:rPr>
            </w:pPr>
            <w:r>
              <w:rPr>
                <w:rFonts w:ascii="Times New Roman" w:hAnsi="Times New Roman" w:cs="Times New Roman"/>
                <w:b/>
                <w:bCs/>
                <w:color w:val="auto"/>
                <w:spacing w:val="-2"/>
                <w:sz w:val="21"/>
                <w:szCs w:val="21"/>
                <w:highlight w:val="none"/>
                <w:lang w:eastAsia="zh-CN"/>
              </w:rPr>
              <w:t>（元）</w:t>
            </w:r>
          </w:p>
          <w:p w14:paraId="48EB1BB5">
            <w:pPr>
              <w:pStyle w:val="32"/>
              <w:spacing w:line="400" w:lineRule="exact"/>
              <w:ind w:left="265"/>
              <w:rPr>
                <w:rFonts w:ascii="Times New Roman" w:hAnsi="Times New Roman" w:cs="Times New Roman"/>
                <w:color w:val="auto"/>
                <w:sz w:val="21"/>
                <w:szCs w:val="21"/>
                <w:highlight w:val="none"/>
                <w:lang w:eastAsia="zh-CN"/>
              </w:rPr>
            </w:pPr>
            <w:r>
              <w:rPr>
                <w:rFonts w:ascii="Times New Roman" w:hAnsi="Times New Roman" w:cs="Times New Roman"/>
                <w:b/>
                <w:bCs/>
                <w:color w:val="auto"/>
                <w:spacing w:val="13"/>
                <w:sz w:val="21"/>
                <w:szCs w:val="21"/>
                <w:highlight w:val="none"/>
                <w:lang w:eastAsia="zh-CN"/>
              </w:rPr>
              <w:t>③</w:t>
            </w:r>
            <w:r>
              <w:rPr>
                <w:rFonts w:ascii="Times New Roman" w:hAnsi="Times New Roman" w:cs="Times New Roman"/>
                <w:color w:val="auto"/>
                <w:spacing w:val="-68"/>
                <w:sz w:val="21"/>
                <w:szCs w:val="21"/>
                <w:highlight w:val="none"/>
                <w:lang w:eastAsia="zh-CN"/>
              </w:rPr>
              <w:t xml:space="preserve"> </w:t>
            </w:r>
            <w:r>
              <w:rPr>
                <w:rFonts w:ascii="Times New Roman" w:hAnsi="Times New Roman" w:cs="Times New Roman"/>
                <w:b/>
                <w:bCs/>
                <w:color w:val="auto"/>
                <w:spacing w:val="13"/>
                <w:sz w:val="21"/>
                <w:szCs w:val="21"/>
                <w:highlight w:val="none"/>
                <w:lang w:eastAsia="zh-CN"/>
              </w:rPr>
              <w:t>=</w:t>
            </w:r>
            <w:r>
              <w:rPr>
                <w:rFonts w:ascii="Times New Roman" w:hAnsi="Times New Roman" w:cs="Times New Roman"/>
                <w:color w:val="auto"/>
                <w:spacing w:val="-62"/>
                <w:sz w:val="21"/>
                <w:szCs w:val="21"/>
                <w:highlight w:val="none"/>
                <w:lang w:eastAsia="zh-CN"/>
              </w:rPr>
              <w:t xml:space="preserve"> </w:t>
            </w:r>
            <w:r>
              <w:rPr>
                <w:rFonts w:ascii="Times New Roman" w:hAnsi="Times New Roman" w:cs="Times New Roman"/>
                <w:b/>
                <w:bCs/>
                <w:color w:val="auto"/>
                <w:spacing w:val="13"/>
                <w:sz w:val="21"/>
                <w:szCs w:val="21"/>
                <w:highlight w:val="none"/>
                <w:lang w:eastAsia="zh-CN"/>
              </w:rPr>
              <w:t>①×②</w:t>
            </w:r>
          </w:p>
        </w:tc>
      </w:tr>
      <w:tr w14:paraId="0CC55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tcPr>
          <w:p w14:paraId="5F7408E8">
            <w:pPr>
              <w:pStyle w:val="32"/>
              <w:spacing w:line="400" w:lineRule="exact"/>
              <w:ind w:left="326"/>
              <w:rPr>
                <w:rFonts w:ascii="Times New Roman" w:hAnsi="Times New Roman" w:cs="Times New Roman"/>
                <w:color w:val="auto"/>
                <w:sz w:val="21"/>
                <w:szCs w:val="21"/>
                <w:highlight w:val="none"/>
              </w:rPr>
            </w:pPr>
            <w:r>
              <w:rPr>
                <w:rFonts w:ascii="Times New Roman" w:hAnsi="Times New Roman" w:cs="Times New Roman"/>
                <w:color w:val="auto"/>
                <w:position w:val="1"/>
                <w:sz w:val="21"/>
                <w:szCs w:val="21"/>
                <w:highlight w:val="none"/>
              </w:rPr>
              <w:t>1</w:t>
            </w:r>
          </w:p>
        </w:tc>
        <w:tc>
          <w:tcPr>
            <w:tcW w:w="1231" w:type="dxa"/>
          </w:tcPr>
          <w:p w14:paraId="01869F00">
            <w:pPr>
              <w:spacing w:line="400" w:lineRule="exact"/>
              <w:rPr>
                <w:rFonts w:ascii="Times New Roman" w:hAnsi="Times New Roman" w:eastAsia="宋体" w:cs="Times New Roman"/>
                <w:color w:val="auto"/>
                <w:highlight w:val="none"/>
              </w:rPr>
            </w:pPr>
          </w:p>
        </w:tc>
        <w:tc>
          <w:tcPr>
            <w:tcW w:w="1444" w:type="dxa"/>
          </w:tcPr>
          <w:p w14:paraId="248E7A00">
            <w:pPr>
              <w:spacing w:line="400" w:lineRule="exact"/>
              <w:rPr>
                <w:rFonts w:ascii="Times New Roman" w:hAnsi="Times New Roman" w:eastAsia="宋体" w:cs="Times New Roman"/>
                <w:color w:val="auto"/>
                <w:highlight w:val="none"/>
              </w:rPr>
            </w:pPr>
          </w:p>
        </w:tc>
        <w:tc>
          <w:tcPr>
            <w:tcW w:w="1356" w:type="dxa"/>
          </w:tcPr>
          <w:p w14:paraId="08EB11EB">
            <w:pPr>
              <w:spacing w:line="400" w:lineRule="exact"/>
              <w:rPr>
                <w:rFonts w:ascii="Times New Roman" w:hAnsi="Times New Roman" w:eastAsia="宋体" w:cs="Times New Roman"/>
                <w:color w:val="auto"/>
                <w:highlight w:val="none"/>
              </w:rPr>
            </w:pPr>
          </w:p>
        </w:tc>
        <w:tc>
          <w:tcPr>
            <w:tcW w:w="1199" w:type="dxa"/>
          </w:tcPr>
          <w:p w14:paraId="3D1B2107">
            <w:pPr>
              <w:spacing w:line="400" w:lineRule="exact"/>
              <w:rPr>
                <w:rFonts w:ascii="Times New Roman" w:hAnsi="Times New Roman" w:eastAsia="宋体" w:cs="Times New Roman"/>
                <w:color w:val="auto"/>
                <w:highlight w:val="none"/>
              </w:rPr>
            </w:pPr>
          </w:p>
        </w:tc>
        <w:tc>
          <w:tcPr>
            <w:tcW w:w="714" w:type="dxa"/>
          </w:tcPr>
          <w:p w14:paraId="54CED1A9">
            <w:pPr>
              <w:spacing w:line="400" w:lineRule="exact"/>
              <w:rPr>
                <w:rFonts w:ascii="Times New Roman" w:hAnsi="Times New Roman" w:eastAsia="宋体" w:cs="Times New Roman"/>
                <w:color w:val="auto"/>
                <w:highlight w:val="none"/>
              </w:rPr>
            </w:pPr>
          </w:p>
        </w:tc>
        <w:tc>
          <w:tcPr>
            <w:tcW w:w="1544" w:type="dxa"/>
          </w:tcPr>
          <w:p w14:paraId="1D4E26E6">
            <w:pPr>
              <w:spacing w:line="400" w:lineRule="exact"/>
              <w:rPr>
                <w:rFonts w:ascii="Times New Roman" w:hAnsi="Times New Roman" w:eastAsia="宋体" w:cs="Times New Roman"/>
                <w:color w:val="auto"/>
                <w:highlight w:val="none"/>
              </w:rPr>
            </w:pPr>
          </w:p>
        </w:tc>
        <w:tc>
          <w:tcPr>
            <w:tcW w:w="1579" w:type="dxa"/>
          </w:tcPr>
          <w:p w14:paraId="5A370B9D">
            <w:pPr>
              <w:spacing w:line="400" w:lineRule="exact"/>
              <w:rPr>
                <w:rFonts w:ascii="Times New Roman" w:hAnsi="Times New Roman" w:eastAsia="宋体" w:cs="Times New Roman"/>
                <w:color w:val="auto"/>
                <w:highlight w:val="none"/>
              </w:rPr>
            </w:pPr>
          </w:p>
        </w:tc>
      </w:tr>
      <w:tr w14:paraId="1A104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tcPr>
          <w:p w14:paraId="0A07910B">
            <w:pPr>
              <w:pStyle w:val="32"/>
              <w:spacing w:line="400" w:lineRule="exact"/>
              <w:ind w:left="313"/>
              <w:rPr>
                <w:rFonts w:ascii="Times New Roman" w:hAnsi="Times New Roman" w:cs="Times New Roman"/>
                <w:color w:val="auto"/>
                <w:sz w:val="21"/>
                <w:szCs w:val="21"/>
                <w:highlight w:val="none"/>
              </w:rPr>
            </w:pPr>
            <w:r>
              <w:rPr>
                <w:rFonts w:ascii="Times New Roman" w:hAnsi="Times New Roman" w:cs="Times New Roman"/>
                <w:color w:val="auto"/>
                <w:position w:val="1"/>
                <w:sz w:val="21"/>
                <w:szCs w:val="21"/>
                <w:highlight w:val="none"/>
              </w:rPr>
              <w:t>2</w:t>
            </w:r>
          </w:p>
        </w:tc>
        <w:tc>
          <w:tcPr>
            <w:tcW w:w="1231" w:type="dxa"/>
          </w:tcPr>
          <w:p w14:paraId="5F540B0A">
            <w:pPr>
              <w:spacing w:line="400" w:lineRule="exact"/>
              <w:rPr>
                <w:rFonts w:ascii="Times New Roman" w:hAnsi="Times New Roman" w:eastAsia="宋体" w:cs="Times New Roman"/>
                <w:color w:val="auto"/>
                <w:highlight w:val="none"/>
              </w:rPr>
            </w:pPr>
          </w:p>
        </w:tc>
        <w:tc>
          <w:tcPr>
            <w:tcW w:w="1444" w:type="dxa"/>
          </w:tcPr>
          <w:p w14:paraId="363879BE">
            <w:pPr>
              <w:spacing w:line="400" w:lineRule="exact"/>
              <w:rPr>
                <w:rFonts w:ascii="Times New Roman" w:hAnsi="Times New Roman" w:eastAsia="宋体" w:cs="Times New Roman"/>
                <w:color w:val="auto"/>
                <w:highlight w:val="none"/>
              </w:rPr>
            </w:pPr>
          </w:p>
        </w:tc>
        <w:tc>
          <w:tcPr>
            <w:tcW w:w="1356" w:type="dxa"/>
          </w:tcPr>
          <w:p w14:paraId="2FA33236">
            <w:pPr>
              <w:spacing w:line="400" w:lineRule="exact"/>
              <w:rPr>
                <w:rFonts w:ascii="Times New Roman" w:hAnsi="Times New Roman" w:eastAsia="宋体" w:cs="Times New Roman"/>
                <w:color w:val="auto"/>
                <w:highlight w:val="none"/>
              </w:rPr>
            </w:pPr>
          </w:p>
        </w:tc>
        <w:tc>
          <w:tcPr>
            <w:tcW w:w="1199" w:type="dxa"/>
          </w:tcPr>
          <w:p w14:paraId="22CA0056">
            <w:pPr>
              <w:spacing w:line="400" w:lineRule="exact"/>
              <w:rPr>
                <w:rFonts w:ascii="Times New Roman" w:hAnsi="Times New Roman" w:eastAsia="宋体" w:cs="Times New Roman"/>
                <w:color w:val="auto"/>
                <w:highlight w:val="none"/>
              </w:rPr>
            </w:pPr>
          </w:p>
        </w:tc>
        <w:tc>
          <w:tcPr>
            <w:tcW w:w="714" w:type="dxa"/>
          </w:tcPr>
          <w:p w14:paraId="3A7B97FE">
            <w:pPr>
              <w:spacing w:line="400" w:lineRule="exact"/>
              <w:rPr>
                <w:rFonts w:ascii="Times New Roman" w:hAnsi="Times New Roman" w:eastAsia="宋体" w:cs="Times New Roman"/>
                <w:color w:val="auto"/>
                <w:highlight w:val="none"/>
              </w:rPr>
            </w:pPr>
          </w:p>
        </w:tc>
        <w:tc>
          <w:tcPr>
            <w:tcW w:w="1544" w:type="dxa"/>
          </w:tcPr>
          <w:p w14:paraId="3282C051">
            <w:pPr>
              <w:spacing w:line="400" w:lineRule="exact"/>
              <w:rPr>
                <w:rFonts w:ascii="Times New Roman" w:hAnsi="Times New Roman" w:eastAsia="宋体" w:cs="Times New Roman"/>
                <w:color w:val="auto"/>
                <w:highlight w:val="none"/>
              </w:rPr>
            </w:pPr>
          </w:p>
        </w:tc>
        <w:tc>
          <w:tcPr>
            <w:tcW w:w="1579" w:type="dxa"/>
          </w:tcPr>
          <w:p w14:paraId="5D18C37B">
            <w:pPr>
              <w:spacing w:line="400" w:lineRule="exact"/>
              <w:rPr>
                <w:rFonts w:ascii="Times New Roman" w:hAnsi="Times New Roman" w:eastAsia="宋体" w:cs="Times New Roman"/>
                <w:color w:val="auto"/>
                <w:highlight w:val="none"/>
              </w:rPr>
            </w:pPr>
          </w:p>
        </w:tc>
      </w:tr>
      <w:tr w14:paraId="348DF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713" w:type="dxa"/>
          </w:tcPr>
          <w:p w14:paraId="7C8CB030">
            <w:pPr>
              <w:pStyle w:val="32"/>
              <w:spacing w:line="400" w:lineRule="exact"/>
              <w:ind w:left="268"/>
              <w:rPr>
                <w:rFonts w:ascii="Times New Roman" w:hAnsi="Times New Roman" w:cs="Times New Roman"/>
                <w:color w:val="auto"/>
                <w:sz w:val="21"/>
                <w:szCs w:val="21"/>
                <w:highlight w:val="none"/>
              </w:rPr>
            </w:pPr>
            <w:r>
              <w:rPr>
                <w:rFonts w:ascii="Times New Roman" w:hAnsi="Times New Roman" w:cs="Times New Roman"/>
                <w:color w:val="auto"/>
                <w:position w:val="1"/>
                <w:sz w:val="21"/>
                <w:szCs w:val="21"/>
                <w:highlight w:val="none"/>
              </w:rPr>
              <w:t>…</w:t>
            </w:r>
          </w:p>
        </w:tc>
        <w:tc>
          <w:tcPr>
            <w:tcW w:w="1231" w:type="dxa"/>
          </w:tcPr>
          <w:p w14:paraId="3C500EC2">
            <w:pPr>
              <w:spacing w:line="400" w:lineRule="exact"/>
              <w:rPr>
                <w:rFonts w:ascii="Times New Roman" w:hAnsi="Times New Roman" w:eastAsia="宋体" w:cs="Times New Roman"/>
                <w:color w:val="auto"/>
                <w:highlight w:val="none"/>
              </w:rPr>
            </w:pPr>
          </w:p>
        </w:tc>
        <w:tc>
          <w:tcPr>
            <w:tcW w:w="1444" w:type="dxa"/>
          </w:tcPr>
          <w:p w14:paraId="665302EA">
            <w:pPr>
              <w:spacing w:line="400" w:lineRule="exact"/>
              <w:rPr>
                <w:rFonts w:ascii="Times New Roman" w:hAnsi="Times New Roman" w:eastAsia="宋体" w:cs="Times New Roman"/>
                <w:color w:val="auto"/>
                <w:highlight w:val="none"/>
              </w:rPr>
            </w:pPr>
          </w:p>
        </w:tc>
        <w:tc>
          <w:tcPr>
            <w:tcW w:w="1356" w:type="dxa"/>
          </w:tcPr>
          <w:p w14:paraId="19A3AE11">
            <w:pPr>
              <w:spacing w:line="400" w:lineRule="exact"/>
              <w:rPr>
                <w:rFonts w:ascii="Times New Roman" w:hAnsi="Times New Roman" w:eastAsia="宋体" w:cs="Times New Roman"/>
                <w:color w:val="auto"/>
                <w:highlight w:val="none"/>
              </w:rPr>
            </w:pPr>
          </w:p>
        </w:tc>
        <w:tc>
          <w:tcPr>
            <w:tcW w:w="1199" w:type="dxa"/>
          </w:tcPr>
          <w:p w14:paraId="37597A99">
            <w:pPr>
              <w:spacing w:line="400" w:lineRule="exact"/>
              <w:rPr>
                <w:rFonts w:ascii="Times New Roman" w:hAnsi="Times New Roman" w:eastAsia="宋体" w:cs="Times New Roman"/>
                <w:color w:val="auto"/>
                <w:highlight w:val="none"/>
              </w:rPr>
            </w:pPr>
          </w:p>
        </w:tc>
        <w:tc>
          <w:tcPr>
            <w:tcW w:w="714" w:type="dxa"/>
          </w:tcPr>
          <w:p w14:paraId="7EC110CD">
            <w:pPr>
              <w:spacing w:line="400" w:lineRule="exact"/>
              <w:rPr>
                <w:rFonts w:ascii="Times New Roman" w:hAnsi="Times New Roman" w:eastAsia="宋体" w:cs="Times New Roman"/>
                <w:color w:val="auto"/>
                <w:highlight w:val="none"/>
              </w:rPr>
            </w:pPr>
          </w:p>
        </w:tc>
        <w:tc>
          <w:tcPr>
            <w:tcW w:w="1544" w:type="dxa"/>
          </w:tcPr>
          <w:p w14:paraId="4FAE84C7">
            <w:pPr>
              <w:spacing w:line="400" w:lineRule="exact"/>
              <w:rPr>
                <w:rFonts w:ascii="Times New Roman" w:hAnsi="Times New Roman" w:eastAsia="宋体" w:cs="Times New Roman"/>
                <w:color w:val="auto"/>
                <w:highlight w:val="none"/>
              </w:rPr>
            </w:pPr>
          </w:p>
        </w:tc>
        <w:tc>
          <w:tcPr>
            <w:tcW w:w="1579" w:type="dxa"/>
          </w:tcPr>
          <w:p w14:paraId="7528AD51">
            <w:pPr>
              <w:spacing w:line="400" w:lineRule="exact"/>
              <w:rPr>
                <w:rFonts w:ascii="Times New Roman" w:hAnsi="Times New Roman" w:eastAsia="宋体" w:cs="Times New Roman"/>
                <w:color w:val="auto"/>
                <w:highlight w:val="none"/>
              </w:rPr>
            </w:pPr>
          </w:p>
        </w:tc>
      </w:tr>
      <w:tr w14:paraId="03D08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713" w:type="dxa"/>
            <w:tcBorders>
              <w:right w:val="nil"/>
            </w:tcBorders>
          </w:tcPr>
          <w:p w14:paraId="44BA2E7A">
            <w:pPr>
              <w:spacing w:line="400" w:lineRule="exact"/>
              <w:rPr>
                <w:rFonts w:ascii="Times New Roman" w:hAnsi="Times New Roman" w:eastAsia="宋体" w:cs="Times New Roman"/>
                <w:color w:val="auto"/>
                <w:highlight w:val="none"/>
              </w:rPr>
            </w:pPr>
          </w:p>
        </w:tc>
        <w:tc>
          <w:tcPr>
            <w:tcW w:w="1231" w:type="dxa"/>
            <w:tcBorders>
              <w:left w:val="nil"/>
              <w:right w:val="nil"/>
            </w:tcBorders>
          </w:tcPr>
          <w:p w14:paraId="3595CFB2">
            <w:pPr>
              <w:spacing w:line="400" w:lineRule="exact"/>
              <w:rPr>
                <w:rFonts w:ascii="Times New Roman" w:hAnsi="Times New Roman" w:eastAsia="宋体" w:cs="Times New Roman"/>
                <w:color w:val="auto"/>
                <w:highlight w:val="none"/>
              </w:rPr>
            </w:pPr>
          </w:p>
        </w:tc>
        <w:tc>
          <w:tcPr>
            <w:tcW w:w="1444" w:type="dxa"/>
            <w:tcBorders>
              <w:left w:val="nil"/>
              <w:right w:val="nil"/>
            </w:tcBorders>
          </w:tcPr>
          <w:p w14:paraId="4F4D9D2E">
            <w:pPr>
              <w:spacing w:line="400" w:lineRule="exact"/>
              <w:rPr>
                <w:rFonts w:ascii="Times New Roman" w:hAnsi="Times New Roman" w:eastAsia="宋体" w:cs="Times New Roman"/>
                <w:color w:val="auto"/>
                <w:highlight w:val="none"/>
              </w:rPr>
            </w:pPr>
          </w:p>
        </w:tc>
        <w:tc>
          <w:tcPr>
            <w:tcW w:w="1356" w:type="dxa"/>
            <w:tcBorders>
              <w:left w:val="nil"/>
              <w:right w:val="nil"/>
            </w:tcBorders>
          </w:tcPr>
          <w:p w14:paraId="6F93CC6B">
            <w:pPr>
              <w:spacing w:line="400" w:lineRule="exact"/>
              <w:rPr>
                <w:rFonts w:ascii="Times New Roman" w:hAnsi="Times New Roman" w:eastAsia="宋体" w:cs="Times New Roman"/>
                <w:color w:val="auto"/>
                <w:highlight w:val="none"/>
              </w:rPr>
            </w:pPr>
          </w:p>
        </w:tc>
        <w:tc>
          <w:tcPr>
            <w:tcW w:w="1199" w:type="dxa"/>
            <w:tcBorders>
              <w:left w:val="nil"/>
              <w:right w:val="nil"/>
            </w:tcBorders>
          </w:tcPr>
          <w:p w14:paraId="1416157E">
            <w:pPr>
              <w:spacing w:line="400" w:lineRule="exact"/>
              <w:rPr>
                <w:rFonts w:ascii="Times New Roman" w:hAnsi="Times New Roman" w:eastAsia="宋体" w:cs="Times New Roman"/>
                <w:color w:val="auto"/>
                <w:highlight w:val="none"/>
              </w:rPr>
            </w:pPr>
          </w:p>
        </w:tc>
        <w:tc>
          <w:tcPr>
            <w:tcW w:w="714" w:type="dxa"/>
            <w:tcBorders>
              <w:left w:val="nil"/>
              <w:right w:val="nil"/>
            </w:tcBorders>
          </w:tcPr>
          <w:p w14:paraId="2E43368D">
            <w:pPr>
              <w:spacing w:line="400" w:lineRule="exact"/>
              <w:rPr>
                <w:rFonts w:ascii="Times New Roman" w:hAnsi="Times New Roman" w:eastAsia="宋体" w:cs="Times New Roman"/>
                <w:color w:val="auto"/>
                <w:highlight w:val="none"/>
              </w:rPr>
            </w:pPr>
          </w:p>
        </w:tc>
        <w:tc>
          <w:tcPr>
            <w:tcW w:w="1544" w:type="dxa"/>
            <w:tcBorders>
              <w:left w:val="nil"/>
            </w:tcBorders>
          </w:tcPr>
          <w:p w14:paraId="63908667">
            <w:pPr>
              <w:pStyle w:val="32"/>
              <w:spacing w:line="400" w:lineRule="exact"/>
              <w:ind w:left="77"/>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合</w:t>
            </w:r>
            <w:r>
              <w:rPr>
                <w:rFonts w:ascii="Times New Roman" w:hAnsi="Times New Roman" w:cs="Times New Roman"/>
                <w:color w:val="auto"/>
                <w:spacing w:val="6"/>
                <w:sz w:val="21"/>
                <w:szCs w:val="21"/>
                <w:highlight w:val="none"/>
              </w:rPr>
              <w:t xml:space="preserve">     </w:t>
            </w:r>
            <w:r>
              <w:rPr>
                <w:rFonts w:ascii="Times New Roman" w:hAnsi="Times New Roman" w:cs="Times New Roman"/>
                <w:color w:val="auto"/>
                <w:sz w:val="21"/>
                <w:szCs w:val="21"/>
                <w:highlight w:val="none"/>
              </w:rPr>
              <w:t>计</w:t>
            </w:r>
          </w:p>
        </w:tc>
        <w:tc>
          <w:tcPr>
            <w:tcW w:w="1579" w:type="dxa"/>
          </w:tcPr>
          <w:p w14:paraId="3A810CB0">
            <w:pPr>
              <w:spacing w:line="400" w:lineRule="exact"/>
              <w:rPr>
                <w:rFonts w:ascii="Times New Roman" w:hAnsi="Times New Roman" w:eastAsia="宋体" w:cs="Times New Roman"/>
                <w:color w:val="auto"/>
                <w:highlight w:val="none"/>
              </w:rPr>
            </w:pPr>
          </w:p>
        </w:tc>
      </w:tr>
    </w:tbl>
    <w:p w14:paraId="728AB66C">
      <w:pPr>
        <w:pStyle w:val="8"/>
        <w:spacing w:line="400" w:lineRule="exact"/>
        <w:ind w:firstLine="226" w:firstLineChars="100"/>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根据《成交通知书》的</w:t>
      </w:r>
      <w:r>
        <w:rPr>
          <w:rFonts w:hint="eastAsia" w:ascii="Times New Roman" w:hAnsi="Times New Roman" w:eastAsia="宋体" w:cs="Times New Roman"/>
          <w:color w:val="auto"/>
          <w:spacing w:val="8"/>
          <w:highlight w:val="none"/>
          <w:lang w:eastAsia="zh-CN"/>
        </w:rPr>
        <w:t>成交</w:t>
      </w:r>
      <w:r>
        <w:rPr>
          <w:rFonts w:ascii="Times New Roman" w:hAnsi="Times New Roman" w:eastAsia="宋体" w:cs="Times New Roman"/>
          <w:color w:val="auto"/>
          <w:spacing w:val="8"/>
          <w:highlight w:val="none"/>
          <w:lang w:eastAsia="zh-CN"/>
        </w:rPr>
        <w:t>内容，合同的总金额为</w:t>
      </w:r>
      <w:r>
        <w:rPr>
          <w:rFonts w:ascii="Times New Roman" w:hAnsi="Times New Roman" w:eastAsia="宋体" w:cs="Times New Roman"/>
          <w:color w:val="auto"/>
          <w:spacing w:val="-5"/>
          <w:highlight w:val="none"/>
          <w:lang w:eastAsia="zh-CN"/>
        </w:rPr>
        <w:t>：（</w:t>
      </w:r>
      <w:r>
        <w:rPr>
          <w:rFonts w:ascii="Times New Roman" w:hAnsi="Times New Roman" w:eastAsia="宋体" w:cs="Times New Roman"/>
          <w:color w:val="auto"/>
          <w:spacing w:val="8"/>
          <w:highlight w:val="none"/>
          <w:lang w:eastAsia="zh-CN"/>
        </w:rPr>
        <w:t>大写）</w:t>
      </w:r>
      <w:r>
        <w:rPr>
          <w:rFonts w:ascii="Times New Roman" w:hAnsi="Times New Roman" w:eastAsia="宋体" w:cs="Times New Roman"/>
          <w:color w:val="auto"/>
          <w:spacing w:val="8"/>
          <w:highlight w:val="none"/>
          <w:u w:val="single"/>
          <w:lang w:eastAsia="zh-CN"/>
        </w:rPr>
        <w:t xml:space="preserve">    </w:t>
      </w:r>
      <w:r>
        <w:rPr>
          <w:rFonts w:hint="eastAsia" w:ascii="Times New Roman" w:hAnsi="Times New Roman" w:eastAsia="宋体" w:cs="Times New Roman"/>
          <w:color w:val="auto"/>
          <w:spacing w:val="8"/>
          <w:highlight w:val="none"/>
          <w:u w:val="single"/>
          <w:lang w:val="en-US" w:eastAsia="zh-CN"/>
        </w:rPr>
        <w:t xml:space="preserve">        </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spacing w:val="-90"/>
          <w:highlight w:val="none"/>
          <w:lang w:eastAsia="zh-CN"/>
        </w:rPr>
        <w:t xml:space="preserve"> </w:t>
      </w:r>
      <w:r>
        <w:rPr>
          <w:rFonts w:ascii="Times New Roman" w:hAnsi="Times New Roman" w:eastAsia="宋体" w:cs="Times New Roman"/>
          <w:color w:val="auto"/>
          <w:spacing w:val="8"/>
          <w:highlight w:val="none"/>
          <w:lang w:eastAsia="zh-CN"/>
        </w:rPr>
        <w:t>人民币 (¥</w:t>
      </w:r>
      <w:r>
        <w:rPr>
          <w:rFonts w:ascii="Times New Roman" w:hAnsi="Times New Roman" w:eastAsia="宋体" w:cs="Times New Roman"/>
          <w:color w:val="auto"/>
          <w:spacing w:val="-99"/>
          <w:highlight w:val="none"/>
          <w:lang w:eastAsia="zh-CN"/>
        </w:rPr>
        <w:t xml:space="preserve"> </w:t>
      </w:r>
      <w:r>
        <w:rPr>
          <w:rFonts w:ascii="Times New Roman" w:hAnsi="Times New Roman" w:eastAsia="宋体" w:cs="Times New Roman"/>
          <w:color w:val="auto"/>
          <w:spacing w:val="4"/>
          <w:highlight w:val="none"/>
          <w:u w:val="single"/>
          <w:lang w:eastAsia="zh-CN"/>
        </w:rPr>
        <w:t xml:space="preserve">   </w:t>
      </w:r>
      <w:r>
        <w:rPr>
          <w:rFonts w:hint="eastAsia" w:ascii="Times New Roman" w:hAnsi="Times New Roman" w:eastAsia="宋体" w:cs="Times New Roman"/>
          <w:color w:val="auto"/>
          <w:spacing w:val="4"/>
          <w:highlight w:val="none"/>
          <w:u w:val="single"/>
          <w:lang w:val="en-US" w:eastAsia="zh-CN"/>
        </w:rPr>
        <w:t xml:space="preserve">                    </w:t>
      </w:r>
      <w:r>
        <w:rPr>
          <w:rFonts w:ascii="Times New Roman" w:hAnsi="Times New Roman" w:eastAsia="宋体" w:cs="Times New Roman"/>
          <w:color w:val="auto"/>
          <w:spacing w:val="4"/>
          <w:highlight w:val="none"/>
          <w:u w:val="single"/>
          <w:lang w:eastAsia="zh-CN"/>
        </w:rPr>
        <w:t xml:space="preserve">   </w:t>
      </w:r>
      <w:r>
        <w:rPr>
          <w:rFonts w:ascii="Times New Roman" w:hAnsi="Times New Roman" w:eastAsia="宋体" w:cs="Times New Roman"/>
          <w:color w:val="auto"/>
          <w:spacing w:val="8"/>
          <w:highlight w:val="none"/>
          <w:lang w:eastAsia="zh-CN"/>
        </w:rPr>
        <w:t>）</w:t>
      </w:r>
    </w:p>
    <w:p w14:paraId="4E8539E1">
      <w:pPr>
        <w:pStyle w:val="8"/>
        <w:spacing w:line="400" w:lineRule="exact"/>
        <w:ind w:left="440"/>
        <w:outlineLvl w:val="1"/>
        <w:rPr>
          <w:rFonts w:ascii="Times New Roman" w:hAnsi="Times New Roman" w:eastAsia="宋体" w:cs="Times New Roman"/>
          <w:color w:val="auto"/>
          <w:highlight w:val="none"/>
          <w:lang w:eastAsia="zh-CN"/>
        </w:rPr>
      </w:pPr>
      <w:bookmarkStart w:id="23" w:name="bookmark54"/>
      <w:bookmarkEnd w:id="23"/>
      <w:r>
        <w:rPr>
          <w:rFonts w:ascii="Times New Roman" w:hAnsi="Times New Roman" w:eastAsia="宋体" w:cs="Times New Roman"/>
          <w:b/>
          <w:bCs/>
          <w:color w:val="auto"/>
          <w:spacing w:val="6"/>
          <w:highlight w:val="none"/>
          <w:lang w:eastAsia="zh-CN"/>
        </w:rPr>
        <w:t>第二条</w:t>
      </w:r>
      <w:r>
        <w:rPr>
          <w:rFonts w:ascii="Times New Roman" w:hAnsi="Times New Roman" w:eastAsia="宋体" w:cs="Times New Roman"/>
          <w:color w:val="auto"/>
          <w:spacing w:val="6"/>
          <w:highlight w:val="none"/>
          <w:lang w:eastAsia="zh-CN"/>
        </w:rPr>
        <w:t xml:space="preserve">  </w:t>
      </w:r>
      <w:r>
        <w:rPr>
          <w:rFonts w:ascii="Times New Roman" w:hAnsi="Times New Roman" w:eastAsia="宋体" w:cs="Times New Roman"/>
          <w:b/>
          <w:bCs/>
          <w:color w:val="auto"/>
          <w:spacing w:val="6"/>
          <w:highlight w:val="none"/>
          <w:lang w:eastAsia="zh-CN"/>
        </w:rPr>
        <w:t>质量保证</w:t>
      </w:r>
    </w:p>
    <w:p w14:paraId="680A5543">
      <w:pPr>
        <w:pStyle w:val="8"/>
        <w:spacing w:line="400" w:lineRule="exact"/>
        <w:ind w:left="45" w:right="164" w:firstLine="411"/>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1.乙方应按响应文件承诺的货物规格型号、技术参数、质量标准等向甲方提供未经使用的全新原装产品，且在正常安装使用和保养条件下，其使用寿命期内各项指标均达到质量标</w:t>
      </w:r>
      <w:r>
        <w:rPr>
          <w:rFonts w:ascii="Times New Roman" w:hAnsi="Times New Roman" w:eastAsia="宋体" w:cs="Times New Roman"/>
          <w:color w:val="auto"/>
          <w:spacing w:val="8"/>
          <w:highlight w:val="none"/>
          <w:lang w:eastAsia="zh-CN"/>
        </w:rPr>
        <w:t>准。</w:t>
      </w:r>
    </w:p>
    <w:p w14:paraId="6F75D416">
      <w:pPr>
        <w:pStyle w:val="8"/>
        <w:spacing w:line="400" w:lineRule="exact"/>
        <w:ind w:left="27" w:firstLine="437"/>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7"/>
          <w:highlight w:val="none"/>
          <w:lang w:eastAsia="zh-CN"/>
        </w:rPr>
        <w:t>2.乙方提供货物的保修期为</w:t>
      </w:r>
      <w:r>
        <w:rPr>
          <w:rFonts w:ascii="Times New Roman" w:hAnsi="Times New Roman" w:eastAsia="宋体" w:cs="Times New Roman"/>
          <w:color w:val="auto"/>
          <w:spacing w:val="7"/>
          <w:highlight w:val="none"/>
          <w:u w:val="single"/>
          <w:lang w:eastAsia="zh-CN"/>
        </w:rPr>
        <w:t xml:space="preserve">           </w:t>
      </w:r>
      <w:r>
        <w:rPr>
          <w:rFonts w:ascii="Times New Roman" w:hAnsi="Times New Roman" w:eastAsia="宋体" w:cs="Times New Roman"/>
          <w:color w:val="auto"/>
          <w:spacing w:val="7"/>
          <w:highlight w:val="none"/>
          <w:lang w:eastAsia="zh-CN"/>
        </w:rPr>
        <w:t>（厂家规定保修期超过一年的，按厂家规定，“采购需求</w:t>
      </w:r>
      <w:r>
        <w:rPr>
          <w:rFonts w:ascii="Times New Roman" w:hAnsi="Times New Roman" w:eastAsia="宋体" w:cs="Times New Roman"/>
          <w:color w:val="auto"/>
          <w:spacing w:val="-59"/>
          <w:highlight w:val="none"/>
          <w:lang w:eastAsia="zh-CN"/>
        </w:rPr>
        <w:t xml:space="preserve"> </w:t>
      </w:r>
      <w:r>
        <w:rPr>
          <w:rFonts w:ascii="Times New Roman" w:hAnsi="Times New Roman" w:eastAsia="宋体" w:cs="Times New Roman"/>
          <w:color w:val="auto"/>
          <w:spacing w:val="7"/>
          <w:highlight w:val="none"/>
          <w:lang w:eastAsia="zh-CN"/>
        </w:rPr>
        <w:t>”有</w:t>
      </w:r>
      <w:r>
        <w:rPr>
          <w:rFonts w:ascii="Times New Roman" w:hAnsi="Times New Roman" w:eastAsia="宋体" w:cs="Times New Roman"/>
          <w:color w:val="auto"/>
          <w:spacing w:val="9"/>
          <w:highlight w:val="none"/>
          <w:lang w:eastAsia="zh-CN"/>
        </w:rPr>
        <w:t>规定的，按规定执行）。在保修期内因货物本身的质量问题发生故障</w:t>
      </w:r>
      <w:r>
        <w:rPr>
          <w:rFonts w:ascii="Times New Roman" w:hAnsi="Times New Roman" w:eastAsia="宋体" w:cs="Times New Roman"/>
          <w:color w:val="auto"/>
          <w:spacing w:val="8"/>
          <w:highlight w:val="none"/>
          <w:lang w:eastAsia="zh-CN"/>
        </w:rPr>
        <w:t>，乙方应负责免费修理和更换零部件。</w:t>
      </w:r>
      <w:r>
        <w:rPr>
          <w:rFonts w:ascii="Times New Roman" w:hAnsi="Times New Roman" w:eastAsia="宋体" w:cs="Times New Roman"/>
          <w:color w:val="auto"/>
          <w:spacing w:val="9"/>
          <w:highlight w:val="none"/>
          <w:lang w:eastAsia="zh-CN"/>
        </w:rPr>
        <w:t>对达不到技术要求者，根据实际情况，经双方协商，可按以下第（1）款办法处理：</w:t>
      </w:r>
    </w:p>
    <w:p w14:paraId="16564DA6">
      <w:pPr>
        <w:pStyle w:val="8"/>
        <w:spacing w:line="400" w:lineRule="exact"/>
        <w:ind w:left="472"/>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6"/>
          <w:highlight w:val="none"/>
          <w:lang w:eastAsia="zh-CN"/>
        </w:rPr>
        <w:t>（1）更换：</w:t>
      </w:r>
      <w:r>
        <w:rPr>
          <w:rFonts w:ascii="Times New Roman" w:hAnsi="Times New Roman" w:eastAsia="宋体" w:cs="Times New Roman"/>
          <w:color w:val="auto"/>
          <w:spacing w:val="-54"/>
          <w:highlight w:val="none"/>
          <w:lang w:eastAsia="zh-CN"/>
        </w:rPr>
        <w:t xml:space="preserve"> </w:t>
      </w:r>
      <w:r>
        <w:rPr>
          <w:rFonts w:ascii="Times New Roman" w:hAnsi="Times New Roman" w:eastAsia="宋体" w:cs="Times New Roman"/>
          <w:color w:val="auto"/>
          <w:spacing w:val="6"/>
          <w:highlight w:val="none"/>
          <w:lang w:eastAsia="zh-CN"/>
        </w:rPr>
        <w:t>由乙方承担所有发生的全部费用。</w:t>
      </w:r>
    </w:p>
    <w:p w14:paraId="07EDA450">
      <w:pPr>
        <w:pStyle w:val="8"/>
        <w:spacing w:line="400" w:lineRule="exact"/>
        <w:ind w:left="45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5"/>
          <w:highlight w:val="none"/>
          <w:lang w:eastAsia="zh-CN"/>
        </w:rPr>
        <w:t>（2）贬值处理：</w:t>
      </w:r>
      <w:r>
        <w:rPr>
          <w:rFonts w:ascii="Times New Roman" w:hAnsi="Times New Roman" w:eastAsia="宋体" w:cs="Times New Roman"/>
          <w:color w:val="auto"/>
          <w:spacing w:val="-46"/>
          <w:highlight w:val="none"/>
          <w:lang w:eastAsia="zh-CN"/>
        </w:rPr>
        <w:t xml:space="preserve"> </w:t>
      </w:r>
      <w:r>
        <w:rPr>
          <w:rFonts w:ascii="Times New Roman" w:hAnsi="Times New Roman" w:eastAsia="宋体" w:cs="Times New Roman"/>
          <w:color w:val="auto"/>
          <w:spacing w:val="5"/>
          <w:highlight w:val="none"/>
          <w:lang w:eastAsia="zh-CN"/>
        </w:rPr>
        <w:t>由甲乙双方合议定价。</w:t>
      </w:r>
    </w:p>
    <w:p w14:paraId="42C53DB8">
      <w:pPr>
        <w:pStyle w:val="8"/>
        <w:spacing w:line="400" w:lineRule="exact"/>
        <w:ind w:left="25" w:right="86" w:firstLine="432"/>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（3）退货处理：乙方应退还甲方支付的合同款，同时应承担该货</w:t>
      </w:r>
      <w:r>
        <w:rPr>
          <w:rFonts w:ascii="Times New Roman" w:hAnsi="Times New Roman" w:eastAsia="宋体" w:cs="Times New Roman"/>
          <w:color w:val="auto"/>
          <w:spacing w:val="8"/>
          <w:highlight w:val="none"/>
          <w:lang w:eastAsia="zh-CN"/>
        </w:rPr>
        <w:t>物的直接费用（运输、保险、检验、</w:t>
      </w:r>
      <w:r>
        <w:rPr>
          <w:rFonts w:ascii="Times New Roman" w:hAnsi="Times New Roman" w:eastAsia="宋体" w:cs="Times New Roman"/>
          <w:color w:val="auto"/>
          <w:spacing w:val="7"/>
          <w:highlight w:val="none"/>
          <w:lang w:eastAsia="zh-CN"/>
        </w:rPr>
        <w:t>贷款利息及银行手续费等）。</w:t>
      </w:r>
    </w:p>
    <w:p w14:paraId="23DD9F93">
      <w:pPr>
        <w:pStyle w:val="8"/>
        <w:spacing w:line="400" w:lineRule="exact"/>
        <w:ind w:left="440"/>
        <w:outlineLvl w:val="1"/>
        <w:rPr>
          <w:rFonts w:ascii="Times New Roman" w:hAnsi="Times New Roman" w:eastAsia="宋体" w:cs="Times New Roman"/>
          <w:color w:val="auto"/>
          <w:highlight w:val="none"/>
          <w:lang w:eastAsia="zh-CN"/>
        </w:rPr>
      </w:pPr>
      <w:bookmarkStart w:id="24" w:name="bookmark55"/>
      <w:bookmarkEnd w:id="24"/>
      <w:r>
        <w:rPr>
          <w:rFonts w:ascii="Times New Roman" w:hAnsi="Times New Roman" w:eastAsia="宋体" w:cs="Times New Roman"/>
          <w:b/>
          <w:bCs/>
          <w:color w:val="auto"/>
          <w:spacing w:val="6"/>
          <w:highlight w:val="none"/>
          <w:lang w:eastAsia="zh-CN"/>
        </w:rPr>
        <w:t>第三条</w:t>
      </w:r>
      <w:r>
        <w:rPr>
          <w:rFonts w:ascii="Times New Roman" w:hAnsi="Times New Roman" w:eastAsia="宋体" w:cs="Times New Roman"/>
          <w:color w:val="auto"/>
          <w:spacing w:val="6"/>
          <w:highlight w:val="none"/>
          <w:lang w:eastAsia="zh-CN"/>
        </w:rPr>
        <w:t xml:space="preserve">  </w:t>
      </w:r>
      <w:r>
        <w:rPr>
          <w:rFonts w:ascii="Times New Roman" w:hAnsi="Times New Roman" w:eastAsia="宋体" w:cs="Times New Roman"/>
          <w:b/>
          <w:bCs/>
          <w:color w:val="auto"/>
          <w:spacing w:val="6"/>
          <w:highlight w:val="none"/>
          <w:lang w:eastAsia="zh-CN"/>
        </w:rPr>
        <w:t>权利保证</w:t>
      </w:r>
    </w:p>
    <w:p w14:paraId="083F9B2E">
      <w:pPr>
        <w:pStyle w:val="8"/>
        <w:spacing w:line="400" w:lineRule="exact"/>
        <w:ind w:left="32" w:right="157" w:firstLine="430"/>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1.乙方应保证所提供货物在使用时不会侵犯任何第三方的专利权、商标权、工业设计权或其他权利。</w:t>
      </w:r>
    </w:p>
    <w:p w14:paraId="0B30DFD9">
      <w:pPr>
        <w:pStyle w:val="8"/>
        <w:spacing w:line="400" w:lineRule="exact"/>
        <w:ind w:left="32" w:right="157" w:firstLine="430"/>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2.乙方应按谈判文件规定的时间向甲方提供使用货物的有关技术资料。</w:t>
      </w:r>
    </w:p>
    <w:p w14:paraId="6D083AC8">
      <w:pPr>
        <w:pStyle w:val="8"/>
        <w:spacing w:line="400" w:lineRule="exact"/>
        <w:ind w:left="32" w:right="157" w:firstLine="430"/>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3.乙方保证所交付的货物的所有权完全属于乙方且无任何抵押、质押、查封等产权瑕疵。</w:t>
      </w:r>
    </w:p>
    <w:p w14:paraId="6FC3F846">
      <w:pPr>
        <w:pStyle w:val="8"/>
        <w:spacing w:line="400" w:lineRule="exact"/>
        <w:ind w:left="440"/>
        <w:outlineLvl w:val="1"/>
        <w:rPr>
          <w:rFonts w:ascii="Times New Roman" w:hAnsi="Times New Roman" w:eastAsia="宋体" w:cs="Times New Roman"/>
          <w:color w:val="auto"/>
          <w:highlight w:val="none"/>
          <w:lang w:eastAsia="zh-CN"/>
        </w:rPr>
      </w:pPr>
      <w:bookmarkStart w:id="25" w:name="bookmark56"/>
      <w:bookmarkEnd w:id="25"/>
      <w:r>
        <w:rPr>
          <w:rFonts w:ascii="Times New Roman" w:hAnsi="Times New Roman" w:eastAsia="宋体" w:cs="Times New Roman"/>
          <w:b/>
          <w:bCs/>
          <w:color w:val="auto"/>
          <w:spacing w:val="7"/>
          <w:highlight w:val="none"/>
          <w:lang w:eastAsia="zh-CN"/>
        </w:rPr>
        <w:t>第四条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货物包装、运输</w:t>
      </w:r>
    </w:p>
    <w:p w14:paraId="4C188BBE">
      <w:pPr>
        <w:pStyle w:val="8"/>
        <w:spacing w:line="400" w:lineRule="exact"/>
        <w:ind w:left="32" w:right="157" w:firstLine="430"/>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1.乙方应在货物发运前对其进行满足运输距离、防潮、防震、防锈和防破损装卸等要求包装，</w:t>
      </w:r>
      <w:r>
        <w:rPr>
          <w:rFonts w:ascii="Times New Roman" w:hAnsi="Times New Roman" w:eastAsia="宋体" w:cs="Times New Roman"/>
          <w:color w:val="auto"/>
          <w:spacing w:val="-48"/>
          <w:highlight w:val="none"/>
          <w:lang w:eastAsia="zh-CN"/>
        </w:rPr>
        <w:t xml:space="preserve"> </w:t>
      </w:r>
      <w:r>
        <w:rPr>
          <w:rFonts w:ascii="Times New Roman" w:hAnsi="Times New Roman" w:eastAsia="宋体" w:cs="Times New Roman"/>
          <w:color w:val="auto"/>
          <w:spacing w:val="8"/>
          <w:highlight w:val="none"/>
          <w:lang w:eastAsia="zh-CN"/>
        </w:rPr>
        <w:t>以保证货物安全运达甲方指定地点。</w:t>
      </w:r>
    </w:p>
    <w:p w14:paraId="64B5CAAB">
      <w:pPr>
        <w:pStyle w:val="8"/>
        <w:spacing w:line="400" w:lineRule="exact"/>
        <w:ind w:left="39" w:right="192" w:firstLine="411"/>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2.使用中文说明书（货物属于进口产品的，供货时应同时附上中文使</w:t>
      </w:r>
      <w:r>
        <w:rPr>
          <w:rFonts w:ascii="Times New Roman" w:hAnsi="Times New Roman" w:eastAsia="宋体" w:cs="Times New Roman"/>
          <w:color w:val="auto"/>
          <w:spacing w:val="8"/>
          <w:highlight w:val="none"/>
          <w:lang w:eastAsia="zh-CN"/>
        </w:rPr>
        <w:t>用说明书）、质量检验证明书、随配附件和工具以及清单一并附于货物内。</w:t>
      </w:r>
    </w:p>
    <w:p w14:paraId="2D2CE960">
      <w:pPr>
        <w:pStyle w:val="8"/>
        <w:spacing w:line="400" w:lineRule="exact"/>
        <w:ind w:left="39" w:right="192" w:firstLine="41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3.乙方在货物发运手续办理完毕后二十四小时内或货到甲方四十八小时前通知甲方， 以准备接货。</w:t>
      </w:r>
    </w:p>
    <w:p w14:paraId="2F01C6E4">
      <w:pPr>
        <w:pStyle w:val="8"/>
        <w:spacing w:line="400" w:lineRule="exact"/>
        <w:ind w:left="427"/>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4.货物在交付甲方前发生的风险均由乙方负责。</w:t>
      </w:r>
    </w:p>
    <w:p w14:paraId="7237E973">
      <w:pPr>
        <w:pStyle w:val="8"/>
        <w:spacing w:line="400" w:lineRule="exact"/>
        <w:ind w:left="420"/>
        <w:outlineLvl w:val="1"/>
        <w:rPr>
          <w:rFonts w:ascii="Times New Roman" w:hAnsi="Times New Roman" w:eastAsia="宋体" w:cs="Times New Roman"/>
          <w:color w:val="auto"/>
          <w:highlight w:val="none"/>
          <w:lang w:eastAsia="zh-CN"/>
        </w:rPr>
      </w:pPr>
      <w:bookmarkStart w:id="26" w:name="bookmark58"/>
      <w:bookmarkEnd w:id="26"/>
      <w:bookmarkStart w:id="27" w:name="bookmark57"/>
      <w:bookmarkEnd w:id="27"/>
      <w:r>
        <w:rPr>
          <w:rFonts w:ascii="Times New Roman" w:hAnsi="Times New Roman" w:eastAsia="宋体" w:cs="Times New Roman"/>
          <w:b/>
          <w:bCs/>
          <w:color w:val="auto"/>
          <w:spacing w:val="4"/>
          <w:highlight w:val="none"/>
          <w:lang w:eastAsia="zh-CN"/>
        </w:rPr>
        <w:t>第五条</w:t>
      </w:r>
      <w:r>
        <w:rPr>
          <w:rFonts w:ascii="Times New Roman" w:hAnsi="Times New Roman" w:eastAsia="宋体" w:cs="Times New Roman"/>
          <w:color w:val="auto"/>
          <w:spacing w:val="11"/>
          <w:highlight w:val="none"/>
          <w:lang w:eastAsia="zh-CN"/>
        </w:rPr>
        <w:t xml:space="preserve">  </w:t>
      </w:r>
      <w:r>
        <w:rPr>
          <w:rFonts w:ascii="Times New Roman" w:hAnsi="Times New Roman" w:eastAsia="宋体" w:cs="Times New Roman"/>
          <w:b/>
          <w:bCs/>
          <w:color w:val="auto"/>
          <w:spacing w:val="4"/>
          <w:highlight w:val="none"/>
          <w:lang w:eastAsia="zh-CN"/>
        </w:rPr>
        <w:t>交付</w:t>
      </w:r>
    </w:p>
    <w:p w14:paraId="6603CBB3">
      <w:pPr>
        <w:pStyle w:val="8"/>
        <w:spacing w:line="400" w:lineRule="exact"/>
        <w:ind w:left="12" w:right="70" w:firstLine="431"/>
        <w:rPr>
          <w:rFonts w:ascii="Times New Roman" w:hAnsi="Times New Roman" w:eastAsia="宋体" w:cs="Times New Roman"/>
          <w:color w:val="auto"/>
          <w:spacing w:val="8"/>
          <w:highlight w:val="none"/>
          <w:lang w:eastAsia="zh-CN"/>
        </w:rPr>
      </w:pPr>
      <w:bookmarkStart w:id="28" w:name="bookmark59"/>
      <w:bookmarkEnd w:id="28"/>
      <w:r>
        <w:rPr>
          <w:rFonts w:ascii="Times New Roman" w:hAnsi="Times New Roman" w:eastAsia="宋体" w:cs="Times New Roman"/>
          <w:color w:val="auto"/>
          <w:spacing w:val="8"/>
          <w:highlight w:val="none"/>
          <w:lang w:eastAsia="zh-CN"/>
        </w:rPr>
        <w:t>1.交付时间：</w:t>
      </w:r>
      <w:r>
        <w:rPr>
          <w:rFonts w:hint="eastAsia" w:ascii="Times New Roman" w:hAnsi="Times New Roman" w:eastAsia="宋体" w:cs="Times New Roman"/>
          <w:color w:val="auto"/>
          <w:spacing w:val="8"/>
          <w:highlight w:val="none"/>
          <w:u w:val="single"/>
          <w:lang w:val="en-US" w:eastAsia="zh-CN"/>
        </w:rPr>
        <w:t xml:space="preserve">                                       </w:t>
      </w:r>
      <w:r>
        <w:rPr>
          <w:rFonts w:ascii="Times New Roman" w:hAnsi="Times New Roman" w:eastAsia="宋体" w:cs="Times New Roman"/>
          <w:color w:val="auto"/>
          <w:spacing w:val="8"/>
          <w:highlight w:val="none"/>
          <w:lang w:eastAsia="zh-CN"/>
        </w:rPr>
        <w:t>。</w:t>
      </w:r>
    </w:p>
    <w:p w14:paraId="3AAA73A9">
      <w:pPr>
        <w:pStyle w:val="8"/>
        <w:spacing w:line="400" w:lineRule="exact"/>
        <w:ind w:left="12" w:right="70" w:firstLine="43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2.交付地点：</w:t>
      </w:r>
      <w:r>
        <w:rPr>
          <w:rFonts w:hint="eastAsia" w:ascii="Times New Roman" w:hAnsi="Times New Roman" w:eastAsia="宋体" w:cs="Times New Roman"/>
          <w:color w:val="auto"/>
          <w:spacing w:val="8"/>
          <w:highlight w:val="none"/>
          <w:u w:val="single"/>
          <w:lang w:val="en-US" w:eastAsia="zh-CN"/>
        </w:rPr>
        <w:t xml:space="preserve">                                      </w:t>
      </w:r>
      <w:r>
        <w:rPr>
          <w:rFonts w:ascii="Times New Roman" w:hAnsi="Times New Roman" w:eastAsia="宋体" w:cs="Times New Roman"/>
          <w:color w:val="auto"/>
          <w:spacing w:val="8"/>
          <w:highlight w:val="none"/>
          <w:lang w:eastAsia="zh-CN"/>
        </w:rPr>
        <w:t>。</w:t>
      </w:r>
    </w:p>
    <w:p w14:paraId="3823E7DF">
      <w:pPr>
        <w:pStyle w:val="8"/>
        <w:spacing w:line="400" w:lineRule="exact"/>
        <w:ind w:left="420"/>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spacing w:val="6"/>
          <w:highlight w:val="none"/>
          <w:lang w:eastAsia="zh-CN"/>
        </w:rPr>
        <w:t>第六条</w:t>
      </w:r>
      <w:r>
        <w:rPr>
          <w:rFonts w:ascii="Times New Roman" w:hAnsi="Times New Roman" w:eastAsia="宋体" w:cs="Times New Roman"/>
          <w:color w:val="auto"/>
          <w:spacing w:val="6"/>
          <w:highlight w:val="none"/>
          <w:lang w:eastAsia="zh-CN"/>
        </w:rPr>
        <w:t xml:space="preserve">  </w:t>
      </w:r>
      <w:r>
        <w:rPr>
          <w:rFonts w:ascii="Times New Roman" w:hAnsi="Times New Roman" w:eastAsia="宋体" w:cs="Times New Roman"/>
          <w:b/>
          <w:bCs/>
          <w:color w:val="auto"/>
          <w:spacing w:val="6"/>
          <w:highlight w:val="none"/>
          <w:lang w:eastAsia="zh-CN"/>
        </w:rPr>
        <w:t>验收方式</w:t>
      </w:r>
    </w:p>
    <w:p w14:paraId="548328CE">
      <w:pPr>
        <w:pStyle w:val="8"/>
        <w:spacing w:line="400" w:lineRule="exact"/>
        <w:ind w:left="12" w:right="70" w:firstLine="43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1.采购人将组织相关人员及专家对采购项目进行验收，验收意见作为验收书的参考资料存档备查，验收将严格按照谈判文件的规定和响应文件及承诺执行，验收不合格的将根据合同有关条款进行处理。</w:t>
      </w:r>
    </w:p>
    <w:p w14:paraId="46C15C06">
      <w:pPr>
        <w:pStyle w:val="8"/>
        <w:spacing w:line="400" w:lineRule="exact"/>
        <w:ind w:left="12" w:right="70" w:firstLine="43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2.验收依据：按照谈判文件要求及成交供应商的响应文件。</w:t>
      </w:r>
    </w:p>
    <w:p w14:paraId="02F42F52">
      <w:pPr>
        <w:pStyle w:val="8"/>
        <w:spacing w:line="400" w:lineRule="exact"/>
        <w:ind w:left="12" w:right="70" w:firstLine="43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3.成交供应商必须提供原装正品的、全新的、符合有关质量标准的产品和按要求提供资料。交货时，采购人现场根据采购文件要求及响应文件承诺逐条对应进行核验，若发现产品不符合谈判文件和响应文件承诺要求的，采购人不予验收，同时报相关监督管理部门处理，由此造成采购人经济损失的由成交供应商负责承担全部赔偿责任。</w:t>
      </w:r>
    </w:p>
    <w:p w14:paraId="6CC807CC">
      <w:pPr>
        <w:pStyle w:val="8"/>
        <w:spacing w:line="400" w:lineRule="exact"/>
        <w:ind w:left="420"/>
        <w:outlineLvl w:val="1"/>
        <w:rPr>
          <w:rFonts w:ascii="Times New Roman" w:hAnsi="Times New Roman" w:eastAsia="宋体" w:cs="Times New Roman"/>
          <w:color w:val="auto"/>
          <w:highlight w:val="none"/>
          <w:lang w:eastAsia="zh-CN"/>
        </w:rPr>
      </w:pPr>
      <w:bookmarkStart w:id="29" w:name="bookmark60"/>
      <w:bookmarkEnd w:id="29"/>
      <w:r>
        <w:rPr>
          <w:rFonts w:ascii="Times New Roman" w:hAnsi="Times New Roman" w:eastAsia="宋体" w:cs="Times New Roman"/>
          <w:b/>
          <w:bCs/>
          <w:color w:val="auto"/>
          <w:spacing w:val="6"/>
          <w:highlight w:val="none"/>
          <w:lang w:eastAsia="zh-CN"/>
        </w:rPr>
        <w:t>第七条</w:t>
      </w:r>
      <w:r>
        <w:rPr>
          <w:rFonts w:ascii="Times New Roman" w:hAnsi="Times New Roman" w:eastAsia="宋体" w:cs="Times New Roman"/>
          <w:color w:val="auto"/>
          <w:spacing w:val="6"/>
          <w:highlight w:val="none"/>
          <w:lang w:eastAsia="zh-CN"/>
        </w:rPr>
        <w:t xml:space="preserve">  </w:t>
      </w:r>
      <w:r>
        <w:rPr>
          <w:rFonts w:ascii="Times New Roman" w:hAnsi="Times New Roman" w:eastAsia="宋体" w:cs="Times New Roman"/>
          <w:b/>
          <w:bCs/>
          <w:color w:val="auto"/>
          <w:spacing w:val="6"/>
          <w:highlight w:val="none"/>
          <w:lang w:eastAsia="zh-CN"/>
        </w:rPr>
        <w:t>安装和培训</w:t>
      </w:r>
    </w:p>
    <w:p w14:paraId="50E000FE">
      <w:pPr>
        <w:pStyle w:val="8"/>
        <w:spacing w:line="400" w:lineRule="exact"/>
        <w:ind w:left="447"/>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spacing w:val="9"/>
          <w:highlight w:val="none"/>
          <w:lang w:eastAsia="zh-CN"/>
        </w:rPr>
        <w:t>乙方</w:t>
      </w:r>
      <w:r>
        <w:rPr>
          <w:rFonts w:ascii="Times New Roman" w:hAnsi="Times New Roman" w:eastAsia="宋体" w:cs="Times New Roman"/>
          <w:color w:val="auto"/>
          <w:spacing w:val="9"/>
          <w:highlight w:val="none"/>
          <w:lang w:eastAsia="zh-CN"/>
        </w:rPr>
        <w:t>商根据本项目，特派出技术人员对采购方免费提供基本维护、保</w:t>
      </w:r>
      <w:r>
        <w:rPr>
          <w:rFonts w:ascii="Times New Roman" w:hAnsi="Times New Roman" w:eastAsia="宋体" w:cs="Times New Roman"/>
          <w:color w:val="auto"/>
          <w:spacing w:val="8"/>
          <w:highlight w:val="none"/>
          <w:lang w:eastAsia="zh-CN"/>
        </w:rPr>
        <w:t>养等培训。</w:t>
      </w:r>
    </w:p>
    <w:p w14:paraId="3C92DF9F">
      <w:pPr>
        <w:pStyle w:val="8"/>
        <w:spacing w:line="400" w:lineRule="exact"/>
        <w:ind w:left="420"/>
        <w:outlineLvl w:val="1"/>
        <w:rPr>
          <w:rFonts w:ascii="Times New Roman" w:hAnsi="Times New Roman" w:eastAsia="宋体" w:cs="Times New Roman"/>
          <w:color w:val="auto"/>
          <w:highlight w:val="none"/>
          <w:lang w:eastAsia="zh-CN"/>
        </w:rPr>
      </w:pPr>
      <w:bookmarkStart w:id="30" w:name="bookmark82"/>
      <w:bookmarkEnd w:id="30"/>
      <w:r>
        <w:rPr>
          <w:rFonts w:ascii="Times New Roman" w:hAnsi="Times New Roman" w:eastAsia="宋体" w:cs="Times New Roman"/>
          <w:b/>
          <w:bCs/>
          <w:color w:val="auto"/>
          <w:spacing w:val="7"/>
          <w:highlight w:val="none"/>
          <w:lang w:eastAsia="zh-CN"/>
        </w:rPr>
        <w:t>第八条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售后服务、保修期</w:t>
      </w:r>
    </w:p>
    <w:p w14:paraId="6999BE4F">
      <w:pPr>
        <w:pStyle w:val="8"/>
        <w:spacing w:line="400" w:lineRule="exact"/>
        <w:ind w:left="12" w:right="70" w:firstLine="43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1.服务响应保障：按国家有关产品“三包”规定执行“三包”，免费送货到采购人指定地点，免费安装调试。免费保修期不得低于1年（免费保修期从所有货物验收合格之日起计算），免费保修期内提供免费上门维修服务（含免费更换零部件、免人工费），并提供终身维修维护服务。如果需要更换配件的，所更换的配件应当为原供货产品品牌、类型相一致或者是同等档次的替代品，后者需征得用户方管理人员同意；若采购人发现产品存在制造上的缺陷，供应商应负责采取补救措施，若该缺陷导致产品存在安全隐患或不能使用的，供应商应负责免费更换整件产品。要求7*24小时提供服务，接到故障通知后成交供应商应在30分钟内电话服务应答，2个小时内现场维护响应，3小时内提供解决方案。</w:t>
      </w:r>
    </w:p>
    <w:p w14:paraId="4A26DDF3">
      <w:pPr>
        <w:pStyle w:val="8"/>
        <w:spacing w:line="400" w:lineRule="exact"/>
        <w:ind w:left="12" w:right="70" w:firstLine="43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2.正品行货保障：产品保持原厂包装不开封，验收时查询产品及原厂保修信息。</w:t>
      </w:r>
    </w:p>
    <w:p w14:paraId="501D99C7">
      <w:pPr>
        <w:pStyle w:val="8"/>
        <w:spacing w:line="400" w:lineRule="exact"/>
        <w:ind w:left="12" w:right="70" w:firstLine="431"/>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3.备件保障：提供同样型号的维修备件，交给甲方查验后放置在甲方指定地点。</w:t>
      </w:r>
    </w:p>
    <w:p w14:paraId="1AA153B8">
      <w:pPr>
        <w:pStyle w:val="8"/>
        <w:spacing w:line="400" w:lineRule="exact"/>
        <w:ind w:left="420"/>
        <w:outlineLvl w:val="1"/>
        <w:rPr>
          <w:rFonts w:ascii="Times New Roman" w:hAnsi="Times New Roman" w:eastAsia="宋体" w:cs="Times New Roman"/>
          <w:color w:val="auto"/>
          <w:highlight w:val="none"/>
          <w:lang w:eastAsia="zh-CN"/>
        </w:rPr>
      </w:pPr>
      <w:bookmarkStart w:id="31" w:name="bookmark83"/>
      <w:bookmarkEnd w:id="31"/>
      <w:r>
        <w:rPr>
          <w:rFonts w:ascii="Times New Roman" w:hAnsi="Times New Roman" w:eastAsia="宋体" w:cs="Times New Roman"/>
          <w:b/>
          <w:bCs/>
          <w:color w:val="auto"/>
          <w:spacing w:val="5"/>
          <w:highlight w:val="none"/>
          <w:lang w:eastAsia="zh-CN"/>
        </w:rPr>
        <w:t>第九条</w:t>
      </w:r>
      <w:r>
        <w:rPr>
          <w:rFonts w:ascii="Times New Roman" w:hAnsi="Times New Roman" w:eastAsia="宋体" w:cs="Times New Roman"/>
          <w:color w:val="auto"/>
          <w:spacing w:val="9"/>
          <w:highlight w:val="none"/>
          <w:lang w:eastAsia="zh-CN"/>
        </w:rPr>
        <w:t xml:space="preserve">  </w:t>
      </w:r>
      <w:r>
        <w:rPr>
          <w:rFonts w:ascii="Times New Roman" w:hAnsi="Times New Roman" w:eastAsia="宋体" w:cs="Times New Roman"/>
          <w:b/>
          <w:bCs/>
          <w:color w:val="auto"/>
          <w:spacing w:val="5"/>
          <w:highlight w:val="none"/>
          <w:lang w:eastAsia="zh-CN"/>
        </w:rPr>
        <w:t>税费</w:t>
      </w:r>
    </w:p>
    <w:p w14:paraId="3A1566F4">
      <w:pPr>
        <w:pStyle w:val="8"/>
        <w:spacing w:line="400" w:lineRule="exact"/>
        <w:ind w:left="421"/>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本合同执行中相关的一切税费均由乙方负担。</w:t>
      </w:r>
    </w:p>
    <w:p w14:paraId="621B5F74">
      <w:pPr>
        <w:pStyle w:val="8"/>
        <w:spacing w:line="400" w:lineRule="exact"/>
        <w:ind w:left="420"/>
        <w:outlineLvl w:val="1"/>
        <w:rPr>
          <w:rFonts w:ascii="Times New Roman" w:hAnsi="Times New Roman" w:eastAsia="宋体" w:cs="Times New Roman"/>
          <w:color w:val="auto"/>
          <w:highlight w:val="none"/>
          <w:lang w:eastAsia="zh-CN"/>
        </w:rPr>
      </w:pPr>
      <w:bookmarkStart w:id="32" w:name="bookmark63"/>
      <w:bookmarkEnd w:id="32"/>
      <w:bookmarkStart w:id="33" w:name="bookmark62"/>
      <w:bookmarkEnd w:id="33"/>
      <w:r>
        <w:rPr>
          <w:rFonts w:ascii="Times New Roman" w:hAnsi="Times New Roman" w:eastAsia="宋体" w:cs="Times New Roman"/>
          <w:b/>
          <w:bCs/>
          <w:color w:val="auto"/>
          <w:spacing w:val="6"/>
          <w:highlight w:val="none"/>
          <w:lang w:eastAsia="zh-CN"/>
        </w:rPr>
        <w:t>第十条</w:t>
      </w:r>
      <w:r>
        <w:rPr>
          <w:rFonts w:ascii="Times New Roman" w:hAnsi="Times New Roman" w:eastAsia="宋体" w:cs="Times New Roman"/>
          <w:color w:val="auto"/>
          <w:spacing w:val="6"/>
          <w:highlight w:val="none"/>
          <w:lang w:eastAsia="zh-CN"/>
        </w:rPr>
        <w:t xml:space="preserve">  </w:t>
      </w:r>
      <w:r>
        <w:rPr>
          <w:rFonts w:ascii="Times New Roman" w:hAnsi="Times New Roman" w:eastAsia="宋体" w:cs="Times New Roman"/>
          <w:b/>
          <w:bCs/>
          <w:color w:val="auto"/>
          <w:spacing w:val="6"/>
          <w:highlight w:val="none"/>
          <w:lang w:eastAsia="zh-CN"/>
        </w:rPr>
        <w:t>付款方式</w:t>
      </w:r>
    </w:p>
    <w:p w14:paraId="4F29C38D">
      <w:pPr>
        <w:pStyle w:val="8"/>
        <w:spacing w:line="400" w:lineRule="exact"/>
        <w:ind w:left="12" w:right="70" w:firstLine="431"/>
        <w:rPr>
          <w:rFonts w:ascii="Times New Roman" w:hAnsi="Times New Roman" w:eastAsia="宋体" w:cs="Times New Roman"/>
          <w:color w:val="auto"/>
          <w:spacing w:val="8"/>
          <w:highlight w:val="none"/>
          <w:lang w:eastAsia="zh-CN"/>
        </w:rPr>
      </w:pPr>
      <w:r>
        <w:rPr>
          <w:rFonts w:hint="eastAsia" w:ascii="Times New Roman" w:hAnsi="Times New Roman" w:eastAsia="宋体" w:cs="Times New Roman"/>
          <w:color w:val="auto"/>
          <w:spacing w:val="8"/>
          <w:highlight w:val="none"/>
          <w:lang w:eastAsia="zh-CN"/>
        </w:rPr>
        <w:t>按各分标具体内容执行</w:t>
      </w:r>
      <w:r>
        <w:rPr>
          <w:rFonts w:ascii="Times New Roman" w:hAnsi="Times New Roman" w:eastAsia="宋体" w:cs="Times New Roman"/>
          <w:color w:val="auto"/>
          <w:spacing w:val="8"/>
          <w:highlight w:val="none"/>
          <w:lang w:eastAsia="zh-CN"/>
        </w:rPr>
        <w:t>。</w:t>
      </w:r>
    </w:p>
    <w:p w14:paraId="103FCCF8">
      <w:pPr>
        <w:pStyle w:val="8"/>
        <w:spacing w:line="400" w:lineRule="exact"/>
        <w:ind w:left="420"/>
        <w:outlineLvl w:val="1"/>
        <w:rPr>
          <w:rFonts w:ascii="Times New Roman" w:hAnsi="Times New Roman" w:eastAsia="宋体" w:cs="Times New Roman"/>
          <w:color w:val="auto"/>
          <w:highlight w:val="none"/>
          <w:lang w:eastAsia="zh-CN"/>
        </w:rPr>
      </w:pPr>
      <w:bookmarkStart w:id="34" w:name="bookmark84"/>
      <w:bookmarkEnd w:id="34"/>
      <w:r>
        <w:rPr>
          <w:rFonts w:ascii="Times New Roman" w:hAnsi="Times New Roman" w:eastAsia="宋体" w:cs="Times New Roman"/>
          <w:b/>
          <w:bCs/>
          <w:color w:val="auto"/>
          <w:spacing w:val="7"/>
          <w:highlight w:val="none"/>
          <w:lang w:eastAsia="zh-CN"/>
        </w:rPr>
        <w:t>第十一条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违约责任</w:t>
      </w:r>
    </w:p>
    <w:p w14:paraId="7AA70A46">
      <w:pPr>
        <w:pStyle w:val="8"/>
        <w:spacing w:line="400" w:lineRule="exact"/>
        <w:ind w:left="12" w:right="70" w:firstLine="431"/>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1.</w:t>
      </w:r>
      <w:r>
        <w:rPr>
          <w:rFonts w:ascii="Times New Roman" w:hAnsi="Times New Roman" w:eastAsia="宋体" w:cs="Times New Roman"/>
          <w:color w:val="auto"/>
          <w:spacing w:val="39"/>
          <w:highlight w:val="none"/>
          <w:lang w:eastAsia="zh-CN"/>
        </w:rPr>
        <w:t xml:space="preserve"> </w:t>
      </w:r>
      <w:r>
        <w:rPr>
          <w:rFonts w:ascii="Times New Roman" w:hAnsi="Times New Roman" w:eastAsia="宋体" w:cs="Times New Roman"/>
          <w:color w:val="auto"/>
          <w:spacing w:val="8"/>
          <w:highlight w:val="none"/>
          <w:lang w:eastAsia="zh-CN"/>
        </w:rPr>
        <w:t>乙方所提供的货物规格、技术标准、材料等质量不合格的，应及时更换，更换不及时的按逾期交货处罚，乙方应向甲方支付合同金额</w:t>
      </w:r>
      <w:r>
        <w:rPr>
          <w:rFonts w:ascii="Times New Roman" w:hAnsi="Times New Roman" w:eastAsia="宋体" w:cs="Times New Roman"/>
          <w:color w:val="auto"/>
          <w:spacing w:val="8"/>
          <w:highlight w:val="none"/>
          <w:u w:val="single"/>
          <w:lang w:eastAsia="zh-CN"/>
        </w:rPr>
        <w:t xml:space="preserve"> 0.02  </w:t>
      </w:r>
      <w:r>
        <w:rPr>
          <w:rFonts w:ascii="Times New Roman" w:hAnsi="Times New Roman" w:eastAsia="宋体" w:cs="Times New Roman"/>
          <w:color w:val="auto"/>
          <w:spacing w:val="-83"/>
          <w:highlight w:val="none"/>
          <w:lang w:eastAsia="zh-CN"/>
        </w:rPr>
        <w:t xml:space="preserve"> </w:t>
      </w:r>
      <w:r>
        <w:rPr>
          <w:rFonts w:ascii="Times New Roman" w:hAnsi="Times New Roman" w:eastAsia="宋体" w:cs="Times New Roman"/>
          <w:color w:val="auto"/>
          <w:spacing w:val="8"/>
          <w:highlight w:val="none"/>
          <w:lang w:eastAsia="zh-CN"/>
        </w:rPr>
        <w:t>%违约金并赔偿甲方经济损失。</w:t>
      </w:r>
    </w:p>
    <w:p w14:paraId="75422ADE">
      <w:pPr>
        <w:pStyle w:val="8"/>
        <w:spacing w:line="400" w:lineRule="exact"/>
        <w:ind w:left="10" w:right="70" w:firstLine="412"/>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2.</w:t>
      </w:r>
      <w:r>
        <w:rPr>
          <w:rFonts w:ascii="Times New Roman" w:hAnsi="Times New Roman" w:eastAsia="宋体" w:cs="Times New Roman"/>
          <w:color w:val="auto"/>
          <w:spacing w:val="33"/>
          <w:highlight w:val="none"/>
          <w:lang w:eastAsia="zh-CN"/>
        </w:rPr>
        <w:t xml:space="preserve"> </w:t>
      </w:r>
      <w:r>
        <w:rPr>
          <w:rFonts w:ascii="Times New Roman" w:hAnsi="Times New Roman" w:eastAsia="宋体" w:cs="Times New Roman"/>
          <w:color w:val="auto"/>
          <w:spacing w:val="9"/>
          <w:highlight w:val="none"/>
          <w:lang w:eastAsia="zh-CN"/>
        </w:rPr>
        <w:t>乙方提供的货物如果侵犯了第三方合法权益而引发的任</w:t>
      </w:r>
      <w:r>
        <w:rPr>
          <w:rFonts w:ascii="Times New Roman" w:hAnsi="Times New Roman" w:eastAsia="宋体" w:cs="Times New Roman"/>
          <w:color w:val="auto"/>
          <w:spacing w:val="8"/>
          <w:highlight w:val="none"/>
          <w:lang w:eastAsia="zh-CN"/>
        </w:rPr>
        <w:t>何纠纷或诉讼，均由乙方负责交涉并承担全</w:t>
      </w:r>
      <w:r>
        <w:rPr>
          <w:rFonts w:ascii="Times New Roman" w:hAnsi="Times New Roman" w:eastAsia="宋体" w:cs="Times New Roman"/>
          <w:color w:val="auto"/>
          <w:spacing w:val="4"/>
          <w:highlight w:val="none"/>
          <w:lang w:eastAsia="zh-CN"/>
        </w:rPr>
        <w:t>部责任。</w:t>
      </w:r>
    </w:p>
    <w:p w14:paraId="06738834">
      <w:pPr>
        <w:pStyle w:val="8"/>
        <w:spacing w:line="400" w:lineRule="exact"/>
        <w:ind w:left="425"/>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3. 因包装、运输引起的货物损坏，按质量不合格处理。</w:t>
      </w:r>
    </w:p>
    <w:p w14:paraId="193CE89E">
      <w:pPr>
        <w:pStyle w:val="8"/>
        <w:spacing w:line="400" w:lineRule="exact"/>
        <w:ind w:left="8" w:right="157" w:firstLine="411"/>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4.</w:t>
      </w:r>
      <w:r>
        <w:rPr>
          <w:rFonts w:ascii="Times New Roman" w:hAnsi="Times New Roman" w:eastAsia="宋体" w:cs="Times New Roman"/>
          <w:color w:val="auto"/>
          <w:spacing w:val="39"/>
          <w:highlight w:val="none"/>
          <w:lang w:eastAsia="zh-CN"/>
        </w:rPr>
        <w:t xml:space="preserve"> </w:t>
      </w:r>
      <w:r>
        <w:rPr>
          <w:rFonts w:ascii="Times New Roman" w:hAnsi="Times New Roman" w:eastAsia="宋体" w:cs="Times New Roman"/>
          <w:color w:val="auto"/>
          <w:spacing w:val="9"/>
          <w:highlight w:val="none"/>
          <w:lang w:eastAsia="zh-CN"/>
        </w:rPr>
        <w:t>甲方无故延期接收货物、乙方逾期交货的，每</w:t>
      </w:r>
      <w:r>
        <w:rPr>
          <w:rFonts w:ascii="Times New Roman" w:hAnsi="Times New Roman" w:eastAsia="宋体" w:cs="Times New Roman"/>
          <w:color w:val="auto"/>
          <w:spacing w:val="8"/>
          <w:highlight w:val="none"/>
          <w:lang w:eastAsia="zh-CN"/>
        </w:rPr>
        <w:t>天向对方偿付违约货款额</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highlight w:val="none"/>
          <w:u w:val="single"/>
          <w:lang w:eastAsia="zh-CN"/>
        </w:rPr>
        <w:t>0.2</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spacing w:val="8"/>
          <w:highlight w:val="none"/>
          <w:lang w:eastAsia="zh-CN"/>
        </w:rPr>
        <w:t>违约金，但违约金累计不得超过违约货款额</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highlight w:val="none"/>
          <w:u w:val="single"/>
          <w:lang w:eastAsia="zh-CN"/>
        </w:rPr>
        <w:t>5</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spacing w:val="8"/>
          <w:highlight w:val="none"/>
          <w:lang w:eastAsia="zh-CN"/>
        </w:rPr>
        <w:t>，超过</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highlight w:val="none"/>
          <w:u w:val="single"/>
          <w:lang w:eastAsia="zh-CN"/>
        </w:rPr>
        <w:t>20</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spacing w:val="-87"/>
          <w:highlight w:val="none"/>
          <w:lang w:eastAsia="zh-CN"/>
        </w:rPr>
        <w:t xml:space="preserve"> </w:t>
      </w:r>
      <w:r>
        <w:rPr>
          <w:rFonts w:ascii="Times New Roman" w:hAnsi="Times New Roman" w:eastAsia="宋体" w:cs="Times New Roman"/>
          <w:color w:val="auto"/>
          <w:spacing w:val="8"/>
          <w:highlight w:val="none"/>
          <w:lang w:eastAsia="zh-CN"/>
        </w:rPr>
        <w:t>天对方有权解除合同，违约方承担因此给</w:t>
      </w:r>
      <w:r>
        <w:rPr>
          <w:rFonts w:ascii="Times New Roman" w:hAnsi="Times New Roman" w:eastAsia="宋体" w:cs="Times New Roman"/>
          <w:color w:val="auto"/>
          <w:spacing w:val="7"/>
          <w:highlight w:val="none"/>
          <w:lang w:eastAsia="zh-CN"/>
        </w:rPr>
        <w:t>对方造成经济损失；</w:t>
      </w:r>
      <w:r>
        <w:rPr>
          <w:rFonts w:ascii="Times New Roman" w:hAnsi="Times New Roman" w:eastAsia="宋体" w:cs="Times New Roman"/>
          <w:color w:val="auto"/>
          <w:spacing w:val="-54"/>
          <w:highlight w:val="none"/>
          <w:lang w:eastAsia="zh-CN"/>
        </w:rPr>
        <w:t xml:space="preserve"> </w:t>
      </w:r>
      <w:r>
        <w:rPr>
          <w:rFonts w:ascii="Times New Roman" w:hAnsi="Times New Roman" w:eastAsia="宋体" w:cs="Times New Roman"/>
          <w:color w:val="auto"/>
          <w:spacing w:val="7"/>
          <w:highlight w:val="none"/>
          <w:lang w:eastAsia="zh-CN"/>
        </w:rPr>
        <w:t>甲方</w:t>
      </w:r>
      <w:r>
        <w:rPr>
          <w:rFonts w:ascii="Times New Roman" w:hAnsi="Times New Roman" w:eastAsia="宋体" w:cs="Times New Roman"/>
          <w:color w:val="auto"/>
          <w:spacing w:val="9"/>
          <w:highlight w:val="none"/>
          <w:lang w:eastAsia="zh-CN"/>
        </w:rPr>
        <w:t>延期付货款的，每天向乙方偿付延期货款额</w:t>
      </w:r>
      <w:r>
        <w:rPr>
          <w:rFonts w:ascii="Times New Roman" w:hAnsi="Times New Roman" w:eastAsia="宋体" w:cs="Times New Roman"/>
          <w:color w:val="auto"/>
          <w:spacing w:val="9"/>
          <w:highlight w:val="none"/>
          <w:u w:val="single"/>
          <w:lang w:eastAsia="zh-CN"/>
        </w:rPr>
        <w:t xml:space="preserve"> </w:t>
      </w:r>
      <w:r>
        <w:rPr>
          <w:rFonts w:ascii="Times New Roman" w:hAnsi="Times New Roman" w:eastAsia="宋体" w:cs="Times New Roman"/>
          <w:color w:val="auto"/>
          <w:highlight w:val="none"/>
          <w:u w:val="single"/>
          <w:lang w:eastAsia="zh-CN"/>
        </w:rPr>
        <w:t>0.2</w:t>
      </w:r>
      <w:r>
        <w:rPr>
          <w:rFonts w:ascii="Times New Roman" w:hAnsi="Times New Roman" w:eastAsia="宋体" w:cs="Times New Roman"/>
          <w:color w:val="auto"/>
          <w:spacing w:val="9"/>
          <w:highlight w:val="none"/>
          <w:u w:val="single"/>
          <w:lang w:eastAsia="zh-CN"/>
        </w:rPr>
        <w:t xml:space="preserve">  </w:t>
      </w:r>
      <w:r>
        <w:rPr>
          <w:rFonts w:ascii="Times New Roman" w:hAnsi="Times New Roman" w:eastAsia="宋体" w:cs="Times New Roman"/>
          <w:color w:val="auto"/>
          <w:spacing w:val="-85"/>
          <w:highlight w:val="none"/>
          <w:lang w:eastAsia="zh-CN"/>
        </w:rPr>
        <w:t xml:space="preserve"> </w:t>
      </w:r>
      <w:r>
        <w:rPr>
          <w:rFonts w:ascii="Times New Roman" w:hAnsi="Times New Roman" w:eastAsia="宋体" w:cs="Times New Roman"/>
          <w:color w:val="auto"/>
          <w:spacing w:val="9"/>
          <w:highlight w:val="none"/>
          <w:lang w:eastAsia="zh-CN"/>
        </w:rPr>
        <w:t>‰滞</w:t>
      </w:r>
      <w:r>
        <w:rPr>
          <w:rFonts w:ascii="Times New Roman" w:hAnsi="Times New Roman" w:eastAsia="宋体" w:cs="Times New Roman"/>
          <w:color w:val="auto"/>
          <w:spacing w:val="8"/>
          <w:highlight w:val="none"/>
          <w:lang w:eastAsia="zh-CN"/>
        </w:rPr>
        <w:t>纳金，但滞纳金累计不得超过延期货款额</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highlight w:val="none"/>
          <w:u w:val="single"/>
          <w:lang w:eastAsia="zh-CN"/>
        </w:rPr>
        <w:t>5</w:t>
      </w:r>
      <w:r>
        <w:rPr>
          <w:rFonts w:ascii="Times New Roman" w:hAnsi="Times New Roman" w:eastAsia="宋体" w:cs="Times New Roman"/>
          <w:color w:val="auto"/>
          <w:spacing w:val="8"/>
          <w:highlight w:val="none"/>
          <w:u w:val="single"/>
          <w:lang w:eastAsia="zh-CN"/>
        </w:rPr>
        <w:t xml:space="preserve"> %</w:t>
      </w:r>
      <w:r>
        <w:rPr>
          <w:rFonts w:ascii="Times New Roman" w:hAnsi="Times New Roman" w:eastAsia="宋体" w:cs="Times New Roman"/>
          <w:color w:val="auto"/>
          <w:spacing w:val="8"/>
          <w:highlight w:val="none"/>
          <w:lang w:eastAsia="zh-CN"/>
        </w:rPr>
        <w:t>。</w:t>
      </w:r>
    </w:p>
    <w:p w14:paraId="50B4B1F1">
      <w:pPr>
        <w:pStyle w:val="8"/>
        <w:spacing w:line="400" w:lineRule="exact"/>
        <w:ind w:left="8" w:right="70" w:firstLine="416"/>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5.</w:t>
      </w:r>
      <w:r>
        <w:rPr>
          <w:rFonts w:ascii="Times New Roman" w:hAnsi="Times New Roman" w:eastAsia="宋体" w:cs="Times New Roman"/>
          <w:color w:val="auto"/>
          <w:spacing w:val="46"/>
          <w:highlight w:val="none"/>
          <w:lang w:eastAsia="zh-CN"/>
        </w:rPr>
        <w:t xml:space="preserve"> </w:t>
      </w:r>
      <w:r>
        <w:rPr>
          <w:rFonts w:ascii="Times New Roman" w:hAnsi="Times New Roman" w:eastAsia="宋体" w:cs="Times New Roman"/>
          <w:color w:val="auto"/>
          <w:highlight w:val="none"/>
          <w:lang w:eastAsia="zh-CN"/>
        </w:rPr>
        <w:t>乙方未按本合同和响应文件中规定的服务承诺提供售后服务的（包括未按时响应、未按时完成维修等情形），乙方应按1000元/次向甲方支付违约金</w:t>
      </w:r>
      <w:r>
        <w:rPr>
          <w:rFonts w:ascii="Times New Roman" w:hAnsi="Times New Roman" w:eastAsia="宋体" w:cs="Times New Roman"/>
          <w:color w:val="auto"/>
          <w:spacing w:val="6"/>
          <w:highlight w:val="none"/>
          <w:lang w:eastAsia="zh-CN"/>
        </w:rPr>
        <w:t>。</w:t>
      </w:r>
    </w:p>
    <w:p w14:paraId="3F1B3B66">
      <w:pPr>
        <w:pStyle w:val="8"/>
        <w:spacing w:line="400" w:lineRule="exact"/>
        <w:ind w:left="425"/>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6</w:t>
      </w:r>
      <w:r>
        <w:rPr>
          <w:rFonts w:ascii="Times New Roman" w:hAnsi="Times New Roman" w:eastAsia="宋体" w:cs="Times New Roman"/>
          <w:color w:val="auto"/>
          <w:spacing w:val="6"/>
          <w:highlight w:val="none"/>
          <w:lang w:eastAsia="zh-CN"/>
        </w:rPr>
        <w:t>. 乙方提供的货物在保修期内，因设计、工艺或材料的缺陷和</w:t>
      </w:r>
      <w:r>
        <w:rPr>
          <w:rFonts w:ascii="Times New Roman" w:hAnsi="Times New Roman" w:eastAsia="宋体" w:cs="Times New Roman"/>
          <w:color w:val="auto"/>
          <w:spacing w:val="5"/>
          <w:highlight w:val="none"/>
          <w:lang w:eastAsia="zh-CN"/>
        </w:rPr>
        <w:t>其他质量原因造成的问题，由乙方负责。</w:t>
      </w:r>
    </w:p>
    <w:p w14:paraId="12C29186">
      <w:pPr>
        <w:pStyle w:val="8"/>
        <w:spacing w:line="400" w:lineRule="exact"/>
        <w:ind w:left="425"/>
        <w:rPr>
          <w:rFonts w:ascii="Times New Roman" w:hAnsi="Times New Roman" w:eastAsia="宋体" w:cs="Times New Roman"/>
          <w:color w:val="auto"/>
          <w:spacing w:val="8"/>
          <w:highlight w:val="none"/>
          <w:lang w:eastAsia="zh-CN"/>
        </w:rPr>
      </w:pPr>
      <w:r>
        <w:rPr>
          <w:rFonts w:ascii="Times New Roman" w:hAnsi="Times New Roman" w:eastAsia="宋体" w:cs="Times New Roman"/>
          <w:color w:val="auto"/>
          <w:spacing w:val="8"/>
          <w:highlight w:val="none"/>
          <w:lang w:eastAsia="zh-CN"/>
        </w:rPr>
        <w:t>7. 其他违约行为按违约货款额</w:t>
      </w:r>
      <w:r>
        <w:rPr>
          <w:rFonts w:ascii="Times New Roman" w:hAnsi="Times New Roman" w:eastAsia="宋体" w:cs="Times New Roman"/>
          <w:color w:val="auto"/>
          <w:spacing w:val="-92"/>
          <w:highlight w:val="none"/>
          <w:lang w:eastAsia="zh-CN"/>
        </w:rPr>
        <w:t xml:space="preserve"> </w:t>
      </w:r>
      <w:r>
        <w:rPr>
          <w:rFonts w:ascii="Times New Roman" w:hAnsi="Times New Roman" w:eastAsia="宋体" w:cs="Times New Roman"/>
          <w:color w:val="auto"/>
          <w:spacing w:val="5"/>
          <w:highlight w:val="none"/>
          <w:u w:val="single"/>
          <w:lang w:eastAsia="zh-CN"/>
        </w:rPr>
        <w:t xml:space="preserve">  5  </w:t>
      </w:r>
      <w:r>
        <w:rPr>
          <w:rFonts w:ascii="Times New Roman" w:hAnsi="Times New Roman" w:eastAsia="宋体" w:cs="Times New Roman"/>
          <w:color w:val="auto"/>
          <w:spacing w:val="-97"/>
          <w:highlight w:val="none"/>
          <w:lang w:eastAsia="zh-CN"/>
        </w:rPr>
        <w:t xml:space="preserve"> </w:t>
      </w:r>
      <w:r>
        <w:rPr>
          <w:rFonts w:ascii="Times New Roman" w:hAnsi="Times New Roman" w:eastAsia="宋体" w:cs="Times New Roman"/>
          <w:color w:val="auto"/>
          <w:spacing w:val="8"/>
          <w:highlight w:val="none"/>
          <w:lang w:eastAsia="zh-CN"/>
        </w:rPr>
        <w:t>%收取违约金并赔偿经济损失。</w:t>
      </w:r>
    </w:p>
    <w:p w14:paraId="4D557082">
      <w:pPr>
        <w:pStyle w:val="8"/>
        <w:spacing w:line="400" w:lineRule="exact"/>
        <w:ind w:left="420"/>
        <w:outlineLvl w:val="1"/>
        <w:rPr>
          <w:rFonts w:ascii="Times New Roman" w:hAnsi="Times New Roman" w:eastAsia="宋体" w:cs="Times New Roman"/>
          <w:color w:val="auto"/>
          <w:highlight w:val="none"/>
          <w:lang w:eastAsia="zh-CN"/>
        </w:rPr>
      </w:pPr>
      <w:bookmarkStart w:id="35" w:name="bookmark64"/>
      <w:bookmarkEnd w:id="35"/>
      <w:r>
        <w:rPr>
          <w:rFonts w:ascii="Times New Roman" w:hAnsi="Times New Roman" w:eastAsia="宋体" w:cs="Times New Roman"/>
          <w:b/>
          <w:bCs/>
          <w:color w:val="auto"/>
          <w:spacing w:val="7"/>
          <w:highlight w:val="none"/>
          <w:lang w:eastAsia="zh-CN"/>
        </w:rPr>
        <w:t>第十二条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不可抗力事件处理</w:t>
      </w:r>
    </w:p>
    <w:p w14:paraId="61CA1938">
      <w:pPr>
        <w:pStyle w:val="8"/>
        <w:spacing w:line="400" w:lineRule="exact"/>
        <w:ind w:left="8" w:right="157" w:firstLine="435"/>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1.在合同有效期内，乙方因不可抗力事件导致不能履行合同，则合同履行期可延长，其延长期与不可</w:t>
      </w:r>
      <w:r>
        <w:rPr>
          <w:rFonts w:ascii="Times New Roman" w:hAnsi="Times New Roman" w:eastAsia="宋体" w:cs="Times New Roman"/>
          <w:color w:val="auto"/>
          <w:spacing w:val="7"/>
          <w:highlight w:val="none"/>
          <w:lang w:eastAsia="zh-CN"/>
        </w:rPr>
        <w:t>抗力影响期相同。</w:t>
      </w:r>
    </w:p>
    <w:p w14:paraId="21366C10">
      <w:pPr>
        <w:pStyle w:val="8"/>
        <w:spacing w:line="400" w:lineRule="exact"/>
        <w:ind w:left="430"/>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2.不可抗力事件发生后，应立即通知对方，并寄送有关权威机构出具的证明。</w:t>
      </w:r>
    </w:p>
    <w:p w14:paraId="3FDC58CF">
      <w:pPr>
        <w:pStyle w:val="8"/>
        <w:spacing w:line="400" w:lineRule="exact"/>
        <w:ind w:left="432"/>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3.不可抗力事件延续一百二十天以上，双方应通过友好协商，确定是否继续履行合同。</w:t>
      </w:r>
    </w:p>
    <w:p w14:paraId="0347E37B">
      <w:pPr>
        <w:pStyle w:val="8"/>
        <w:spacing w:line="400" w:lineRule="exact"/>
        <w:ind w:left="420"/>
        <w:outlineLvl w:val="1"/>
        <w:rPr>
          <w:rFonts w:ascii="Times New Roman" w:hAnsi="Times New Roman" w:eastAsia="宋体" w:cs="Times New Roman"/>
          <w:color w:val="auto"/>
          <w:highlight w:val="none"/>
          <w:lang w:eastAsia="zh-CN"/>
        </w:rPr>
      </w:pPr>
      <w:bookmarkStart w:id="36" w:name="bookmark65"/>
      <w:bookmarkEnd w:id="36"/>
      <w:r>
        <w:rPr>
          <w:rFonts w:ascii="Times New Roman" w:hAnsi="Times New Roman" w:eastAsia="宋体" w:cs="Times New Roman"/>
          <w:b/>
          <w:bCs/>
          <w:color w:val="auto"/>
          <w:spacing w:val="7"/>
          <w:highlight w:val="none"/>
          <w:lang w:eastAsia="zh-CN"/>
        </w:rPr>
        <w:t>第十三条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合同争议解决</w:t>
      </w:r>
    </w:p>
    <w:p w14:paraId="77EE96D5">
      <w:pPr>
        <w:pStyle w:val="8"/>
        <w:spacing w:line="400" w:lineRule="exact"/>
        <w:ind w:left="25" w:right="157" w:firstLine="41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1.因货物质量问题发生争议的，应邀请国家认可的质量检测机构对货物质量进行鉴定。货物符合标准的，鉴定费由甲方承担；货物不符合标准的</w:t>
      </w:r>
      <w:r>
        <w:rPr>
          <w:rFonts w:ascii="Times New Roman" w:hAnsi="Times New Roman" w:eastAsia="宋体" w:cs="Times New Roman"/>
          <w:color w:val="auto"/>
          <w:spacing w:val="8"/>
          <w:highlight w:val="none"/>
          <w:lang w:eastAsia="zh-CN"/>
        </w:rPr>
        <w:t>，鉴定费由乙方承担。</w:t>
      </w:r>
    </w:p>
    <w:p w14:paraId="171D6F95">
      <w:pPr>
        <w:pStyle w:val="8"/>
        <w:spacing w:line="400" w:lineRule="exact"/>
        <w:ind w:left="14" w:right="157" w:firstLine="416"/>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2.因履行本合同引起的或与本合同有关的争议</w:t>
      </w:r>
      <w:r>
        <w:rPr>
          <w:rFonts w:ascii="Times New Roman" w:hAnsi="Times New Roman" w:eastAsia="宋体" w:cs="Times New Roman"/>
          <w:color w:val="auto"/>
          <w:spacing w:val="8"/>
          <w:highlight w:val="none"/>
          <w:lang w:eastAsia="zh-CN"/>
        </w:rPr>
        <w:t>，</w:t>
      </w:r>
      <w:r>
        <w:rPr>
          <w:rFonts w:ascii="Times New Roman" w:hAnsi="Times New Roman" w:eastAsia="宋体" w:cs="Times New Roman"/>
          <w:color w:val="auto"/>
          <w:spacing w:val="-56"/>
          <w:highlight w:val="none"/>
          <w:lang w:eastAsia="zh-CN"/>
        </w:rPr>
        <w:t xml:space="preserve"> </w:t>
      </w:r>
      <w:r>
        <w:rPr>
          <w:rFonts w:ascii="Times New Roman" w:hAnsi="Times New Roman" w:eastAsia="宋体" w:cs="Times New Roman"/>
          <w:color w:val="auto"/>
          <w:spacing w:val="8"/>
          <w:highlight w:val="none"/>
          <w:lang w:eastAsia="zh-CN"/>
        </w:rPr>
        <w:t>甲乙双方应首先通过友好协商解决，如果协商不能解决，可向项目所在地辖区人民法院提起诉讼。</w:t>
      </w:r>
    </w:p>
    <w:p w14:paraId="5F4E5775">
      <w:pPr>
        <w:pStyle w:val="8"/>
        <w:spacing w:line="400" w:lineRule="exact"/>
        <w:ind w:left="446"/>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7"/>
          <w:highlight w:val="none"/>
          <w:lang w:eastAsia="zh-CN"/>
        </w:rPr>
        <w:t>3.诉讼期间，本合同继续履行。</w:t>
      </w:r>
    </w:p>
    <w:p w14:paraId="5B7E0369">
      <w:pPr>
        <w:pStyle w:val="8"/>
        <w:spacing w:line="400" w:lineRule="exact"/>
        <w:ind w:left="420"/>
        <w:outlineLvl w:val="1"/>
        <w:rPr>
          <w:rFonts w:ascii="Times New Roman" w:hAnsi="Times New Roman" w:eastAsia="宋体" w:cs="Times New Roman"/>
          <w:color w:val="auto"/>
          <w:highlight w:val="none"/>
          <w:lang w:eastAsia="zh-CN"/>
        </w:rPr>
      </w:pPr>
      <w:r>
        <w:rPr>
          <w:rFonts w:ascii="Times New Roman" w:hAnsi="Times New Roman" w:eastAsia="宋体" w:cs="Times New Roman"/>
          <w:b/>
          <w:bCs/>
          <w:color w:val="auto"/>
          <w:spacing w:val="7"/>
          <w:highlight w:val="none"/>
          <w:lang w:eastAsia="zh-CN"/>
        </w:rPr>
        <w:t>第十四条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合同生效及其它</w:t>
      </w:r>
    </w:p>
    <w:p w14:paraId="0C55C02B">
      <w:pPr>
        <w:pStyle w:val="8"/>
        <w:spacing w:line="400" w:lineRule="exact"/>
        <w:ind w:left="443"/>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1.合同经甲乙双方法定代表人、负责人、</w:t>
      </w:r>
      <w:r>
        <w:rPr>
          <w:rFonts w:ascii="Times New Roman" w:hAnsi="Times New Roman" w:eastAsia="宋体" w:cs="Times New Roman"/>
          <w:color w:val="auto"/>
          <w:spacing w:val="-52"/>
          <w:highlight w:val="none"/>
          <w:lang w:eastAsia="zh-CN"/>
        </w:rPr>
        <w:t xml:space="preserve"> </w:t>
      </w:r>
      <w:r>
        <w:rPr>
          <w:rFonts w:ascii="Times New Roman" w:hAnsi="Times New Roman" w:eastAsia="宋体" w:cs="Times New Roman"/>
          <w:color w:val="auto"/>
          <w:spacing w:val="8"/>
          <w:highlight w:val="none"/>
          <w:lang w:eastAsia="zh-CN"/>
        </w:rPr>
        <w:t>自然人或相应的授权代表签字并加盖供应商</w:t>
      </w:r>
      <w:r>
        <w:rPr>
          <w:rFonts w:ascii="Times New Roman" w:hAnsi="Times New Roman" w:eastAsia="宋体" w:cs="Times New Roman"/>
          <w:color w:val="auto"/>
          <w:spacing w:val="7"/>
          <w:highlight w:val="none"/>
          <w:lang w:eastAsia="zh-CN"/>
        </w:rPr>
        <w:t>公章后生效。</w:t>
      </w:r>
    </w:p>
    <w:p w14:paraId="50B9F01C">
      <w:pPr>
        <w:pStyle w:val="8"/>
        <w:spacing w:line="400" w:lineRule="exact"/>
        <w:ind w:left="6" w:right="88" w:firstLine="424"/>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10"/>
          <w:highlight w:val="none"/>
          <w:lang w:eastAsia="zh-CN"/>
        </w:rPr>
        <w:t>2.合同执行中涉及采购资金和采购内容修改</w:t>
      </w:r>
      <w:r>
        <w:rPr>
          <w:rFonts w:ascii="Times New Roman" w:hAnsi="Times New Roman" w:eastAsia="宋体" w:cs="Times New Roman"/>
          <w:color w:val="auto"/>
          <w:spacing w:val="9"/>
          <w:highlight w:val="none"/>
          <w:lang w:eastAsia="zh-CN"/>
        </w:rPr>
        <w:t>或补充的，需经同级财政部门审批，并签订书面补充协议报同级财政部门备案，方可作为主合同不可分割的一部分。</w:t>
      </w:r>
    </w:p>
    <w:p w14:paraId="083D4EBF">
      <w:pPr>
        <w:pStyle w:val="8"/>
        <w:spacing w:line="400" w:lineRule="exact"/>
        <w:ind w:left="446"/>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3.本合同未尽事宜，遵照《中华人民共和国民法典》有关条</w:t>
      </w:r>
      <w:r>
        <w:rPr>
          <w:rFonts w:ascii="Times New Roman" w:hAnsi="Times New Roman" w:eastAsia="宋体" w:cs="Times New Roman"/>
          <w:color w:val="auto"/>
          <w:spacing w:val="8"/>
          <w:highlight w:val="none"/>
          <w:lang w:eastAsia="zh-CN"/>
        </w:rPr>
        <w:t>文执行。</w:t>
      </w:r>
    </w:p>
    <w:p w14:paraId="3302B06E">
      <w:pPr>
        <w:pStyle w:val="8"/>
        <w:spacing w:line="400" w:lineRule="exact"/>
        <w:ind w:left="420"/>
        <w:outlineLvl w:val="1"/>
        <w:rPr>
          <w:rFonts w:ascii="Times New Roman" w:hAnsi="Times New Roman" w:eastAsia="宋体" w:cs="Times New Roman"/>
          <w:color w:val="auto"/>
          <w:highlight w:val="none"/>
          <w:lang w:eastAsia="zh-CN"/>
        </w:rPr>
      </w:pPr>
      <w:bookmarkStart w:id="37" w:name="bookmark67"/>
      <w:bookmarkEnd w:id="37"/>
      <w:r>
        <w:rPr>
          <w:rFonts w:ascii="Times New Roman" w:hAnsi="Times New Roman" w:eastAsia="宋体" w:cs="Times New Roman"/>
          <w:b/>
          <w:bCs/>
          <w:color w:val="auto"/>
          <w:spacing w:val="7"/>
          <w:highlight w:val="none"/>
          <w:lang w:eastAsia="zh-CN"/>
        </w:rPr>
        <w:t>第十五条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合同的变更、终止与转让</w:t>
      </w:r>
    </w:p>
    <w:p w14:paraId="09374AE6">
      <w:pPr>
        <w:pStyle w:val="8"/>
        <w:spacing w:line="400" w:lineRule="exact"/>
        <w:ind w:left="10" w:right="88" w:firstLine="432"/>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1.除《中华人民共和国政府采购法》第五十条规定的情形外，本合同一经签订，</w:t>
      </w:r>
      <w:r>
        <w:rPr>
          <w:rFonts w:ascii="Times New Roman" w:hAnsi="Times New Roman" w:eastAsia="宋体" w:cs="Times New Roman"/>
          <w:color w:val="auto"/>
          <w:spacing w:val="-48"/>
          <w:highlight w:val="none"/>
          <w:lang w:eastAsia="zh-CN"/>
        </w:rPr>
        <w:t xml:space="preserve"> </w:t>
      </w:r>
      <w:r>
        <w:rPr>
          <w:rFonts w:ascii="Times New Roman" w:hAnsi="Times New Roman" w:eastAsia="宋体" w:cs="Times New Roman"/>
          <w:color w:val="auto"/>
          <w:spacing w:val="8"/>
          <w:highlight w:val="none"/>
          <w:lang w:eastAsia="zh-CN"/>
        </w:rPr>
        <w:t>甲乙双方不得擅自变</w:t>
      </w:r>
      <w:r>
        <w:rPr>
          <w:rFonts w:ascii="Times New Roman" w:hAnsi="Times New Roman" w:eastAsia="宋体" w:cs="Times New Roman"/>
          <w:color w:val="auto"/>
          <w:spacing w:val="7"/>
          <w:highlight w:val="none"/>
          <w:lang w:eastAsia="zh-CN"/>
        </w:rPr>
        <w:t>更，中止或终止。</w:t>
      </w:r>
    </w:p>
    <w:p w14:paraId="2941125A">
      <w:pPr>
        <w:pStyle w:val="8"/>
        <w:spacing w:line="400" w:lineRule="exact"/>
        <w:ind w:left="430"/>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9"/>
          <w:highlight w:val="none"/>
          <w:lang w:eastAsia="zh-CN"/>
        </w:rPr>
        <w:t>2.乙方不得擅自转让(无进口资格的供应商委托进口货物除外)其应履行的</w:t>
      </w:r>
      <w:r>
        <w:rPr>
          <w:rFonts w:ascii="Times New Roman" w:hAnsi="Times New Roman" w:eastAsia="宋体" w:cs="Times New Roman"/>
          <w:color w:val="auto"/>
          <w:spacing w:val="8"/>
          <w:highlight w:val="none"/>
          <w:lang w:eastAsia="zh-CN"/>
        </w:rPr>
        <w:t>合同义务。</w:t>
      </w:r>
    </w:p>
    <w:p w14:paraId="4069D465">
      <w:pPr>
        <w:pStyle w:val="8"/>
        <w:spacing w:line="400" w:lineRule="exact"/>
        <w:ind w:left="420"/>
        <w:outlineLvl w:val="1"/>
        <w:rPr>
          <w:rFonts w:ascii="Times New Roman" w:hAnsi="Times New Roman" w:eastAsia="宋体" w:cs="Times New Roman"/>
          <w:color w:val="auto"/>
          <w:highlight w:val="none"/>
          <w:lang w:eastAsia="zh-CN"/>
        </w:rPr>
      </w:pPr>
      <w:bookmarkStart w:id="38" w:name="bookmark68"/>
      <w:bookmarkEnd w:id="38"/>
      <w:r>
        <w:rPr>
          <w:rFonts w:ascii="Times New Roman" w:hAnsi="Times New Roman" w:eastAsia="宋体" w:cs="Times New Roman"/>
          <w:b/>
          <w:bCs/>
          <w:color w:val="auto"/>
          <w:spacing w:val="7"/>
          <w:highlight w:val="none"/>
          <w:lang w:eastAsia="zh-CN"/>
        </w:rPr>
        <w:t>第十六条</w:t>
      </w:r>
      <w:r>
        <w:rPr>
          <w:rFonts w:ascii="Times New Roman" w:hAnsi="Times New Roman" w:eastAsia="宋体" w:cs="Times New Roman"/>
          <w:color w:val="auto"/>
          <w:spacing w:val="7"/>
          <w:highlight w:val="none"/>
          <w:lang w:eastAsia="zh-CN"/>
        </w:rPr>
        <w:t xml:space="preserve">  </w:t>
      </w:r>
      <w:r>
        <w:rPr>
          <w:rFonts w:ascii="Times New Roman" w:hAnsi="Times New Roman" w:eastAsia="宋体" w:cs="Times New Roman"/>
          <w:b/>
          <w:bCs/>
          <w:color w:val="auto"/>
          <w:spacing w:val="7"/>
          <w:highlight w:val="none"/>
          <w:lang w:eastAsia="zh-CN"/>
        </w:rPr>
        <w:t>签订本合同依据</w:t>
      </w:r>
    </w:p>
    <w:p w14:paraId="37060E65">
      <w:pPr>
        <w:pStyle w:val="8"/>
        <w:spacing w:line="400" w:lineRule="exact"/>
        <w:ind w:left="443"/>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3"/>
          <w:highlight w:val="none"/>
          <w:lang w:eastAsia="zh-CN"/>
        </w:rPr>
        <w:t>1.谈判文件；</w:t>
      </w:r>
    </w:p>
    <w:p w14:paraId="7E62FB26">
      <w:pPr>
        <w:pStyle w:val="8"/>
        <w:spacing w:line="400" w:lineRule="exact"/>
        <w:ind w:left="430"/>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7"/>
          <w:highlight w:val="none"/>
          <w:lang w:eastAsia="zh-CN"/>
        </w:rPr>
        <w:t>2.乙方提供的响应文件</w:t>
      </w:r>
      <w:r>
        <w:rPr>
          <w:rFonts w:hint="eastAsia" w:ascii="Times New Roman" w:hAnsi="Times New Roman" w:eastAsia="宋体" w:cs="Times New Roman"/>
          <w:color w:val="auto"/>
          <w:spacing w:val="7"/>
          <w:highlight w:val="none"/>
          <w:lang w:eastAsia="zh-CN"/>
        </w:rPr>
        <w:t>及最终报价</w:t>
      </w:r>
      <w:r>
        <w:rPr>
          <w:rFonts w:ascii="Times New Roman" w:hAnsi="Times New Roman" w:eastAsia="宋体" w:cs="Times New Roman"/>
          <w:color w:val="auto"/>
          <w:spacing w:val="7"/>
          <w:highlight w:val="none"/>
          <w:lang w:eastAsia="zh-CN"/>
        </w:rPr>
        <w:t>；</w:t>
      </w:r>
    </w:p>
    <w:p w14:paraId="3649E56E">
      <w:pPr>
        <w:pStyle w:val="8"/>
        <w:spacing w:line="400" w:lineRule="exact"/>
        <w:ind w:left="432"/>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6"/>
          <w:highlight w:val="none"/>
          <w:lang w:eastAsia="zh-CN"/>
        </w:rPr>
        <w:t>3.售后服务承诺书；</w:t>
      </w:r>
    </w:p>
    <w:p w14:paraId="4BF373EB">
      <w:pPr>
        <w:pStyle w:val="8"/>
        <w:spacing w:line="400" w:lineRule="exact"/>
        <w:ind w:left="427"/>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6"/>
          <w:highlight w:val="none"/>
          <w:lang w:eastAsia="zh-CN"/>
        </w:rPr>
        <w:t>4.成交通知书。</w:t>
      </w:r>
    </w:p>
    <w:p w14:paraId="55B2D8BC">
      <w:pPr>
        <w:pStyle w:val="8"/>
        <w:spacing w:line="400" w:lineRule="exact"/>
        <w:ind w:left="8" w:right="85" w:firstLine="422"/>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本合同采用电子形式在线签订，</w:t>
      </w:r>
      <w:r>
        <w:rPr>
          <w:rFonts w:ascii="Times New Roman" w:hAnsi="Times New Roman" w:eastAsia="宋体" w:cs="Times New Roman"/>
          <w:color w:val="auto"/>
          <w:spacing w:val="-56"/>
          <w:highlight w:val="none"/>
          <w:lang w:eastAsia="zh-CN"/>
        </w:rPr>
        <w:t xml:space="preserve"> </w:t>
      </w:r>
      <w:r>
        <w:rPr>
          <w:rFonts w:ascii="Times New Roman" w:hAnsi="Times New Roman" w:eastAsia="宋体" w:cs="Times New Roman"/>
          <w:color w:val="auto"/>
          <w:spacing w:val="8"/>
          <w:highlight w:val="none"/>
          <w:lang w:eastAsia="zh-CN"/>
        </w:rPr>
        <w:t>甲乙双方在线签章后生效，</w:t>
      </w:r>
      <w:r>
        <w:rPr>
          <w:rFonts w:ascii="Times New Roman" w:hAnsi="Times New Roman" w:eastAsia="宋体" w:cs="Times New Roman"/>
          <w:color w:val="auto"/>
          <w:spacing w:val="-59"/>
          <w:highlight w:val="none"/>
          <w:lang w:eastAsia="zh-CN"/>
        </w:rPr>
        <w:t xml:space="preserve"> </w:t>
      </w:r>
      <w:r>
        <w:rPr>
          <w:rFonts w:ascii="Times New Roman" w:hAnsi="Times New Roman" w:eastAsia="宋体" w:cs="Times New Roman"/>
          <w:color w:val="auto"/>
          <w:spacing w:val="8"/>
          <w:highlight w:val="none"/>
          <w:lang w:eastAsia="zh-CN"/>
        </w:rPr>
        <w:t>电子版和纸质版具</w:t>
      </w:r>
      <w:r>
        <w:rPr>
          <w:rFonts w:ascii="Times New Roman" w:hAnsi="Times New Roman" w:eastAsia="宋体" w:cs="Times New Roman"/>
          <w:color w:val="auto"/>
          <w:spacing w:val="7"/>
          <w:highlight w:val="none"/>
          <w:lang w:eastAsia="zh-CN"/>
        </w:rPr>
        <w:t>有同等法律效力。政府</w:t>
      </w:r>
      <w:r>
        <w:rPr>
          <w:rFonts w:ascii="Times New Roman" w:hAnsi="Times New Roman" w:eastAsia="宋体" w:cs="Times New Roman"/>
          <w:color w:val="auto"/>
          <w:spacing w:val="9"/>
          <w:highlight w:val="none"/>
          <w:lang w:eastAsia="zh-CN"/>
        </w:rPr>
        <w:t>采购合同自签订之日起将自动存档于“广西政府采购云平台</w:t>
      </w:r>
      <w:r>
        <w:rPr>
          <w:rFonts w:ascii="Times New Roman" w:hAnsi="Times New Roman" w:eastAsia="宋体" w:cs="Times New Roman"/>
          <w:color w:val="auto"/>
          <w:spacing w:val="-64"/>
          <w:highlight w:val="none"/>
          <w:lang w:eastAsia="zh-CN"/>
        </w:rPr>
        <w:t xml:space="preserve"> </w:t>
      </w:r>
      <w:r>
        <w:rPr>
          <w:rFonts w:ascii="Times New Roman" w:hAnsi="Times New Roman" w:eastAsia="宋体" w:cs="Times New Roman"/>
          <w:color w:val="auto"/>
          <w:spacing w:val="9"/>
          <w:highlight w:val="none"/>
          <w:lang w:eastAsia="zh-CN"/>
        </w:rPr>
        <w:t>”上，采购人于合同签订之日起七个工作日内</w:t>
      </w:r>
      <w:r>
        <w:rPr>
          <w:rFonts w:ascii="Times New Roman" w:hAnsi="Times New Roman" w:eastAsia="宋体" w:cs="Times New Roman"/>
          <w:color w:val="auto"/>
          <w:spacing w:val="8"/>
          <w:highlight w:val="none"/>
          <w:lang w:eastAsia="zh-CN"/>
        </w:rPr>
        <w:t>将一份合同原件送本级财政部门备案。</w:t>
      </w:r>
    </w:p>
    <w:p w14:paraId="49318062">
      <w:pPr>
        <w:spacing w:line="400" w:lineRule="exact"/>
        <w:rPr>
          <w:rFonts w:ascii="Times New Roman" w:hAnsi="Times New Roman" w:eastAsia="宋体" w:cs="Times New Roman"/>
          <w:color w:val="auto"/>
          <w:highlight w:val="none"/>
          <w:lang w:eastAsia="zh-CN"/>
        </w:rPr>
      </w:pPr>
    </w:p>
    <w:p w14:paraId="0B171283">
      <w:pPr>
        <w:pStyle w:val="8"/>
        <w:spacing w:line="400" w:lineRule="exact"/>
        <w:ind w:left="35"/>
        <w:rPr>
          <w:rFonts w:ascii="Times New Roman" w:hAnsi="Times New Roman" w:eastAsia="宋体" w:cs="Times New Roman"/>
          <w:color w:val="auto"/>
          <w:highlight w:val="none"/>
        </w:rPr>
      </w:pPr>
      <w:r>
        <w:rPr>
          <w:rFonts w:ascii="Times New Roman" w:hAnsi="Times New Roman" w:eastAsia="宋体" w:cs="Times New Roman"/>
          <w:color w:val="auto"/>
          <w:spacing w:val="2"/>
          <w:highlight w:val="none"/>
        </w:rPr>
        <w:t>甲方（公章</w:t>
      </w:r>
      <w:r>
        <w:rPr>
          <w:rFonts w:ascii="Times New Roman" w:hAnsi="Times New Roman" w:eastAsia="宋体" w:cs="Times New Roman"/>
          <w:color w:val="auto"/>
          <w:spacing w:val="12"/>
          <w:highlight w:val="none"/>
        </w:rPr>
        <w:t>）：</w:t>
      </w:r>
      <w:r>
        <w:rPr>
          <w:rFonts w:ascii="Times New Roman" w:hAnsi="Times New Roman" w:eastAsia="宋体" w:cs="Times New Roman"/>
          <w:color w:val="auto"/>
          <w:spacing w:val="1"/>
          <w:highlight w:val="none"/>
          <w:u w:val="single"/>
        </w:rPr>
        <w:t xml:space="preserve">                          </w:t>
      </w:r>
      <w:r>
        <w:rPr>
          <w:rFonts w:ascii="Times New Roman" w:hAnsi="Times New Roman" w:eastAsia="宋体" w:cs="Times New Roman"/>
          <w:color w:val="auto"/>
          <w:spacing w:val="10"/>
          <w:highlight w:val="none"/>
        </w:rPr>
        <w:t xml:space="preserve">  </w:t>
      </w:r>
      <w:r>
        <w:rPr>
          <w:rFonts w:hint="eastAsia" w:ascii="Times New Roman" w:hAnsi="Times New Roman" w:eastAsia="宋体" w:cs="Times New Roman"/>
          <w:color w:val="auto"/>
          <w:spacing w:val="10"/>
          <w:highlight w:val="none"/>
          <w:lang w:eastAsia="zh-CN"/>
        </w:rPr>
        <w:t xml:space="preserve">         </w:t>
      </w:r>
      <w:r>
        <w:rPr>
          <w:rFonts w:ascii="Times New Roman" w:hAnsi="Times New Roman" w:eastAsia="宋体" w:cs="Times New Roman"/>
          <w:color w:val="auto"/>
          <w:spacing w:val="2"/>
          <w:highlight w:val="none"/>
        </w:rPr>
        <w:t>乙方（公章，</w:t>
      </w:r>
      <w:r>
        <w:rPr>
          <w:rFonts w:ascii="Times New Roman" w:hAnsi="Times New Roman" w:eastAsia="宋体" w:cs="Times New Roman"/>
          <w:color w:val="auto"/>
          <w:spacing w:val="-45"/>
          <w:highlight w:val="none"/>
        </w:rPr>
        <w:t xml:space="preserve"> </w:t>
      </w:r>
      <w:r>
        <w:rPr>
          <w:rFonts w:ascii="Times New Roman" w:hAnsi="Times New Roman" w:eastAsia="宋体" w:cs="Times New Roman"/>
          <w:color w:val="auto"/>
          <w:spacing w:val="2"/>
          <w:highlight w:val="none"/>
        </w:rPr>
        <w:t>自然人除外</w:t>
      </w:r>
      <w:r>
        <w:rPr>
          <w:rFonts w:ascii="Times New Roman" w:hAnsi="Times New Roman" w:eastAsia="宋体" w:cs="Times New Roman"/>
          <w:color w:val="auto"/>
          <w:spacing w:val="12"/>
          <w:highlight w:val="none"/>
        </w:rPr>
        <w:t>）：</w:t>
      </w:r>
      <w:r>
        <w:rPr>
          <w:rFonts w:ascii="Times New Roman" w:hAnsi="Times New Roman" w:eastAsia="宋体" w:cs="Times New Roman"/>
          <w:color w:val="auto"/>
          <w:highlight w:val="none"/>
          <w:u w:val="single"/>
        </w:rPr>
        <w:t xml:space="preserve">                        </w:t>
      </w:r>
    </w:p>
    <w:p w14:paraId="0F2DD614">
      <w:pPr>
        <w:pStyle w:val="8"/>
        <w:spacing w:line="400" w:lineRule="exact"/>
        <w:ind w:left="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7"/>
          <w:highlight w:val="none"/>
          <w:lang w:eastAsia="zh-CN"/>
        </w:rPr>
        <w:t>法定代表人签字：</w:t>
      </w:r>
      <w:r>
        <w:rPr>
          <w:rFonts w:ascii="Times New Roman" w:hAnsi="Times New Roman" w:eastAsia="宋体" w:cs="Times New Roman"/>
          <w:color w:val="auto"/>
          <w:spacing w:val="7"/>
          <w:highlight w:val="none"/>
          <w:u w:val="single"/>
          <w:lang w:eastAsia="zh-CN"/>
        </w:rPr>
        <w:t xml:space="preserve">                 </w:t>
      </w:r>
      <w:r>
        <w:rPr>
          <w:rFonts w:ascii="Times New Roman" w:hAnsi="Times New Roman" w:eastAsia="宋体" w:cs="Times New Roman"/>
          <w:color w:val="auto"/>
          <w:spacing w:val="7"/>
          <w:highlight w:val="none"/>
          <w:lang w:eastAsia="zh-CN"/>
        </w:rPr>
        <w:t xml:space="preserve">       </w:t>
      </w:r>
      <w:r>
        <w:rPr>
          <w:rFonts w:hint="eastAsia" w:ascii="Times New Roman" w:hAnsi="Times New Roman" w:eastAsia="宋体" w:cs="Times New Roman"/>
          <w:color w:val="auto"/>
          <w:spacing w:val="7"/>
          <w:highlight w:val="none"/>
          <w:lang w:eastAsia="zh-CN"/>
        </w:rPr>
        <w:t xml:space="preserve">       </w:t>
      </w:r>
      <w:r>
        <w:rPr>
          <w:rFonts w:ascii="Times New Roman" w:hAnsi="Times New Roman" w:eastAsia="宋体" w:cs="Times New Roman"/>
          <w:color w:val="auto"/>
          <w:spacing w:val="7"/>
          <w:highlight w:val="none"/>
          <w:lang w:eastAsia="zh-CN"/>
        </w:rPr>
        <w:t>法</w:t>
      </w:r>
      <w:r>
        <w:rPr>
          <w:rFonts w:ascii="Times New Roman" w:hAnsi="Times New Roman" w:eastAsia="宋体" w:cs="Times New Roman"/>
          <w:color w:val="auto"/>
          <w:spacing w:val="6"/>
          <w:highlight w:val="none"/>
          <w:lang w:eastAsia="zh-CN"/>
        </w:rPr>
        <w:t>定代表人（负责人、</w:t>
      </w:r>
      <w:r>
        <w:rPr>
          <w:rFonts w:ascii="Times New Roman" w:hAnsi="Times New Roman" w:eastAsia="宋体" w:cs="Times New Roman"/>
          <w:color w:val="auto"/>
          <w:spacing w:val="-50"/>
          <w:highlight w:val="none"/>
          <w:lang w:eastAsia="zh-CN"/>
        </w:rPr>
        <w:t xml:space="preserve"> </w:t>
      </w:r>
      <w:r>
        <w:rPr>
          <w:rFonts w:ascii="Times New Roman" w:hAnsi="Times New Roman" w:eastAsia="宋体" w:cs="Times New Roman"/>
          <w:color w:val="auto"/>
          <w:spacing w:val="6"/>
          <w:highlight w:val="none"/>
          <w:lang w:eastAsia="zh-CN"/>
        </w:rPr>
        <w:t>自然人）签字</w:t>
      </w:r>
    </w:p>
    <w:p w14:paraId="6C7A705D">
      <w:pPr>
        <w:pStyle w:val="8"/>
        <w:spacing w:line="400" w:lineRule="exact"/>
        <w:ind w:firstLine="3552" w:firstLineChars="1600"/>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6"/>
          <w:highlight w:val="none"/>
          <w:lang w:eastAsia="zh-CN"/>
        </w:rPr>
        <w:t>（属自然人的应在</w:t>
      </w:r>
      <w:r>
        <w:rPr>
          <w:rFonts w:ascii="Times New Roman" w:hAnsi="Times New Roman" w:eastAsia="宋体" w:cs="Times New Roman"/>
          <w:color w:val="auto"/>
          <w:spacing w:val="8"/>
          <w:highlight w:val="none"/>
          <w:lang w:eastAsia="zh-CN"/>
        </w:rPr>
        <w:t>签名处加盖大拇指指印</w:t>
      </w:r>
      <w:r>
        <w:rPr>
          <w:rFonts w:ascii="Times New Roman" w:hAnsi="Times New Roman" w:eastAsia="宋体" w:cs="Times New Roman"/>
          <w:color w:val="auto"/>
          <w:spacing w:val="15"/>
          <w:highlight w:val="none"/>
          <w:lang w:eastAsia="zh-CN"/>
        </w:rPr>
        <w:t>）：</w:t>
      </w:r>
      <w:r>
        <w:rPr>
          <w:rFonts w:ascii="Times New Roman" w:hAnsi="Times New Roman" w:eastAsia="宋体" w:cs="Times New Roman"/>
          <w:color w:val="auto"/>
          <w:highlight w:val="none"/>
          <w:u w:val="single"/>
          <w:lang w:eastAsia="zh-CN"/>
        </w:rPr>
        <w:t xml:space="preserve">                           </w:t>
      </w:r>
    </w:p>
    <w:p w14:paraId="30359B58">
      <w:pPr>
        <w:pStyle w:val="8"/>
        <w:spacing w:line="400" w:lineRule="exact"/>
        <w:ind w:left="7"/>
        <w:rPr>
          <w:rFonts w:ascii="Times New Roman" w:hAnsi="Times New Roman" w:eastAsia="宋体" w:cs="Times New Roman"/>
          <w:color w:val="auto"/>
          <w:highlight w:val="none"/>
        </w:rPr>
      </w:pPr>
      <w:r>
        <w:rPr>
          <w:rFonts w:ascii="Times New Roman" w:hAnsi="Times New Roman" w:eastAsia="宋体" w:cs="Times New Roman"/>
          <w:color w:val="auto"/>
          <w:spacing w:val="4"/>
          <w:highlight w:val="none"/>
        </w:rPr>
        <w:t>委托代理人：</w:t>
      </w:r>
      <w:r>
        <w:rPr>
          <w:rFonts w:ascii="Times New Roman" w:hAnsi="Times New Roman" w:eastAsia="宋体" w:cs="Times New Roman"/>
          <w:color w:val="auto"/>
          <w:spacing w:val="4"/>
          <w:highlight w:val="none"/>
          <w:u w:val="single"/>
        </w:rPr>
        <w:t xml:space="preserve">                      </w:t>
      </w:r>
      <w:r>
        <w:rPr>
          <w:rFonts w:ascii="Times New Roman" w:hAnsi="Times New Roman" w:eastAsia="宋体" w:cs="Times New Roman"/>
          <w:color w:val="auto"/>
          <w:spacing w:val="4"/>
          <w:highlight w:val="none"/>
          <w:u w:val="single"/>
          <w:lang w:eastAsia="zh-CN"/>
        </w:rPr>
        <w:t xml:space="preserve"> </w:t>
      </w:r>
      <w:r>
        <w:rPr>
          <w:rFonts w:ascii="Times New Roman" w:hAnsi="Times New Roman" w:eastAsia="宋体" w:cs="Times New Roman"/>
          <w:color w:val="auto"/>
          <w:spacing w:val="4"/>
          <w:highlight w:val="none"/>
          <w:u w:val="single"/>
        </w:rPr>
        <w:t xml:space="preserve">   </w:t>
      </w:r>
      <w:r>
        <w:rPr>
          <w:rFonts w:ascii="Times New Roman" w:hAnsi="Times New Roman" w:eastAsia="宋体" w:cs="Times New Roman"/>
          <w:color w:val="auto"/>
          <w:spacing w:val="4"/>
          <w:highlight w:val="none"/>
        </w:rPr>
        <w:t xml:space="preserve">   </w:t>
      </w:r>
      <w:r>
        <w:rPr>
          <w:rFonts w:hint="eastAsia" w:ascii="Times New Roman" w:hAnsi="Times New Roman" w:eastAsia="宋体" w:cs="Times New Roman"/>
          <w:color w:val="auto"/>
          <w:spacing w:val="4"/>
          <w:highlight w:val="none"/>
          <w:lang w:eastAsia="zh-CN"/>
        </w:rPr>
        <w:t xml:space="preserve">             </w:t>
      </w:r>
      <w:r>
        <w:rPr>
          <w:rFonts w:ascii="Times New Roman" w:hAnsi="Times New Roman" w:eastAsia="宋体" w:cs="Times New Roman"/>
          <w:color w:val="auto"/>
          <w:spacing w:val="4"/>
          <w:highlight w:val="none"/>
        </w:rPr>
        <w:t>委托代理人：</w:t>
      </w:r>
      <w:r>
        <w:rPr>
          <w:rFonts w:ascii="Times New Roman" w:hAnsi="Times New Roman" w:eastAsia="宋体" w:cs="Times New Roman"/>
          <w:color w:val="auto"/>
          <w:spacing w:val="4"/>
          <w:highlight w:val="none"/>
          <w:u w:val="single"/>
        </w:rPr>
        <w:t xml:space="preserve">                                      </w:t>
      </w:r>
    </w:p>
    <w:p w14:paraId="139546AE">
      <w:pPr>
        <w:pStyle w:val="8"/>
        <w:spacing w:line="400" w:lineRule="exact"/>
        <w:ind w:left="32"/>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11"/>
          <w:highlight w:val="none"/>
          <w:lang w:eastAsia="zh-CN"/>
        </w:rPr>
        <w:t>电</w:t>
      </w:r>
      <w:r>
        <w:rPr>
          <w:rFonts w:ascii="Times New Roman" w:hAnsi="Times New Roman" w:eastAsia="宋体" w:cs="Times New Roman"/>
          <w:color w:val="auto"/>
          <w:spacing w:val="8"/>
          <w:highlight w:val="none"/>
          <w:lang w:eastAsia="zh-CN"/>
        </w:rPr>
        <w:t xml:space="preserve">    </w:t>
      </w:r>
      <w:r>
        <w:rPr>
          <w:rFonts w:ascii="Times New Roman" w:hAnsi="Times New Roman" w:eastAsia="宋体" w:cs="Times New Roman"/>
          <w:color w:val="auto"/>
          <w:spacing w:val="-11"/>
          <w:highlight w:val="none"/>
          <w:lang w:eastAsia="zh-CN"/>
        </w:rPr>
        <w:t>话</w:t>
      </w:r>
      <w:r>
        <w:rPr>
          <w:rFonts w:ascii="Times New Roman" w:hAnsi="Times New Roman" w:eastAsia="宋体" w:cs="Times New Roman"/>
          <w:color w:val="auto"/>
          <w:spacing w:val="-74"/>
          <w:highlight w:val="none"/>
          <w:lang w:eastAsia="zh-CN"/>
        </w:rPr>
        <w:t xml:space="preserve"> </w:t>
      </w:r>
      <w:r>
        <w:rPr>
          <w:rFonts w:ascii="Times New Roman" w:hAnsi="Times New Roman" w:eastAsia="宋体" w:cs="Times New Roman"/>
          <w:color w:val="auto"/>
          <w:spacing w:val="-11"/>
          <w:highlight w:val="none"/>
          <w:lang w:eastAsia="zh-CN"/>
        </w:rPr>
        <w:t>：</w:t>
      </w:r>
      <w:r>
        <w:rPr>
          <w:rFonts w:ascii="Times New Roman" w:hAnsi="Times New Roman" w:eastAsia="宋体" w:cs="Times New Roman"/>
          <w:color w:val="auto"/>
          <w:spacing w:val="1"/>
          <w:highlight w:val="none"/>
          <w:u w:val="single"/>
          <w:lang w:eastAsia="zh-CN"/>
        </w:rPr>
        <w:t xml:space="preserve">                            </w:t>
      </w:r>
      <w:r>
        <w:rPr>
          <w:rFonts w:ascii="Times New Roman" w:hAnsi="Times New Roman" w:eastAsia="宋体" w:cs="Times New Roman"/>
          <w:color w:val="auto"/>
          <w:spacing w:val="-11"/>
          <w:highlight w:val="none"/>
          <w:lang w:eastAsia="zh-CN"/>
        </w:rPr>
        <w:t xml:space="preserve">    </w:t>
      </w:r>
      <w:r>
        <w:rPr>
          <w:rFonts w:hint="eastAsia" w:ascii="Times New Roman" w:hAnsi="Times New Roman" w:eastAsia="宋体" w:cs="Times New Roman"/>
          <w:color w:val="auto"/>
          <w:spacing w:val="-11"/>
          <w:highlight w:val="none"/>
          <w:lang w:eastAsia="zh-CN"/>
        </w:rPr>
        <w:t xml:space="preserve">                          </w:t>
      </w:r>
      <w:r>
        <w:rPr>
          <w:rFonts w:ascii="Times New Roman" w:hAnsi="Times New Roman" w:eastAsia="宋体" w:cs="Times New Roman"/>
          <w:color w:val="auto"/>
          <w:spacing w:val="-11"/>
          <w:highlight w:val="none"/>
          <w:lang w:eastAsia="zh-CN"/>
        </w:rPr>
        <w:t>电</w:t>
      </w:r>
      <w:r>
        <w:rPr>
          <w:rFonts w:ascii="Times New Roman" w:hAnsi="Times New Roman" w:eastAsia="宋体" w:cs="Times New Roman"/>
          <w:color w:val="auto"/>
          <w:spacing w:val="11"/>
          <w:highlight w:val="none"/>
          <w:lang w:eastAsia="zh-CN"/>
        </w:rPr>
        <w:t xml:space="preserve">    </w:t>
      </w:r>
      <w:r>
        <w:rPr>
          <w:rFonts w:ascii="Times New Roman" w:hAnsi="Times New Roman" w:eastAsia="宋体" w:cs="Times New Roman"/>
          <w:color w:val="auto"/>
          <w:spacing w:val="-11"/>
          <w:highlight w:val="none"/>
          <w:lang w:eastAsia="zh-CN"/>
        </w:rPr>
        <w:t>话</w:t>
      </w:r>
      <w:r>
        <w:rPr>
          <w:rFonts w:ascii="Times New Roman" w:hAnsi="Times New Roman" w:eastAsia="宋体" w:cs="Times New Roman"/>
          <w:color w:val="auto"/>
          <w:spacing w:val="-74"/>
          <w:highlight w:val="none"/>
          <w:lang w:eastAsia="zh-CN"/>
        </w:rPr>
        <w:t xml:space="preserve"> </w:t>
      </w:r>
      <w:r>
        <w:rPr>
          <w:rFonts w:ascii="Times New Roman" w:hAnsi="Times New Roman" w:eastAsia="宋体" w:cs="Times New Roman"/>
          <w:color w:val="auto"/>
          <w:spacing w:val="-11"/>
          <w:highlight w:val="none"/>
          <w:lang w:eastAsia="zh-CN"/>
        </w:rPr>
        <w:t>：</w:t>
      </w:r>
      <w:r>
        <w:rPr>
          <w:rFonts w:ascii="Times New Roman" w:hAnsi="Times New Roman" w:eastAsia="宋体" w:cs="Times New Roman"/>
          <w:color w:val="auto"/>
          <w:spacing w:val="14"/>
          <w:highlight w:val="none"/>
          <w:lang w:eastAsia="zh-CN"/>
        </w:rPr>
        <w:t xml:space="preserve"> </w:t>
      </w:r>
      <w:r>
        <w:rPr>
          <w:rFonts w:ascii="Times New Roman" w:hAnsi="Times New Roman" w:eastAsia="宋体" w:cs="Times New Roman"/>
          <w:color w:val="auto"/>
          <w:highlight w:val="none"/>
          <w:u w:val="single"/>
          <w:lang w:eastAsia="zh-CN"/>
        </w:rPr>
        <w:t xml:space="preserve">                                        </w:t>
      </w:r>
    </w:p>
    <w:p w14:paraId="60C52E2B">
      <w:pPr>
        <w:pStyle w:val="8"/>
        <w:spacing w:line="400" w:lineRule="exact"/>
        <w:ind w:left="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4"/>
          <w:highlight w:val="none"/>
          <w:lang w:eastAsia="zh-CN"/>
        </w:rPr>
        <w:t>开户名称：</w:t>
      </w:r>
      <w:r>
        <w:rPr>
          <w:rFonts w:ascii="Times New Roman" w:hAnsi="Times New Roman" w:eastAsia="宋体" w:cs="Times New Roman"/>
          <w:color w:val="auto"/>
          <w:spacing w:val="4"/>
          <w:highlight w:val="none"/>
          <w:u w:val="single"/>
          <w:lang w:eastAsia="zh-CN"/>
        </w:rPr>
        <w:t xml:space="preserve">                            </w:t>
      </w:r>
      <w:r>
        <w:rPr>
          <w:rFonts w:ascii="Times New Roman" w:hAnsi="Times New Roman" w:eastAsia="宋体" w:cs="Times New Roman"/>
          <w:color w:val="auto"/>
          <w:spacing w:val="4"/>
          <w:highlight w:val="none"/>
          <w:lang w:eastAsia="zh-CN"/>
        </w:rPr>
        <w:t xml:space="preserve">   </w:t>
      </w:r>
      <w:r>
        <w:rPr>
          <w:rFonts w:hint="eastAsia" w:ascii="Times New Roman" w:hAnsi="Times New Roman" w:eastAsia="宋体" w:cs="Times New Roman"/>
          <w:color w:val="auto"/>
          <w:spacing w:val="4"/>
          <w:highlight w:val="none"/>
          <w:lang w:eastAsia="zh-CN"/>
        </w:rPr>
        <w:t xml:space="preserve">              </w:t>
      </w:r>
      <w:r>
        <w:rPr>
          <w:rFonts w:ascii="Times New Roman" w:hAnsi="Times New Roman" w:eastAsia="宋体" w:cs="Times New Roman"/>
          <w:color w:val="auto"/>
          <w:spacing w:val="4"/>
          <w:highlight w:val="none"/>
          <w:lang w:eastAsia="zh-CN"/>
        </w:rPr>
        <w:t>开户名称：</w:t>
      </w:r>
      <w:r>
        <w:rPr>
          <w:rFonts w:ascii="Times New Roman" w:hAnsi="Times New Roman" w:eastAsia="宋体" w:cs="Times New Roman"/>
          <w:color w:val="auto"/>
          <w:spacing w:val="4"/>
          <w:highlight w:val="none"/>
          <w:u w:val="single"/>
          <w:lang w:eastAsia="zh-CN"/>
        </w:rPr>
        <w:t xml:space="preserve">                                        </w:t>
      </w:r>
    </w:p>
    <w:p w14:paraId="078900DD">
      <w:pPr>
        <w:pStyle w:val="8"/>
        <w:spacing w:line="400" w:lineRule="exact"/>
        <w:ind w:left="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4"/>
          <w:highlight w:val="none"/>
          <w:lang w:eastAsia="zh-CN"/>
        </w:rPr>
        <w:t>开户银行：</w:t>
      </w:r>
      <w:r>
        <w:rPr>
          <w:rFonts w:ascii="Times New Roman" w:hAnsi="Times New Roman" w:eastAsia="宋体" w:cs="Times New Roman"/>
          <w:color w:val="auto"/>
          <w:spacing w:val="4"/>
          <w:highlight w:val="none"/>
          <w:u w:val="single"/>
          <w:lang w:eastAsia="zh-CN"/>
        </w:rPr>
        <w:t xml:space="preserve">                            </w:t>
      </w:r>
      <w:r>
        <w:rPr>
          <w:rFonts w:ascii="Times New Roman" w:hAnsi="Times New Roman" w:eastAsia="宋体" w:cs="Times New Roman"/>
          <w:color w:val="auto"/>
          <w:spacing w:val="4"/>
          <w:highlight w:val="none"/>
          <w:lang w:eastAsia="zh-CN"/>
        </w:rPr>
        <w:t xml:space="preserve">   </w:t>
      </w:r>
      <w:r>
        <w:rPr>
          <w:rFonts w:hint="eastAsia" w:ascii="Times New Roman" w:hAnsi="Times New Roman" w:eastAsia="宋体" w:cs="Times New Roman"/>
          <w:color w:val="auto"/>
          <w:spacing w:val="4"/>
          <w:highlight w:val="none"/>
          <w:lang w:eastAsia="zh-CN"/>
        </w:rPr>
        <w:t xml:space="preserve">              </w:t>
      </w:r>
      <w:r>
        <w:rPr>
          <w:rFonts w:ascii="Times New Roman" w:hAnsi="Times New Roman" w:eastAsia="宋体" w:cs="Times New Roman"/>
          <w:color w:val="auto"/>
          <w:spacing w:val="4"/>
          <w:highlight w:val="none"/>
          <w:lang w:eastAsia="zh-CN"/>
        </w:rPr>
        <w:t>开户银行：</w:t>
      </w:r>
      <w:r>
        <w:rPr>
          <w:rFonts w:ascii="Times New Roman" w:hAnsi="Times New Roman" w:eastAsia="宋体" w:cs="Times New Roman"/>
          <w:color w:val="auto"/>
          <w:spacing w:val="4"/>
          <w:highlight w:val="none"/>
          <w:u w:val="single"/>
          <w:lang w:eastAsia="zh-CN"/>
        </w:rPr>
        <w:t xml:space="preserve">                                        </w:t>
      </w:r>
    </w:p>
    <w:p w14:paraId="2DF2DE93">
      <w:pPr>
        <w:pStyle w:val="8"/>
        <w:spacing w:line="400" w:lineRule="exact"/>
        <w:ind w:left="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4"/>
          <w:highlight w:val="none"/>
          <w:lang w:eastAsia="zh-CN"/>
        </w:rPr>
        <w:t>银行账号：</w:t>
      </w:r>
      <w:r>
        <w:rPr>
          <w:rFonts w:ascii="Times New Roman" w:hAnsi="Times New Roman" w:eastAsia="宋体" w:cs="Times New Roman"/>
          <w:color w:val="auto"/>
          <w:spacing w:val="4"/>
          <w:highlight w:val="none"/>
          <w:u w:val="single"/>
          <w:lang w:eastAsia="zh-CN"/>
        </w:rPr>
        <w:t xml:space="preserve">                            </w:t>
      </w:r>
      <w:r>
        <w:rPr>
          <w:rFonts w:ascii="Times New Roman" w:hAnsi="Times New Roman" w:eastAsia="宋体" w:cs="Times New Roman"/>
          <w:color w:val="auto"/>
          <w:spacing w:val="4"/>
          <w:highlight w:val="none"/>
          <w:lang w:eastAsia="zh-CN"/>
        </w:rPr>
        <w:t xml:space="preserve">   </w:t>
      </w:r>
      <w:r>
        <w:rPr>
          <w:rFonts w:hint="eastAsia" w:ascii="Times New Roman" w:hAnsi="Times New Roman" w:eastAsia="宋体" w:cs="Times New Roman"/>
          <w:color w:val="auto"/>
          <w:spacing w:val="4"/>
          <w:highlight w:val="none"/>
          <w:lang w:eastAsia="zh-CN"/>
        </w:rPr>
        <w:t xml:space="preserve">             </w:t>
      </w:r>
      <w:r>
        <w:rPr>
          <w:rFonts w:ascii="Times New Roman" w:hAnsi="Times New Roman" w:eastAsia="宋体" w:cs="Times New Roman"/>
          <w:color w:val="auto"/>
          <w:spacing w:val="4"/>
          <w:highlight w:val="none"/>
          <w:lang w:eastAsia="zh-CN"/>
        </w:rPr>
        <w:t>银行账号：</w:t>
      </w:r>
      <w:r>
        <w:rPr>
          <w:rFonts w:ascii="Times New Roman" w:hAnsi="Times New Roman" w:eastAsia="宋体" w:cs="Times New Roman"/>
          <w:color w:val="auto"/>
          <w:spacing w:val="4"/>
          <w:highlight w:val="none"/>
          <w:u w:val="single"/>
          <w:lang w:eastAsia="zh-CN"/>
        </w:rPr>
        <w:t xml:space="preserve">                                        </w:t>
      </w:r>
    </w:p>
    <w:p w14:paraId="59518165">
      <w:pPr>
        <w:pStyle w:val="8"/>
        <w:spacing w:line="400" w:lineRule="exact"/>
        <w:rPr>
          <w:rFonts w:ascii="Times New Roman" w:hAnsi="Times New Roman" w:cs="Times New Roman"/>
          <w:color w:val="auto"/>
          <w:highlight w:val="none"/>
          <w:lang w:eastAsia="zh-CN"/>
        </w:rPr>
      </w:pPr>
      <w:r>
        <w:rPr>
          <w:rFonts w:ascii="Times New Roman" w:hAnsi="Times New Roman" w:eastAsia="宋体" w:cs="Times New Roman"/>
          <w:color w:val="auto"/>
          <w:spacing w:val="-10"/>
          <w:highlight w:val="none"/>
          <w:lang w:eastAsia="zh-CN"/>
        </w:rPr>
        <w:t>日</w:t>
      </w:r>
      <w:r>
        <w:rPr>
          <w:rFonts w:ascii="Times New Roman" w:hAnsi="Times New Roman" w:eastAsia="宋体" w:cs="Times New Roman"/>
          <w:color w:val="auto"/>
          <w:spacing w:val="10"/>
          <w:highlight w:val="none"/>
          <w:lang w:eastAsia="zh-CN"/>
        </w:rPr>
        <w:t xml:space="preserve">    </w:t>
      </w:r>
      <w:r>
        <w:rPr>
          <w:rFonts w:ascii="Times New Roman" w:hAnsi="Times New Roman" w:eastAsia="宋体" w:cs="Times New Roman"/>
          <w:color w:val="auto"/>
          <w:spacing w:val="-10"/>
          <w:highlight w:val="none"/>
          <w:lang w:eastAsia="zh-CN"/>
        </w:rPr>
        <w:t>期</w:t>
      </w:r>
      <w:r>
        <w:rPr>
          <w:rFonts w:ascii="Times New Roman" w:hAnsi="Times New Roman" w:eastAsia="宋体" w:cs="Times New Roman"/>
          <w:color w:val="auto"/>
          <w:spacing w:val="-74"/>
          <w:highlight w:val="none"/>
          <w:lang w:eastAsia="zh-CN"/>
        </w:rPr>
        <w:t xml:space="preserve"> </w:t>
      </w:r>
      <w:r>
        <w:rPr>
          <w:rFonts w:ascii="Times New Roman" w:hAnsi="Times New Roman" w:eastAsia="宋体" w:cs="Times New Roman"/>
          <w:color w:val="auto"/>
          <w:spacing w:val="-10"/>
          <w:highlight w:val="none"/>
          <w:lang w:eastAsia="zh-CN"/>
        </w:rPr>
        <w:t>：</w:t>
      </w:r>
      <w:r>
        <w:rPr>
          <w:rFonts w:ascii="Times New Roman" w:hAnsi="Times New Roman" w:eastAsia="宋体" w:cs="Times New Roman"/>
          <w:color w:val="auto"/>
          <w:spacing w:val="-10"/>
          <w:highlight w:val="none"/>
          <w:u w:val="single"/>
          <w:lang w:eastAsia="zh-CN"/>
        </w:rPr>
        <w:t xml:space="preserve">                                </w:t>
      </w:r>
      <w:r>
        <w:rPr>
          <w:rFonts w:ascii="Times New Roman" w:hAnsi="Times New Roman" w:eastAsia="宋体" w:cs="Times New Roman"/>
          <w:color w:val="auto"/>
          <w:spacing w:val="14"/>
          <w:highlight w:val="none"/>
          <w:lang w:eastAsia="zh-CN"/>
        </w:rPr>
        <w:t xml:space="preserve"> </w:t>
      </w:r>
      <w:r>
        <w:rPr>
          <w:rFonts w:hint="eastAsia" w:ascii="Times New Roman" w:hAnsi="Times New Roman" w:eastAsia="宋体" w:cs="Times New Roman"/>
          <w:color w:val="auto"/>
          <w:spacing w:val="14"/>
          <w:highlight w:val="none"/>
          <w:lang w:eastAsia="zh-CN"/>
        </w:rPr>
        <w:t xml:space="preserve">                   </w:t>
      </w:r>
      <w:r>
        <w:rPr>
          <w:rFonts w:ascii="Times New Roman" w:hAnsi="Times New Roman" w:eastAsia="宋体" w:cs="Times New Roman"/>
          <w:color w:val="auto"/>
          <w:spacing w:val="14"/>
          <w:highlight w:val="none"/>
          <w:lang w:eastAsia="zh-CN"/>
        </w:rPr>
        <w:t xml:space="preserve"> </w:t>
      </w:r>
      <w:r>
        <w:rPr>
          <w:rFonts w:ascii="Times New Roman" w:hAnsi="Times New Roman" w:eastAsia="宋体" w:cs="Times New Roman"/>
          <w:color w:val="auto"/>
          <w:spacing w:val="-10"/>
          <w:highlight w:val="none"/>
          <w:lang w:eastAsia="zh-CN"/>
        </w:rPr>
        <w:t>日     期</w:t>
      </w:r>
      <w:r>
        <w:rPr>
          <w:rFonts w:ascii="Times New Roman" w:hAnsi="Times New Roman" w:eastAsia="宋体" w:cs="Times New Roman"/>
          <w:color w:val="auto"/>
          <w:spacing w:val="-74"/>
          <w:highlight w:val="none"/>
          <w:lang w:eastAsia="zh-CN"/>
        </w:rPr>
        <w:t xml:space="preserve"> </w:t>
      </w:r>
      <w:r>
        <w:rPr>
          <w:rFonts w:ascii="Times New Roman" w:hAnsi="Times New Roman" w:eastAsia="宋体" w:cs="Times New Roman"/>
          <w:color w:val="auto"/>
          <w:spacing w:val="-10"/>
          <w:highlight w:val="none"/>
          <w:lang w:eastAsia="zh-CN"/>
        </w:rPr>
        <w:t>：</w:t>
      </w:r>
      <w:r>
        <w:rPr>
          <w:rFonts w:ascii="Times New Roman" w:hAnsi="Times New Roman" w:eastAsia="宋体" w:cs="Times New Roman"/>
          <w:color w:val="auto"/>
          <w:highlight w:val="none"/>
          <w:u w:val="single"/>
          <w:lang w:eastAsia="zh-CN"/>
        </w:rPr>
        <w:t xml:space="preserve">                                        </w:t>
      </w:r>
      <w:r>
        <w:rPr>
          <w:rFonts w:ascii="Times New Roman" w:hAnsi="Times New Roman" w:cs="Times New Roman"/>
          <w:color w:val="auto"/>
          <w:highlight w:val="none"/>
          <w:u w:val="single"/>
          <w:lang w:eastAsia="zh-CN"/>
        </w:rPr>
        <w:t xml:space="preserve"> </w:t>
      </w:r>
    </w:p>
    <w:p w14:paraId="26DDF149">
      <w:pPr>
        <w:spacing w:line="400" w:lineRule="exact"/>
        <w:rPr>
          <w:rFonts w:ascii="Times New Roman" w:hAnsi="Times New Roman" w:cs="Times New Roman"/>
          <w:color w:val="auto"/>
          <w:highlight w:val="none"/>
          <w:lang w:eastAsia="zh-CN"/>
        </w:rPr>
      </w:pPr>
    </w:p>
    <w:p w14:paraId="2B7E3F15">
      <w:pPr>
        <w:spacing w:line="400" w:lineRule="exact"/>
        <w:rPr>
          <w:rFonts w:ascii="Times New Roman" w:hAnsi="Times New Roman" w:cs="Times New Roman"/>
          <w:color w:val="auto"/>
          <w:highlight w:val="none"/>
          <w:lang w:eastAsia="zh-CN"/>
        </w:rPr>
      </w:pPr>
    </w:p>
    <w:p w14:paraId="2546DFFF">
      <w:pPr>
        <w:pStyle w:val="8"/>
        <w:widowControl w:val="0"/>
        <w:spacing w:line="400" w:lineRule="exact"/>
        <w:ind w:firstLine="420" w:firstLineChars="200"/>
        <w:rPr>
          <w:rFonts w:ascii="Times New Roman" w:hAnsi="Times New Roman" w:cs="Times New Roman"/>
          <w:color w:val="auto"/>
          <w:highlight w:val="none"/>
          <w:lang w:eastAsia="zh-CN"/>
        </w:rPr>
      </w:pPr>
    </w:p>
    <w:p w14:paraId="2B0C0B89">
      <w:pPr>
        <w:pStyle w:val="8"/>
        <w:widowControl w:val="0"/>
        <w:spacing w:line="400" w:lineRule="exact"/>
        <w:ind w:firstLine="420" w:firstLineChars="200"/>
        <w:rPr>
          <w:rFonts w:ascii="Times New Roman" w:hAnsi="Times New Roman" w:cs="Times New Roman"/>
          <w:color w:val="auto"/>
          <w:highlight w:val="none"/>
          <w:lang w:eastAsia="zh-CN"/>
        </w:rPr>
      </w:pPr>
    </w:p>
    <w:p w14:paraId="08234EB4">
      <w:pPr>
        <w:rPr>
          <w:rFonts w:ascii="Times New Roman" w:hAnsi="Times New Roman" w:eastAsia="宋体" w:cs="Times New Roman"/>
          <w:b/>
          <w:bCs/>
          <w:color w:val="auto"/>
          <w:sz w:val="31"/>
          <w:szCs w:val="31"/>
          <w:highlight w:val="none"/>
          <w:lang w:eastAsia="zh-CN"/>
        </w:rPr>
      </w:pPr>
      <w:bookmarkStart w:id="39" w:name="bookmark6"/>
      <w:bookmarkEnd w:id="39"/>
      <w:r>
        <w:rPr>
          <w:rFonts w:ascii="Times New Roman" w:hAnsi="Times New Roman" w:eastAsia="宋体" w:cs="Times New Roman"/>
          <w:b/>
          <w:bCs/>
          <w:color w:val="auto"/>
          <w:sz w:val="31"/>
          <w:szCs w:val="31"/>
          <w:highlight w:val="none"/>
          <w:lang w:eastAsia="zh-CN"/>
        </w:rPr>
        <w:br w:type="page"/>
      </w:r>
    </w:p>
    <w:p w14:paraId="4D8F1141">
      <w:pPr>
        <w:widowControl w:val="0"/>
        <w:spacing w:line="400" w:lineRule="exact"/>
        <w:jc w:val="center"/>
        <w:outlineLvl w:val="0"/>
        <w:rPr>
          <w:rFonts w:ascii="Times New Roman" w:hAnsi="Times New Roman" w:eastAsia="宋体" w:cs="Times New Roman"/>
          <w:color w:val="auto"/>
          <w:sz w:val="31"/>
          <w:szCs w:val="31"/>
          <w:highlight w:val="none"/>
          <w:lang w:eastAsia="zh-CN"/>
        </w:rPr>
      </w:pPr>
      <w:bookmarkStart w:id="40" w:name="_Toc492"/>
      <w:r>
        <w:rPr>
          <w:rFonts w:ascii="Times New Roman" w:hAnsi="Times New Roman" w:eastAsia="宋体" w:cs="Times New Roman"/>
          <w:b/>
          <w:bCs/>
          <w:color w:val="auto"/>
          <w:sz w:val="31"/>
          <w:szCs w:val="31"/>
          <w:highlight w:val="none"/>
          <w:lang w:eastAsia="zh-CN"/>
        </w:rPr>
        <w:t>第六章</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响应文件（格式）</w:t>
      </w:r>
      <w:bookmarkEnd w:id="40"/>
    </w:p>
    <w:p w14:paraId="0495B77E">
      <w:pPr>
        <w:widowControl w:val="0"/>
        <w:kinsoku/>
        <w:wordWrap w:val="0"/>
        <w:spacing w:before="120" w:beforeLines="50" w:after="50" w:line="400" w:lineRule="exact"/>
        <w:jc w:val="center"/>
        <w:rPr>
          <w:rFonts w:ascii="Times New Roman" w:hAnsi="Times New Roman" w:cs="Times New Roman"/>
          <w:b/>
          <w:color w:val="auto"/>
          <w:sz w:val="36"/>
          <w:szCs w:val="36"/>
          <w:highlight w:val="none"/>
          <w:lang w:eastAsia="zh-CN"/>
        </w:rPr>
      </w:pPr>
    </w:p>
    <w:p w14:paraId="7EAD1E2F">
      <w:pPr>
        <w:pStyle w:val="11"/>
        <w:widowControl w:val="0"/>
        <w:kinsoku/>
        <w:wordWrap w:val="0"/>
        <w:autoSpaceDE/>
        <w:autoSpaceDN/>
        <w:adjustRightInd/>
        <w:snapToGrid/>
        <w:spacing w:line="400" w:lineRule="exact"/>
        <w:textAlignment w:val="auto"/>
        <w:rPr>
          <w:rFonts w:ascii="Times New Roman" w:hAnsi="Times New Roman" w:cs="Times New Roman"/>
          <w:b/>
          <w:color w:val="auto"/>
          <w:sz w:val="32"/>
          <w:highlight w:val="none"/>
          <w:lang w:eastAsia="zh-CN"/>
        </w:rPr>
      </w:pPr>
      <w:bookmarkStart w:id="41" w:name="_Toc497927069"/>
      <w:bookmarkStart w:id="42" w:name="_Toc21496"/>
      <w:bookmarkStart w:id="43" w:name="_Toc18351"/>
    </w:p>
    <w:p w14:paraId="526BE0DE">
      <w:pPr>
        <w:pStyle w:val="11"/>
        <w:widowControl w:val="0"/>
        <w:kinsoku/>
        <w:wordWrap w:val="0"/>
        <w:autoSpaceDE/>
        <w:autoSpaceDN/>
        <w:adjustRightInd/>
        <w:snapToGrid/>
        <w:spacing w:line="400" w:lineRule="exact"/>
        <w:textAlignment w:val="auto"/>
        <w:rPr>
          <w:rFonts w:ascii="Times New Roman" w:hAnsi="Times New Roman" w:cs="Times New Roman"/>
          <w:b/>
          <w:color w:val="auto"/>
          <w:sz w:val="32"/>
          <w:highlight w:val="none"/>
          <w:lang w:eastAsia="zh-CN"/>
        </w:rPr>
      </w:pPr>
    </w:p>
    <w:p w14:paraId="0F9E7ECA">
      <w:pPr>
        <w:pStyle w:val="11"/>
        <w:widowControl w:val="0"/>
        <w:kinsoku/>
        <w:wordWrap w:val="0"/>
        <w:autoSpaceDE/>
        <w:autoSpaceDN/>
        <w:adjustRightInd/>
        <w:snapToGrid/>
        <w:spacing w:line="400" w:lineRule="exact"/>
        <w:textAlignment w:val="auto"/>
        <w:rPr>
          <w:rFonts w:ascii="Times New Roman" w:hAnsi="Times New Roman" w:cs="Times New Roman"/>
          <w:b/>
          <w:color w:val="auto"/>
          <w:sz w:val="32"/>
          <w:highlight w:val="none"/>
          <w:lang w:eastAsia="zh-CN"/>
        </w:rPr>
      </w:pPr>
      <w:r>
        <w:rPr>
          <w:rFonts w:ascii="Times New Roman" w:hAnsi="Times New Roman" w:cs="Times New Roman"/>
          <w:b/>
          <w:color w:val="auto"/>
          <w:sz w:val="32"/>
          <w:highlight w:val="none"/>
          <w:lang w:eastAsia="zh-CN"/>
        </w:rPr>
        <w:t>一、响应文件</w:t>
      </w:r>
      <w:r>
        <w:rPr>
          <w:rFonts w:hint="eastAsia" w:ascii="Times New Roman" w:hAnsi="Times New Roman" w:eastAsia="宋体" w:cs="Times New Roman"/>
          <w:b/>
          <w:color w:val="auto"/>
          <w:sz w:val="32"/>
          <w:highlight w:val="none"/>
          <w:lang w:eastAsia="zh-CN"/>
        </w:rPr>
        <w:t>封面</w:t>
      </w:r>
      <w:r>
        <w:rPr>
          <w:rFonts w:ascii="Times New Roman" w:hAnsi="Times New Roman" w:cs="Times New Roman"/>
          <w:b/>
          <w:color w:val="auto"/>
          <w:sz w:val="32"/>
          <w:highlight w:val="none"/>
          <w:lang w:eastAsia="zh-CN"/>
        </w:rPr>
        <w:t>标记</w:t>
      </w:r>
      <w:bookmarkEnd w:id="41"/>
      <w:bookmarkEnd w:id="42"/>
      <w:bookmarkEnd w:id="43"/>
    </w:p>
    <w:p w14:paraId="4E72D290">
      <w:pPr>
        <w:widowControl w:val="0"/>
        <w:kinsoku/>
        <w:wordWrap w:val="0"/>
        <w:spacing w:before="120" w:beforeLines="50" w:after="50" w:line="400" w:lineRule="exact"/>
        <w:jc w:val="center"/>
        <w:rPr>
          <w:rFonts w:ascii="Times New Roman" w:hAnsi="Times New Roman" w:cs="Times New Roman"/>
          <w:b/>
          <w:color w:val="auto"/>
          <w:sz w:val="36"/>
          <w:szCs w:val="36"/>
          <w:highlight w:val="none"/>
          <w:lang w:eastAsia="zh-CN"/>
        </w:rPr>
      </w:pPr>
    </w:p>
    <w:p w14:paraId="2604CD95">
      <w:pPr>
        <w:widowControl w:val="0"/>
        <w:kinsoku/>
        <w:wordWrap w:val="0"/>
        <w:spacing w:before="120" w:beforeLines="50" w:after="50" w:line="400" w:lineRule="exact"/>
        <w:jc w:val="center"/>
        <w:rPr>
          <w:rFonts w:ascii="Times New Roman" w:hAnsi="Times New Roman" w:cs="Times New Roman"/>
          <w:b/>
          <w:color w:val="auto"/>
          <w:sz w:val="36"/>
          <w:szCs w:val="36"/>
          <w:highlight w:val="none"/>
          <w:lang w:eastAsia="zh-CN"/>
        </w:rPr>
      </w:pPr>
      <w:r>
        <w:rPr>
          <w:rFonts w:ascii="Times New Roman" w:hAnsi="Times New Roman" w:cs="Times New Roman"/>
          <w:b/>
          <w:color w:val="auto"/>
          <w:sz w:val="36"/>
          <w:szCs w:val="36"/>
          <w:highlight w:val="none"/>
          <w:lang w:eastAsia="zh-CN"/>
        </w:rPr>
        <w:t>响 应 文 件</w:t>
      </w:r>
    </w:p>
    <w:p w14:paraId="214F9CDB">
      <w:pPr>
        <w:widowControl w:val="0"/>
        <w:kinsoku/>
        <w:wordWrap w:val="0"/>
        <w:spacing w:before="120" w:beforeLines="50" w:after="50" w:line="400" w:lineRule="exact"/>
        <w:ind w:firstLine="480" w:firstLineChars="150"/>
        <w:rPr>
          <w:rFonts w:ascii="Times New Roman" w:hAnsi="Times New Roman" w:eastAsia="宋体" w:cs="Times New Roman"/>
          <w:b/>
          <w:color w:val="auto"/>
          <w:sz w:val="28"/>
          <w:szCs w:val="28"/>
          <w:highlight w:val="none"/>
          <w:lang w:eastAsia="zh-CN"/>
        </w:rPr>
      </w:pPr>
      <w:r>
        <w:rPr>
          <w:rFonts w:ascii="Times New Roman" w:hAnsi="Times New Roman" w:cs="Times New Roman"/>
          <w:color w:val="auto"/>
          <w:sz w:val="32"/>
          <w:szCs w:val="32"/>
          <w:highlight w:val="none"/>
          <w:lang w:eastAsia="zh-CN"/>
        </w:rPr>
        <w:t xml:space="preserve">                      </w:t>
      </w:r>
      <w:r>
        <w:rPr>
          <w:rFonts w:ascii="Times New Roman" w:hAnsi="Times New Roman" w:cs="Times New Roman"/>
          <w:b/>
          <w:bCs/>
          <w:color w:val="auto"/>
          <w:sz w:val="32"/>
          <w:szCs w:val="32"/>
          <w:highlight w:val="none"/>
          <w:lang w:eastAsia="zh-CN"/>
        </w:rPr>
        <w:t xml:space="preserve"> </w:t>
      </w:r>
    </w:p>
    <w:p w14:paraId="06413B3A">
      <w:pPr>
        <w:widowControl w:val="0"/>
        <w:kinsoku/>
        <w:wordWrap w:val="0"/>
        <w:spacing w:before="120" w:beforeLines="50" w:after="50" w:line="400" w:lineRule="exact"/>
        <w:ind w:firstLine="420" w:firstLineChars="150"/>
        <w:rPr>
          <w:rFonts w:ascii="Times New Roman" w:hAnsi="Times New Roman" w:cs="Times New Roman"/>
          <w:b/>
          <w:color w:val="auto"/>
          <w:sz w:val="28"/>
          <w:szCs w:val="28"/>
          <w:highlight w:val="none"/>
          <w:lang w:eastAsia="zh-CN"/>
        </w:rPr>
      </w:pPr>
    </w:p>
    <w:p w14:paraId="0F89E65B">
      <w:pPr>
        <w:widowControl w:val="0"/>
        <w:kinsoku/>
        <w:wordWrap w:val="0"/>
        <w:spacing w:before="120" w:beforeLines="50" w:after="50" w:line="400" w:lineRule="exact"/>
        <w:ind w:firstLine="420" w:firstLineChars="150"/>
        <w:rPr>
          <w:rFonts w:ascii="Times New Roman" w:hAnsi="Times New Roman" w:cs="Times New Roman"/>
          <w:b/>
          <w:color w:val="auto"/>
          <w:sz w:val="28"/>
          <w:szCs w:val="28"/>
          <w:highlight w:val="none"/>
          <w:lang w:eastAsia="zh-CN"/>
        </w:rPr>
      </w:pPr>
    </w:p>
    <w:p w14:paraId="3856F312">
      <w:pPr>
        <w:widowControl w:val="0"/>
        <w:kinsoku/>
        <w:wordWrap w:val="0"/>
        <w:spacing w:before="120" w:beforeLines="50" w:after="50" w:line="400" w:lineRule="exact"/>
        <w:ind w:firstLine="1681" w:firstLineChars="600"/>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项目名称：</w:t>
      </w:r>
      <w:r>
        <w:rPr>
          <w:rFonts w:ascii="Times New Roman" w:hAnsi="Times New Roman" w:cs="Times New Roman"/>
          <w:b/>
          <w:bCs/>
          <w:color w:val="auto"/>
          <w:sz w:val="28"/>
          <w:szCs w:val="28"/>
          <w:highlight w:val="none"/>
          <w:u w:val="single"/>
          <w:lang w:eastAsia="zh-CN"/>
        </w:rPr>
        <w:t xml:space="preserve">                    </w:t>
      </w:r>
    </w:p>
    <w:p w14:paraId="7AB7D459">
      <w:pPr>
        <w:widowControl w:val="0"/>
        <w:kinsoku/>
        <w:wordWrap w:val="0"/>
        <w:spacing w:before="120" w:beforeLines="50" w:after="50" w:line="400" w:lineRule="exact"/>
        <w:ind w:firstLine="1681" w:firstLineChars="600"/>
        <w:rPr>
          <w:rFonts w:ascii="Times New Roman" w:hAnsi="Times New Roman" w:eastAsia="宋体" w:cs="Times New Roman"/>
          <w:b/>
          <w:color w:val="auto"/>
          <w:sz w:val="28"/>
          <w:szCs w:val="28"/>
          <w:highlight w:val="none"/>
          <w:u w:val="single"/>
          <w:lang w:eastAsia="zh-CN"/>
        </w:rPr>
      </w:pPr>
      <w:r>
        <w:rPr>
          <w:rFonts w:ascii="Times New Roman" w:hAnsi="Times New Roman" w:cs="Times New Roman"/>
          <w:b/>
          <w:color w:val="auto"/>
          <w:sz w:val="28"/>
          <w:szCs w:val="28"/>
          <w:highlight w:val="none"/>
          <w:lang w:eastAsia="zh-CN"/>
        </w:rPr>
        <w:t>项目编号：</w:t>
      </w:r>
      <w:r>
        <w:rPr>
          <w:rFonts w:ascii="Times New Roman" w:hAnsi="Times New Roman" w:eastAsia="宋体" w:cs="Times New Roman"/>
          <w:b/>
          <w:color w:val="auto"/>
          <w:sz w:val="28"/>
          <w:szCs w:val="28"/>
          <w:highlight w:val="none"/>
          <w:u w:val="single"/>
          <w:lang w:eastAsia="zh-CN"/>
        </w:rPr>
        <w:t xml:space="preserve">                    </w:t>
      </w:r>
    </w:p>
    <w:p w14:paraId="795A603A">
      <w:pPr>
        <w:widowControl w:val="0"/>
        <w:kinsoku/>
        <w:wordWrap w:val="0"/>
        <w:spacing w:line="400" w:lineRule="exact"/>
        <w:rPr>
          <w:rFonts w:ascii="Times New Roman" w:hAnsi="Times New Roman" w:cs="Times New Roman"/>
          <w:b/>
          <w:color w:val="auto"/>
          <w:highlight w:val="none"/>
          <w:lang w:eastAsia="zh-CN"/>
        </w:rPr>
      </w:pPr>
    </w:p>
    <w:p w14:paraId="1B2A81B1">
      <w:pPr>
        <w:pStyle w:val="29"/>
        <w:wordWrap w:val="0"/>
        <w:spacing w:line="400" w:lineRule="exact"/>
        <w:rPr>
          <w:b/>
          <w:color w:val="auto"/>
          <w:sz w:val="28"/>
          <w:szCs w:val="28"/>
          <w:highlight w:val="none"/>
        </w:rPr>
      </w:pPr>
    </w:p>
    <w:p w14:paraId="48BE1713">
      <w:pPr>
        <w:widowControl w:val="0"/>
        <w:kinsoku/>
        <w:wordWrap w:val="0"/>
        <w:spacing w:before="120" w:beforeLines="50" w:after="50" w:line="360" w:lineRule="auto"/>
        <w:rPr>
          <w:rFonts w:ascii="Times New Roman" w:hAnsi="Times New Roman" w:cs="Times New Roman"/>
          <w:b/>
          <w:color w:val="auto"/>
          <w:sz w:val="28"/>
          <w:szCs w:val="28"/>
          <w:highlight w:val="none"/>
          <w:lang w:eastAsia="zh-CN"/>
        </w:rPr>
      </w:pPr>
    </w:p>
    <w:p w14:paraId="3F882173">
      <w:pPr>
        <w:widowControl w:val="0"/>
        <w:kinsoku/>
        <w:wordWrap w:val="0"/>
        <w:spacing w:before="120" w:beforeLines="50" w:after="50" w:line="360" w:lineRule="auto"/>
        <w:rPr>
          <w:rFonts w:ascii="Times New Roman" w:hAnsi="Times New Roman" w:cs="Times New Roman"/>
          <w:b/>
          <w:color w:val="auto"/>
          <w:sz w:val="28"/>
          <w:szCs w:val="28"/>
          <w:highlight w:val="none"/>
          <w:lang w:eastAsia="zh-CN"/>
        </w:rPr>
      </w:pPr>
    </w:p>
    <w:p w14:paraId="647801AE">
      <w:pPr>
        <w:widowControl w:val="0"/>
        <w:kinsoku/>
        <w:wordWrap w:val="0"/>
        <w:spacing w:before="120" w:beforeLines="50" w:after="50" w:line="360" w:lineRule="auto"/>
        <w:rPr>
          <w:rFonts w:ascii="Times New Roman" w:hAnsi="Times New Roman" w:cs="Times New Roman"/>
          <w:b/>
          <w:color w:val="auto"/>
          <w:sz w:val="28"/>
          <w:szCs w:val="28"/>
          <w:highlight w:val="none"/>
          <w:u w:val="single"/>
          <w:lang w:eastAsia="zh-CN"/>
        </w:rPr>
      </w:pPr>
      <w:r>
        <w:rPr>
          <w:rFonts w:ascii="Times New Roman" w:hAnsi="Times New Roman" w:cs="Times New Roman"/>
          <w:b/>
          <w:color w:val="auto"/>
          <w:sz w:val="28"/>
          <w:szCs w:val="28"/>
          <w:highlight w:val="none"/>
          <w:lang w:eastAsia="zh-CN"/>
        </w:rPr>
        <w:t>采购代理机构：</w:t>
      </w:r>
      <w:r>
        <w:rPr>
          <w:rFonts w:ascii="Times New Roman" w:hAnsi="Times New Roman" w:cs="Times New Roman"/>
          <w:b/>
          <w:color w:val="auto"/>
          <w:sz w:val="28"/>
          <w:szCs w:val="28"/>
          <w:highlight w:val="none"/>
          <w:u w:val="single"/>
          <w:lang w:eastAsia="zh-CN"/>
        </w:rPr>
        <w:t xml:space="preserve"> </w:t>
      </w:r>
      <w:r>
        <w:rPr>
          <w:rFonts w:hint="eastAsia" w:ascii="Times New Roman" w:hAnsi="Times New Roman" w:cs="Times New Roman"/>
          <w:b/>
          <w:color w:val="auto"/>
          <w:sz w:val="28"/>
          <w:szCs w:val="28"/>
          <w:highlight w:val="none"/>
          <w:u w:val="single"/>
          <w:lang w:eastAsia="zh-CN"/>
        </w:rPr>
        <w:t>广西邕政采购代理有限公司</w:t>
      </w:r>
      <w:r>
        <w:rPr>
          <w:rFonts w:ascii="Times New Roman" w:hAnsi="Times New Roman" w:cs="Times New Roman"/>
          <w:b/>
          <w:color w:val="auto"/>
          <w:sz w:val="28"/>
          <w:szCs w:val="28"/>
          <w:highlight w:val="none"/>
          <w:u w:val="single"/>
          <w:lang w:eastAsia="zh-CN"/>
        </w:rPr>
        <w:t xml:space="preserve">   </w:t>
      </w:r>
    </w:p>
    <w:p w14:paraId="6AE5664C">
      <w:pPr>
        <w:pStyle w:val="9"/>
        <w:widowControl w:val="0"/>
        <w:kinsoku/>
        <w:wordWrap w:val="0"/>
        <w:spacing w:line="360" w:lineRule="auto"/>
        <w:ind w:left="0" w:leftChars="0"/>
        <w:rPr>
          <w:rFonts w:ascii="Times New Roman" w:hAnsi="Times New Roman" w:cs="Times New Roman"/>
          <w:bCs/>
          <w:color w:val="auto"/>
          <w:sz w:val="28"/>
          <w:szCs w:val="28"/>
          <w:highlight w:val="none"/>
          <w:lang w:eastAsia="zh-CN"/>
        </w:rPr>
      </w:pPr>
      <w:bookmarkStart w:id="44" w:name="_Toc20319_WPSOffice_Level2"/>
      <w:bookmarkStart w:id="45" w:name="_Toc4932_WPSOffice_Level2"/>
      <w:r>
        <w:rPr>
          <w:rFonts w:ascii="Times New Roman" w:hAnsi="Times New Roman" w:cs="Times New Roman"/>
          <w:bCs/>
          <w:color w:val="auto"/>
          <w:sz w:val="28"/>
          <w:szCs w:val="28"/>
          <w:highlight w:val="none"/>
          <w:lang w:eastAsia="zh-CN"/>
        </w:rPr>
        <w:t>供应商[公章(CA签章)、自然人除外]：</w:t>
      </w:r>
      <w:r>
        <w:rPr>
          <w:rFonts w:ascii="Times New Roman" w:hAnsi="Times New Roman" w:cs="Times New Roman"/>
          <w:bCs/>
          <w:color w:val="auto"/>
          <w:sz w:val="28"/>
          <w:szCs w:val="28"/>
          <w:highlight w:val="none"/>
          <w:u w:val="single"/>
          <w:lang w:eastAsia="zh-CN"/>
        </w:rPr>
        <w:t xml:space="preserve">                     </w:t>
      </w:r>
      <w:bookmarkEnd w:id="44"/>
      <w:bookmarkEnd w:id="45"/>
    </w:p>
    <w:p w14:paraId="7D9255A3">
      <w:pPr>
        <w:pStyle w:val="11"/>
        <w:widowControl w:val="0"/>
        <w:kinsoku/>
        <w:wordWrap w:val="0"/>
        <w:spacing w:line="360" w:lineRule="auto"/>
        <w:rPr>
          <w:rFonts w:ascii="Times New Roman" w:hAnsi="Times New Roman" w:cs="Times New Roman"/>
          <w:color w:val="auto"/>
          <w:sz w:val="28"/>
          <w:szCs w:val="28"/>
          <w:highlight w:val="none"/>
          <w:u w:val="single"/>
          <w:lang w:eastAsia="zh-CN"/>
        </w:rPr>
      </w:pPr>
      <w:bookmarkStart w:id="46" w:name="_Toc9622_WPSOffice_Level2"/>
      <w:bookmarkStart w:id="47" w:name="_Toc32056_WPSOffice_Level2"/>
      <w:r>
        <w:rPr>
          <w:rFonts w:ascii="Times New Roman" w:hAnsi="Times New Roman" w:cs="Times New Roman"/>
          <w:color w:val="auto"/>
          <w:sz w:val="28"/>
          <w:szCs w:val="28"/>
          <w:highlight w:val="none"/>
          <w:lang w:eastAsia="zh-CN"/>
        </w:rPr>
        <w:t>法定代表人、负责人、自然人或相应的委托代理人签字[或盖章(CA签章)]（属自然人的应在签名处加盖大拇指指印或个人CA签章）：</w:t>
      </w:r>
      <w:r>
        <w:rPr>
          <w:rFonts w:ascii="Times New Roman" w:hAnsi="Times New Roman" w:cs="Times New Roman"/>
          <w:color w:val="auto"/>
          <w:sz w:val="28"/>
          <w:szCs w:val="28"/>
          <w:highlight w:val="none"/>
          <w:u w:val="single"/>
          <w:lang w:eastAsia="zh-CN"/>
        </w:rPr>
        <w:t xml:space="preserve">          </w:t>
      </w:r>
    </w:p>
    <w:p w14:paraId="71EC3AEF">
      <w:pPr>
        <w:pStyle w:val="9"/>
        <w:widowControl w:val="0"/>
        <w:kinsoku/>
        <w:wordWrap w:val="0"/>
        <w:spacing w:line="360" w:lineRule="auto"/>
        <w:ind w:left="0" w:leftChars="0"/>
        <w:rPr>
          <w:rFonts w:ascii="Times New Roman" w:hAnsi="Times New Roman" w:cs="Times New Roman"/>
          <w:bCs/>
          <w:color w:val="auto"/>
          <w:sz w:val="28"/>
          <w:szCs w:val="28"/>
          <w:highlight w:val="none"/>
          <w:u w:val="single"/>
          <w:lang w:eastAsia="zh-CN"/>
        </w:rPr>
      </w:pPr>
      <w:r>
        <w:rPr>
          <w:rFonts w:ascii="Times New Roman" w:hAnsi="Times New Roman" w:cs="Times New Roman"/>
          <w:bCs/>
          <w:color w:val="auto"/>
          <w:sz w:val="28"/>
          <w:szCs w:val="28"/>
          <w:highlight w:val="none"/>
          <w:lang w:eastAsia="zh-CN"/>
        </w:rPr>
        <w:t>联系电话：</w:t>
      </w:r>
      <w:bookmarkEnd w:id="46"/>
      <w:bookmarkEnd w:id="47"/>
      <w:r>
        <w:rPr>
          <w:rFonts w:ascii="Times New Roman" w:hAnsi="Times New Roman" w:cs="Times New Roman"/>
          <w:bCs/>
          <w:color w:val="auto"/>
          <w:sz w:val="28"/>
          <w:szCs w:val="28"/>
          <w:highlight w:val="none"/>
          <w:u w:val="single"/>
          <w:lang w:eastAsia="zh-CN"/>
        </w:rPr>
        <w:t xml:space="preserve">                                                </w:t>
      </w:r>
    </w:p>
    <w:p w14:paraId="0E9DD23F">
      <w:pPr>
        <w:pStyle w:val="9"/>
        <w:widowControl w:val="0"/>
        <w:kinsoku/>
        <w:wordWrap w:val="0"/>
        <w:spacing w:line="360" w:lineRule="auto"/>
        <w:ind w:left="0" w:leftChars="0"/>
        <w:rPr>
          <w:rFonts w:ascii="Times New Roman" w:hAnsi="Times New Roman" w:cs="Times New Roman"/>
          <w:bCs/>
          <w:color w:val="auto"/>
          <w:sz w:val="28"/>
          <w:szCs w:val="28"/>
          <w:highlight w:val="none"/>
          <w:lang w:eastAsia="zh-CN"/>
        </w:rPr>
      </w:pPr>
      <w:bookmarkStart w:id="48" w:name="_Toc15933_WPSOffice_Level2"/>
      <w:bookmarkStart w:id="49" w:name="_Toc26465_WPSOffice_Level2"/>
      <w:r>
        <w:rPr>
          <w:rFonts w:ascii="Times New Roman" w:hAnsi="Times New Roman" w:cs="Times New Roman"/>
          <w:bCs/>
          <w:color w:val="auto"/>
          <w:sz w:val="28"/>
          <w:szCs w:val="28"/>
          <w:highlight w:val="none"/>
          <w:lang w:eastAsia="zh-CN"/>
        </w:rPr>
        <w:t>日期：</w:t>
      </w:r>
      <w:r>
        <w:rPr>
          <w:rFonts w:ascii="Times New Roman" w:hAnsi="Times New Roman" w:cs="Times New Roman"/>
          <w:bCs/>
          <w:color w:val="auto"/>
          <w:sz w:val="28"/>
          <w:szCs w:val="28"/>
          <w:highlight w:val="none"/>
          <w:u w:val="single"/>
          <w:lang w:eastAsia="zh-CN"/>
        </w:rPr>
        <w:t xml:space="preserve">              </w:t>
      </w:r>
      <w:r>
        <w:rPr>
          <w:rFonts w:ascii="Times New Roman" w:hAnsi="Times New Roman" w:cs="Times New Roman"/>
          <w:bCs/>
          <w:color w:val="auto"/>
          <w:sz w:val="28"/>
          <w:szCs w:val="28"/>
          <w:highlight w:val="none"/>
          <w:lang w:eastAsia="zh-CN"/>
        </w:rPr>
        <w:t>年</w:t>
      </w:r>
      <w:r>
        <w:rPr>
          <w:rFonts w:ascii="Times New Roman" w:hAnsi="Times New Roman" w:cs="Times New Roman"/>
          <w:bCs/>
          <w:color w:val="auto"/>
          <w:sz w:val="28"/>
          <w:szCs w:val="28"/>
          <w:highlight w:val="none"/>
          <w:u w:val="single"/>
          <w:lang w:eastAsia="zh-CN"/>
        </w:rPr>
        <w:t xml:space="preserve">           </w:t>
      </w:r>
      <w:r>
        <w:rPr>
          <w:rFonts w:ascii="Times New Roman" w:hAnsi="Times New Roman" w:cs="Times New Roman"/>
          <w:bCs/>
          <w:color w:val="auto"/>
          <w:sz w:val="28"/>
          <w:szCs w:val="28"/>
          <w:highlight w:val="none"/>
          <w:lang w:eastAsia="zh-CN"/>
        </w:rPr>
        <w:t>月</w:t>
      </w:r>
      <w:r>
        <w:rPr>
          <w:rFonts w:ascii="Times New Roman" w:hAnsi="Times New Roman" w:cs="Times New Roman"/>
          <w:bCs/>
          <w:color w:val="auto"/>
          <w:sz w:val="28"/>
          <w:szCs w:val="28"/>
          <w:highlight w:val="none"/>
          <w:u w:val="single"/>
          <w:lang w:eastAsia="zh-CN"/>
        </w:rPr>
        <w:t xml:space="preserve">           </w:t>
      </w:r>
      <w:r>
        <w:rPr>
          <w:rFonts w:ascii="Times New Roman" w:hAnsi="Times New Roman" w:cs="Times New Roman"/>
          <w:bCs/>
          <w:color w:val="auto"/>
          <w:sz w:val="28"/>
          <w:szCs w:val="28"/>
          <w:highlight w:val="none"/>
          <w:lang w:eastAsia="zh-CN"/>
        </w:rPr>
        <w:t>日</w:t>
      </w:r>
      <w:bookmarkEnd w:id="48"/>
      <w:bookmarkEnd w:id="49"/>
    </w:p>
    <w:p w14:paraId="02DF3CDD">
      <w:pPr>
        <w:widowControl w:val="0"/>
        <w:spacing w:line="360" w:lineRule="auto"/>
        <w:ind w:firstLine="620" w:firstLineChars="200"/>
        <w:rPr>
          <w:rFonts w:ascii="Times New Roman" w:hAnsi="Times New Roman" w:eastAsia="宋体" w:cs="Times New Roman"/>
          <w:color w:val="auto"/>
          <w:sz w:val="31"/>
          <w:szCs w:val="31"/>
          <w:highlight w:val="none"/>
          <w:lang w:eastAsia="zh-CN"/>
        </w:rPr>
        <w:sectPr>
          <w:pgSz w:w="11906" w:h="16839"/>
          <w:pgMar w:top="1247" w:right="1247" w:bottom="1247" w:left="1247" w:header="0" w:footer="822" w:gutter="0"/>
          <w:cols w:space="0" w:num="1"/>
        </w:sectPr>
      </w:pPr>
    </w:p>
    <w:p w14:paraId="680730BB">
      <w:pPr>
        <w:widowControl w:val="0"/>
        <w:spacing w:line="400" w:lineRule="exact"/>
        <w:ind w:firstLine="62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二、响应文件组成</w:t>
      </w:r>
    </w:p>
    <w:p w14:paraId="76E55F34">
      <w:pPr>
        <w:pStyle w:val="8"/>
        <w:widowControl w:val="0"/>
        <w:spacing w:line="400" w:lineRule="exact"/>
        <w:ind w:firstLine="420" w:firstLineChars="200"/>
        <w:rPr>
          <w:rFonts w:ascii="Times New Roman" w:hAnsi="Times New Roman" w:cs="Times New Roman"/>
          <w:color w:val="auto"/>
          <w:highlight w:val="none"/>
          <w:lang w:eastAsia="zh-CN"/>
        </w:rPr>
      </w:pPr>
    </w:p>
    <w:p w14:paraId="588255F6">
      <w:pPr>
        <w:pStyle w:val="8"/>
        <w:widowControl w:val="0"/>
        <w:spacing w:line="400" w:lineRule="exact"/>
        <w:ind w:firstLine="420" w:firstLineChars="200"/>
        <w:rPr>
          <w:rFonts w:ascii="Times New Roman" w:hAnsi="Times New Roman" w:cs="Times New Roman"/>
          <w:color w:val="auto"/>
          <w:highlight w:val="none"/>
          <w:lang w:eastAsia="zh-CN"/>
        </w:rPr>
      </w:pPr>
    </w:p>
    <w:p w14:paraId="1B2892D0">
      <w:pPr>
        <w:pStyle w:val="8"/>
        <w:widowControl w:val="0"/>
        <w:spacing w:line="400" w:lineRule="exact"/>
        <w:ind w:firstLine="420" w:firstLineChars="200"/>
        <w:rPr>
          <w:rFonts w:ascii="Times New Roman" w:hAnsi="Times New Roman" w:cs="Times New Roman"/>
          <w:color w:val="auto"/>
          <w:highlight w:val="none"/>
          <w:lang w:eastAsia="zh-CN"/>
        </w:rPr>
      </w:pPr>
    </w:p>
    <w:p w14:paraId="7E95043C">
      <w:pPr>
        <w:pStyle w:val="8"/>
        <w:widowControl w:val="0"/>
        <w:spacing w:line="400" w:lineRule="exact"/>
        <w:ind w:firstLine="420" w:firstLineChars="200"/>
        <w:rPr>
          <w:rFonts w:ascii="Times New Roman" w:hAnsi="Times New Roman" w:cs="Times New Roman"/>
          <w:color w:val="auto"/>
          <w:highlight w:val="none"/>
          <w:lang w:eastAsia="zh-CN"/>
        </w:rPr>
      </w:pPr>
    </w:p>
    <w:p w14:paraId="35D0675C">
      <w:pPr>
        <w:widowControl w:val="0"/>
        <w:spacing w:line="400" w:lineRule="exact"/>
        <w:ind w:firstLine="48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24"/>
          <w:szCs w:val="24"/>
          <w:highlight w:val="none"/>
          <w:lang w:eastAsia="zh-CN"/>
        </w:rPr>
        <w:t>（一）</w:t>
      </w:r>
      <w:r>
        <w:rPr>
          <w:rFonts w:ascii="Times New Roman" w:hAnsi="Times New Roman" w:eastAsia="宋体" w:cs="Times New Roman"/>
          <w:b/>
          <w:bCs/>
          <w:color w:val="auto"/>
          <w:sz w:val="31"/>
          <w:szCs w:val="31"/>
          <w:highlight w:val="none"/>
          <w:lang w:eastAsia="zh-CN"/>
        </w:rPr>
        <w:t>资格性响应证明材料</w:t>
      </w:r>
    </w:p>
    <w:p w14:paraId="171A0E1D">
      <w:pPr>
        <w:pStyle w:val="8"/>
        <w:widowControl w:val="0"/>
        <w:spacing w:line="400" w:lineRule="exact"/>
        <w:ind w:firstLine="420" w:firstLineChars="200"/>
        <w:rPr>
          <w:rFonts w:ascii="Times New Roman" w:hAnsi="Times New Roman" w:cs="Times New Roman"/>
          <w:color w:val="auto"/>
          <w:highlight w:val="none"/>
          <w:lang w:eastAsia="zh-CN"/>
        </w:rPr>
      </w:pPr>
    </w:p>
    <w:p w14:paraId="5D9C3245">
      <w:pPr>
        <w:pStyle w:val="8"/>
        <w:widowControl w:val="0"/>
        <w:spacing w:line="400" w:lineRule="exact"/>
        <w:ind w:firstLine="420" w:firstLineChars="200"/>
        <w:rPr>
          <w:rFonts w:ascii="Times New Roman" w:hAnsi="Times New Roman" w:cs="Times New Roman"/>
          <w:color w:val="auto"/>
          <w:highlight w:val="none"/>
          <w:lang w:eastAsia="zh-CN"/>
        </w:rPr>
      </w:pPr>
    </w:p>
    <w:p w14:paraId="4C4162B3">
      <w:pPr>
        <w:pStyle w:val="8"/>
        <w:widowControl w:val="0"/>
        <w:spacing w:line="400" w:lineRule="exact"/>
        <w:ind w:firstLine="420" w:firstLineChars="200"/>
        <w:rPr>
          <w:rFonts w:ascii="Times New Roman" w:hAnsi="Times New Roman" w:cs="Times New Roman"/>
          <w:color w:val="auto"/>
          <w:highlight w:val="none"/>
          <w:lang w:eastAsia="zh-CN"/>
        </w:rPr>
      </w:pPr>
    </w:p>
    <w:p w14:paraId="03743A82">
      <w:pPr>
        <w:pStyle w:val="8"/>
        <w:widowControl w:val="0"/>
        <w:spacing w:line="400" w:lineRule="exact"/>
        <w:ind w:firstLine="420" w:firstLineChars="200"/>
        <w:rPr>
          <w:rFonts w:ascii="Times New Roman" w:hAnsi="Times New Roman" w:cs="Times New Roman"/>
          <w:color w:val="auto"/>
          <w:highlight w:val="none"/>
          <w:lang w:eastAsia="zh-CN"/>
        </w:rPr>
      </w:pPr>
    </w:p>
    <w:p w14:paraId="1CF539A9">
      <w:pPr>
        <w:pStyle w:val="8"/>
        <w:widowControl w:val="0"/>
        <w:spacing w:line="400" w:lineRule="exact"/>
        <w:ind w:firstLine="420" w:firstLineChars="200"/>
        <w:rPr>
          <w:rFonts w:ascii="Times New Roman" w:hAnsi="Times New Roman" w:cs="Times New Roman"/>
          <w:color w:val="auto"/>
          <w:highlight w:val="none"/>
          <w:lang w:eastAsia="zh-CN"/>
        </w:rPr>
      </w:pPr>
    </w:p>
    <w:p w14:paraId="06B1D739">
      <w:pPr>
        <w:pStyle w:val="8"/>
        <w:widowControl w:val="0"/>
        <w:spacing w:line="400" w:lineRule="exact"/>
        <w:ind w:firstLine="420" w:firstLineChars="200"/>
        <w:rPr>
          <w:rFonts w:ascii="Times New Roman" w:hAnsi="Times New Roman" w:cs="Times New Roman"/>
          <w:color w:val="auto"/>
          <w:highlight w:val="none"/>
          <w:lang w:eastAsia="zh-CN"/>
        </w:rPr>
      </w:pPr>
    </w:p>
    <w:p w14:paraId="6F9A5C7A">
      <w:pPr>
        <w:widowControl w:val="0"/>
        <w:spacing w:line="400" w:lineRule="exact"/>
        <w:ind w:firstLine="48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24"/>
          <w:szCs w:val="24"/>
          <w:highlight w:val="none"/>
          <w:lang w:eastAsia="zh-CN"/>
        </w:rPr>
        <w:t>（二）</w:t>
      </w:r>
      <w:r>
        <w:rPr>
          <w:rFonts w:ascii="Times New Roman" w:hAnsi="Times New Roman" w:eastAsia="宋体" w:cs="Times New Roman"/>
          <w:b/>
          <w:bCs/>
          <w:color w:val="auto"/>
          <w:sz w:val="31"/>
          <w:szCs w:val="31"/>
          <w:highlight w:val="none"/>
          <w:lang w:eastAsia="zh-CN"/>
        </w:rPr>
        <w:t>符合性响应证明材料</w:t>
      </w:r>
    </w:p>
    <w:p w14:paraId="0FDAAC0F">
      <w:pPr>
        <w:pStyle w:val="8"/>
        <w:widowControl w:val="0"/>
        <w:spacing w:line="400" w:lineRule="exact"/>
        <w:ind w:firstLine="420" w:firstLineChars="200"/>
        <w:rPr>
          <w:rFonts w:ascii="Times New Roman" w:hAnsi="Times New Roman" w:cs="Times New Roman"/>
          <w:color w:val="auto"/>
          <w:highlight w:val="none"/>
          <w:lang w:eastAsia="zh-CN"/>
        </w:rPr>
      </w:pPr>
    </w:p>
    <w:p w14:paraId="5307791D">
      <w:pPr>
        <w:pStyle w:val="8"/>
        <w:widowControl w:val="0"/>
        <w:spacing w:line="400" w:lineRule="exact"/>
        <w:ind w:firstLine="420" w:firstLineChars="200"/>
        <w:rPr>
          <w:rFonts w:ascii="Times New Roman" w:hAnsi="Times New Roman" w:cs="Times New Roman"/>
          <w:color w:val="auto"/>
          <w:highlight w:val="none"/>
          <w:lang w:eastAsia="zh-CN"/>
        </w:rPr>
      </w:pPr>
    </w:p>
    <w:p w14:paraId="60BE3A2E">
      <w:pPr>
        <w:pStyle w:val="8"/>
        <w:widowControl w:val="0"/>
        <w:spacing w:line="400" w:lineRule="exact"/>
        <w:ind w:firstLine="420" w:firstLineChars="200"/>
        <w:rPr>
          <w:rFonts w:ascii="Times New Roman" w:hAnsi="Times New Roman" w:cs="Times New Roman"/>
          <w:color w:val="auto"/>
          <w:highlight w:val="none"/>
          <w:lang w:eastAsia="zh-CN"/>
        </w:rPr>
      </w:pPr>
    </w:p>
    <w:p w14:paraId="7CCADF15">
      <w:pPr>
        <w:pStyle w:val="8"/>
        <w:widowControl w:val="0"/>
        <w:spacing w:line="400" w:lineRule="exact"/>
        <w:ind w:firstLine="420" w:firstLineChars="200"/>
        <w:rPr>
          <w:rFonts w:ascii="Times New Roman" w:hAnsi="Times New Roman" w:cs="Times New Roman"/>
          <w:color w:val="auto"/>
          <w:highlight w:val="none"/>
          <w:lang w:eastAsia="zh-CN"/>
        </w:rPr>
      </w:pPr>
    </w:p>
    <w:p w14:paraId="0DDD29CF">
      <w:pPr>
        <w:pStyle w:val="8"/>
        <w:widowControl w:val="0"/>
        <w:spacing w:line="400" w:lineRule="exact"/>
        <w:ind w:firstLine="420" w:firstLineChars="200"/>
        <w:rPr>
          <w:rFonts w:ascii="Times New Roman" w:hAnsi="Times New Roman" w:cs="Times New Roman"/>
          <w:color w:val="auto"/>
          <w:highlight w:val="none"/>
          <w:lang w:eastAsia="zh-CN"/>
        </w:rPr>
      </w:pPr>
    </w:p>
    <w:p w14:paraId="7899A35E">
      <w:pPr>
        <w:pStyle w:val="8"/>
        <w:widowControl w:val="0"/>
        <w:spacing w:line="400" w:lineRule="exact"/>
        <w:ind w:firstLine="420" w:firstLineChars="200"/>
        <w:rPr>
          <w:rFonts w:ascii="Times New Roman" w:hAnsi="Times New Roman" w:cs="Times New Roman"/>
          <w:color w:val="auto"/>
          <w:highlight w:val="none"/>
          <w:lang w:eastAsia="zh-CN"/>
        </w:rPr>
      </w:pPr>
    </w:p>
    <w:p w14:paraId="391D3DB1">
      <w:pPr>
        <w:widowControl w:val="0"/>
        <w:spacing w:line="400" w:lineRule="exact"/>
        <w:ind w:firstLine="48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24"/>
          <w:szCs w:val="24"/>
          <w:highlight w:val="none"/>
          <w:lang w:eastAsia="zh-CN"/>
        </w:rPr>
        <w:t>（三）</w:t>
      </w:r>
      <w:r>
        <w:rPr>
          <w:rFonts w:ascii="Times New Roman" w:hAnsi="Times New Roman" w:eastAsia="宋体" w:cs="Times New Roman"/>
          <w:b/>
          <w:bCs/>
          <w:color w:val="auto"/>
          <w:sz w:val="31"/>
          <w:szCs w:val="31"/>
          <w:highlight w:val="none"/>
          <w:lang w:eastAsia="zh-CN"/>
        </w:rPr>
        <w:t>其它有效证明材料</w:t>
      </w:r>
    </w:p>
    <w:p w14:paraId="6B17A1E5">
      <w:pPr>
        <w:widowControl w:val="0"/>
        <w:spacing w:line="400" w:lineRule="exact"/>
        <w:ind w:firstLine="620" w:firstLineChars="200"/>
        <w:rPr>
          <w:rFonts w:ascii="Times New Roman" w:hAnsi="Times New Roman" w:eastAsia="宋体" w:cs="Times New Roman"/>
          <w:color w:val="auto"/>
          <w:sz w:val="31"/>
          <w:szCs w:val="31"/>
          <w:highlight w:val="none"/>
          <w:lang w:eastAsia="zh-CN"/>
        </w:rPr>
        <w:sectPr>
          <w:footerReference r:id="rId10" w:type="default"/>
          <w:pgSz w:w="11906" w:h="16839"/>
          <w:pgMar w:top="1247" w:right="1247" w:bottom="1247" w:left="1247" w:header="0" w:footer="822" w:gutter="0"/>
          <w:cols w:space="0" w:num="1"/>
        </w:sectPr>
      </w:pPr>
    </w:p>
    <w:p w14:paraId="40A10722">
      <w:pPr>
        <w:widowControl w:val="0"/>
        <w:spacing w:line="400" w:lineRule="exact"/>
        <w:ind w:firstLine="62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（一）资格性响应证明材料目录</w:t>
      </w:r>
    </w:p>
    <w:p w14:paraId="7C9B67C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1.供应商相应的法定代表人(负责人、 自然人)身份证正反两面复印件</w:t>
      </w:r>
      <w:r>
        <w:rPr>
          <w:rFonts w:ascii="Times New Roman" w:hAnsi="Times New Roman" w:eastAsia="宋体" w:cs="Times New Roman"/>
          <w:b/>
          <w:bCs/>
          <w:color w:val="auto"/>
          <w:highlight w:val="none"/>
          <w:lang w:eastAsia="zh-CN"/>
        </w:rPr>
        <w:t>（必须提供）</w:t>
      </w:r>
      <w:r>
        <w:rPr>
          <w:rFonts w:ascii="Times New Roman" w:hAnsi="Times New Roman" w:eastAsia="宋体" w:cs="Times New Roman"/>
          <w:color w:val="auto"/>
          <w:highlight w:val="none"/>
          <w:lang w:eastAsia="zh-CN"/>
        </w:rPr>
        <w:t>；</w:t>
      </w:r>
    </w:p>
    <w:p w14:paraId="70E8777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w:t>
      </w:r>
      <w:r>
        <w:rPr>
          <w:rFonts w:ascii="Times New Roman" w:hAnsi="Times New Roman" w:cs="Times New Roman"/>
          <w:color w:val="auto"/>
          <w:highlight w:val="none"/>
          <w:lang w:eastAsia="zh-CN"/>
        </w:rPr>
        <w:t>供应商的授权委托书原件、委托代理人身份证正反面复印件以及由社保经办机构出具的供应商为委托代理人</w:t>
      </w:r>
      <w:r>
        <w:rPr>
          <w:rFonts w:ascii="Times New Roman" w:hAnsi="Times New Roman" w:eastAsia="宋体" w:cs="Times New Roman"/>
          <w:color w:val="auto"/>
          <w:highlight w:val="none"/>
          <w:lang w:eastAsia="zh-CN"/>
        </w:rPr>
        <w:t>2026年以来</w:t>
      </w:r>
      <w:r>
        <w:rPr>
          <w:rFonts w:ascii="Times New Roman" w:hAnsi="Times New Roman" w:cs="Times New Roman"/>
          <w:color w:val="auto"/>
          <w:highlight w:val="none"/>
          <w:lang w:eastAsia="zh-CN"/>
        </w:rPr>
        <w:t>任意一个月交纳的社保证明复印件</w:t>
      </w:r>
      <w:r>
        <w:rPr>
          <w:rFonts w:ascii="Times New Roman" w:hAnsi="Times New Roman" w:cs="Times New Roman"/>
          <w:b/>
          <w:color w:val="auto"/>
          <w:highlight w:val="none"/>
          <w:lang w:eastAsia="zh-CN"/>
        </w:rPr>
        <w:t>【属自然人的应提供由社保经办机构出具的自然人本人及委托代理人所交纳的社保证明复印件】（委托代理时必须提供）</w:t>
      </w:r>
      <w:r>
        <w:rPr>
          <w:rFonts w:ascii="Times New Roman" w:hAnsi="Times New Roman" w:eastAsia="宋体" w:cs="Times New Roman"/>
          <w:color w:val="auto"/>
          <w:highlight w:val="none"/>
          <w:lang w:eastAsia="zh-CN"/>
        </w:rPr>
        <w:t>；</w:t>
      </w:r>
    </w:p>
    <w:p w14:paraId="213BB89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3.供应商的法人或者其他组织营业执照等证明文件复印件</w:t>
      </w:r>
      <w:r>
        <w:rPr>
          <w:rFonts w:ascii="Times New Roman" w:hAnsi="Times New Roman" w:eastAsia="宋体" w:cs="Times New Roman"/>
          <w:b/>
          <w:bCs/>
          <w:color w:val="auto"/>
          <w:highlight w:val="none"/>
          <w:lang w:eastAsia="zh-CN"/>
        </w:rPr>
        <w:t>（必须提供， 自然人除外）</w:t>
      </w:r>
      <w:r>
        <w:rPr>
          <w:rFonts w:ascii="Times New Roman" w:hAnsi="Times New Roman" w:eastAsia="宋体" w:cs="Times New Roman"/>
          <w:color w:val="auto"/>
          <w:highlight w:val="none"/>
          <w:lang w:eastAsia="zh-CN"/>
        </w:rPr>
        <w:t>；</w:t>
      </w:r>
    </w:p>
    <w:p w14:paraId="0B265BA5">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注：①法人包括企业法人、机关法人、事业单位法人和社会团体法人；其他组织主要包括合伙 企业、非企业专业服务机构、个体工商户、农村承包经营户。②如供应商为企业（包括合伙企业）， 应提供市场监督管理部门（或行政审批部门）注册的有效“企业法人营业执照 ”或“营业执照；供 应商为事业单位，应提供有效的“事业单位法人证书 ”；供应商为非企业专业服务机构的，应提供 执业许可证等证明文件；供应商为个体工商户，应提供有效的“个体工商户营业执照 ”。③如供应 商为企业法人的分支机构的，除应提供营业执照复印件外，还应提供其所属的总公司授权其参加政 府采购活动的授权文件或授权其独立开展经营业务活动的证明材料复印件。</w:t>
      </w:r>
    </w:p>
    <w:p w14:paraId="59967F0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w:t>
      </w:r>
      <w:r>
        <w:rPr>
          <w:rFonts w:hint="eastAsia" w:ascii="Times New Roman" w:hAnsi="Times New Roman" w:eastAsia="宋体" w:cs="Times New Roman"/>
          <w:color w:val="auto"/>
          <w:highlight w:val="none"/>
          <w:lang w:eastAsia="zh-CN"/>
        </w:rPr>
        <w:t>供应商2026年至响应截止时间内任意一个月的财务状况报告（至少包括提供资产负债表、利润表、现金流量表）或2026年以来银行出具的资信证明或2026年以来中国人民银行征信中心出具的信用报告）</w:t>
      </w:r>
      <w:r>
        <w:rPr>
          <w:rFonts w:ascii="Times New Roman" w:hAnsi="Times New Roman" w:eastAsia="宋体" w:cs="Times New Roman"/>
          <w:b/>
          <w:bCs/>
          <w:color w:val="auto"/>
          <w:highlight w:val="none"/>
          <w:lang w:eastAsia="zh-CN"/>
        </w:rPr>
        <w:t>（必须提供）；</w:t>
      </w:r>
    </w:p>
    <w:p w14:paraId="7D94820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w:t>
      </w:r>
      <w:r>
        <w:rPr>
          <w:rFonts w:hint="eastAsia" w:ascii="Times New Roman" w:hAnsi="Times New Roman" w:eastAsia="宋体" w:cs="Times New Roman"/>
          <w:color w:val="auto"/>
          <w:highlight w:val="none"/>
          <w:lang w:eastAsia="zh-CN"/>
        </w:rPr>
        <w:t>供应商依法缴纳税收的相关材料[2026年至响应截止时间内任意一个月依法缴纳税收的凭据复印件；依法免税的供应商，必须提供相应文件证明其依法免税。从取得营业执照时间起到响应文件提交截止时间为止不足要求月数的，只需提供从取得营业执照起的依法缴纳税收相应证明文件）（必须提供）；供应商依法缴纳社会保障资金的相关材料[2026年至响应截止时间内任意一个月依法缴纳社会保障资金的缴费凭证（专用收据或者社会保险缴纳清单）复印件</w:t>
      </w:r>
      <w:r>
        <w:rPr>
          <w:rFonts w:ascii="Times New Roman" w:hAnsi="Times New Roman" w:eastAsia="宋体" w:cs="Times New Roman"/>
          <w:b/>
          <w:bCs/>
          <w:color w:val="auto"/>
          <w:highlight w:val="none"/>
          <w:lang w:eastAsia="zh-CN"/>
        </w:rPr>
        <w:t>（必须提供）；</w:t>
      </w:r>
    </w:p>
    <w:p w14:paraId="454CB60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6.供应商参加政府采购活动前 3 年内在经营活动中没有重大违法记录及有关信用信息的书面声明</w:t>
      </w:r>
      <w:r>
        <w:rPr>
          <w:rFonts w:ascii="Times New Roman" w:hAnsi="Times New Roman" w:eastAsia="宋体" w:cs="Times New Roman"/>
          <w:b/>
          <w:bCs/>
          <w:color w:val="auto"/>
          <w:highlight w:val="none"/>
          <w:lang w:eastAsia="zh-CN"/>
        </w:rPr>
        <w:t>（必须提供）</w:t>
      </w:r>
      <w:r>
        <w:rPr>
          <w:rFonts w:ascii="Times New Roman" w:hAnsi="Times New Roman" w:eastAsia="宋体" w:cs="Times New Roman"/>
          <w:color w:val="auto"/>
          <w:highlight w:val="none"/>
          <w:lang w:eastAsia="zh-CN"/>
        </w:rPr>
        <w:t>；</w:t>
      </w:r>
    </w:p>
    <w:p w14:paraId="2AF138CA">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7.供应商参加本项目无围标串标行为的承诺函</w:t>
      </w:r>
      <w:r>
        <w:rPr>
          <w:rFonts w:ascii="Times New Roman" w:hAnsi="Times New Roman" w:eastAsia="宋体" w:cs="Times New Roman"/>
          <w:b/>
          <w:bCs/>
          <w:color w:val="auto"/>
          <w:highlight w:val="none"/>
          <w:lang w:eastAsia="zh-CN"/>
        </w:rPr>
        <w:t>（必须提供）；</w:t>
      </w:r>
    </w:p>
    <w:p w14:paraId="031C60F9">
      <w:pPr>
        <w:widowControl w:val="0"/>
        <w:kinsoku/>
        <w:autoSpaceDE/>
        <w:autoSpaceDN/>
        <w:adjustRightInd/>
        <w:snapToGrid/>
        <w:spacing w:line="44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ascii="Times New Roman" w:hAnsi="Times New Roman" w:eastAsia="宋体" w:cs="Times New Roman"/>
          <w:snapToGrid/>
          <w:color w:val="auto"/>
          <w:kern w:val="2"/>
          <w:highlight w:val="none"/>
          <w:lang w:eastAsia="zh-CN"/>
        </w:rPr>
        <w:t>8.</w:t>
      </w:r>
      <w:r>
        <w:rPr>
          <w:rFonts w:hint="eastAsia" w:ascii="Times New Roman" w:hAnsi="Times New Roman" w:eastAsia="宋体" w:cs="Times New Roman"/>
          <w:snapToGrid/>
          <w:color w:val="auto"/>
          <w:kern w:val="2"/>
          <w:highlight w:val="none"/>
          <w:lang w:eastAsia="zh-CN"/>
        </w:rPr>
        <w:t>《中小企业声明函》（见附件）（如有，请提供）</w:t>
      </w:r>
      <w:r>
        <w:rPr>
          <w:rFonts w:ascii="Times New Roman" w:hAnsi="Times New Roman" w:eastAsia="宋体" w:cs="Times New Roman"/>
          <w:snapToGrid/>
          <w:color w:val="auto"/>
          <w:kern w:val="2"/>
          <w:highlight w:val="none"/>
          <w:lang w:eastAsia="zh-CN"/>
        </w:rPr>
        <w:t>。</w:t>
      </w:r>
    </w:p>
    <w:p w14:paraId="72C0DDC9">
      <w:pPr>
        <w:widowControl w:val="0"/>
        <w:kinsoku/>
        <w:autoSpaceDE/>
        <w:autoSpaceDN/>
        <w:adjustRightInd/>
        <w:snapToGrid/>
        <w:spacing w:line="44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hint="eastAsia" w:ascii="Times New Roman" w:hAnsi="Times New Roman" w:eastAsia="宋体" w:cs="Times New Roman"/>
          <w:snapToGrid/>
          <w:color w:val="auto"/>
          <w:kern w:val="2"/>
          <w:highlight w:val="none"/>
          <w:lang w:eastAsia="zh-CN"/>
        </w:rPr>
        <w:t>9.如提供服务的供应商属于监狱企业的，应当提供由省级以上监狱管理局、戒毒管理局等（含新疆生产建设兵团）出具的属于监狱企业的证明文件, 否则不予享受优惠政策（如有，请提供）；</w:t>
      </w:r>
    </w:p>
    <w:p w14:paraId="6C09641A">
      <w:pPr>
        <w:widowControl w:val="0"/>
        <w:kinsoku/>
        <w:autoSpaceDE/>
        <w:autoSpaceDN/>
        <w:adjustRightInd/>
        <w:snapToGrid/>
        <w:spacing w:line="440" w:lineRule="exact"/>
        <w:ind w:firstLine="420" w:firstLineChars="200"/>
        <w:jc w:val="both"/>
        <w:textAlignment w:val="auto"/>
        <w:rPr>
          <w:rFonts w:ascii="Times New Roman" w:hAnsi="Times New Roman" w:eastAsia="宋体" w:cs="Times New Roman"/>
          <w:snapToGrid/>
          <w:color w:val="auto"/>
          <w:kern w:val="2"/>
          <w:highlight w:val="none"/>
          <w:lang w:eastAsia="zh-CN"/>
        </w:rPr>
      </w:pPr>
      <w:r>
        <w:rPr>
          <w:rFonts w:hint="eastAsia" w:ascii="Times New Roman" w:hAnsi="Times New Roman" w:eastAsia="宋体" w:cs="Times New Roman"/>
          <w:snapToGrid/>
          <w:color w:val="auto"/>
          <w:kern w:val="2"/>
          <w:highlight w:val="none"/>
          <w:lang w:eastAsia="zh-CN"/>
        </w:rPr>
        <w:t>10.符合条件的残疾人福利性单位在参加政府采购活动时，应当提供《残疾人福利性单位声明函》（见附件），并对声明的真实性负责；（如有，请提供）。</w:t>
      </w:r>
    </w:p>
    <w:p w14:paraId="3F522292">
      <w:pPr>
        <w:rPr>
          <w:rFonts w:ascii="Times New Roman" w:hAnsi="Times New Roman" w:eastAsia="宋体" w:cs="Times New Roman"/>
          <w:b/>
          <w:bCs/>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br w:type="page"/>
      </w:r>
    </w:p>
    <w:p w14:paraId="4D050EE2">
      <w:pPr>
        <w:pStyle w:val="3"/>
        <w:rPr>
          <w:rFonts w:ascii="Times New Roman" w:hAnsi="Times New Roman"/>
          <w:color w:val="auto"/>
          <w:highlight w:val="none"/>
        </w:rPr>
      </w:pPr>
    </w:p>
    <w:p w14:paraId="5618D7C1">
      <w:pPr>
        <w:widowControl w:val="0"/>
        <w:spacing w:line="400" w:lineRule="exact"/>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1.</w:t>
      </w:r>
      <w:r>
        <w:rPr>
          <w:rFonts w:ascii="Times New Roman" w:hAnsi="Times New Roman" w:eastAsia="宋体" w:cs="Times New Roman"/>
          <w:color w:val="auto"/>
          <w:sz w:val="28"/>
          <w:szCs w:val="28"/>
          <w:highlight w:val="none"/>
          <w:lang w:eastAsia="zh-CN"/>
        </w:rPr>
        <w:t xml:space="preserve"> </w:t>
      </w:r>
      <w:r>
        <w:rPr>
          <w:rFonts w:ascii="Times New Roman" w:hAnsi="Times New Roman" w:eastAsia="宋体" w:cs="Times New Roman"/>
          <w:b/>
          <w:bCs/>
          <w:color w:val="auto"/>
          <w:sz w:val="28"/>
          <w:szCs w:val="28"/>
          <w:highlight w:val="none"/>
          <w:lang w:eastAsia="zh-CN"/>
        </w:rPr>
        <w:t>供应商相应的法定代表人(负责人、自然人)身份证正反两面复印件（必须提供）</w:t>
      </w:r>
    </w:p>
    <w:p w14:paraId="1219F749">
      <w:pPr>
        <w:pStyle w:val="8"/>
        <w:widowControl w:val="0"/>
        <w:spacing w:line="400" w:lineRule="exact"/>
        <w:ind w:firstLine="420" w:firstLineChars="200"/>
        <w:rPr>
          <w:rFonts w:ascii="Times New Roman" w:hAnsi="Times New Roman" w:cs="Times New Roman"/>
          <w:color w:val="auto"/>
          <w:highlight w:val="none"/>
          <w:lang w:eastAsia="zh-CN"/>
        </w:rPr>
      </w:pPr>
    </w:p>
    <w:p w14:paraId="09305BC7">
      <w:pPr>
        <w:pStyle w:val="8"/>
        <w:widowControl w:val="0"/>
        <w:spacing w:line="400" w:lineRule="exact"/>
        <w:ind w:firstLine="420" w:firstLineChars="200"/>
        <w:rPr>
          <w:rFonts w:ascii="Times New Roman" w:hAnsi="Times New Roman" w:cs="Times New Roman"/>
          <w:color w:val="auto"/>
          <w:highlight w:val="none"/>
          <w:lang w:eastAsia="zh-CN"/>
        </w:rPr>
      </w:pPr>
    </w:p>
    <w:p w14:paraId="1F3D93DF">
      <w:pPr>
        <w:widowControl w:val="0"/>
        <w:spacing w:line="400" w:lineRule="exact"/>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2.</w:t>
      </w:r>
      <w:r>
        <w:rPr>
          <w:rFonts w:ascii="Times New Roman" w:hAnsi="Times New Roman" w:eastAsia="宋体" w:cs="Times New Roman"/>
          <w:b/>
          <w:color w:val="auto"/>
          <w:sz w:val="28"/>
          <w:szCs w:val="28"/>
          <w:highlight w:val="none"/>
          <w:lang w:eastAsia="zh-CN"/>
        </w:rPr>
        <w:t>供应商的授权委托书原件、委托代理人身份证正反面复印件以及由社保经办机构出具的供应商为委托代理人2026年以来任意一个月交纳的社保证明复印件【属自然人的应提供由社保经办机构出具的自然人本人及委托代理人所交纳的社保证明复印件】（委托代理时必须提供）</w:t>
      </w:r>
    </w:p>
    <w:p w14:paraId="185E9CCB">
      <w:pPr>
        <w:pStyle w:val="8"/>
        <w:widowControl w:val="0"/>
        <w:spacing w:line="400" w:lineRule="exact"/>
        <w:ind w:firstLine="420" w:firstLineChars="200"/>
        <w:rPr>
          <w:rFonts w:ascii="Times New Roman" w:hAnsi="Times New Roman" w:cs="Times New Roman"/>
          <w:color w:val="auto"/>
          <w:highlight w:val="none"/>
          <w:lang w:eastAsia="zh-CN"/>
        </w:rPr>
      </w:pPr>
    </w:p>
    <w:p w14:paraId="00B1D5DE">
      <w:pPr>
        <w:pStyle w:val="8"/>
        <w:widowControl w:val="0"/>
        <w:spacing w:line="400" w:lineRule="exact"/>
        <w:ind w:firstLine="420" w:firstLineChars="200"/>
        <w:rPr>
          <w:rFonts w:ascii="Times New Roman" w:hAnsi="Times New Roman" w:cs="Times New Roman"/>
          <w:color w:val="auto"/>
          <w:highlight w:val="none"/>
          <w:lang w:eastAsia="zh-CN"/>
        </w:rPr>
      </w:pPr>
    </w:p>
    <w:p w14:paraId="41664904">
      <w:pPr>
        <w:widowControl w:val="0"/>
        <w:spacing w:line="400" w:lineRule="exact"/>
        <w:ind w:firstLine="62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附件：</w:t>
      </w:r>
    </w:p>
    <w:p w14:paraId="0C0BEE1B">
      <w:pPr>
        <w:widowControl w:val="0"/>
        <w:spacing w:line="400" w:lineRule="exact"/>
        <w:ind w:firstLine="622" w:firstLineChars="200"/>
        <w:jc w:val="center"/>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授权委托书（格式一）</w:t>
      </w:r>
    </w:p>
    <w:p w14:paraId="40BA43F8">
      <w:pPr>
        <w:widowControl w:val="0"/>
        <w:spacing w:line="400" w:lineRule="exact"/>
        <w:rPr>
          <w:rFonts w:ascii="Times New Roman" w:hAnsi="Times New Roman" w:cs="Times New Roman" w:eastAsiaTheme="minorEastAsia"/>
          <w:color w:val="auto"/>
          <w:highlight w:val="none"/>
          <w:lang w:eastAsia="zh-CN"/>
        </w:rPr>
      </w:pPr>
      <w:r>
        <w:rPr>
          <w:rFonts w:ascii="Times New Roman" w:hAnsi="Times New Roman" w:cs="Times New Roman" w:eastAsiaTheme="minorEastAsia"/>
          <w:b/>
          <w:bCs/>
          <w:color w:val="auto"/>
          <w:highlight w:val="none"/>
          <w:lang w:eastAsia="zh-CN"/>
        </w:rPr>
        <w:t>致</w:t>
      </w:r>
      <w:r>
        <w:rPr>
          <w:rFonts w:ascii="Times New Roman" w:hAnsi="Times New Roman" w:cs="Times New Roman" w:eastAsiaTheme="minorEastAsia"/>
          <w:color w:val="auto"/>
          <w:highlight w:val="none"/>
          <w:lang w:eastAsia="zh-CN"/>
        </w:rPr>
        <w:t>：</w:t>
      </w:r>
      <w:r>
        <w:rPr>
          <w:rFonts w:hint="eastAsia" w:ascii="Times New Roman" w:hAnsi="Times New Roman" w:cs="Times New Roman" w:eastAsiaTheme="minorEastAsia"/>
          <w:color w:val="auto"/>
          <w:highlight w:val="none"/>
          <w:u w:val="single"/>
          <w:lang w:eastAsia="zh-CN"/>
        </w:rPr>
        <w:t>广西邕政采购代理有限公司</w:t>
      </w:r>
    </w:p>
    <w:p w14:paraId="44CE69D8">
      <w:pPr>
        <w:widowControl w:val="0"/>
        <w:spacing w:line="400" w:lineRule="exact"/>
        <w:ind w:firstLine="420" w:firstLineChars="200"/>
        <w:jc w:val="both"/>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highlight w:val="none"/>
          <w:lang w:eastAsia="zh-CN"/>
        </w:rPr>
        <w:t xml:space="preserve">我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（姓名）系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（供应商名称）的法定代表 人（负责人），现授权委托本单位在职职工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（姓名） 以我公司名义参加</w:t>
      </w:r>
      <w:r>
        <w:rPr>
          <w:rFonts w:ascii="Times New Roman" w:hAnsi="Times New Roman" w:cs="Times New Roman" w:eastAsiaTheme="minorEastAsia"/>
          <w:color w:val="auto"/>
          <w:highlight w:val="none"/>
          <w:u w:val="single"/>
          <w:lang w:eastAsia="zh-CN"/>
        </w:rPr>
        <w:t xml:space="preserve">      （项目名称及项目编号）        </w:t>
      </w:r>
      <w:r>
        <w:rPr>
          <w:rFonts w:ascii="Times New Roman" w:hAnsi="Times New Roman" w:cs="Times New Roman" w:eastAsiaTheme="minorEastAsia"/>
          <w:color w:val="auto"/>
          <w:highlight w:val="none"/>
          <w:lang w:eastAsia="zh-CN"/>
        </w:rPr>
        <w:t xml:space="preserve"> 项目的谈判活动，并代表我方全权办理针对上述项目的谈判、签约等具 体事务和签署相关文件。</w:t>
      </w:r>
    </w:p>
    <w:p w14:paraId="3DBF5AC3">
      <w:pPr>
        <w:widowControl w:val="0"/>
        <w:spacing w:line="400" w:lineRule="exact"/>
        <w:ind w:firstLine="420" w:firstLineChars="200"/>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highlight w:val="none"/>
          <w:lang w:eastAsia="zh-CN"/>
        </w:rPr>
        <w:t>我方对被授权人的签字事项负全部责任。</w:t>
      </w:r>
    </w:p>
    <w:p w14:paraId="7109B5C4">
      <w:pPr>
        <w:widowControl w:val="0"/>
        <w:spacing w:line="400" w:lineRule="exact"/>
        <w:ind w:firstLine="420" w:firstLineChars="200"/>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highlight w:val="none"/>
          <w:lang w:eastAsia="zh-CN"/>
        </w:rPr>
        <w:t xml:space="preserve">授权委托代理期限：从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 年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 月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 日起至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 年</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 月 </w:t>
      </w:r>
      <w:r>
        <w:rPr>
          <w:rFonts w:ascii="Times New Roman" w:hAnsi="Times New Roman" w:cs="Times New Roman" w:eastAsiaTheme="minorEastAsia"/>
          <w:color w:val="auto"/>
          <w:highlight w:val="none"/>
          <w:u w:val="single"/>
          <w:lang w:eastAsia="zh-CN"/>
        </w:rPr>
        <w:t xml:space="preserve">     </w:t>
      </w:r>
      <w:r>
        <w:rPr>
          <w:rFonts w:ascii="Times New Roman" w:hAnsi="Times New Roman" w:cs="Times New Roman" w:eastAsiaTheme="minorEastAsia"/>
          <w:color w:val="auto"/>
          <w:highlight w:val="none"/>
          <w:lang w:eastAsia="zh-CN"/>
        </w:rPr>
        <w:t xml:space="preserve"> 日止。</w:t>
      </w:r>
    </w:p>
    <w:p w14:paraId="1C8F129F">
      <w:pPr>
        <w:widowControl w:val="0"/>
        <w:spacing w:line="400" w:lineRule="exact"/>
        <w:ind w:firstLine="420" w:firstLineChars="200"/>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highlight w:val="none"/>
          <w:lang w:eastAsia="zh-CN"/>
        </w:rPr>
        <w:t>代理人无转委托权,特此委托。</w:t>
      </w:r>
    </w:p>
    <w:p w14:paraId="37CA1F53">
      <w:pPr>
        <w:widowControl w:val="0"/>
        <w:spacing w:line="400" w:lineRule="exact"/>
        <w:ind w:firstLine="420" w:firstLineChars="200"/>
        <w:rPr>
          <w:rFonts w:ascii="Times New Roman" w:hAnsi="Times New Roman" w:cs="Times New Roman" w:eastAsiaTheme="minorEastAsia"/>
          <w:color w:val="auto"/>
          <w:highlight w:val="none"/>
          <w:lang w:eastAsia="zh-CN"/>
        </w:rPr>
      </w:pPr>
      <w:r>
        <w:rPr>
          <w:rFonts w:ascii="Times New Roman" w:hAnsi="Times New Roman" w:cs="Times New Roman" w:eastAsiaTheme="minorEastAsia"/>
          <w:color w:val="auto"/>
          <w:highlight w:val="none"/>
          <w:lang w:eastAsia="zh-CN"/>
        </w:rPr>
        <w:t>我已在下面签字， 以资证明。</w:t>
      </w:r>
    </w:p>
    <w:p w14:paraId="60208A84">
      <w:pPr>
        <w:pStyle w:val="8"/>
        <w:widowControl w:val="0"/>
        <w:spacing w:line="400" w:lineRule="exact"/>
        <w:ind w:firstLine="420" w:firstLineChars="200"/>
        <w:rPr>
          <w:rFonts w:ascii="Times New Roman" w:hAnsi="Times New Roman" w:cs="Times New Roman"/>
          <w:color w:val="auto"/>
          <w:highlight w:val="none"/>
          <w:lang w:eastAsia="zh-CN"/>
        </w:rPr>
      </w:pPr>
    </w:p>
    <w:p w14:paraId="5B6EE236">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p>
    <w:p w14:paraId="47E91FE9">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供应商（CA 证书签章）：</w:t>
      </w:r>
    </w:p>
    <w:p w14:paraId="557A15DE">
      <w:pPr>
        <w:pStyle w:val="8"/>
        <w:widowControl w:val="0"/>
        <w:spacing w:line="400" w:lineRule="exact"/>
        <w:ind w:firstLine="420" w:firstLineChars="200"/>
        <w:rPr>
          <w:rFonts w:ascii="Times New Roman" w:hAnsi="Times New Roman" w:cs="Times New Roman"/>
          <w:color w:val="auto"/>
          <w:highlight w:val="none"/>
          <w:lang w:eastAsia="zh-CN"/>
        </w:rPr>
      </w:pPr>
    </w:p>
    <w:p w14:paraId="47A5D8E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法定代表人（负责人）签字（或个人 CA 证书签章）：</w:t>
      </w:r>
    </w:p>
    <w:p w14:paraId="407E643E">
      <w:pPr>
        <w:pStyle w:val="8"/>
        <w:widowControl w:val="0"/>
        <w:spacing w:line="400" w:lineRule="exact"/>
        <w:ind w:firstLine="420" w:firstLineChars="200"/>
        <w:rPr>
          <w:rFonts w:ascii="Times New Roman" w:hAnsi="Times New Roman" w:cs="Times New Roman"/>
          <w:color w:val="auto"/>
          <w:highlight w:val="none"/>
          <w:lang w:eastAsia="zh-CN"/>
        </w:rPr>
      </w:pPr>
    </w:p>
    <w:p w14:paraId="4BD867F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年      月     日</w:t>
      </w:r>
    </w:p>
    <w:p w14:paraId="4818D5C7">
      <w:pPr>
        <w:widowControl w:val="0"/>
        <w:spacing w:line="400" w:lineRule="exact"/>
        <w:ind w:firstLine="482" w:firstLineChars="200"/>
        <w:rPr>
          <w:rFonts w:ascii="Times New Roman" w:hAnsi="Times New Roman" w:eastAsia="宋体" w:cs="Times New Roman"/>
          <w:b/>
          <w:bCs/>
          <w:color w:val="auto"/>
          <w:sz w:val="24"/>
          <w:szCs w:val="24"/>
          <w:highlight w:val="none"/>
          <w:lang w:eastAsia="zh-CN"/>
        </w:rPr>
      </w:pPr>
      <w:r>
        <w:rPr>
          <w:rFonts w:ascii="Times New Roman" w:hAnsi="Times New Roman" w:eastAsia="宋体" w:cs="Times New Roman"/>
          <w:b/>
          <w:bCs/>
          <w:color w:val="auto"/>
          <w:sz w:val="24"/>
          <w:szCs w:val="24"/>
          <w:highlight w:val="none"/>
          <w:lang w:eastAsia="zh-CN"/>
        </w:rPr>
        <w:t>附：委托代理人身份证正反面复印件以及由社保经办机构出具的供应商为委托代 理人交纳社保证明复印件（委托代理时必须提供）。</w:t>
      </w:r>
    </w:p>
    <w:p w14:paraId="0F120773">
      <w:pPr>
        <w:widowControl w:val="0"/>
        <w:spacing w:line="400" w:lineRule="exact"/>
        <w:ind w:firstLine="480" w:firstLineChars="200"/>
        <w:rPr>
          <w:rFonts w:ascii="Times New Roman" w:hAnsi="Times New Roman" w:eastAsia="宋体" w:cs="Times New Roman"/>
          <w:color w:val="auto"/>
          <w:sz w:val="24"/>
          <w:szCs w:val="24"/>
          <w:highlight w:val="none"/>
          <w:lang w:eastAsia="zh-CN"/>
        </w:rPr>
        <w:sectPr>
          <w:footerReference r:id="rId11" w:type="default"/>
          <w:pgSz w:w="11906" w:h="16839"/>
          <w:pgMar w:top="1247" w:right="1247" w:bottom="1247" w:left="1247" w:header="0" w:footer="822" w:gutter="0"/>
          <w:cols w:space="0" w:num="1"/>
        </w:sectPr>
      </w:pPr>
    </w:p>
    <w:p w14:paraId="2DCEA103">
      <w:pPr>
        <w:widowControl w:val="0"/>
        <w:spacing w:line="400" w:lineRule="exact"/>
        <w:ind w:firstLine="622" w:firstLineChars="200"/>
        <w:jc w:val="center"/>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授权委托书（格式二）</w:t>
      </w:r>
    </w:p>
    <w:p w14:paraId="6B03BFE3">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致</w:t>
      </w:r>
      <w:r>
        <w:rPr>
          <w:rFonts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u w:val="single"/>
          <w:lang w:eastAsia="zh-CN"/>
        </w:rPr>
        <w:t>广西邕政采购代理有限公司</w:t>
      </w:r>
    </w:p>
    <w:p w14:paraId="09E55277">
      <w:pPr>
        <w:widowControl w:val="0"/>
        <w:tabs>
          <w:tab w:val="left" w:pos="118"/>
        </w:tabs>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 xml:space="preserve">我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（姓名）系自然人，现授权委托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（姓 名） 以本人名义参加 </w:t>
      </w:r>
      <w:r>
        <w:rPr>
          <w:rFonts w:ascii="Times New Roman" w:hAnsi="Times New Roman" w:eastAsia="宋体" w:cs="Times New Roman"/>
          <w:color w:val="auto"/>
          <w:highlight w:val="none"/>
          <w:u w:val="single"/>
          <w:lang w:eastAsia="zh-CN"/>
        </w:rPr>
        <w:tab/>
      </w:r>
      <w:r>
        <w:rPr>
          <w:rFonts w:ascii="Times New Roman" w:hAnsi="Times New Roman" w:eastAsia="宋体" w:cs="Times New Roman"/>
          <w:color w:val="auto"/>
          <w:highlight w:val="none"/>
          <w:u w:val="single"/>
          <w:lang w:eastAsia="zh-CN"/>
        </w:rPr>
        <w:t xml:space="preserve">（项目名称及项目编号）        </w:t>
      </w:r>
      <w:r>
        <w:rPr>
          <w:rFonts w:ascii="Times New Roman" w:hAnsi="Times New Roman" w:eastAsia="宋体" w:cs="Times New Roman"/>
          <w:color w:val="auto"/>
          <w:highlight w:val="none"/>
          <w:lang w:eastAsia="zh-CN"/>
        </w:rPr>
        <w:t xml:space="preserve"> 项目的谈判活动，并代表本人全权办理针对上述项目的谈判、签 约等具体事务和签署相关文件。</w:t>
      </w:r>
    </w:p>
    <w:p w14:paraId="3D99616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本人对被授权人的签字事项负全部责任。</w:t>
      </w:r>
    </w:p>
    <w:p w14:paraId="403A221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 xml:space="preserve">授权委托代理期限：从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年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月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日起至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年</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月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日止。</w:t>
      </w:r>
    </w:p>
    <w:p w14:paraId="113A308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代理人无转委托权,特此委托。</w:t>
      </w:r>
    </w:p>
    <w:p w14:paraId="0065A8E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我已在下面签字， 以资证明。</w:t>
      </w:r>
    </w:p>
    <w:p w14:paraId="570C8BCA">
      <w:pPr>
        <w:pStyle w:val="8"/>
        <w:widowControl w:val="0"/>
        <w:spacing w:line="400" w:lineRule="exact"/>
        <w:ind w:firstLine="420" w:firstLineChars="200"/>
        <w:rPr>
          <w:rFonts w:ascii="Times New Roman" w:hAnsi="Times New Roman" w:cs="Times New Roman"/>
          <w:color w:val="auto"/>
          <w:highlight w:val="none"/>
          <w:lang w:eastAsia="zh-CN"/>
        </w:rPr>
      </w:pPr>
    </w:p>
    <w:p w14:paraId="175BAC3D">
      <w:pPr>
        <w:pStyle w:val="8"/>
        <w:widowControl w:val="0"/>
        <w:spacing w:line="400" w:lineRule="exact"/>
        <w:ind w:firstLine="420" w:firstLineChars="200"/>
        <w:rPr>
          <w:rFonts w:ascii="Times New Roman" w:hAnsi="Times New Roman" w:cs="Times New Roman"/>
          <w:color w:val="auto"/>
          <w:highlight w:val="none"/>
          <w:lang w:eastAsia="zh-CN"/>
        </w:rPr>
      </w:pPr>
    </w:p>
    <w:p w14:paraId="32EB589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自然人签字（或个人 CA 证书签章）：</w:t>
      </w:r>
      <w:r>
        <w:rPr>
          <w:rFonts w:ascii="Times New Roman" w:hAnsi="Times New Roman" w:eastAsia="宋体" w:cs="Times New Roman"/>
          <w:color w:val="auto"/>
          <w:highlight w:val="none"/>
          <w:u w:val="single"/>
          <w:lang w:eastAsia="zh-CN"/>
        </w:rPr>
        <w:t xml:space="preserve">                   </w:t>
      </w:r>
    </w:p>
    <w:p w14:paraId="09B21D5B">
      <w:pPr>
        <w:pStyle w:val="8"/>
        <w:widowControl w:val="0"/>
        <w:spacing w:line="400" w:lineRule="exact"/>
        <w:ind w:firstLine="420" w:firstLineChars="200"/>
        <w:rPr>
          <w:rFonts w:ascii="Times New Roman" w:hAnsi="Times New Roman" w:cs="Times New Roman"/>
          <w:color w:val="auto"/>
          <w:highlight w:val="none"/>
          <w:lang w:eastAsia="zh-CN"/>
        </w:rPr>
      </w:pPr>
    </w:p>
    <w:p w14:paraId="111CDBA4">
      <w:pPr>
        <w:pStyle w:val="8"/>
        <w:widowControl w:val="0"/>
        <w:spacing w:line="400" w:lineRule="exact"/>
        <w:ind w:firstLine="420" w:firstLineChars="200"/>
        <w:rPr>
          <w:rFonts w:ascii="Times New Roman" w:hAnsi="Times New Roman" w:cs="Times New Roman"/>
          <w:color w:val="auto"/>
          <w:highlight w:val="none"/>
          <w:lang w:eastAsia="zh-CN"/>
        </w:rPr>
      </w:pPr>
    </w:p>
    <w:p w14:paraId="1B22E32B">
      <w:pPr>
        <w:widowControl w:val="0"/>
        <w:tabs>
          <w:tab w:val="left" w:pos="1260"/>
        </w:tabs>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u w:val="single"/>
          <w:lang w:eastAsia="zh-CN"/>
        </w:rPr>
        <w:tab/>
      </w:r>
      <w:r>
        <w:rPr>
          <w:rFonts w:ascii="Times New Roman" w:hAnsi="Times New Roman" w:eastAsia="宋体" w:cs="Times New Roman"/>
          <w:color w:val="auto"/>
          <w:highlight w:val="none"/>
          <w:lang w:eastAsia="zh-CN"/>
        </w:rPr>
        <w:t xml:space="preserve"> 年</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月</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日</w:t>
      </w:r>
    </w:p>
    <w:p w14:paraId="2471B221">
      <w:pPr>
        <w:pStyle w:val="8"/>
        <w:widowControl w:val="0"/>
        <w:spacing w:line="400" w:lineRule="exact"/>
        <w:ind w:firstLine="420" w:firstLineChars="200"/>
        <w:rPr>
          <w:rFonts w:ascii="Times New Roman" w:hAnsi="Times New Roman" w:cs="Times New Roman"/>
          <w:color w:val="auto"/>
          <w:highlight w:val="none"/>
          <w:lang w:eastAsia="zh-CN"/>
        </w:rPr>
      </w:pPr>
    </w:p>
    <w:p w14:paraId="38CB56BC">
      <w:pPr>
        <w:pStyle w:val="8"/>
        <w:widowControl w:val="0"/>
        <w:spacing w:line="400" w:lineRule="exact"/>
        <w:ind w:firstLine="420" w:firstLineChars="200"/>
        <w:rPr>
          <w:rFonts w:ascii="Times New Roman" w:hAnsi="Times New Roman" w:cs="Times New Roman"/>
          <w:color w:val="auto"/>
          <w:highlight w:val="none"/>
          <w:lang w:eastAsia="zh-CN"/>
        </w:rPr>
      </w:pPr>
    </w:p>
    <w:p w14:paraId="6BCB2D5B">
      <w:pPr>
        <w:widowControl w:val="0"/>
        <w:spacing w:line="400" w:lineRule="exact"/>
        <w:ind w:firstLine="482"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b/>
          <w:bCs/>
          <w:color w:val="auto"/>
          <w:sz w:val="24"/>
          <w:szCs w:val="24"/>
          <w:highlight w:val="none"/>
          <w:lang w:eastAsia="zh-CN"/>
        </w:rPr>
        <w:t>附：委托代理人身份证正反面复印件（委托代理时必须提供）。</w:t>
      </w:r>
    </w:p>
    <w:p w14:paraId="6C97EBB3">
      <w:pPr>
        <w:pStyle w:val="8"/>
        <w:widowControl w:val="0"/>
        <w:spacing w:line="400" w:lineRule="exact"/>
        <w:ind w:firstLine="420" w:firstLineChars="200"/>
        <w:rPr>
          <w:rFonts w:ascii="Times New Roman" w:hAnsi="Times New Roman" w:cs="Times New Roman"/>
          <w:color w:val="auto"/>
          <w:highlight w:val="none"/>
          <w:lang w:eastAsia="zh-CN"/>
        </w:rPr>
      </w:pPr>
    </w:p>
    <w:p w14:paraId="1B3A24BF">
      <w:pPr>
        <w:pStyle w:val="8"/>
        <w:widowControl w:val="0"/>
        <w:spacing w:line="400" w:lineRule="exact"/>
        <w:ind w:firstLine="420" w:firstLineChars="200"/>
        <w:rPr>
          <w:rFonts w:ascii="Times New Roman" w:hAnsi="Times New Roman" w:cs="Times New Roman"/>
          <w:color w:val="auto"/>
          <w:highlight w:val="none"/>
          <w:lang w:eastAsia="zh-CN"/>
        </w:rPr>
      </w:pPr>
    </w:p>
    <w:p w14:paraId="20A06A76">
      <w:pPr>
        <w:pStyle w:val="8"/>
        <w:widowControl w:val="0"/>
        <w:spacing w:line="400" w:lineRule="exact"/>
        <w:ind w:firstLine="420" w:firstLineChars="200"/>
        <w:rPr>
          <w:rFonts w:ascii="Times New Roman" w:hAnsi="Times New Roman" w:cs="Times New Roman"/>
          <w:color w:val="auto"/>
          <w:highlight w:val="none"/>
          <w:lang w:eastAsia="zh-CN"/>
        </w:rPr>
      </w:pPr>
    </w:p>
    <w:p w14:paraId="4520F7C0">
      <w:pPr>
        <w:pStyle w:val="8"/>
        <w:widowControl w:val="0"/>
        <w:spacing w:line="400" w:lineRule="exact"/>
        <w:ind w:firstLine="420" w:firstLineChars="200"/>
        <w:rPr>
          <w:rFonts w:ascii="Times New Roman" w:hAnsi="Times New Roman" w:cs="Times New Roman"/>
          <w:color w:val="auto"/>
          <w:highlight w:val="none"/>
          <w:lang w:eastAsia="zh-CN"/>
        </w:rPr>
      </w:pPr>
    </w:p>
    <w:p w14:paraId="1CCD5426">
      <w:pPr>
        <w:pStyle w:val="8"/>
        <w:widowControl w:val="0"/>
        <w:spacing w:line="400" w:lineRule="exact"/>
        <w:ind w:firstLine="420" w:firstLineChars="200"/>
        <w:rPr>
          <w:rFonts w:ascii="Times New Roman" w:hAnsi="Times New Roman" w:cs="Times New Roman"/>
          <w:color w:val="auto"/>
          <w:highlight w:val="none"/>
          <w:lang w:eastAsia="zh-CN"/>
        </w:rPr>
      </w:pPr>
    </w:p>
    <w:p w14:paraId="0C21EFA7">
      <w:pPr>
        <w:widowControl w:val="0"/>
        <w:spacing w:line="400" w:lineRule="exact"/>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3.供应商的法人或者其他组织营业执照等证明文件复印件（必须提供，</w:t>
      </w:r>
      <w:r>
        <w:rPr>
          <w:rFonts w:ascii="Times New Roman" w:hAnsi="Times New Roman" w:eastAsia="宋体" w:cs="Times New Roman"/>
          <w:color w:val="auto"/>
          <w:sz w:val="28"/>
          <w:szCs w:val="28"/>
          <w:highlight w:val="none"/>
          <w:lang w:eastAsia="zh-CN"/>
        </w:rPr>
        <w:t xml:space="preserve"> </w:t>
      </w:r>
      <w:r>
        <w:rPr>
          <w:rFonts w:ascii="Times New Roman" w:hAnsi="Times New Roman" w:eastAsia="宋体" w:cs="Times New Roman"/>
          <w:b/>
          <w:bCs/>
          <w:color w:val="auto"/>
          <w:sz w:val="28"/>
          <w:szCs w:val="28"/>
          <w:highlight w:val="none"/>
          <w:lang w:eastAsia="zh-CN"/>
        </w:rPr>
        <w:t>自然人除外）</w:t>
      </w:r>
    </w:p>
    <w:p w14:paraId="0CF395D7">
      <w:pPr>
        <w:widowControl w:val="0"/>
        <w:spacing w:line="400" w:lineRule="exact"/>
        <w:ind w:firstLine="402" w:firstLineChars="200"/>
        <w:jc w:val="both"/>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注：①法人包括企业法人、机关法人、事业单位法人和社会团体法人；其他组织主要包括合伙</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企业、非企业专业服务机构、个体工商户、农村承包经营户。②如供应商为企业（包括合伙企业），</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应提供市场监督管理部门（或行政审批部门）注册的有效“企业法人营业执照</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”或“营业执照；供</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应商为事业单位，应提供有效的“事业单位法人证书</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”；供应商为非企业专业服务机构的，应提供</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执业许可证等证明文件；供应商为个体工商户，应提供有效的“个体工商户营业执照</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”。③如供应</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商为企业法人的分支机构的，除应提供营业执照复印件外，还应提供其所属的总公司授权其参加政</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府采购活动的授权文件或授权其独立开展经营业务活动的证明材料复印件。</w:t>
      </w:r>
    </w:p>
    <w:p w14:paraId="1B16313B">
      <w:pPr>
        <w:widowControl w:val="0"/>
        <w:spacing w:line="400" w:lineRule="exact"/>
        <w:ind w:firstLine="400" w:firstLineChars="200"/>
        <w:rPr>
          <w:rFonts w:ascii="Times New Roman" w:hAnsi="Times New Roman" w:eastAsia="宋体" w:cs="Times New Roman"/>
          <w:color w:val="auto"/>
          <w:sz w:val="20"/>
          <w:szCs w:val="20"/>
          <w:highlight w:val="none"/>
          <w:lang w:eastAsia="zh-CN"/>
        </w:rPr>
        <w:sectPr>
          <w:footerReference r:id="rId12" w:type="default"/>
          <w:pgSz w:w="11906" w:h="16839"/>
          <w:pgMar w:top="1247" w:right="1247" w:bottom="1247" w:left="1247" w:header="0" w:footer="822" w:gutter="0"/>
          <w:cols w:space="0" w:num="1"/>
        </w:sectPr>
      </w:pPr>
    </w:p>
    <w:p w14:paraId="4FC5AB3E">
      <w:pPr>
        <w:widowControl w:val="0"/>
        <w:spacing w:line="400" w:lineRule="exact"/>
        <w:rPr>
          <w:rFonts w:ascii="Times New Roman" w:hAnsi="Times New Roman" w:eastAsia="宋体" w:cs="Times New Roman"/>
          <w:b/>
          <w:bCs/>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4.</w:t>
      </w:r>
      <w:r>
        <w:rPr>
          <w:rFonts w:hint="eastAsia" w:ascii="Times New Roman" w:hAnsi="Times New Roman" w:eastAsia="宋体" w:cs="Times New Roman"/>
          <w:b/>
          <w:bCs/>
          <w:color w:val="auto"/>
          <w:sz w:val="28"/>
          <w:szCs w:val="28"/>
          <w:highlight w:val="none"/>
          <w:lang w:eastAsia="zh-CN"/>
        </w:rPr>
        <w:t>供应商2026年至响应截止时间内任意一个月的财务状况报告（至少包括提供资产负债表、利润表、现金流量表）或2026年以来银行出具的资信证明或2026年以来中国人民银行征信中心出具的信用报告）</w:t>
      </w:r>
      <w:r>
        <w:rPr>
          <w:rFonts w:ascii="Times New Roman" w:hAnsi="Times New Roman" w:eastAsia="宋体" w:cs="Times New Roman"/>
          <w:b/>
          <w:bCs/>
          <w:color w:val="auto"/>
          <w:sz w:val="28"/>
          <w:szCs w:val="28"/>
          <w:highlight w:val="none"/>
          <w:lang w:eastAsia="zh-CN"/>
        </w:rPr>
        <w:t>（必须提供）；</w:t>
      </w:r>
    </w:p>
    <w:p w14:paraId="6D473CEB">
      <w:pPr>
        <w:pStyle w:val="8"/>
        <w:widowControl w:val="0"/>
        <w:spacing w:line="400" w:lineRule="exact"/>
        <w:ind w:firstLine="420" w:firstLineChars="200"/>
        <w:rPr>
          <w:rFonts w:ascii="Times New Roman" w:hAnsi="Times New Roman" w:cs="Times New Roman"/>
          <w:color w:val="auto"/>
          <w:highlight w:val="none"/>
          <w:lang w:eastAsia="zh-CN"/>
        </w:rPr>
      </w:pPr>
    </w:p>
    <w:p w14:paraId="60F8E394">
      <w:pPr>
        <w:pStyle w:val="8"/>
        <w:widowControl w:val="0"/>
        <w:spacing w:line="400" w:lineRule="exact"/>
        <w:ind w:firstLine="420" w:firstLineChars="200"/>
        <w:rPr>
          <w:rFonts w:ascii="Times New Roman" w:hAnsi="Times New Roman" w:cs="Times New Roman"/>
          <w:color w:val="auto"/>
          <w:highlight w:val="none"/>
          <w:lang w:eastAsia="zh-CN"/>
        </w:rPr>
      </w:pPr>
    </w:p>
    <w:p w14:paraId="473F874C">
      <w:pPr>
        <w:pStyle w:val="8"/>
        <w:widowControl w:val="0"/>
        <w:spacing w:line="400" w:lineRule="exact"/>
        <w:ind w:firstLine="420" w:firstLineChars="200"/>
        <w:rPr>
          <w:rFonts w:ascii="Times New Roman" w:hAnsi="Times New Roman" w:cs="Times New Roman"/>
          <w:color w:val="auto"/>
          <w:highlight w:val="none"/>
          <w:lang w:eastAsia="zh-CN"/>
        </w:rPr>
      </w:pPr>
    </w:p>
    <w:p w14:paraId="6B3642FA">
      <w:pPr>
        <w:widowControl w:val="0"/>
        <w:spacing w:line="400" w:lineRule="exact"/>
        <w:rPr>
          <w:rFonts w:ascii="Times New Roman" w:hAnsi="Times New Roman" w:eastAsia="宋体" w:cs="Times New Roman"/>
          <w:b/>
          <w:bCs/>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5.</w:t>
      </w:r>
      <w:r>
        <w:rPr>
          <w:rFonts w:hint="eastAsia" w:ascii="Times New Roman" w:hAnsi="Times New Roman" w:eastAsia="宋体" w:cs="Times New Roman"/>
          <w:b/>
          <w:bCs/>
          <w:color w:val="auto"/>
          <w:sz w:val="28"/>
          <w:szCs w:val="28"/>
          <w:highlight w:val="none"/>
          <w:lang w:eastAsia="zh-CN"/>
        </w:rPr>
        <w:t>供应商依法缴纳税收的相关材料[2026年至响应截止时间内任意一个月依法缴纳税收的凭据复印件；依法免税的供应商，必须提供相应文件证明其依法免税。从取得营业执照时间起到响应文件提交截止时间为止不足要求月数的，只需提供从取得营业执照起的依法缴纳税收相应证明文件）（必须提供）；供应商依法缴纳社会保障资金的相关材料[2026年至响应截止时间内任意一个月依法缴纳社会保障资金的缴费凭证（专用收据或者社会保险缴纳清单）复印件</w:t>
      </w:r>
      <w:r>
        <w:rPr>
          <w:rFonts w:ascii="Times New Roman" w:hAnsi="Times New Roman" w:eastAsia="宋体" w:cs="Times New Roman"/>
          <w:b/>
          <w:bCs/>
          <w:color w:val="auto"/>
          <w:sz w:val="28"/>
          <w:szCs w:val="28"/>
          <w:highlight w:val="none"/>
          <w:lang w:eastAsia="zh-CN"/>
        </w:rPr>
        <w:t>（必须提供）</w:t>
      </w:r>
    </w:p>
    <w:p w14:paraId="1BB45EE4">
      <w:pPr>
        <w:pStyle w:val="8"/>
        <w:widowControl w:val="0"/>
        <w:spacing w:line="400" w:lineRule="exact"/>
        <w:ind w:firstLine="420" w:firstLineChars="200"/>
        <w:rPr>
          <w:rFonts w:ascii="Times New Roman" w:hAnsi="Times New Roman" w:cs="Times New Roman"/>
          <w:color w:val="auto"/>
          <w:highlight w:val="none"/>
          <w:lang w:eastAsia="zh-CN"/>
        </w:rPr>
      </w:pPr>
    </w:p>
    <w:p w14:paraId="71A92438">
      <w:pPr>
        <w:pStyle w:val="8"/>
        <w:widowControl w:val="0"/>
        <w:spacing w:line="400" w:lineRule="exact"/>
        <w:ind w:firstLine="420" w:firstLineChars="200"/>
        <w:rPr>
          <w:rFonts w:ascii="Times New Roman" w:hAnsi="Times New Roman" w:cs="Times New Roman"/>
          <w:color w:val="auto"/>
          <w:highlight w:val="none"/>
          <w:lang w:eastAsia="zh-CN"/>
        </w:rPr>
      </w:pPr>
    </w:p>
    <w:p w14:paraId="00DF7EEB">
      <w:pPr>
        <w:pStyle w:val="8"/>
        <w:widowControl w:val="0"/>
        <w:spacing w:line="400" w:lineRule="exact"/>
        <w:ind w:firstLine="420" w:firstLineChars="200"/>
        <w:rPr>
          <w:rFonts w:ascii="Times New Roman" w:hAnsi="Times New Roman" w:cs="Times New Roman"/>
          <w:color w:val="auto"/>
          <w:highlight w:val="none"/>
          <w:lang w:eastAsia="zh-CN"/>
        </w:rPr>
      </w:pPr>
    </w:p>
    <w:p w14:paraId="1914B98B">
      <w:pPr>
        <w:pStyle w:val="8"/>
        <w:widowControl w:val="0"/>
        <w:spacing w:line="400" w:lineRule="exact"/>
        <w:ind w:firstLine="420" w:firstLineChars="200"/>
        <w:rPr>
          <w:rFonts w:ascii="Times New Roman" w:hAnsi="Times New Roman" w:cs="Times New Roman"/>
          <w:color w:val="auto"/>
          <w:highlight w:val="none"/>
          <w:lang w:eastAsia="zh-CN"/>
        </w:rPr>
      </w:pPr>
    </w:p>
    <w:p w14:paraId="4B1EB781">
      <w:pPr>
        <w:widowControl w:val="0"/>
        <w:spacing w:line="400" w:lineRule="exact"/>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6.供应商参加政府采购活动前</w:t>
      </w:r>
      <w:r>
        <w:rPr>
          <w:rFonts w:ascii="Times New Roman" w:hAnsi="Times New Roman" w:eastAsia="宋体" w:cs="Times New Roman"/>
          <w:color w:val="auto"/>
          <w:sz w:val="28"/>
          <w:szCs w:val="28"/>
          <w:highlight w:val="none"/>
          <w:lang w:eastAsia="zh-CN"/>
        </w:rPr>
        <w:t xml:space="preserve"> </w:t>
      </w:r>
      <w:r>
        <w:rPr>
          <w:rFonts w:ascii="Times New Roman" w:hAnsi="Times New Roman" w:eastAsia="宋体" w:cs="Times New Roman"/>
          <w:b/>
          <w:bCs/>
          <w:color w:val="auto"/>
          <w:sz w:val="28"/>
          <w:szCs w:val="28"/>
          <w:highlight w:val="none"/>
          <w:lang w:eastAsia="zh-CN"/>
        </w:rPr>
        <w:t>3</w:t>
      </w:r>
      <w:r>
        <w:rPr>
          <w:rFonts w:ascii="Times New Roman" w:hAnsi="Times New Roman" w:eastAsia="宋体" w:cs="Times New Roman"/>
          <w:color w:val="auto"/>
          <w:sz w:val="28"/>
          <w:szCs w:val="28"/>
          <w:highlight w:val="none"/>
          <w:lang w:eastAsia="zh-CN"/>
        </w:rPr>
        <w:t xml:space="preserve"> </w:t>
      </w:r>
      <w:r>
        <w:rPr>
          <w:rFonts w:ascii="Times New Roman" w:hAnsi="Times New Roman" w:eastAsia="宋体" w:cs="Times New Roman"/>
          <w:b/>
          <w:bCs/>
          <w:color w:val="auto"/>
          <w:sz w:val="28"/>
          <w:szCs w:val="28"/>
          <w:highlight w:val="none"/>
          <w:lang w:eastAsia="zh-CN"/>
        </w:rPr>
        <w:t>年内在经营活动中没有重大违法记录及有关信用信息的书面声明（必须提供）</w:t>
      </w:r>
    </w:p>
    <w:p w14:paraId="7472A311">
      <w:pPr>
        <w:pStyle w:val="8"/>
        <w:widowControl w:val="0"/>
        <w:spacing w:line="400" w:lineRule="exact"/>
        <w:ind w:firstLine="420" w:firstLineChars="200"/>
        <w:rPr>
          <w:rFonts w:ascii="Times New Roman" w:hAnsi="Times New Roman" w:cs="Times New Roman"/>
          <w:color w:val="auto"/>
          <w:highlight w:val="none"/>
          <w:lang w:eastAsia="zh-CN"/>
        </w:rPr>
      </w:pPr>
    </w:p>
    <w:p w14:paraId="6CE6CB8B">
      <w:pPr>
        <w:pStyle w:val="8"/>
        <w:widowControl w:val="0"/>
        <w:spacing w:line="400" w:lineRule="exact"/>
        <w:ind w:firstLine="420" w:firstLineChars="200"/>
        <w:rPr>
          <w:rFonts w:ascii="Times New Roman" w:hAnsi="Times New Roman" w:cs="Times New Roman"/>
          <w:color w:val="auto"/>
          <w:highlight w:val="none"/>
          <w:lang w:eastAsia="zh-CN"/>
        </w:rPr>
      </w:pPr>
    </w:p>
    <w:p w14:paraId="6D1B83D0">
      <w:pPr>
        <w:widowControl w:val="0"/>
        <w:spacing w:line="400" w:lineRule="exact"/>
        <w:ind w:firstLine="62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附件：</w:t>
      </w:r>
    </w:p>
    <w:p w14:paraId="539CA731">
      <w:pPr>
        <w:widowControl w:val="0"/>
        <w:spacing w:line="400" w:lineRule="exact"/>
        <w:ind w:firstLine="622" w:firstLineChars="200"/>
        <w:jc w:val="center"/>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声</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明（格式）</w:t>
      </w:r>
    </w:p>
    <w:p w14:paraId="3BC6DA8B">
      <w:pPr>
        <w:widowControl w:val="0"/>
        <w:spacing w:line="400" w:lineRule="exact"/>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致</w:t>
      </w:r>
      <w:r>
        <w:rPr>
          <w:rFonts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u w:val="single"/>
          <w:lang w:eastAsia="zh-CN"/>
        </w:rPr>
        <w:t>广西邕政采购代理有限公司</w:t>
      </w:r>
    </w:p>
    <w:p w14:paraId="56BAD4DF">
      <w:pPr>
        <w:widowControl w:val="0"/>
        <w:spacing w:line="400" w:lineRule="exact"/>
        <w:ind w:firstLine="420" w:firstLineChars="200"/>
        <w:jc w:val="both"/>
        <w:rPr>
          <w:rFonts w:ascii="Times New Roman" w:hAnsi="Times New Roman" w:eastAsia="宋体" w:cs="Times New Roman"/>
          <w:color w:val="auto"/>
          <w:highlight w:val="none"/>
          <w:lang w:eastAsia="zh-CN"/>
        </w:rPr>
      </w:pPr>
    </w:p>
    <w:p w14:paraId="588548B3">
      <w:pPr>
        <w:widowControl w:val="0"/>
        <w:spacing w:line="400" w:lineRule="exact"/>
        <w:ind w:firstLine="420" w:firstLineChars="200"/>
        <w:jc w:val="both"/>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我（公司）郑重声明，在参加本项目政府采购活动前 3 年内在经营活动中没有重大违法记录（重大违法记录是指供应商因违法经营受到刑事处罚或者责令停产停业、吊销许可证或者执照、较大数额罚款等行政处罚），未被列入失信被执行人、</w:t>
      </w:r>
      <w:r>
        <w:rPr>
          <w:rFonts w:hint="eastAsia" w:ascii="Times New Roman" w:hAnsi="Times New Roman" w:eastAsia="宋体" w:cs="Times New Roman"/>
          <w:color w:val="auto"/>
          <w:highlight w:val="none"/>
          <w:lang w:eastAsia="zh-CN"/>
        </w:rPr>
        <w:t>重大税收违法失信主体</w:t>
      </w:r>
      <w:r>
        <w:rPr>
          <w:rFonts w:ascii="Times New Roman" w:hAnsi="Times New Roman" w:eastAsia="宋体" w:cs="Times New Roman"/>
          <w:color w:val="auto"/>
          <w:highlight w:val="none"/>
          <w:lang w:eastAsia="zh-CN"/>
        </w:rPr>
        <w:t>、政府采购严重违法失信行为记录名单，完全符合《中华人民共和国政府采购法》第二十二条规定的供应商资格条件， 我方对此声明负全部法律责任。</w:t>
      </w:r>
    </w:p>
    <w:p w14:paraId="0C42E521">
      <w:pPr>
        <w:pStyle w:val="8"/>
        <w:widowControl w:val="0"/>
        <w:spacing w:line="400" w:lineRule="exact"/>
        <w:ind w:firstLine="420" w:firstLineChars="200"/>
        <w:rPr>
          <w:rFonts w:ascii="Times New Roman" w:hAnsi="Times New Roman" w:cs="Times New Roman"/>
          <w:color w:val="auto"/>
          <w:highlight w:val="none"/>
          <w:lang w:eastAsia="zh-CN"/>
        </w:rPr>
      </w:pPr>
    </w:p>
    <w:p w14:paraId="7D5CDE41">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w:t>
      </w:r>
      <w:r>
        <w:rPr>
          <w:rFonts w:ascii="Times New Roman" w:hAnsi="Times New Roman" w:eastAsia="宋体" w:cs="Times New Roman"/>
          <w:color w:val="auto"/>
          <w:highlight w:val="none"/>
          <w:lang w:eastAsia="zh-CN"/>
        </w:rPr>
        <w:t>：</w:t>
      </w:r>
    </w:p>
    <w:p w14:paraId="6EC7577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法定代表人(负责人、 自然人)或委托代理人签字</w:t>
      </w:r>
      <w:r>
        <w:rPr>
          <w:rFonts w:ascii="Times New Roman" w:hAnsi="Times New Roman" w:eastAsia="宋体" w:cs="Times New Roman"/>
          <w:b/>
          <w:bCs/>
          <w:color w:val="auto"/>
          <w:highlight w:val="none"/>
          <w:lang w:eastAsia="zh-CN"/>
        </w:rPr>
        <w:t>（或个人</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w:t>
      </w:r>
      <w:r>
        <w:rPr>
          <w:rFonts w:ascii="Times New Roman" w:hAnsi="Times New Roman" w:eastAsia="宋体" w:cs="Times New Roman"/>
          <w:color w:val="auto"/>
          <w:highlight w:val="none"/>
          <w:lang w:eastAsia="zh-CN"/>
        </w:rPr>
        <w:t>：</w:t>
      </w:r>
    </w:p>
    <w:p w14:paraId="7072D015">
      <w:pPr>
        <w:widowControl w:val="0"/>
        <w:spacing w:line="400" w:lineRule="exact"/>
        <w:ind w:firstLine="400" w:firstLineChars="200"/>
        <w:rPr>
          <w:rFonts w:ascii="Times New Roman" w:hAnsi="Times New Roman" w:cs="Times New Roman"/>
          <w:color w:val="auto"/>
          <w:highlight w:val="none"/>
          <w:lang w:eastAsia="zh-CN"/>
        </w:rPr>
      </w:pPr>
      <w:r>
        <w:rPr>
          <w:rFonts w:ascii="Times New Roman" w:hAnsi="Times New Roman" w:eastAsia="宋体" w:cs="Times New Roman"/>
          <w:color w:val="auto"/>
          <w:sz w:val="20"/>
          <w:szCs w:val="20"/>
          <w:highlight w:val="none"/>
          <w:lang w:eastAsia="zh-CN"/>
        </w:rPr>
        <w:t>日          期：</w:t>
      </w:r>
    </w:p>
    <w:p w14:paraId="7FA5B8D3">
      <w:pPr>
        <w:pStyle w:val="8"/>
        <w:widowControl w:val="0"/>
        <w:spacing w:line="400" w:lineRule="exact"/>
        <w:ind w:firstLine="420" w:firstLineChars="200"/>
        <w:rPr>
          <w:rFonts w:ascii="Times New Roman" w:hAnsi="Times New Roman" w:cs="Times New Roman"/>
          <w:color w:val="auto"/>
          <w:highlight w:val="none"/>
          <w:lang w:eastAsia="zh-CN"/>
        </w:rPr>
      </w:pPr>
    </w:p>
    <w:p w14:paraId="13B078F5">
      <w:pPr>
        <w:widowControl w:val="0"/>
        <w:spacing w:line="400" w:lineRule="exact"/>
        <w:ind w:firstLine="402" w:firstLineChars="200"/>
        <w:jc w:val="both"/>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注：供应商参加政府采购活动前</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3</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年内在经营活动中没有重大违法记录及有关信用信息的书面声明须由法定代表人(负责人、</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自然人)或相应的委托代理人签字（或个人</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CA</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证书签章）并加盖供应商</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公章（CA</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证书签章）。</w:t>
      </w:r>
    </w:p>
    <w:p w14:paraId="4C0E54C2">
      <w:pPr>
        <w:widowControl w:val="0"/>
        <w:spacing w:line="400" w:lineRule="exact"/>
        <w:ind w:firstLine="400" w:firstLineChars="200"/>
        <w:rPr>
          <w:rFonts w:ascii="Times New Roman" w:hAnsi="Times New Roman" w:eastAsia="宋体" w:cs="Times New Roman"/>
          <w:color w:val="auto"/>
          <w:sz w:val="20"/>
          <w:szCs w:val="20"/>
          <w:highlight w:val="none"/>
          <w:lang w:eastAsia="zh-CN"/>
        </w:rPr>
        <w:sectPr>
          <w:footerReference r:id="rId13" w:type="default"/>
          <w:pgSz w:w="11906" w:h="16839"/>
          <w:pgMar w:top="1247" w:right="1247" w:bottom="1247" w:left="1247" w:header="0" w:footer="822" w:gutter="0"/>
          <w:cols w:space="0" w:num="1"/>
        </w:sectPr>
      </w:pPr>
    </w:p>
    <w:p w14:paraId="173D02A3">
      <w:pPr>
        <w:widowControl w:val="0"/>
        <w:spacing w:line="400" w:lineRule="exact"/>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7.供应商参加本项目无围标串标行为的承诺函（必须提供）</w:t>
      </w:r>
      <w:r>
        <w:rPr>
          <w:rFonts w:ascii="Times New Roman" w:hAnsi="Times New Roman" w:eastAsia="宋体" w:cs="Times New Roman"/>
          <w:color w:val="auto"/>
          <w:sz w:val="28"/>
          <w:szCs w:val="28"/>
          <w:highlight w:val="none"/>
          <w:lang w:eastAsia="zh-CN"/>
        </w:rPr>
        <w:t xml:space="preserve"> </w:t>
      </w:r>
    </w:p>
    <w:p w14:paraId="1A9AD599">
      <w:pPr>
        <w:widowControl w:val="0"/>
        <w:spacing w:line="400" w:lineRule="exact"/>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附件：</w:t>
      </w:r>
    </w:p>
    <w:p w14:paraId="410112C4">
      <w:pPr>
        <w:widowControl w:val="0"/>
        <w:spacing w:line="400" w:lineRule="exact"/>
        <w:ind w:firstLine="62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供应商参加本项目无围标串标行为的承诺函（格式）</w:t>
      </w:r>
    </w:p>
    <w:p w14:paraId="6139CE4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一、我（公司）承诺无下列相互串通的情形：</w:t>
      </w:r>
    </w:p>
    <w:p w14:paraId="01AB7B46">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1.不同供应商的响应文件由同一单位或者个人编制；</w:t>
      </w:r>
    </w:p>
    <w:p w14:paraId="2AA4DB1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2.不同供应商委托同一单位或者个人办理谈判事宜；</w:t>
      </w:r>
    </w:p>
    <w:p w14:paraId="1176A13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3.不同的供应商的响应文件载明的项目管理员为同一个人；</w:t>
      </w:r>
    </w:p>
    <w:p w14:paraId="0F144009">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4.不同供应商的响应文件异常一致或谈判报价呈规律性差异；</w:t>
      </w:r>
    </w:p>
    <w:p w14:paraId="16E9467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5.不同供应商的响应文件相互混装；</w:t>
      </w:r>
    </w:p>
    <w:p w14:paraId="0E4097E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二、我（公司）承诺无下列恶意串通的情形：</w:t>
      </w:r>
    </w:p>
    <w:p w14:paraId="5F11130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1.供应商直接或者间接从采购人或者采购代理机构处获得其他供应商的相关信息并修改其响 应文件或者响应文件；</w:t>
      </w:r>
    </w:p>
    <w:p w14:paraId="2D13A24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2.供应商按照采购人或者采购代理机构的授意撤换、修改响应文件或者响应文件；</w:t>
      </w:r>
    </w:p>
    <w:p w14:paraId="654624A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3.供应商之间协商报价、技术方案等响应文件或者响应文件的实质性内容；</w:t>
      </w:r>
    </w:p>
    <w:p w14:paraId="4EF851B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4.属于同一集团、协会、商会等组织成员的供应商按照该组织要求协同参加政府采购活动；</w:t>
      </w:r>
    </w:p>
    <w:p w14:paraId="2762A9E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5.供应商之间事先约定一致抬高或者压低谈判报价,或者在采购项目中事先约定轮流以高价位 或者低价位成交，或者事先约定由某一特定供应商成交，然后再参加采购；</w:t>
      </w:r>
    </w:p>
    <w:p w14:paraId="0F1DAC89">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6.供应商之间商定部分供应商放弃参加政府采购活动或者放弃成交；</w:t>
      </w:r>
    </w:p>
    <w:p w14:paraId="0070C98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7.供应商与采购人或者采购代理机构之间、供应商相互之间，为谋求特定供应商成交或者排斥 其他供应商的其他串通行为。</w:t>
      </w:r>
    </w:p>
    <w:p w14:paraId="01F01E02">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以上情形一经核查属实，我方愿意承担一切后果，并不再寻求任何旨在减轻或免除法律责任的 辩解。</w:t>
      </w:r>
    </w:p>
    <w:p w14:paraId="73BBDDA9">
      <w:pPr>
        <w:pStyle w:val="8"/>
        <w:widowControl w:val="0"/>
        <w:spacing w:line="400" w:lineRule="exact"/>
        <w:ind w:firstLine="420" w:firstLineChars="200"/>
        <w:rPr>
          <w:rFonts w:ascii="Times New Roman" w:hAnsi="Times New Roman" w:cs="Times New Roman"/>
          <w:color w:val="auto"/>
          <w:highlight w:val="none"/>
          <w:lang w:eastAsia="zh-CN"/>
        </w:rPr>
      </w:pPr>
    </w:p>
    <w:p w14:paraId="093384C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w:t>
      </w:r>
      <w:r>
        <w:rPr>
          <w:rFonts w:ascii="Times New Roman" w:hAnsi="Times New Roman" w:eastAsia="宋体" w:cs="Times New Roman"/>
          <w:color w:val="auto"/>
          <w:highlight w:val="none"/>
          <w:lang w:eastAsia="zh-CN"/>
        </w:rPr>
        <w:t>：</w:t>
      </w:r>
    </w:p>
    <w:p w14:paraId="187AAD6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法定代表人(负责人、 自然人)或委托代理人签字</w:t>
      </w:r>
      <w:r>
        <w:rPr>
          <w:rFonts w:ascii="Times New Roman" w:hAnsi="Times New Roman" w:eastAsia="宋体" w:cs="Times New Roman"/>
          <w:b/>
          <w:bCs/>
          <w:color w:val="auto"/>
          <w:highlight w:val="none"/>
          <w:lang w:eastAsia="zh-CN"/>
        </w:rPr>
        <w:t>（或个人</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w:t>
      </w:r>
      <w:r>
        <w:rPr>
          <w:rFonts w:ascii="Times New Roman" w:hAnsi="Times New Roman" w:eastAsia="宋体" w:cs="Times New Roman"/>
          <w:color w:val="auto"/>
          <w:highlight w:val="none"/>
          <w:lang w:eastAsia="zh-CN"/>
        </w:rPr>
        <w:t>：</w:t>
      </w:r>
    </w:p>
    <w:p w14:paraId="355BF93A">
      <w:pPr>
        <w:widowControl w:val="0"/>
        <w:spacing w:line="400" w:lineRule="exact"/>
        <w:ind w:firstLine="420" w:firstLineChars="200"/>
        <w:rPr>
          <w:rFonts w:ascii="Times New Roman" w:hAnsi="Times New Roman" w:cs="Times New Roman"/>
          <w:color w:val="auto"/>
          <w:highlight w:val="none"/>
          <w:lang w:eastAsia="zh-CN"/>
        </w:rPr>
      </w:pPr>
      <w:r>
        <w:rPr>
          <w:rFonts w:ascii="Times New Roman" w:hAnsi="Times New Roman" w:eastAsia="宋体" w:cs="Times New Roman"/>
          <w:color w:val="auto"/>
          <w:highlight w:val="none"/>
          <w:lang w:eastAsia="zh-CN"/>
        </w:rPr>
        <w:t>日          期：</w:t>
      </w:r>
    </w:p>
    <w:p w14:paraId="2474FC9D">
      <w:pPr>
        <w:pStyle w:val="8"/>
        <w:widowControl w:val="0"/>
        <w:spacing w:line="400" w:lineRule="exact"/>
        <w:ind w:firstLine="420" w:firstLineChars="200"/>
        <w:rPr>
          <w:rFonts w:ascii="Times New Roman" w:hAnsi="Times New Roman" w:cs="Times New Roman"/>
          <w:color w:val="auto"/>
          <w:highlight w:val="none"/>
          <w:lang w:eastAsia="zh-CN"/>
        </w:rPr>
      </w:pPr>
    </w:p>
    <w:p w14:paraId="370BE502">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注：供应商参加本项目无围标串标行为的承诺函须由法定代表人(负责人、自然人)或相应的委托代</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理人签字（或个人</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CA</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证书签章）并加盖供应商公章（CA</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证书签章）。</w:t>
      </w:r>
    </w:p>
    <w:p w14:paraId="212E7C01">
      <w:pPr>
        <w:widowControl w:val="0"/>
        <w:spacing w:line="400" w:lineRule="exact"/>
        <w:ind w:firstLine="400" w:firstLineChars="200"/>
        <w:rPr>
          <w:rFonts w:ascii="Times New Roman" w:hAnsi="Times New Roman" w:eastAsia="宋体" w:cs="Times New Roman"/>
          <w:color w:val="auto"/>
          <w:sz w:val="20"/>
          <w:szCs w:val="20"/>
          <w:highlight w:val="none"/>
          <w:lang w:eastAsia="zh-CN"/>
        </w:rPr>
        <w:sectPr>
          <w:footerReference r:id="rId14" w:type="default"/>
          <w:pgSz w:w="11906" w:h="16839"/>
          <w:pgMar w:top="1247" w:right="1247" w:bottom="1247" w:left="1247" w:header="0" w:footer="822" w:gutter="0"/>
          <w:cols w:space="0" w:num="1"/>
        </w:sectPr>
      </w:pPr>
    </w:p>
    <w:p w14:paraId="3C517A3B">
      <w:pPr>
        <w:widowControl w:val="0"/>
        <w:kinsoku/>
        <w:autoSpaceDE/>
        <w:autoSpaceDN/>
        <w:adjustRightInd/>
        <w:snapToGrid/>
        <w:spacing w:line="360" w:lineRule="auto"/>
        <w:ind w:firstLine="562" w:firstLineChars="200"/>
        <w:jc w:val="both"/>
        <w:textAlignment w:val="auto"/>
        <w:rPr>
          <w:rFonts w:ascii="Times New Roman" w:hAnsi="Times New Roman" w:eastAsia="宋体" w:cs="Times New Roman"/>
          <w:b/>
          <w:snapToGrid/>
          <w:color w:val="auto"/>
          <w:kern w:val="2"/>
          <w:sz w:val="28"/>
          <w:szCs w:val="28"/>
          <w:highlight w:val="none"/>
          <w:lang w:eastAsia="zh-CN"/>
        </w:rPr>
      </w:pPr>
      <w:r>
        <w:rPr>
          <w:rFonts w:ascii="Times New Roman" w:hAnsi="Times New Roman" w:eastAsia="宋体" w:cs="Times New Roman"/>
          <w:b/>
          <w:snapToGrid/>
          <w:color w:val="auto"/>
          <w:kern w:val="2"/>
          <w:sz w:val="28"/>
          <w:szCs w:val="28"/>
          <w:highlight w:val="none"/>
          <w:lang w:eastAsia="zh-CN"/>
        </w:rPr>
        <w:t>8.</w:t>
      </w:r>
      <w:r>
        <w:rPr>
          <w:rFonts w:hint="eastAsia" w:ascii="Times New Roman" w:hAnsi="Times New Roman" w:eastAsia="宋体" w:cs="Times New Roman"/>
          <w:b/>
          <w:snapToGrid/>
          <w:color w:val="auto"/>
          <w:kern w:val="2"/>
          <w:sz w:val="28"/>
          <w:szCs w:val="28"/>
          <w:highlight w:val="none"/>
          <w:lang w:eastAsia="zh-CN"/>
        </w:rPr>
        <w:t>《中小企业声明函》（见附件）（如有，请提供）</w:t>
      </w:r>
    </w:p>
    <w:p w14:paraId="1CCAF6B0">
      <w:pPr>
        <w:widowControl w:val="0"/>
        <w:tabs>
          <w:tab w:val="left" w:pos="1305"/>
        </w:tabs>
        <w:kinsoku/>
        <w:autoSpaceDE/>
        <w:autoSpaceDN/>
        <w:adjustRightInd/>
        <w:snapToGrid/>
        <w:spacing w:line="400" w:lineRule="exact"/>
        <w:ind w:firstLine="562" w:firstLineChars="200"/>
        <w:jc w:val="both"/>
        <w:textAlignment w:val="auto"/>
        <w:rPr>
          <w:rFonts w:ascii="Times New Roman" w:hAnsi="Times New Roman" w:eastAsia="宋体" w:cs="Times New Roman"/>
          <w:b/>
          <w:snapToGrid/>
          <w:color w:val="auto"/>
          <w:kern w:val="2"/>
          <w:sz w:val="28"/>
          <w:szCs w:val="28"/>
          <w:highlight w:val="none"/>
          <w:lang w:eastAsia="zh-CN"/>
        </w:rPr>
      </w:pPr>
    </w:p>
    <w:p w14:paraId="31667BD4">
      <w:pPr>
        <w:widowControl w:val="0"/>
        <w:shd w:val="clear" w:color="auto" w:fill="FFFFFF"/>
        <w:kinsoku/>
        <w:autoSpaceDE/>
        <w:autoSpaceDN/>
        <w:adjustRightInd/>
        <w:snapToGrid/>
        <w:spacing w:before="240" w:beforeLines="100" w:after="240" w:afterLines="100" w:line="360" w:lineRule="atLeast"/>
        <w:jc w:val="center"/>
        <w:textAlignment w:val="auto"/>
        <w:rPr>
          <w:rFonts w:ascii="Times New Roman" w:hAnsi="Times New Roman" w:eastAsia="宋体" w:cs="Times New Roman"/>
          <w:b/>
          <w:snapToGrid/>
          <w:color w:val="auto"/>
          <w:kern w:val="2"/>
          <w:sz w:val="28"/>
          <w:szCs w:val="28"/>
          <w:highlight w:val="none"/>
          <w:lang w:eastAsia="zh-CN"/>
        </w:rPr>
      </w:pPr>
      <w:r>
        <w:rPr>
          <w:rFonts w:ascii="Times New Roman" w:hAnsi="Times New Roman" w:eastAsia="宋体" w:cs="Times New Roman"/>
          <w:b/>
          <w:snapToGrid/>
          <w:color w:val="auto"/>
          <w:kern w:val="2"/>
          <w:sz w:val="28"/>
          <w:szCs w:val="28"/>
          <w:highlight w:val="none"/>
          <w:lang w:eastAsia="zh-CN"/>
        </w:rPr>
        <w:t>中小企业声明函</w:t>
      </w:r>
    </w:p>
    <w:p w14:paraId="43A94F34">
      <w:pPr>
        <w:widowControl w:val="0"/>
        <w:spacing w:line="360" w:lineRule="auto"/>
        <w:ind w:firstLine="420" w:firstLineChars="200"/>
        <w:jc w:val="both"/>
        <w:rPr>
          <w:rFonts w:ascii="Times New Roman" w:hAnsi="Times New Roman" w:eastAsia="宋体" w:cs="Times New Roman"/>
          <w:color w:val="auto"/>
          <w:highlight w:val="none"/>
          <w:lang w:eastAsia="zh-CN" w:bidi="ar"/>
        </w:rPr>
      </w:pPr>
      <w:r>
        <w:rPr>
          <w:rFonts w:ascii="Times New Roman" w:hAnsi="Times New Roman" w:eastAsia="宋体" w:cs="Times New Roman"/>
          <w:color w:val="auto"/>
          <w:highlight w:val="none"/>
          <w:lang w:eastAsia="zh-CN" w:bidi="ar"/>
        </w:rPr>
        <w:t>本公司</w:t>
      </w:r>
      <w:r>
        <w:rPr>
          <w:rFonts w:ascii="Times New Roman" w:hAnsi="Times New Roman" w:eastAsia="宋体" w:cs="Times New Roman"/>
          <w:color w:val="auto"/>
          <w:highlight w:val="none"/>
          <w:u w:val="single"/>
          <w:lang w:eastAsia="zh-CN" w:bidi="ar"/>
        </w:rPr>
        <w:t xml:space="preserve">           </w:t>
      </w:r>
      <w:r>
        <w:rPr>
          <w:rFonts w:ascii="Times New Roman" w:hAnsi="Times New Roman" w:eastAsia="宋体" w:cs="Times New Roman"/>
          <w:color w:val="auto"/>
          <w:highlight w:val="none"/>
          <w:lang w:eastAsia="zh-CN" w:bidi="ar"/>
        </w:rPr>
        <w:t>郑重声明，根据《政府采购促进中小企业发展管理办法》（财库﹝2020﹞46 号）的规定，本公司</w:t>
      </w:r>
      <w:r>
        <w:rPr>
          <w:rFonts w:ascii="Times New Roman" w:hAnsi="Times New Roman" w:eastAsia="宋体" w:cs="Times New Roman"/>
          <w:color w:val="auto"/>
          <w:highlight w:val="none"/>
          <w:u w:val="single"/>
          <w:lang w:eastAsia="zh-CN" w:bidi="ar"/>
        </w:rPr>
        <w:t xml:space="preserve">           </w:t>
      </w:r>
      <w:r>
        <w:rPr>
          <w:rFonts w:ascii="Times New Roman" w:hAnsi="Times New Roman" w:eastAsia="宋体" w:cs="Times New Roman"/>
          <w:color w:val="auto"/>
          <w:highlight w:val="none"/>
          <w:lang w:eastAsia="zh-CN" w:bidi="ar"/>
        </w:rPr>
        <w:t>参加</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单位名称</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的</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项目名称</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采购活动，提供的货物全部为符合政策要求的中小企业制造。相关企业（含联合体中的中小企业、签订分包意向协议的中小企业）的具体情况如下：</w:t>
      </w:r>
    </w:p>
    <w:p w14:paraId="515059E7">
      <w:pPr>
        <w:widowControl w:val="0"/>
        <w:spacing w:line="360" w:lineRule="auto"/>
        <w:jc w:val="both"/>
        <w:rPr>
          <w:rFonts w:ascii="Times New Roman" w:hAnsi="Times New Roman" w:eastAsia="宋体" w:cs="Times New Roman"/>
          <w:color w:val="auto"/>
          <w:highlight w:val="none"/>
          <w:lang w:eastAsia="zh-CN" w:bidi="ar"/>
        </w:rPr>
      </w:pPr>
      <w:r>
        <w:rPr>
          <w:rFonts w:ascii="Times New Roman" w:hAnsi="Times New Roman" w:eastAsia="宋体" w:cs="Times New Roman"/>
          <w:color w:val="auto"/>
          <w:highlight w:val="none"/>
          <w:lang w:eastAsia="zh-CN" w:bidi="ar"/>
        </w:rPr>
        <w:t>　　1.</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标的名称</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，属于</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采购文件中明确的所属行业</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；制造商为</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企业名称</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，从业人员</w:t>
      </w:r>
      <w:r>
        <w:rPr>
          <w:rFonts w:ascii="Times New Roman" w:hAnsi="Times New Roman" w:eastAsia="宋体" w:cs="Times New Roman"/>
          <w:color w:val="auto"/>
          <w:highlight w:val="none"/>
          <w:u w:val="single"/>
          <w:lang w:eastAsia="zh-CN" w:bidi="ar"/>
        </w:rPr>
        <w:t>        </w:t>
      </w:r>
      <w:r>
        <w:rPr>
          <w:rFonts w:ascii="Times New Roman" w:hAnsi="Times New Roman" w:eastAsia="宋体" w:cs="Times New Roman"/>
          <w:color w:val="auto"/>
          <w:highlight w:val="none"/>
          <w:lang w:eastAsia="zh-CN" w:bidi="ar"/>
        </w:rPr>
        <w:t>人，营业收入为</w:t>
      </w:r>
      <w:r>
        <w:rPr>
          <w:rFonts w:ascii="Times New Roman" w:hAnsi="Times New Roman" w:eastAsia="宋体" w:cs="Times New Roman"/>
          <w:color w:val="auto"/>
          <w:highlight w:val="none"/>
          <w:u w:val="single"/>
          <w:lang w:eastAsia="zh-CN" w:bidi="ar"/>
        </w:rPr>
        <w:t>       </w:t>
      </w:r>
      <w:r>
        <w:rPr>
          <w:rFonts w:ascii="Times New Roman" w:hAnsi="Times New Roman" w:eastAsia="宋体" w:cs="Times New Roman"/>
          <w:color w:val="auto"/>
          <w:highlight w:val="none"/>
          <w:lang w:eastAsia="zh-CN" w:bidi="ar"/>
        </w:rPr>
        <w:t>万元，资产总额为</w:t>
      </w:r>
      <w:r>
        <w:rPr>
          <w:rFonts w:ascii="Times New Roman" w:hAnsi="Times New Roman" w:eastAsia="宋体" w:cs="Times New Roman"/>
          <w:color w:val="auto"/>
          <w:highlight w:val="none"/>
          <w:u w:val="single"/>
          <w:lang w:eastAsia="zh-CN" w:bidi="ar"/>
        </w:rPr>
        <w:t>        </w:t>
      </w:r>
      <w:r>
        <w:rPr>
          <w:rFonts w:ascii="Times New Roman" w:hAnsi="Times New Roman" w:eastAsia="宋体" w:cs="Times New Roman"/>
          <w:color w:val="auto"/>
          <w:highlight w:val="none"/>
          <w:lang w:eastAsia="zh-CN" w:bidi="ar"/>
        </w:rPr>
        <w:t>万元，属于</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中型企业、小型企业、微型企业</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w:t>
      </w:r>
    </w:p>
    <w:p w14:paraId="1295CEDC">
      <w:pPr>
        <w:widowControl w:val="0"/>
        <w:spacing w:line="360" w:lineRule="auto"/>
        <w:jc w:val="both"/>
        <w:rPr>
          <w:rFonts w:ascii="Times New Roman" w:hAnsi="Times New Roman" w:eastAsia="宋体" w:cs="Times New Roman"/>
          <w:color w:val="auto"/>
          <w:highlight w:val="none"/>
          <w:lang w:eastAsia="zh-CN" w:bidi="ar"/>
        </w:rPr>
      </w:pPr>
      <w:r>
        <w:rPr>
          <w:rFonts w:ascii="Times New Roman" w:hAnsi="Times New Roman" w:eastAsia="宋体" w:cs="Times New Roman"/>
          <w:color w:val="auto"/>
          <w:highlight w:val="none"/>
          <w:lang w:eastAsia="zh-CN" w:bidi="ar"/>
        </w:rPr>
        <w:t>　　2.</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标的名称</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，属于</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采购文件中明确的所属行业</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；制造商为</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企业名称</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，从业人员</w:t>
      </w:r>
      <w:r>
        <w:rPr>
          <w:rFonts w:ascii="Times New Roman" w:hAnsi="Times New Roman" w:eastAsia="宋体" w:cs="Times New Roman"/>
          <w:color w:val="auto"/>
          <w:highlight w:val="none"/>
          <w:u w:val="single"/>
          <w:lang w:eastAsia="zh-CN" w:bidi="ar"/>
        </w:rPr>
        <w:t>        </w:t>
      </w:r>
      <w:r>
        <w:rPr>
          <w:rFonts w:ascii="Times New Roman" w:hAnsi="Times New Roman" w:eastAsia="宋体" w:cs="Times New Roman"/>
          <w:color w:val="auto"/>
          <w:highlight w:val="none"/>
          <w:lang w:eastAsia="zh-CN" w:bidi="ar"/>
        </w:rPr>
        <w:t>人，营业收入为</w:t>
      </w:r>
      <w:r>
        <w:rPr>
          <w:rFonts w:ascii="Times New Roman" w:hAnsi="Times New Roman" w:eastAsia="宋体" w:cs="Times New Roman"/>
          <w:color w:val="auto"/>
          <w:highlight w:val="none"/>
          <w:u w:val="single"/>
          <w:lang w:eastAsia="zh-CN" w:bidi="ar"/>
        </w:rPr>
        <w:t>       </w:t>
      </w:r>
      <w:r>
        <w:rPr>
          <w:rFonts w:ascii="Times New Roman" w:hAnsi="Times New Roman" w:eastAsia="宋体" w:cs="Times New Roman"/>
          <w:color w:val="auto"/>
          <w:highlight w:val="none"/>
          <w:lang w:eastAsia="zh-CN" w:bidi="ar"/>
        </w:rPr>
        <w:t>万元，资产总额为</w:t>
      </w:r>
      <w:r>
        <w:rPr>
          <w:rFonts w:ascii="Times New Roman" w:hAnsi="Times New Roman" w:eastAsia="宋体" w:cs="Times New Roman"/>
          <w:color w:val="auto"/>
          <w:highlight w:val="none"/>
          <w:u w:val="single"/>
          <w:lang w:eastAsia="zh-CN" w:bidi="ar"/>
        </w:rPr>
        <w:t>        </w:t>
      </w:r>
      <w:r>
        <w:rPr>
          <w:rFonts w:ascii="Times New Roman" w:hAnsi="Times New Roman" w:eastAsia="宋体" w:cs="Times New Roman"/>
          <w:color w:val="auto"/>
          <w:highlight w:val="none"/>
          <w:lang w:eastAsia="zh-CN" w:bidi="ar"/>
        </w:rPr>
        <w:t>万元，属于</w:t>
      </w:r>
      <w:r>
        <w:rPr>
          <w:rFonts w:ascii="Times New Roman" w:hAnsi="Times New Roman" w:eastAsia="宋体" w:cs="Times New Roman"/>
          <w:color w:val="auto"/>
          <w:highlight w:val="none"/>
          <w:u w:val="single"/>
          <w:lang w:eastAsia="zh-CN" w:bidi="ar"/>
        </w:rPr>
        <w:t>（</w:t>
      </w:r>
      <w:r>
        <w:rPr>
          <w:rStyle w:val="26"/>
          <w:color w:val="auto"/>
          <w:kern w:val="2"/>
          <w:szCs w:val="24"/>
          <w:highlight w:val="none"/>
          <w:u w:val="single"/>
          <w:lang w:eastAsia="zh-CN"/>
        </w:rPr>
        <w:t>中型企业、小型企业、微型企业</w:t>
      </w:r>
      <w:r>
        <w:rPr>
          <w:rFonts w:ascii="Times New Roman" w:hAnsi="Times New Roman" w:eastAsia="宋体" w:cs="Times New Roman"/>
          <w:color w:val="auto"/>
          <w:highlight w:val="none"/>
          <w:u w:val="single"/>
          <w:lang w:eastAsia="zh-CN" w:bidi="ar"/>
        </w:rPr>
        <w:t>）</w:t>
      </w:r>
      <w:r>
        <w:rPr>
          <w:rFonts w:ascii="Times New Roman" w:hAnsi="Times New Roman" w:eastAsia="宋体" w:cs="Times New Roman"/>
          <w:color w:val="auto"/>
          <w:highlight w:val="none"/>
          <w:lang w:eastAsia="zh-CN" w:bidi="ar"/>
        </w:rPr>
        <w:t>；</w:t>
      </w:r>
    </w:p>
    <w:p w14:paraId="182D7C88">
      <w:pPr>
        <w:widowControl w:val="0"/>
        <w:spacing w:line="360" w:lineRule="auto"/>
        <w:jc w:val="both"/>
        <w:rPr>
          <w:rFonts w:ascii="Times New Roman" w:hAnsi="Times New Roman" w:eastAsia="宋体" w:cs="Times New Roman"/>
          <w:color w:val="auto"/>
          <w:highlight w:val="none"/>
          <w:lang w:eastAsia="zh-CN" w:bidi="ar"/>
        </w:rPr>
      </w:pPr>
      <w:r>
        <w:rPr>
          <w:rFonts w:ascii="Times New Roman" w:hAnsi="Times New Roman" w:eastAsia="宋体" w:cs="Times New Roman"/>
          <w:color w:val="auto"/>
          <w:highlight w:val="none"/>
          <w:lang w:eastAsia="zh-CN" w:bidi="ar"/>
        </w:rPr>
        <w:t>……</w:t>
      </w:r>
    </w:p>
    <w:p w14:paraId="240F2022">
      <w:pPr>
        <w:widowControl w:val="0"/>
        <w:spacing w:line="360" w:lineRule="auto"/>
        <w:ind w:firstLine="420" w:firstLineChars="200"/>
        <w:jc w:val="both"/>
        <w:rPr>
          <w:rFonts w:ascii="Times New Roman" w:hAnsi="Times New Roman" w:eastAsia="宋体" w:cs="Times New Roman"/>
          <w:color w:val="auto"/>
          <w:highlight w:val="none"/>
          <w:lang w:eastAsia="zh-CN" w:bidi="ar"/>
        </w:rPr>
      </w:pPr>
      <w:r>
        <w:rPr>
          <w:rFonts w:ascii="Times New Roman" w:hAnsi="Times New Roman" w:eastAsia="宋体" w:cs="Times New Roman"/>
          <w:color w:val="auto"/>
          <w:highlight w:val="none"/>
          <w:lang w:eastAsia="zh-CN" w:bidi="ar"/>
        </w:rPr>
        <w:t>以上企业，不属于大企业的分支机构，不存在控股股东为大企业的情形，也不存在与大企业的负责人为同一人的情形。</w:t>
      </w:r>
    </w:p>
    <w:p w14:paraId="73509110">
      <w:pPr>
        <w:widowControl w:val="0"/>
        <w:spacing w:line="360" w:lineRule="auto"/>
        <w:jc w:val="both"/>
        <w:rPr>
          <w:rFonts w:ascii="Times New Roman" w:hAnsi="Times New Roman" w:eastAsia="宋体" w:cs="Times New Roman"/>
          <w:color w:val="auto"/>
          <w:sz w:val="24"/>
          <w:szCs w:val="24"/>
          <w:highlight w:val="none"/>
          <w:lang w:eastAsia="zh-CN" w:bidi="ar"/>
        </w:rPr>
      </w:pPr>
      <w:r>
        <w:rPr>
          <w:rFonts w:ascii="Times New Roman" w:hAnsi="Times New Roman" w:eastAsia="宋体" w:cs="Times New Roman"/>
          <w:color w:val="auto"/>
          <w:highlight w:val="none"/>
          <w:lang w:eastAsia="zh-CN" w:bidi="ar"/>
        </w:rPr>
        <w:t xml:space="preserve">　　本企业对上述声明内容的真实性负责。如有虚假，将依法承担相应责任。 </w:t>
      </w:r>
      <w:r>
        <w:rPr>
          <w:rFonts w:ascii="Times New Roman" w:hAnsi="Times New Roman" w:eastAsia="宋体" w:cs="Times New Roman"/>
          <w:color w:val="auto"/>
          <w:sz w:val="24"/>
          <w:szCs w:val="24"/>
          <w:highlight w:val="none"/>
          <w:lang w:eastAsia="zh-CN" w:bidi="ar"/>
        </w:rPr>
        <w:t xml:space="preserve">        </w:t>
      </w:r>
    </w:p>
    <w:p w14:paraId="74DA1569">
      <w:pPr>
        <w:widowControl w:val="0"/>
        <w:spacing w:line="420" w:lineRule="atLeast"/>
        <w:jc w:val="center"/>
        <w:rPr>
          <w:rFonts w:ascii="Times New Roman" w:hAnsi="Times New Roman" w:eastAsia="宋体" w:cs="Times New Roman"/>
          <w:color w:val="auto"/>
          <w:sz w:val="24"/>
          <w:szCs w:val="24"/>
          <w:highlight w:val="none"/>
          <w:lang w:eastAsia="zh-CN" w:bidi="ar"/>
        </w:rPr>
      </w:pPr>
    </w:p>
    <w:p w14:paraId="6D744E0F">
      <w:pPr>
        <w:widowControl w:val="0"/>
        <w:spacing w:line="360" w:lineRule="auto"/>
        <w:jc w:val="center"/>
        <w:rPr>
          <w:rFonts w:ascii="Times New Roman" w:hAnsi="Times New Roman" w:eastAsia="宋体" w:cs="Times New Roman"/>
          <w:b/>
          <w:color w:val="auto"/>
          <w:highlight w:val="none"/>
          <w:lang w:eastAsia="zh-CN" w:bidi="ar"/>
        </w:rPr>
      </w:pPr>
      <w:r>
        <w:rPr>
          <w:rFonts w:ascii="Times New Roman" w:hAnsi="Times New Roman" w:eastAsia="宋体" w:cs="Times New Roman"/>
          <w:b/>
          <w:color w:val="auto"/>
          <w:highlight w:val="none"/>
          <w:lang w:eastAsia="zh-CN" w:bidi="ar"/>
        </w:rPr>
        <w:t>企业名称公章（电子签章）：</w:t>
      </w:r>
      <w:r>
        <w:rPr>
          <w:rFonts w:ascii="Times New Roman" w:hAnsi="Times New Roman" w:eastAsia="宋体" w:cs="Times New Roman"/>
          <w:b/>
          <w:color w:val="auto"/>
          <w:highlight w:val="none"/>
          <w:u w:val="single"/>
          <w:lang w:eastAsia="zh-CN" w:bidi="ar"/>
        </w:rPr>
        <w:t xml:space="preserve">              </w:t>
      </w:r>
      <w:r>
        <w:rPr>
          <w:rFonts w:ascii="Times New Roman" w:hAnsi="Times New Roman" w:eastAsia="宋体" w:cs="Times New Roman"/>
          <w:b/>
          <w:color w:val="auto"/>
          <w:highlight w:val="none"/>
          <w:lang w:eastAsia="zh-CN" w:bidi="ar"/>
        </w:rPr>
        <w:t xml:space="preserve">   </w:t>
      </w:r>
    </w:p>
    <w:p w14:paraId="21E38B77">
      <w:pPr>
        <w:widowControl w:val="0"/>
        <w:spacing w:line="360" w:lineRule="auto"/>
        <w:ind w:firstLine="4427" w:firstLineChars="2100"/>
        <w:jc w:val="both"/>
        <w:rPr>
          <w:rFonts w:ascii="Times New Roman" w:hAnsi="Times New Roman" w:eastAsia="Times New Roman" w:cs="Times New Roman"/>
          <w:b/>
          <w:color w:val="auto"/>
          <w:highlight w:val="none"/>
          <w:lang w:eastAsia="zh-CN"/>
        </w:rPr>
      </w:pPr>
      <w:r>
        <w:rPr>
          <w:rFonts w:ascii="Times New Roman" w:hAnsi="Times New Roman" w:eastAsia="宋体" w:cs="Times New Roman"/>
          <w:b/>
          <w:bCs/>
          <w:color w:val="auto"/>
          <w:highlight w:val="none"/>
          <w:lang w:eastAsia="zh-CN"/>
        </w:rPr>
        <w:t>日期：</w:t>
      </w:r>
      <w:r>
        <w:rPr>
          <w:rFonts w:ascii="Times New Roman" w:hAnsi="Times New Roman" w:eastAsia="Times New Roman" w:cs="Times New Roman"/>
          <w:b/>
          <w:bCs/>
          <w:color w:val="auto"/>
          <w:highlight w:val="none"/>
          <w:u w:val="single"/>
          <w:lang w:eastAsia="zh-CN"/>
        </w:rPr>
        <w:t xml:space="preserve">           </w:t>
      </w:r>
      <w:r>
        <w:rPr>
          <w:rFonts w:ascii="Times New Roman" w:hAnsi="Times New Roman" w:eastAsia="宋体" w:cs="Times New Roman"/>
          <w:b/>
          <w:bCs/>
          <w:color w:val="auto"/>
          <w:highlight w:val="none"/>
          <w:u w:val="single"/>
          <w:lang w:eastAsia="zh-CN"/>
        </w:rPr>
        <w:t xml:space="preserve">        </w:t>
      </w:r>
      <w:r>
        <w:rPr>
          <w:rFonts w:ascii="Times New Roman" w:hAnsi="Times New Roman" w:eastAsia="Times New Roman" w:cs="Times New Roman"/>
          <w:b/>
          <w:color w:val="auto"/>
          <w:highlight w:val="none"/>
          <w:lang w:eastAsia="zh-CN"/>
        </w:rPr>
        <w:t> </w:t>
      </w:r>
    </w:p>
    <w:p w14:paraId="316A0B01">
      <w:pPr>
        <w:widowControl w:val="0"/>
        <w:kinsoku/>
        <w:autoSpaceDE/>
        <w:autoSpaceDN/>
        <w:adjustRightInd/>
        <w:snapToGrid/>
        <w:jc w:val="both"/>
        <w:textAlignment w:val="auto"/>
        <w:rPr>
          <w:rFonts w:ascii="Times New Roman" w:hAnsi="Times New Roman" w:eastAsia="宋体" w:cs="Times New Roman"/>
          <w:snapToGrid/>
          <w:color w:val="auto"/>
          <w:kern w:val="2"/>
          <w:sz w:val="18"/>
          <w:szCs w:val="18"/>
          <w:highlight w:val="none"/>
          <w:lang w:eastAsia="zh-CN" w:bidi="ar"/>
        </w:rPr>
      </w:pPr>
    </w:p>
    <w:p w14:paraId="4C34F6BC">
      <w:pPr>
        <w:widowControl w:val="0"/>
        <w:kinsoku/>
        <w:autoSpaceDE/>
        <w:autoSpaceDN/>
        <w:adjustRightInd/>
        <w:snapToGrid/>
        <w:ind w:firstLine="420" w:firstLineChars="200"/>
        <w:jc w:val="both"/>
        <w:textAlignment w:val="auto"/>
        <w:rPr>
          <w:rFonts w:ascii="Times New Roman" w:hAnsi="Times New Roman" w:eastAsia="宋体" w:cs="Times New Roman"/>
          <w:snapToGrid/>
          <w:color w:val="auto"/>
          <w:kern w:val="2"/>
          <w:szCs w:val="24"/>
          <w:highlight w:val="none"/>
          <w:lang w:eastAsia="zh-CN" w:bidi="ar"/>
        </w:rPr>
      </w:pPr>
    </w:p>
    <w:p w14:paraId="26EA6E2E">
      <w:pPr>
        <w:widowControl w:val="0"/>
        <w:kinsoku/>
        <w:autoSpaceDE/>
        <w:autoSpaceDN/>
        <w:adjustRightInd/>
        <w:snapToGrid/>
        <w:ind w:firstLine="420" w:firstLineChars="200"/>
        <w:jc w:val="both"/>
        <w:textAlignment w:val="auto"/>
        <w:rPr>
          <w:rFonts w:ascii="Times New Roman" w:hAnsi="Times New Roman" w:eastAsia="宋体" w:cs="Times New Roman"/>
          <w:snapToGrid/>
          <w:color w:val="auto"/>
          <w:kern w:val="2"/>
          <w:szCs w:val="24"/>
          <w:highlight w:val="none"/>
          <w:lang w:eastAsia="zh-CN"/>
        </w:rPr>
      </w:pPr>
      <w:r>
        <w:rPr>
          <w:rFonts w:ascii="Times New Roman" w:hAnsi="Times New Roman" w:eastAsia="宋体" w:cs="Times New Roman"/>
          <w:snapToGrid/>
          <w:color w:val="auto"/>
          <w:kern w:val="2"/>
          <w:szCs w:val="24"/>
          <w:highlight w:val="none"/>
          <w:lang w:eastAsia="zh-CN" w:bidi="ar"/>
        </w:rPr>
        <w:t>从业人员、营业收入、资产总额填报上一年度数据，无上一年度数据的新成立企业可不填报。</w:t>
      </w:r>
    </w:p>
    <w:p w14:paraId="0A919310">
      <w:pPr>
        <w:widowControl w:val="0"/>
        <w:tabs>
          <w:tab w:val="left" w:pos="1305"/>
        </w:tabs>
        <w:kinsoku/>
        <w:autoSpaceDE/>
        <w:autoSpaceDN/>
        <w:adjustRightInd/>
        <w:snapToGrid/>
        <w:ind w:firstLine="413" w:firstLineChars="196"/>
        <w:jc w:val="both"/>
        <w:textAlignment w:val="auto"/>
        <w:rPr>
          <w:rFonts w:ascii="Times New Roman" w:hAnsi="Times New Roman" w:eastAsia="宋体" w:cs="Times New Roman"/>
          <w:b/>
          <w:snapToGrid/>
          <w:color w:val="auto"/>
          <w:kern w:val="2"/>
          <w:szCs w:val="24"/>
          <w:highlight w:val="none"/>
          <w:lang w:eastAsia="zh-CN"/>
        </w:rPr>
      </w:pPr>
    </w:p>
    <w:p w14:paraId="0DC370B5">
      <w:pPr>
        <w:widowControl w:val="0"/>
        <w:tabs>
          <w:tab w:val="left" w:pos="1305"/>
        </w:tabs>
        <w:kinsoku/>
        <w:autoSpaceDE/>
        <w:autoSpaceDN/>
        <w:adjustRightInd/>
        <w:snapToGrid/>
        <w:ind w:firstLine="835" w:firstLineChars="396"/>
        <w:jc w:val="both"/>
        <w:textAlignment w:val="auto"/>
        <w:rPr>
          <w:rFonts w:ascii="Times New Roman" w:hAnsi="Times New Roman" w:eastAsia="宋体" w:cs="Times New Roman"/>
          <w:b/>
          <w:bCs/>
          <w:snapToGrid/>
          <w:color w:val="auto"/>
          <w:kern w:val="2"/>
          <w:sz w:val="32"/>
          <w:szCs w:val="32"/>
          <w:highlight w:val="none"/>
          <w:lang w:eastAsia="zh-CN"/>
        </w:rPr>
      </w:pPr>
      <w:r>
        <w:rPr>
          <w:rFonts w:hint="eastAsia" w:ascii="Times New Roman" w:hAnsi="Times New Roman" w:eastAsia="宋体" w:cs="Times New Roman"/>
          <w:b/>
          <w:snapToGrid/>
          <w:color w:val="auto"/>
          <w:kern w:val="2"/>
          <w:szCs w:val="24"/>
          <w:highlight w:val="none"/>
          <w:lang w:eastAsia="zh-CN"/>
        </w:rPr>
        <w:t>注：从业人员、营业收入、资产总额填报上一年度数据，无上一年度数据的新成立企业可不填报。</w:t>
      </w:r>
    </w:p>
    <w:p w14:paraId="1DC78375">
      <w:pPr>
        <w:widowControl w:val="0"/>
        <w:tabs>
          <w:tab w:val="left" w:pos="1305"/>
        </w:tabs>
        <w:kinsoku/>
        <w:autoSpaceDE/>
        <w:autoSpaceDN/>
        <w:adjustRightInd/>
        <w:snapToGrid/>
        <w:spacing w:line="360" w:lineRule="auto"/>
        <w:ind w:firstLine="562" w:firstLineChars="200"/>
        <w:jc w:val="both"/>
        <w:textAlignment w:val="auto"/>
        <w:rPr>
          <w:rFonts w:ascii="Times New Roman" w:hAnsi="Times New Roman" w:eastAsia="宋体" w:cs="Times New Roman"/>
          <w:b/>
          <w:bCs/>
          <w:snapToGrid/>
          <w:color w:val="auto"/>
          <w:kern w:val="2"/>
          <w:sz w:val="28"/>
          <w:szCs w:val="28"/>
          <w:highlight w:val="none"/>
          <w:lang w:eastAsia="zh-CN"/>
        </w:rPr>
      </w:pPr>
    </w:p>
    <w:p w14:paraId="0A0ADFB9">
      <w:pPr>
        <w:rPr>
          <w:rFonts w:ascii="Times New Roman" w:hAnsi="Times New Roman" w:eastAsia="宋体" w:cs="Times New Roman"/>
          <w:b/>
          <w:bCs/>
          <w:snapToGrid/>
          <w:color w:val="auto"/>
          <w:kern w:val="2"/>
          <w:sz w:val="28"/>
          <w:szCs w:val="28"/>
          <w:highlight w:val="none"/>
          <w:lang w:eastAsia="zh-CN"/>
        </w:rPr>
      </w:pPr>
      <w:r>
        <w:rPr>
          <w:rFonts w:ascii="Times New Roman" w:hAnsi="Times New Roman" w:eastAsia="宋体" w:cs="Times New Roman"/>
          <w:b/>
          <w:bCs/>
          <w:snapToGrid/>
          <w:color w:val="auto"/>
          <w:kern w:val="2"/>
          <w:sz w:val="28"/>
          <w:szCs w:val="28"/>
          <w:highlight w:val="none"/>
          <w:lang w:eastAsia="zh-CN"/>
        </w:rPr>
        <w:br w:type="page"/>
      </w:r>
    </w:p>
    <w:p w14:paraId="5E3562DE">
      <w:pPr>
        <w:widowControl w:val="0"/>
        <w:kinsoku/>
        <w:autoSpaceDE/>
        <w:autoSpaceDN/>
        <w:adjustRightInd/>
        <w:snapToGrid/>
        <w:spacing w:line="360" w:lineRule="auto"/>
        <w:ind w:firstLine="562" w:firstLineChars="200"/>
        <w:jc w:val="both"/>
        <w:textAlignment w:val="auto"/>
        <w:rPr>
          <w:rFonts w:ascii="Times New Roman" w:hAnsi="Times New Roman" w:eastAsia="宋体" w:cs="Times New Roman"/>
          <w:b/>
          <w:snapToGrid/>
          <w:color w:val="auto"/>
          <w:kern w:val="2"/>
          <w:sz w:val="28"/>
          <w:szCs w:val="28"/>
          <w:highlight w:val="none"/>
          <w:lang w:eastAsia="zh-CN"/>
        </w:rPr>
      </w:pPr>
      <w:r>
        <w:rPr>
          <w:rFonts w:hint="eastAsia" w:ascii="Times New Roman" w:hAnsi="Times New Roman" w:eastAsia="宋体" w:cs="Times New Roman"/>
          <w:b/>
          <w:snapToGrid/>
          <w:color w:val="auto"/>
          <w:kern w:val="2"/>
          <w:sz w:val="28"/>
          <w:szCs w:val="28"/>
          <w:highlight w:val="none"/>
          <w:lang w:eastAsia="zh-CN"/>
        </w:rPr>
        <w:t>9.如提供货物的供应商属于监狱企业的，应当提供由省级以上监狱管理局、戒毒管理局等（含新疆生产建设兵团）出具的属于监狱企业的证明文件, 否则不予享受优惠政策（如有，请提供）；</w:t>
      </w:r>
    </w:p>
    <w:p w14:paraId="411ED45C">
      <w:pPr>
        <w:spacing w:line="588" w:lineRule="exact"/>
        <w:jc w:val="center"/>
        <w:rPr>
          <w:rFonts w:ascii="宋体" w:hAnsi="宋体" w:cs="宋体"/>
          <w:b/>
          <w:color w:val="auto"/>
          <w:spacing w:val="6"/>
          <w:sz w:val="28"/>
          <w:szCs w:val="28"/>
          <w:highlight w:val="none"/>
          <w:lang w:eastAsia="zh-CN"/>
        </w:rPr>
      </w:pPr>
    </w:p>
    <w:p w14:paraId="56C5B4F9">
      <w:pPr>
        <w:spacing w:line="588" w:lineRule="exact"/>
        <w:jc w:val="center"/>
        <w:rPr>
          <w:rFonts w:ascii="宋体" w:cs="宋体"/>
          <w:b/>
          <w:color w:val="auto"/>
          <w:spacing w:val="6"/>
          <w:sz w:val="28"/>
          <w:szCs w:val="28"/>
          <w:highlight w:val="none"/>
          <w:lang w:eastAsia="zh-CN"/>
        </w:rPr>
      </w:pPr>
      <w:r>
        <w:rPr>
          <w:rFonts w:hint="eastAsia" w:ascii="宋体" w:hAnsi="宋体" w:cs="宋体"/>
          <w:b/>
          <w:color w:val="auto"/>
          <w:spacing w:val="6"/>
          <w:sz w:val="28"/>
          <w:szCs w:val="28"/>
          <w:highlight w:val="none"/>
          <w:lang w:eastAsia="zh-CN"/>
        </w:rPr>
        <w:t>残疾人福利性单位声明函</w:t>
      </w:r>
    </w:p>
    <w:p w14:paraId="79BC8F58">
      <w:pPr>
        <w:spacing w:line="588" w:lineRule="exact"/>
        <w:ind w:firstLine="504" w:firstLineChars="200"/>
        <w:rPr>
          <w:rFonts w:ascii="宋体" w:cs="宋体"/>
          <w:color w:val="auto"/>
          <w:spacing w:val="6"/>
          <w:sz w:val="24"/>
          <w:highlight w:val="none"/>
          <w:lang w:eastAsia="zh-CN"/>
        </w:rPr>
      </w:pPr>
      <w:r>
        <w:rPr>
          <w:rFonts w:hint="eastAsia" w:ascii="宋体" w:hAnsi="宋体" w:cs="宋体"/>
          <w:color w:val="auto"/>
          <w:spacing w:val="6"/>
          <w:sz w:val="24"/>
          <w:highlight w:val="none"/>
          <w:lang w:eastAsia="zh-CN"/>
        </w:rPr>
        <w:t>本单位郑重声明，根据《财政部</w:t>
      </w:r>
      <w:r>
        <w:rPr>
          <w:rFonts w:ascii="宋体" w:hAnsi="宋体" w:cs="宋体"/>
          <w:color w:val="auto"/>
          <w:spacing w:val="6"/>
          <w:sz w:val="24"/>
          <w:highlight w:val="none"/>
          <w:lang w:eastAsia="zh-CN"/>
        </w:rPr>
        <w:t xml:space="preserve"> </w:t>
      </w:r>
      <w:r>
        <w:rPr>
          <w:rFonts w:hint="eastAsia" w:ascii="宋体" w:hAnsi="宋体" w:cs="宋体"/>
          <w:color w:val="auto"/>
          <w:spacing w:val="6"/>
          <w:sz w:val="24"/>
          <w:highlight w:val="none"/>
          <w:lang w:eastAsia="zh-CN"/>
        </w:rPr>
        <w:t>民政部</w:t>
      </w:r>
      <w:r>
        <w:rPr>
          <w:rFonts w:ascii="宋体" w:hAnsi="宋体" w:cs="宋体"/>
          <w:color w:val="auto"/>
          <w:spacing w:val="6"/>
          <w:sz w:val="24"/>
          <w:highlight w:val="none"/>
          <w:lang w:eastAsia="zh-CN"/>
        </w:rPr>
        <w:t xml:space="preserve"> </w:t>
      </w:r>
      <w:r>
        <w:rPr>
          <w:rFonts w:hint="eastAsia" w:ascii="宋体" w:hAnsi="宋体" w:cs="宋体"/>
          <w:color w:val="auto"/>
          <w:spacing w:val="6"/>
          <w:sz w:val="24"/>
          <w:highlight w:val="none"/>
          <w:lang w:eastAsia="zh-CN"/>
        </w:rPr>
        <w:t>中国残疾人联合会关于促进残疾人就业政府采购政策的通知》（财库</w:t>
      </w:r>
      <w:r>
        <w:rPr>
          <w:rFonts w:hint="eastAsia" w:ascii="宋体" w:hAnsi="宋体" w:cs="宋体"/>
          <w:color w:val="auto"/>
          <w:sz w:val="24"/>
          <w:highlight w:val="none"/>
          <w:lang w:eastAsia="zh-CN"/>
        </w:rPr>
        <w:t>〔</w:t>
      </w:r>
      <w:r>
        <w:rPr>
          <w:rFonts w:ascii="宋体" w:hAnsi="宋体" w:cs="宋体"/>
          <w:color w:val="auto"/>
          <w:sz w:val="24"/>
          <w:highlight w:val="none"/>
          <w:lang w:eastAsia="zh-CN"/>
        </w:rPr>
        <w:t>2017</w:t>
      </w:r>
      <w:r>
        <w:rPr>
          <w:rFonts w:hint="eastAsia" w:ascii="宋体" w:hAnsi="宋体" w:cs="宋体"/>
          <w:color w:val="auto"/>
          <w:sz w:val="24"/>
          <w:highlight w:val="none"/>
          <w:lang w:eastAsia="zh-CN"/>
        </w:rPr>
        <w:t>〕</w:t>
      </w:r>
      <w:r>
        <w:rPr>
          <w:rFonts w:ascii="宋体" w:hAnsi="宋体" w:cs="宋体"/>
          <w:color w:val="auto"/>
          <w:sz w:val="24"/>
          <w:highlight w:val="none"/>
          <w:lang w:eastAsia="zh-CN"/>
        </w:rPr>
        <w:t xml:space="preserve"> 141</w:t>
      </w:r>
      <w:r>
        <w:rPr>
          <w:rFonts w:hint="eastAsia" w:ascii="宋体" w:hAnsi="宋体" w:cs="宋体"/>
          <w:color w:val="auto"/>
          <w:spacing w:val="6"/>
          <w:sz w:val="24"/>
          <w:highlight w:val="none"/>
          <w:lang w:eastAsia="zh-CN"/>
        </w:rPr>
        <w:t>号）的规定，本单位为符合条件的残疾人福利性单位，且本单位参加</w:t>
      </w:r>
      <w:r>
        <w:rPr>
          <w:rFonts w:ascii="宋体" w:hAnsi="宋体" w:cs="宋体"/>
          <w:color w:val="auto"/>
          <w:spacing w:val="6"/>
          <w:sz w:val="24"/>
          <w:highlight w:val="none"/>
          <w:lang w:eastAsia="zh-CN"/>
        </w:rPr>
        <w:t>______</w:t>
      </w:r>
      <w:r>
        <w:rPr>
          <w:rFonts w:hint="eastAsia" w:ascii="宋体" w:hAnsi="宋体" w:cs="宋体"/>
          <w:color w:val="auto"/>
          <w:spacing w:val="6"/>
          <w:sz w:val="24"/>
          <w:highlight w:val="none"/>
          <w:lang w:eastAsia="zh-CN"/>
        </w:rPr>
        <w:t>单位的</w:t>
      </w:r>
      <w:r>
        <w:rPr>
          <w:rFonts w:ascii="宋体" w:hAnsi="宋体" w:cs="宋体"/>
          <w:color w:val="auto"/>
          <w:spacing w:val="6"/>
          <w:sz w:val="24"/>
          <w:highlight w:val="none"/>
          <w:lang w:eastAsia="zh-CN"/>
        </w:rPr>
        <w:t>______</w:t>
      </w:r>
      <w:r>
        <w:rPr>
          <w:rFonts w:hint="eastAsia" w:ascii="宋体" w:hAnsi="宋体" w:cs="宋体"/>
          <w:color w:val="auto"/>
          <w:spacing w:val="6"/>
          <w:sz w:val="24"/>
          <w:highlight w:val="none"/>
          <w:lang w:eastAsia="zh-CN"/>
        </w:rPr>
        <w:t>项目采购活动提供本单位制造的货物（由本单位承担工程</w:t>
      </w:r>
      <w:r>
        <w:rPr>
          <w:rFonts w:ascii="宋体" w:hAnsi="宋体" w:cs="宋体"/>
          <w:color w:val="auto"/>
          <w:spacing w:val="6"/>
          <w:sz w:val="24"/>
          <w:highlight w:val="none"/>
          <w:lang w:eastAsia="zh-CN"/>
        </w:rPr>
        <w:t>/</w:t>
      </w:r>
      <w:r>
        <w:rPr>
          <w:rFonts w:hint="eastAsia" w:ascii="宋体" w:hAnsi="宋体" w:cs="宋体"/>
          <w:color w:val="auto"/>
          <w:spacing w:val="6"/>
          <w:sz w:val="24"/>
          <w:highlight w:val="none"/>
          <w:lang w:eastAsia="zh-CN"/>
        </w:rPr>
        <w:t>提供服务），或者提供其他残疾人福利性单位制造的货物（不包括使用非残疾人福利性单位注册商标的货物）。</w:t>
      </w:r>
    </w:p>
    <w:p w14:paraId="51D40978">
      <w:pPr>
        <w:spacing w:line="588" w:lineRule="exact"/>
        <w:ind w:firstLine="504" w:firstLineChars="200"/>
        <w:rPr>
          <w:rFonts w:ascii="宋体" w:cs="宋体"/>
          <w:color w:val="auto"/>
          <w:spacing w:val="6"/>
          <w:sz w:val="24"/>
          <w:highlight w:val="none"/>
          <w:lang w:eastAsia="zh-CN"/>
        </w:rPr>
      </w:pPr>
      <w:r>
        <w:rPr>
          <w:rFonts w:hint="eastAsia" w:ascii="宋体" w:hAnsi="宋体" w:cs="宋体"/>
          <w:color w:val="auto"/>
          <w:spacing w:val="6"/>
          <w:sz w:val="24"/>
          <w:highlight w:val="none"/>
          <w:lang w:eastAsia="zh-CN"/>
        </w:rPr>
        <w:t>本单位对上述声明的真实性负责。如有虚假，将依法承担相应责任。</w:t>
      </w:r>
    </w:p>
    <w:p w14:paraId="4E7C2D04">
      <w:pPr>
        <w:rPr>
          <w:rFonts w:ascii="宋体" w:cs="宋体"/>
          <w:color w:val="auto"/>
          <w:highlight w:val="none"/>
          <w:lang w:eastAsia="zh-CN"/>
        </w:rPr>
      </w:pPr>
    </w:p>
    <w:p w14:paraId="0CD7C5ED">
      <w:pPr>
        <w:tabs>
          <w:tab w:val="left" w:pos="4860"/>
        </w:tabs>
        <w:spacing w:line="588" w:lineRule="exact"/>
        <w:ind w:right="1560" w:firstLine="584" w:firstLineChars="200"/>
        <w:jc w:val="center"/>
        <w:rPr>
          <w:rFonts w:ascii="宋体" w:cs="宋体"/>
          <w:color w:val="auto"/>
          <w:spacing w:val="6"/>
          <w:sz w:val="24"/>
          <w:highlight w:val="none"/>
          <w:lang w:eastAsia="zh-CN"/>
        </w:rPr>
      </w:pPr>
      <w:r>
        <w:rPr>
          <w:rFonts w:ascii="宋体" w:hAnsi="宋体" w:cs="宋体"/>
          <w:color w:val="auto"/>
          <w:spacing w:val="6"/>
          <w:sz w:val="28"/>
          <w:szCs w:val="28"/>
          <w:highlight w:val="none"/>
          <w:lang w:eastAsia="zh-CN"/>
        </w:rPr>
        <w:t xml:space="preserve">          </w:t>
      </w:r>
      <w:r>
        <w:rPr>
          <w:rFonts w:ascii="宋体" w:hAnsi="宋体" w:cs="宋体"/>
          <w:color w:val="auto"/>
          <w:spacing w:val="6"/>
          <w:sz w:val="24"/>
          <w:highlight w:val="none"/>
          <w:lang w:eastAsia="zh-CN"/>
        </w:rPr>
        <w:t xml:space="preserve">  </w:t>
      </w:r>
      <w:r>
        <w:rPr>
          <w:rFonts w:hint="eastAsia" w:ascii="宋体" w:hAnsi="宋体" w:cs="宋体"/>
          <w:color w:val="auto"/>
          <w:spacing w:val="6"/>
          <w:sz w:val="24"/>
          <w:highlight w:val="none"/>
          <w:lang w:eastAsia="zh-CN"/>
        </w:rPr>
        <w:t>单位名称（公章(CA签章)）：</w:t>
      </w:r>
      <w:r>
        <w:rPr>
          <w:rFonts w:ascii="宋体" w:hAnsi="宋体" w:cs="宋体"/>
          <w:color w:val="auto"/>
          <w:spacing w:val="6"/>
          <w:sz w:val="24"/>
          <w:highlight w:val="none"/>
          <w:lang w:eastAsia="zh-CN"/>
        </w:rPr>
        <w:t xml:space="preserve"> </w:t>
      </w:r>
    </w:p>
    <w:p w14:paraId="4CD0D5E9">
      <w:pPr>
        <w:pStyle w:val="11"/>
        <w:ind w:firstLine="4032" w:firstLineChars="1600"/>
        <w:rPr>
          <w:rFonts w:hAnsi="宋体" w:cs="宋体"/>
          <w:color w:val="auto"/>
          <w:spacing w:val="6"/>
          <w:sz w:val="24"/>
          <w:szCs w:val="24"/>
          <w:highlight w:val="none"/>
          <w:lang w:eastAsia="zh-CN"/>
        </w:rPr>
      </w:pPr>
      <w:r>
        <w:rPr>
          <w:rFonts w:hint="eastAsia" w:hAnsi="宋体" w:cs="宋体"/>
          <w:color w:val="auto"/>
          <w:spacing w:val="6"/>
          <w:sz w:val="24"/>
          <w:szCs w:val="24"/>
          <w:highlight w:val="none"/>
          <w:lang w:eastAsia="zh-CN"/>
        </w:rPr>
        <w:t>日</w:t>
      </w:r>
      <w:r>
        <w:rPr>
          <w:rFonts w:hAnsi="宋体" w:cs="宋体"/>
          <w:color w:val="auto"/>
          <w:spacing w:val="6"/>
          <w:sz w:val="24"/>
          <w:szCs w:val="24"/>
          <w:highlight w:val="none"/>
          <w:lang w:eastAsia="zh-CN"/>
        </w:rPr>
        <w:t xml:space="preserve">    </w:t>
      </w:r>
      <w:r>
        <w:rPr>
          <w:rFonts w:hint="eastAsia" w:hAnsi="宋体" w:cs="宋体"/>
          <w:color w:val="auto"/>
          <w:spacing w:val="6"/>
          <w:sz w:val="24"/>
          <w:szCs w:val="24"/>
          <w:highlight w:val="none"/>
          <w:lang w:eastAsia="zh-CN"/>
        </w:rPr>
        <w:t>期：</w:t>
      </w:r>
      <w:r>
        <w:rPr>
          <w:rFonts w:hAnsi="宋体" w:cs="宋体"/>
          <w:color w:val="auto"/>
          <w:spacing w:val="6"/>
          <w:sz w:val="24"/>
          <w:szCs w:val="24"/>
          <w:highlight w:val="none"/>
          <w:lang w:eastAsia="zh-CN"/>
        </w:rPr>
        <w:t xml:space="preserve">  </w:t>
      </w:r>
      <w:r>
        <w:rPr>
          <w:rFonts w:hint="eastAsia" w:hAnsi="宋体" w:cs="宋体"/>
          <w:color w:val="auto"/>
          <w:spacing w:val="6"/>
          <w:sz w:val="24"/>
          <w:szCs w:val="24"/>
          <w:highlight w:val="none"/>
          <w:lang w:eastAsia="zh-CN"/>
        </w:rPr>
        <w:t>年</w:t>
      </w:r>
      <w:r>
        <w:rPr>
          <w:rFonts w:hAnsi="宋体" w:cs="宋体"/>
          <w:color w:val="auto"/>
          <w:spacing w:val="6"/>
          <w:sz w:val="24"/>
          <w:szCs w:val="24"/>
          <w:highlight w:val="none"/>
          <w:lang w:eastAsia="zh-CN"/>
        </w:rPr>
        <w:t xml:space="preserve">  </w:t>
      </w:r>
      <w:r>
        <w:rPr>
          <w:rFonts w:hint="eastAsia" w:hAnsi="宋体" w:cs="宋体"/>
          <w:color w:val="auto"/>
          <w:spacing w:val="6"/>
          <w:sz w:val="24"/>
          <w:szCs w:val="24"/>
          <w:highlight w:val="none"/>
          <w:lang w:eastAsia="zh-CN"/>
        </w:rPr>
        <w:t>月</w:t>
      </w:r>
      <w:r>
        <w:rPr>
          <w:rFonts w:hAnsi="宋体" w:cs="宋体"/>
          <w:color w:val="auto"/>
          <w:spacing w:val="6"/>
          <w:sz w:val="24"/>
          <w:szCs w:val="24"/>
          <w:highlight w:val="none"/>
          <w:lang w:eastAsia="zh-CN"/>
        </w:rPr>
        <w:t xml:space="preserve">  </w:t>
      </w:r>
      <w:r>
        <w:rPr>
          <w:rFonts w:hint="eastAsia" w:hAnsi="宋体" w:cs="宋体"/>
          <w:color w:val="auto"/>
          <w:spacing w:val="6"/>
          <w:sz w:val="24"/>
          <w:szCs w:val="24"/>
          <w:highlight w:val="none"/>
          <w:lang w:eastAsia="zh-CN"/>
        </w:rPr>
        <w:t>日</w:t>
      </w:r>
    </w:p>
    <w:p w14:paraId="02AB2A0F">
      <w:pPr>
        <w:rPr>
          <w:rFonts w:hAnsi="宋体" w:cs="宋体"/>
          <w:color w:val="auto"/>
          <w:spacing w:val="6"/>
          <w:sz w:val="24"/>
          <w:highlight w:val="none"/>
          <w:lang w:eastAsia="zh-CN"/>
        </w:rPr>
      </w:pPr>
    </w:p>
    <w:p w14:paraId="7B792FD4">
      <w:pPr>
        <w:pStyle w:val="8"/>
        <w:tabs>
          <w:tab w:val="left" w:pos="2299"/>
        </w:tabs>
        <w:rPr>
          <w:color w:val="auto"/>
          <w:highlight w:val="none"/>
          <w:lang w:eastAsia="zh-CN"/>
        </w:rPr>
      </w:pPr>
      <w:r>
        <w:rPr>
          <w:rFonts w:hint="eastAsia"/>
          <w:color w:val="auto"/>
          <w:highlight w:val="none"/>
          <w:lang w:eastAsia="zh-CN"/>
        </w:rPr>
        <w:tab/>
      </w:r>
    </w:p>
    <w:p w14:paraId="732CC290">
      <w:pPr>
        <w:pStyle w:val="8"/>
        <w:rPr>
          <w:color w:val="auto"/>
          <w:highlight w:val="none"/>
          <w:lang w:eastAsia="zh-CN"/>
        </w:rPr>
      </w:pPr>
    </w:p>
    <w:p w14:paraId="17310A79">
      <w:pPr>
        <w:tabs>
          <w:tab w:val="left" w:pos="1305"/>
        </w:tabs>
        <w:rPr>
          <w:rFonts w:ascii="宋体" w:hAnsi="宋体" w:cs="宋体"/>
          <w:color w:val="auto"/>
          <w:sz w:val="24"/>
          <w:highlight w:val="none"/>
          <w:lang w:eastAsia="zh-CN"/>
        </w:rPr>
      </w:pPr>
      <w:r>
        <w:rPr>
          <w:rFonts w:hint="eastAsia" w:ascii="宋体" w:hAnsi="宋体" w:cs="宋体"/>
          <w:b/>
          <w:bCs/>
          <w:color w:val="auto"/>
          <w:sz w:val="24"/>
          <w:highlight w:val="none"/>
          <w:lang w:eastAsia="zh-CN"/>
        </w:rPr>
        <w:t>注：</w:t>
      </w:r>
      <w:r>
        <w:rPr>
          <w:rFonts w:hint="eastAsia" w:ascii="宋体" w:hAnsi="宋体" w:cs="宋体"/>
          <w:b/>
          <w:color w:val="auto"/>
          <w:highlight w:val="none"/>
          <w:lang w:eastAsia="zh-CN"/>
        </w:rPr>
        <w:t>中标、成交供应商为残疾人福利性单位的，采购人或者其委托的采购代理机构应当随中标、成交结果同时公告其《残疾人福利性单位声明函》，接受社会监督</w:t>
      </w:r>
      <w:r>
        <w:rPr>
          <w:rFonts w:hint="eastAsia" w:ascii="宋体" w:hAnsi="宋体" w:cs="宋体"/>
          <w:color w:val="auto"/>
          <w:sz w:val="24"/>
          <w:highlight w:val="none"/>
          <w:lang w:eastAsia="zh-CN"/>
        </w:rPr>
        <w:t>。</w:t>
      </w:r>
    </w:p>
    <w:p w14:paraId="4F6B76AF">
      <w:pPr>
        <w:pStyle w:val="8"/>
        <w:rPr>
          <w:rFonts w:ascii="宋体" w:hAnsi="Courier New"/>
          <w:b/>
          <w:color w:val="auto"/>
          <w:sz w:val="28"/>
          <w:szCs w:val="28"/>
          <w:highlight w:val="none"/>
          <w:lang w:eastAsia="zh-CN"/>
        </w:rPr>
      </w:pPr>
    </w:p>
    <w:p w14:paraId="68B4F04A">
      <w:pPr>
        <w:pStyle w:val="8"/>
        <w:rPr>
          <w:rFonts w:ascii="宋体" w:hAnsi="Courier New"/>
          <w:b/>
          <w:color w:val="auto"/>
          <w:sz w:val="28"/>
          <w:szCs w:val="28"/>
          <w:highlight w:val="none"/>
          <w:lang w:eastAsia="zh-CN"/>
        </w:rPr>
      </w:pPr>
    </w:p>
    <w:p w14:paraId="00732320">
      <w:pPr>
        <w:widowControl w:val="0"/>
        <w:kinsoku/>
        <w:autoSpaceDE/>
        <w:autoSpaceDN/>
        <w:adjustRightInd/>
        <w:snapToGrid/>
        <w:spacing w:line="360" w:lineRule="auto"/>
        <w:ind w:firstLine="562" w:firstLineChars="200"/>
        <w:jc w:val="both"/>
        <w:textAlignment w:val="auto"/>
        <w:rPr>
          <w:rFonts w:ascii="Times New Roman" w:hAnsi="Times New Roman" w:eastAsia="宋体" w:cs="Times New Roman"/>
          <w:b/>
          <w:snapToGrid/>
          <w:color w:val="auto"/>
          <w:kern w:val="2"/>
          <w:sz w:val="28"/>
          <w:szCs w:val="28"/>
          <w:highlight w:val="none"/>
          <w:lang w:eastAsia="zh-CN"/>
        </w:rPr>
      </w:pPr>
      <w:r>
        <w:rPr>
          <w:rFonts w:hint="eastAsia" w:ascii="Times New Roman" w:hAnsi="Times New Roman" w:eastAsia="宋体" w:cs="Times New Roman"/>
          <w:b/>
          <w:snapToGrid/>
          <w:color w:val="auto"/>
          <w:kern w:val="2"/>
          <w:sz w:val="28"/>
          <w:szCs w:val="28"/>
          <w:highlight w:val="none"/>
          <w:lang w:eastAsia="zh-CN"/>
        </w:rPr>
        <w:t>10.符合条件的残疾人福利性单位在参加政府采购活动时，应当提供《残疾人福利性单位声明函》（见附件），并对声明的真实性负责；（如有，请提供）；</w:t>
      </w:r>
    </w:p>
    <w:p w14:paraId="5C1726BD">
      <w:pPr>
        <w:pStyle w:val="13"/>
        <w:rPr>
          <w:color w:val="auto"/>
          <w:highlight w:val="none"/>
          <w:lang w:eastAsia="zh-CN"/>
        </w:rPr>
      </w:pPr>
    </w:p>
    <w:p w14:paraId="7F360FA0">
      <w:pPr>
        <w:widowControl w:val="0"/>
        <w:tabs>
          <w:tab w:val="left" w:pos="1305"/>
        </w:tabs>
        <w:kinsoku/>
        <w:autoSpaceDE/>
        <w:autoSpaceDN/>
        <w:adjustRightInd/>
        <w:snapToGrid/>
        <w:spacing w:line="360" w:lineRule="auto"/>
        <w:ind w:firstLine="562" w:firstLineChars="200"/>
        <w:jc w:val="both"/>
        <w:textAlignment w:val="auto"/>
        <w:rPr>
          <w:rFonts w:ascii="Times New Roman" w:hAnsi="Times New Roman" w:eastAsia="宋体" w:cs="Times New Roman"/>
          <w:b/>
          <w:bCs/>
          <w:snapToGrid/>
          <w:color w:val="auto"/>
          <w:kern w:val="2"/>
          <w:sz w:val="28"/>
          <w:szCs w:val="28"/>
          <w:highlight w:val="none"/>
          <w:lang w:eastAsia="zh-CN"/>
        </w:rPr>
      </w:pPr>
    </w:p>
    <w:p w14:paraId="5802792A">
      <w:pPr>
        <w:spacing w:line="400" w:lineRule="exact"/>
        <w:rPr>
          <w:rFonts w:ascii="Times New Roman" w:hAnsi="Times New Roman" w:eastAsia="宋体" w:cs="Times New Roman"/>
          <w:b/>
          <w:bCs/>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br w:type="page"/>
      </w:r>
    </w:p>
    <w:p w14:paraId="71EF2CD4">
      <w:pPr>
        <w:widowControl w:val="0"/>
        <w:spacing w:line="400" w:lineRule="exact"/>
        <w:ind w:firstLine="622" w:firstLineChars="200"/>
        <w:rPr>
          <w:rFonts w:ascii="Times New Roman" w:hAnsi="Times New Roman" w:cs="Times New Roman"/>
          <w:color w:val="auto"/>
          <w:highlight w:val="none"/>
          <w:lang w:eastAsia="zh-CN"/>
        </w:rPr>
      </w:pPr>
      <w:r>
        <w:rPr>
          <w:rFonts w:ascii="Times New Roman" w:hAnsi="Times New Roman" w:eastAsia="宋体" w:cs="Times New Roman"/>
          <w:b/>
          <w:bCs/>
          <w:color w:val="auto"/>
          <w:sz w:val="31"/>
          <w:szCs w:val="31"/>
          <w:highlight w:val="none"/>
          <w:lang w:eastAsia="zh-CN"/>
        </w:rPr>
        <w:t>（二）符合性响应证明材料目录</w:t>
      </w:r>
    </w:p>
    <w:p w14:paraId="7F97A26B">
      <w:pPr>
        <w:pStyle w:val="8"/>
        <w:widowControl w:val="0"/>
        <w:spacing w:line="400" w:lineRule="exact"/>
        <w:ind w:firstLine="420" w:firstLineChars="200"/>
        <w:rPr>
          <w:rFonts w:ascii="Times New Roman" w:hAnsi="Times New Roman" w:cs="Times New Roman"/>
          <w:color w:val="auto"/>
          <w:highlight w:val="none"/>
          <w:lang w:eastAsia="zh-CN"/>
        </w:rPr>
      </w:pPr>
    </w:p>
    <w:p w14:paraId="773EE82A">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1.响应函</w:t>
      </w:r>
      <w:r>
        <w:rPr>
          <w:rFonts w:ascii="Times New Roman" w:hAnsi="Times New Roman" w:eastAsia="宋体" w:cs="Times New Roman"/>
          <w:b/>
          <w:bCs/>
          <w:color w:val="auto"/>
          <w:highlight w:val="none"/>
          <w:lang w:eastAsia="zh-CN"/>
        </w:rPr>
        <w:t>（必须提供）；</w:t>
      </w:r>
    </w:p>
    <w:p w14:paraId="435D98DB">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2.谈判报价表</w:t>
      </w:r>
      <w:r>
        <w:rPr>
          <w:rFonts w:ascii="Times New Roman" w:hAnsi="Times New Roman" w:eastAsia="宋体" w:cs="Times New Roman"/>
          <w:b/>
          <w:bCs/>
          <w:color w:val="auto"/>
          <w:highlight w:val="none"/>
          <w:lang w:eastAsia="zh-CN"/>
        </w:rPr>
        <w:t>（必须提供）；</w:t>
      </w:r>
    </w:p>
    <w:p w14:paraId="78BDDE4D">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3.技术规格偏离表</w:t>
      </w:r>
      <w:r>
        <w:rPr>
          <w:rFonts w:ascii="Times New Roman" w:hAnsi="Times New Roman" w:eastAsia="宋体" w:cs="Times New Roman"/>
          <w:b/>
          <w:bCs/>
          <w:color w:val="auto"/>
          <w:highlight w:val="none"/>
          <w:lang w:eastAsia="zh-CN"/>
        </w:rPr>
        <w:t>（必须提供）；</w:t>
      </w:r>
    </w:p>
    <w:p w14:paraId="27061A86">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4.</w:t>
      </w:r>
      <w:r>
        <w:rPr>
          <w:rFonts w:hint="eastAsia" w:ascii="Times New Roman" w:hAnsi="Times New Roman" w:eastAsia="宋体" w:cs="Times New Roman"/>
          <w:color w:val="auto"/>
          <w:highlight w:val="none"/>
          <w:lang w:eastAsia="zh-CN"/>
        </w:rPr>
        <w:t>商务要求响应表</w:t>
      </w:r>
      <w:r>
        <w:rPr>
          <w:rFonts w:ascii="Times New Roman" w:hAnsi="Times New Roman" w:eastAsia="宋体" w:cs="Times New Roman"/>
          <w:b/>
          <w:bCs/>
          <w:color w:val="auto"/>
          <w:highlight w:val="none"/>
          <w:lang w:eastAsia="zh-CN"/>
        </w:rPr>
        <w:t>（必须提供）；</w:t>
      </w:r>
    </w:p>
    <w:p w14:paraId="3034458C">
      <w:pPr>
        <w:widowControl w:val="0"/>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5.售后服务承诺书</w:t>
      </w:r>
      <w:r>
        <w:rPr>
          <w:rFonts w:ascii="Times New Roman" w:hAnsi="Times New Roman" w:eastAsia="宋体" w:cs="Times New Roman"/>
          <w:b/>
          <w:bCs/>
          <w:color w:val="auto"/>
          <w:highlight w:val="none"/>
          <w:lang w:eastAsia="zh-CN"/>
        </w:rPr>
        <w:t>（必须提供）；</w:t>
      </w:r>
    </w:p>
    <w:p w14:paraId="605CCE8B">
      <w:pPr>
        <w:pStyle w:val="3"/>
        <w:spacing w:line="400" w:lineRule="exact"/>
        <w:ind w:firstLine="420" w:firstLineChars="200"/>
        <w:rPr>
          <w:rFonts w:ascii="Times New Roman" w:hAnsi="Times New Roman"/>
          <w:b w:val="0"/>
          <w:color w:val="auto"/>
          <w:kern w:val="0"/>
          <w:sz w:val="21"/>
          <w:szCs w:val="21"/>
          <w:highlight w:val="none"/>
        </w:rPr>
      </w:pPr>
      <w:r>
        <w:rPr>
          <w:rFonts w:ascii="Times New Roman" w:hAnsi="Times New Roman"/>
          <w:b w:val="0"/>
          <w:color w:val="auto"/>
          <w:kern w:val="0"/>
          <w:sz w:val="21"/>
          <w:szCs w:val="21"/>
          <w:highlight w:val="none"/>
        </w:rPr>
        <w:t>6.“采购需求”需提供的有效证明文件</w:t>
      </w:r>
      <w:r>
        <w:rPr>
          <w:rFonts w:ascii="Times New Roman" w:hAnsi="Times New Roman"/>
          <w:bCs/>
          <w:color w:val="auto"/>
          <w:kern w:val="0"/>
          <w:sz w:val="21"/>
          <w:szCs w:val="21"/>
          <w:highlight w:val="none"/>
        </w:rPr>
        <w:t>（按采购需求要求提供）。</w:t>
      </w:r>
    </w:p>
    <w:p w14:paraId="636C9DA9">
      <w:pPr>
        <w:widowControl w:val="0"/>
        <w:spacing w:line="400" w:lineRule="exact"/>
        <w:ind w:firstLine="422" w:firstLineChars="200"/>
        <w:rPr>
          <w:rFonts w:ascii="Times New Roman" w:hAnsi="Times New Roman" w:eastAsia="宋体" w:cs="Times New Roman"/>
          <w:b/>
          <w:bCs/>
          <w:color w:val="auto"/>
          <w:highlight w:val="none"/>
          <w:lang w:eastAsia="zh-CN"/>
        </w:rPr>
      </w:pPr>
    </w:p>
    <w:p w14:paraId="337440F9">
      <w:pPr>
        <w:widowControl w:val="0"/>
        <w:spacing w:line="400" w:lineRule="exact"/>
        <w:ind w:firstLine="402" w:firstLineChars="200"/>
        <w:rPr>
          <w:rFonts w:ascii="Times New Roman" w:hAnsi="Times New Roman" w:eastAsia="宋体" w:cs="Times New Roman"/>
          <w:b/>
          <w:bCs/>
          <w:color w:val="auto"/>
          <w:sz w:val="20"/>
          <w:szCs w:val="20"/>
          <w:highlight w:val="none"/>
          <w:lang w:eastAsia="zh-CN"/>
        </w:rPr>
        <w:sectPr>
          <w:footerReference r:id="rId15" w:type="default"/>
          <w:pgSz w:w="11906" w:h="16839"/>
          <w:pgMar w:top="1247" w:right="1247" w:bottom="1247" w:left="1247" w:header="0" w:footer="822" w:gutter="0"/>
          <w:cols w:space="0" w:num="1"/>
        </w:sectPr>
      </w:pPr>
    </w:p>
    <w:p w14:paraId="06DDC172">
      <w:pPr>
        <w:widowControl w:val="0"/>
        <w:spacing w:line="400" w:lineRule="exact"/>
        <w:rPr>
          <w:rFonts w:ascii="Times New Roman" w:hAnsi="Times New Roman" w:eastAsia="宋体" w:cs="Times New Roman"/>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1.响应函（必须提供）</w:t>
      </w:r>
    </w:p>
    <w:p w14:paraId="0452E5D2">
      <w:pPr>
        <w:widowControl w:val="0"/>
        <w:spacing w:line="400" w:lineRule="exact"/>
        <w:ind w:firstLine="622" w:firstLineChars="200"/>
        <w:jc w:val="center"/>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响</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应</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函</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（格</w:t>
      </w:r>
      <w:r>
        <w:rPr>
          <w:rFonts w:ascii="Times New Roman" w:hAnsi="Times New Roman" w:eastAsia="宋体" w:cs="Times New Roman"/>
          <w:color w:val="auto"/>
          <w:sz w:val="31"/>
          <w:szCs w:val="31"/>
          <w:highlight w:val="none"/>
          <w:lang w:eastAsia="zh-CN"/>
        </w:rPr>
        <w:t xml:space="preserve"> </w:t>
      </w:r>
      <w:r>
        <w:rPr>
          <w:rFonts w:ascii="Times New Roman" w:hAnsi="Times New Roman" w:eastAsia="宋体" w:cs="Times New Roman"/>
          <w:b/>
          <w:bCs/>
          <w:color w:val="auto"/>
          <w:sz w:val="31"/>
          <w:szCs w:val="31"/>
          <w:highlight w:val="none"/>
          <w:lang w:eastAsia="zh-CN"/>
        </w:rPr>
        <w:t>式）</w:t>
      </w:r>
    </w:p>
    <w:p w14:paraId="7B474DA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致：</w:t>
      </w:r>
      <w:r>
        <w:rPr>
          <w:rFonts w:hint="eastAsia" w:ascii="Times New Roman" w:hAnsi="Times New Roman" w:eastAsia="宋体" w:cs="Times New Roman"/>
          <w:color w:val="auto"/>
          <w:highlight w:val="none"/>
          <w:u w:val="single"/>
          <w:lang w:eastAsia="zh-CN"/>
        </w:rPr>
        <w:t>广西邕政采购代理有限公司</w:t>
      </w:r>
    </w:p>
    <w:p w14:paraId="7979F6FF">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 xml:space="preserve">根据贵方项目谈判文件，项目编号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，签字代表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（姓名）经正式授 权并代表供应商</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供应商单位名称），提交响应文件。</w:t>
      </w:r>
    </w:p>
    <w:p w14:paraId="570588D9">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据此函，签字代表宣布同意如下：</w:t>
      </w:r>
    </w:p>
    <w:p w14:paraId="0A5FE28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1.按谈判文件采购需求和谈判报价表：</w:t>
      </w:r>
    </w:p>
    <w:p w14:paraId="1B82D60D">
      <w:pPr>
        <w:widowControl w:val="0"/>
        <w:spacing w:line="400" w:lineRule="exact"/>
        <w:ind w:firstLine="422" w:firstLineChars="200"/>
        <w:rPr>
          <w:rFonts w:ascii="Times New Roman" w:hAnsi="Times New Roman" w:eastAsia="宋体" w:cs="Times New Roman"/>
          <w:color w:val="auto"/>
          <w:highlight w:val="none"/>
          <w:lang w:eastAsia="zh-CN"/>
        </w:rPr>
      </w:pPr>
      <w:r>
        <w:rPr>
          <w:rFonts w:ascii="Times New Roman" w:hAnsi="Times New Roman" w:eastAsia="宋体" w:cs="Times New Roman"/>
          <w:b/>
          <w:bCs/>
          <w:color w:val="auto"/>
          <w:highlight w:val="none"/>
          <w:lang w:eastAsia="zh-CN"/>
        </w:rPr>
        <w:t>谈判报价（大写）</w:t>
      </w:r>
      <w:r>
        <w:rPr>
          <w:rFonts w:ascii="Times New Roman" w:hAnsi="Times New Roman" w:eastAsia="宋体" w:cs="Times New Roman"/>
          <w:color w:val="auto"/>
          <w:highlight w:val="none"/>
          <w:u w:val="single"/>
          <w:lang w:eastAsia="zh-CN"/>
        </w:rPr>
        <w:t xml:space="preserve">    </w:t>
      </w:r>
      <w:r>
        <w:rPr>
          <w:rFonts w:hint="eastAsia" w:ascii="Times New Roman" w:hAnsi="Times New Roman" w:eastAsia="宋体" w:cs="Times New Roman"/>
          <w:color w:val="auto"/>
          <w:highlight w:val="none"/>
          <w:u w:val="single"/>
          <w:lang w:val="en-US" w:eastAsia="zh-CN"/>
        </w:rPr>
        <w:t xml:space="preserve">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元人民币(¥</w:t>
      </w:r>
      <w:r>
        <w:rPr>
          <w:rFonts w:ascii="Times New Roman" w:hAnsi="Times New Roman" w:eastAsia="宋体" w:cs="Times New Roman"/>
          <w:color w:val="auto"/>
          <w:highlight w:val="none"/>
          <w:u w:val="single"/>
          <w:lang w:eastAsia="zh-CN"/>
        </w:rPr>
        <w:t xml:space="preserve">      </w:t>
      </w:r>
      <w:r>
        <w:rPr>
          <w:rFonts w:hint="eastAsia" w:ascii="Times New Roman" w:hAnsi="Times New Roman" w:eastAsia="宋体" w:cs="Times New Roman"/>
          <w:color w:val="auto"/>
          <w:highlight w:val="none"/>
          <w:u w:val="single"/>
          <w:lang w:val="en-US" w:eastAsia="zh-CN"/>
        </w:rPr>
        <w:t xml:space="preserve">                      </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w:t>
      </w:r>
    </w:p>
    <w:p w14:paraId="055A654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2.我方承诺已具备谈判文件规定的供应商资格条件。</w:t>
      </w:r>
    </w:p>
    <w:p w14:paraId="77EB086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3.我方已详细审核谈判文件，包括修改文件（如有的话）和有关附件，将自行承担因对全部谈 判文件理解不正确或误解而产生的相应后果。</w:t>
      </w:r>
    </w:p>
    <w:p w14:paraId="0EADAA6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4.响应文件有效期为自响应文件提交截止时间之日起 90 天。</w:t>
      </w:r>
    </w:p>
    <w:p w14:paraId="376E6B8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5.如我方成交：</w:t>
      </w:r>
    </w:p>
    <w:p w14:paraId="221F4860">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（1）我方承诺在收到成交通知书后，在成交通知书规定的期限内与采购人签订合同。</w:t>
      </w:r>
    </w:p>
    <w:p w14:paraId="25283ECD">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（2）我方承诺按照谈判文件规定提交履约担保。</w:t>
      </w:r>
    </w:p>
    <w:p w14:paraId="13FE139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（3）我方承诺本响应文件至本项目合同履行完毕止均保持有效，按谈判文件及政府采购法律、 法规的规定履行合同责任和义务。</w:t>
      </w:r>
    </w:p>
    <w:p w14:paraId="15426EE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与本响应有关的正式通讯地址为：</w:t>
      </w:r>
    </w:p>
    <w:p w14:paraId="30A4A493">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地址：</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邮编：</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邮箱：</w:t>
      </w:r>
    </w:p>
    <w:p w14:paraId="374A786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办公电话：</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 xml:space="preserve"> 传真：</w:t>
      </w:r>
      <w:r>
        <w:rPr>
          <w:rFonts w:ascii="Times New Roman" w:hAnsi="Times New Roman" w:eastAsia="宋体" w:cs="Times New Roman"/>
          <w:color w:val="auto"/>
          <w:highlight w:val="none"/>
          <w:u w:val="single"/>
          <w:lang w:eastAsia="zh-CN"/>
        </w:rPr>
        <w:t xml:space="preserve">                                  </w:t>
      </w:r>
    </w:p>
    <w:p w14:paraId="3EF957C4">
      <w:pPr>
        <w:widowControl w:val="0"/>
        <w:spacing w:line="400" w:lineRule="exact"/>
        <w:ind w:firstLine="420" w:firstLineChars="200"/>
        <w:rPr>
          <w:rFonts w:ascii="Times New Roman" w:hAnsi="Times New Roman" w:eastAsia="宋体" w:cs="Times New Roman"/>
          <w:color w:val="auto"/>
          <w:highlight w:val="none"/>
          <w:u w:val="single"/>
          <w:lang w:eastAsia="zh-CN"/>
        </w:rPr>
      </w:pPr>
      <w:r>
        <w:rPr>
          <w:rFonts w:ascii="Times New Roman" w:hAnsi="Times New Roman" w:eastAsia="宋体" w:cs="Times New Roman"/>
          <w:color w:val="auto"/>
          <w:highlight w:val="none"/>
          <w:lang w:eastAsia="zh-CN"/>
        </w:rPr>
        <w:t>委托代理人联系电话：</w:t>
      </w:r>
      <w:r>
        <w:rPr>
          <w:rFonts w:ascii="Times New Roman" w:hAnsi="Times New Roman" w:eastAsia="宋体" w:cs="Times New Roman"/>
          <w:color w:val="auto"/>
          <w:highlight w:val="none"/>
          <w:u w:val="single"/>
          <w:lang w:eastAsia="zh-CN"/>
        </w:rPr>
        <w:t xml:space="preserve">                                  </w:t>
      </w:r>
    </w:p>
    <w:p w14:paraId="7EA8BFF5">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开户名称：</w:t>
      </w:r>
      <w:r>
        <w:rPr>
          <w:rFonts w:ascii="Times New Roman" w:hAnsi="Times New Roman" w:eastAsia="宋体" w:cs="Times New Roman"/>
          <w:color w:val="auto"/>
          <w:highlight w:val="none"/>
          <w:u w:val="single"/>
          <w:lang w:eastAsia="zh-CN"/>
        </w:rPr>
        <w:t xml:space="preserve">                                  </w:t>
      </w:r>
    </w:p>
    <w:p w14:paraId="2AD91E54">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开户银行：</w:t>
      </w:r>
      <w:r>
        <w:rPr>
          <w:rFonts w:ascii="Times New Roman" w:hAnsi="Times New Roman" w:eastAsia="宋体" w:cs="Times New Roman"/>
          <w:color w:val="auto"/>
          <w:highlight w:val="none"/>
          <w:u w:val="single"/>
          <w:lang w:eastAsia="zh-CN"/>
        </w:rPr>
        <w:t xml:space="preserve">                                   </w:t>
      </w:r>
      <w:r>
        <w:rPr>
          <w:rFonts w:ascii="Times New Roman" w:hAnsi="Times New Roman" w:eastAsia="宋体" w:cs="Times New Roman"/>
          <w:color w:val="auto"/>
          <w:highlight w:val="none"/>
          <w:lang w:eastAsia="zh-CN"/>
        </w:rPr>
        <w:t>账号：</w:t>
      </w:r>
      <w:r>
        <w:rPr>
          <w:rFonts w:ascii="Times New Roman" w:hAnsi="Times New Roman" w:eastAsia="宋体" w:cs="Times New Roman"/>
          <w:color w:val="auto"/>
          <w:highlight w:val="none"/>
          <w:u w:val="single"/>
          <w:lang w:eastAsia="zh-CN"/>
        </w:rPr>
        <w:t xml:space="preserve">                                          </w:t>
      </w:r>
    </w:p>
    <w:p w14:paraId="666D4DF6">
      <w:pPr>
        <w:pStyle w:val="8"/>
        <w:widowControl w:val="0"/>
        <w:spacing w:line="400" w:lineRule="exact"/>
        <w:ind w:firstLine="420" w:firstLineChars="200"/>
        <w:rPr>
          <w:rFonts w:ascii="Times New Roman" w:hAnsi="Times New Roman" w:cs="Times New Roman"/>
          <w:color w:val="auto"/>
          <w:highlight w:val="none"/>
          <w:lang w:eastAsia="zh-CN"/>
        </w:rPr>
      </w:pPr>
    </w:p>
    <w:p w14:paraId="0A54C138">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供应商（CA 证书签章）：</w:t>
      </w:r>
    </w:p>
    <w:p w14:paraId="70853591">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法定代表人(负责人、 自然人)或相应的委托代理人签字（或个人 CA 证书签章）：</w:t>
      </w:r>
    </w:p>
    <w:p w14:paraId="4164ECAB">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响应日期：</w:t>
      </w:r>
    </w:p>
    <w:p w14:paraId="57D832AA">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p>
    <w:p w14:paraId="1C1C75BB">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注：1.未按照本响应函（格式）要求填报的应函将被视为非实质性响应竞争性谈判文件要求， 从而导致该响应被拒绝。</w:t>
      </w:r>
    </w:p>
    <w:p w14:paraId="0ADD55D6">
      <w:pPr>
        <w:widowControl w:val="0"/>
        <w:spacing w:line="400" w:lineRule="exact"/>
        <w:ind w:firstLine="400"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color w:val="auto"/>
          <w:sz w:val="20"/>
          <w:szCs w:val="20"/>
          <w:highlight w:val="none"/>
          <w:lang w:eastAsia="zh-CN"/>
        </w:rPr>
        <w:t>2.供应商必须按本响应函（格式）要求注明清楚联系方式（包括地址、邮编、邮箱、 电 话等），从而确保成交结果等相关信息能及时通知到位。</w:t>
      </w:r>
    </w:p>
    <w:p w14:paraId="6832B07B">
      <w:pPr>
        <w:widowControl w:val="0"/>
        <w:spacing w:line="400" w:lineRule="exact"/>
        <w:ind w:firstLine="40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sz w:val="20"/>
          <w:szCs w:val="20"/>
          <w:highlight w:val="none"/>
          <w:lang w:eastAsia="zh-CN"/>
        </w:rPr>
        <w:t>3.响应函须由法定代表人(负责人、自然人)或相应的委托代理人签字（或个人 CA 证书签 章）并加盖供应商公章（CA 证书签章）</w:t>
      </w:r>
      <w:r>
        <w:rPr>
          <w:rFonts w:ascii="Times New Roman" w:hAnsi="Times New Roman" w:eastAsia="宋体" w:cs="Times New Roman"/>
          <w:color w:val="auto"/>
          <w:highlight w:val="none"/>
          <w:lang w:eastAsia="zh-CN"/>
        </w:rPr>
        <w:t>。</w:t>
      </w:r>
    </w:p>
    <w:p w14:paraId="7BA9524B">
      <w:pPr>
        <w:widowControl w:val="0"/>
        <w:spacing w:line="400" w:lineRule="exact"/>
        <w:rPr>
          <w:rFonts w:ascii="Times New Roman" w:hAnsi="Times New Roman" w:eastAsia="宋体" w:cs="Times New Roman"/>
          <w:b/>
          <w:bCs/>
          <w:color w:val="auto"/>
          <w:sz w:val="28"/>
          <w:szCs w:val="28"/>
          <w:highlight w:val="none"/>
          <w:lang w:eastAsia="zh-CN"/>
        </w:rPr>
      </w:pPr>
    </w:p>
    <w:p w14:paraId="29C711DD">
      <w:pPr>
        <w:widowControl w:val="0"/>
        <w:spacing w:line="400" w:lineRule="exact"/>
        <w:rPr>
          <w:rFonts w:ascii="Times New Roman" w:hAnsi="Times New Roman" w:cs="Times New Roman"/>
          <w:color w:val="auto"/>
          <w:highlight w:val="none"/>
          <w:lang w:eastAsia="zh-CN"/>
        </w:rPr>
      </w:pPr>
      <w:r>
        <w:rPr>
          <w:rFonts w:ascii="Times New Roman" w:hAnsi="Times New Roman" w:eastAsia="宋体" w:cs="Times New Roman"/>
          <w:b/>
          <w:bCs/>
          <w:color w:val="auto"/>
          <w:sz w:val="28"/>
          <w:szCs w:val="28"/>
          <w:highlight w:val="none"/>
          <w:lang w:eastAsia="zh-CN"/>
        </w:rPr>
        <w:t>2.谈判报价表（必须提供）</w:t>
      </w:r>
    </w:p>
    <w:p w14:paraId="5505269F">
      <w:pPr>
        <w:widowControl w:val="0"/>
        <w:spacing w:line="400" w:lineRule="exact"/>
        <w:ind w:firstLine="602" w:firstLineChars="200"/>
        <w:rPr>
          <w:rFonts w:ascii="Times New Roman" w:hAnsi="Times New Roman" w:eastAsia="宋体" w:cs="Times New Roman"/>
          <w:color w:val="auto"/>
          <w:sz w:val="30"/>
          <w:szCs w:val="30"/>
          <w:highlight w:val="none"/>
          <w:lang w:eastAsia="zh-CN"/>
        </w:rPr>
      </w:pPr>
      <w:r>
        <w:rPr>
          <w:rFonts w:ascii="Times New Roman" w:hAnsi="Times New Roman" w:eastAsia="宋体" w:cs="Times New Roman"/>
          <w:b/>
          <w:bCs/>
          <w:color w:val="auto"/>
          <w:sz w:val="30"/>
          <w:szCs w:val="30"/>
          <w:highlight w:val="none"/>
          <w:lang w:eastAsia="zh-CN"/>
        </w:rPr>
        <w:t>附件：</w:t>
      </w:r>
    </w:p>
    <w:p w14:paraId="41A78BB6">
      <w:pPr>
        <w:widowControl w:val="0"/>
        <w:spacing w:line="400" w:lineRule="exact"/>
        <w:ind w:firstLine="622" w:firstLineChars="200"/>
        <w:jc w:val="center"/>
        <w:rPr>
          <w:rFonts w:ascii="Times New Roman" w:hAnsi="Times New Roman" w:eastAsia="宋体" w:cs="Times New Roman"/>
          <w:color w:val="auto"/>
          <w:sz w:val="31"/>
          <w:szCs w:val="31"/>
          <w:highlight w:val="none"/>
          <w:lang w:eastAsia="zh-CN"/>
        </w:rPr>
      </w:pPr>
      <w:r>
        <w:rPr>
          <w:rFonts w:hint="eastAsia" w:ascii="Times New Roman" w:hAnsi="Times New Roman" w:eastAsia="宋体" w:cs="Times New Roman"/>
          <w:b/>
          <w:bCs/>
          <w:color w:val="auto"/>
          <w:sz w:val="31"/>
          <w:szCs w:val="31"/>
          <w:highlight w:val="none"/>
          <w:u w:val="single"/>
          <w:lang w:val="en-US" w:eastAsia="zh-CN"/>
        </w:rPr>
        <w:t xml:space="preserve">       </w:t>
      </w:r>
      <w:r>
        <w:rPr>
          <w:rFonts w:hint="eastAsia" w:ascii="Times New Roman" w:hAnsi="Times New Roman" w:eastAsia="宋体" w:cs="Times New Roman"/>
          <w:b/>
          <w:bCs/>
          <w:color w:val="auto"/>
          <w:sz w:val="31"/>
          <w:szCs w:val="31"/>
          <w:highlight w:val="none"/>
          <w:u w:val="none"/>
          <w:lang w:val="en-US" w:eastAsia="zh-CN"/>
        </w:rPr>
        <w:t>分标</w:t>
      </w:r>
      <w:r>
        <w:rPr>
          <w:rFonts w:ascii="Times New Roman" w:hAnsi="Times New Roman" w:eastAsia="宋体" w:cs="Times New Roman"/>
          <w:b/>
          <w:bCs/>
          <w:color w:val="auto"/>
          <w:sz w:val="31"/>
          <w:szCs w:val="31"/>
          <w:highlight w:val="none"/>
          <w:lang w:eastAsia="zh-CN"/>
        </w:rPr>
        <w:t>谈判报价表（格式）</w:t>
      </w:r>
    </w:p>
    <w:tbl>
      <w:tblPr>
        <w:tblStyle w:val="22"/>
        <w:tblW w:w="499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3"/>
        <w:gridCol w:w="896"/>
        <w:gridCol w:w="900"/>
        <w:gridCol w:w="661"/>
        <w:gridCol w:w="904"/>
        <w:gridCol w:w="661"/>
        <w:gridCol w:w="661"/>
        <w:gridCol w:w="1308"/>
        <w:gridCol w:w="2624"/>
        <w:gridCol w:w="1067"/>
      </w:tblGrid>
      <w:tr w14:paraId="4280A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53A798D0">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项号</w:t>
            </w:r>
          </w:p>
        </w:tc>
        <w:tc>
          <w:tcPr>
            <w:tcW w:w="431" w:type="pct"/>
            <w:tcBorders>
              <w:top w:val="single" w:color="auto" w:sz="4" w:space="0"/>
              <w:left w:val="single" w:color="auto" w:sz="4" w:space="0"/>
              <w:bottom w:val="single" w:color="auto" w:sz="4" w:space="0"/>
              <w:right w:val="single" w:color="auto" w:sz="4" w:space="0"/>
            </w:tcBorders>
            <w:vAlign w:val="center"/>
          </w:tcPr>
          <w:p w14:paraId="5F9E3947">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货物名称</w:t>
            </w:r>
          </w:p>
        </w:tc>
        <w:tc>
          <w:tcPr>
            <w:tcW w:w="433" w:type="pct"/>
            <w:tcBorders>
              <w:top w:val="single" w:color="auto" w:sz="4" w:space="0"/>
              <w:left w:val="single" w:color="auto" w:sz="4" w:space="0"/>
              <w:bottom w:val="single" w:color="auto" w:sz="4" w:space="0"/>
              <w:right w:val="single" w:color="auto" w:sz="4" w:space="0"/>
            </w:tcBorders>
            <w:vAlign w:val="center"/>
          </w:tcPr>
          <w:p w14:paraId="54085134">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生产厂家</w:t>
            </w:r>
          </w:p>
        </w:tc>
        <w:tc>
          <w:tcPr>
            <w:tcW w:w="318" w:type="pct"/>
            <w:tcBorders>
              <w:top w:val="single" w:color="auto" w:sz="4" w:space="0"/>
              <w:left w:val="single" w:color="auto" w:sz="4" w:space="0"/>
              <w:bottom w:val="single" w:color="auto" w:sz="4" w:space="0"/>
              <w:right w:val="single" w:color="auto" w:sz="4" w:space="0"/>
            </w:tcBorders>
            <w:vAlign w:val="center"/>
          </w:tcPr>
          <w:p w14:paraId="5E200DC2">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品牌</w:t>
            </w:r>
          </w:p>
        </w:tc>
        <w:tc>
          <w:tcPr>
            <w:tcW w:w="435" w:type="pct"/>
            <w:tcBorders>
              <w:top w:val="single" w:color="auto" w:sz="4" w:space="0"/>
              <w:left w:val="single" w:color="auto" w:sz="4" w:space="0"/>
              <w:bottom w:val="single" w:color="auto" w:sz="4" w:space="0"/>
              <w:right w:val="single" w:color="auto" w:sz="4" w:space="0"/>
            </w:tcBorders>
            <w:vAlign w:val="center"/>
          </w:tcPr>
          <w:p w14:paraId="0EBCAB77">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规格型号</w:t>
            </w:r>
          </w:p>
        </w:tc>
        <w:tc>
          <w:tcPr>
            <w:tcW w:w="318" w:type="pct"/>
            <w:tcBorders>
              <w:top w:val="single" w:color="auto" w:sz="4" w:space="0"/>
              <w:left w:val="single" w:color="auto" w:sz="4" w:space="0"/>
              <w:bottom w:val="single" w:color="auto" w:sz="4" w:space="0"/>
              <w:right w:val="single" w:color="auto" w:sz="4" w:space="0"/>
            </w:tcBorders>
            <w:vAlign w:val="center"/>
          </w:tcPr>
          <w:p w14:paraId="770A9B7D">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数量</w:t>
            </w:r>
          </w:p>
          <w:p w14:paraId="6CFC1181">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①</w:t>
            </w:r>
          </w:p>
        </w:tc>
        <w:tc>
          <w:tcPr>
            <w:tcW w:w="318" w:type="pct"/>
            <w:tcBorders>
              <w:top w:val="single" w:color="auto" w:sz="4" w:space="0"/>
              <w:left w:val="single" w:color="auto" w:sz="4" w:space="0"/>
              <w:bottom w:val="single" w:color="auto" w:sz="4" w:space="0"/>
              <w:right w:val="single" w:color="auto" w:sz="4" w:space="0"/>
            </w:tcBorders>
            <w:vAlign w:val="center"/>
          </w:tcPr>
          <w:p w14:paraId="1D386EE3">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单位</w:t>
            </w:r>
          </w:p>
        </w:tc>
        <w:tc>
          <w:tcPr>
            <w:tcW w:w="629" w:type="pct"/>
            <w:tcBorders>
              <w:top w:val="single" w:color="auto" w:sz="4" w:space="0"/>
              <w:left w:val="single" w:color="auto" w:sz="4" w:space="0"/>
              <w:bottom w:val="single" w:color="auto" w:sz="4" w:space="0"/>
              <w:right w:val="single" w:color="auto" w:sz="4" w:space="0"/>
            </w:tcBorders>
            <w:vAlign w:val="center"/>
          </w:tcPr>
          <w:p w14:paraId="1902B908">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单价（元）</w:t>
            </w:r>
          </w:p>
          <w:p w14:paraId="18813516">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②</w:t>
            </w:r>
          </w:p>
        </w:tc>
        <w:tc>
          <w:tcPr>
            <w:tcW w:w="1262" w:type="pct"/>
            <w:tcBorders>
              <w:top w:val="single" w:color="auto" w:sz="4" w:space="0"/>
              <w:left w:val="single" w:color="auto" w:sz="4" w:space="0"/>
              <w:bottom w:val="single" w:color="auto" w:sz="4" w:space="0"/>
            </w:tcBorders>
            <w:vAlign w:val="center"/>
          </w:tcPr>
          <w:p w14:paraId="2FDE43EA">
            <w:pPr>
              <w:spacing w:line="400" w:lineRule="exact"/>
              <w:jc w:val="cente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单项合计=数量×单价</w:t>
            </w:r>
          </w:p>
          <w:p w14:paraId="7CE04750">
            <w:pPr>
              <w:spacing w:line="400" w:lineRule="exact"/>
              <w:jc w:val="cente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③＝①×②</w:t>
            </w:r>
          </w:p>
        </w:tc>
        <w:tc>
          <w:tcPr>
            <w:tcW w:w="509" w:type="pct"/>
            <w:tcBorders>
              <w:top w:val="single" w:color="auto" w:sz="4" w:space="0"/>
              <w:left w:val="single" w:color="auto" w:sz="4" w:space="0"/>
              <w:bottom w:val="single" w:color="auto" w:sz="4" w:space="0"/>
            </w:tcBorders>
            <w:vAlign w:val="center"/>
          </w:tcPr>
          <w:p w14:paraId="431CCA10">
            <w:pPr>
              <w:spacing w:line="400" w:lineRule="exact"/>
              <w:jc w:val="center"/>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备注：</w:t>
            </w:r>
          </w:p>
        </w:tc>
      </w:tr>
      <w:tr w14:paraId="1FE209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5CA0CB82">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31" w:type="pct"/>
            <w:tcBorders>
              <w:top w:val="single" w:color="auto" w:sz="4" w:space="0"/>
              <w:left w:val="single" w:color="auto" w:sz="4" w:space="0"/>
              <w:bottom w:val="single" w:color="auto" w:sz="4" w:space="0"/>
              <w:right w:val="single" w:color="auto" w:sz="4" w:space="0"/>
            </w:tcBorders>
            <w:vAlign w:val="center"/>
          </w:tcPr>
          <w:p w14:paraId="1FAC33B0">
            <w:pPr>
              <w:spacing w:line="400" w:lineRule="exact"/>
              <w:jc w:val="center"/>
              <w:rPr>
                <w:rFonts w:ascii="Times New Roman" w:hAnsi="Times New Roman" w:cs="Times New Roman"/>
                <w:color w:val="auto"/>
                <w:highlight w:val="none"/>
              </w:rPr>
            </w:pPr>
          </w:p>
        </w:tc>
        <w:tc>
          <w:tcPr>
            <w:tcW w:w="433" w:type="pct"/>
            <w:tcBorders>
              <w:top w:val="single" w:color="auto" w:sz="4" w:space="0"/>
              <w:left w:val="single" w:color="auto" w:sz="4" w:space="0"/>
              <w:bottom w:val="single" w:color="auto" w:sz="4" w:space="0"/>
              <w:right w:val="single" w:color="auto" w:sz="4" w:space="0"/>
            </w:tcBorders>
            <w:vAlign w:val="center"/>
          </w:tcPr>
          <w:p w14:paraId="2C47AB46">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54826915">
            <w:pPr>
              <w:spacing w:line="400" w:lineRule="exact"/>
              <w:jc w:val="center"/>
              <w:rPr>
                <w:rFonts w:ascii="Times New Roman" w:hAnsi="Times New Roman" w:cs="Times New Roman"/>
                <w:color w:val="auto"/>
                <w:highlight w:val="none"/>
              </w:rPr>
            </w:pPr>
          </w:p>
        </w:tc>
        <w:tc>
          <w:tcPr>
            <w:tcW w:w="435" w:type="pct"/>
            <w:tcBorders>
              <w:top w:val="single" w:color="auto" w:sz="4" w:space="0"/>
              <w:left w:val="single" w:color="auto" w:sz="4" w:space="0"/>
              <w:bottom w:val="single" w:color="auto" w:sz="4" w:space="0"/>
              <w:right w:val="single" w:color="auto" w:sz="4" w:space="0"/>
            </w:tcBorders>
            <w:vAlign w:val="center"/>
          </w:tcPr>
          <w:p w14:paraId="2A061D80">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47A68D4B">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5B874F42">
            <w:pPr>
              <w:spacing w:line="400" w:lineRule="exact"/>
              <w:jc w:val="center"/>
              <w:rPr>
                <w:rFonts w:ascii="Times New Roman" w:hAnsi="Times New Roman" w:cs="Times New Roman"/>
                <w:color w:val="auto"/>
                <w:highlight w:val="none"/>
              </w:rPr>
            </w:pPr>
          </w:p>
        </w:tc>
        <w:tc>
          <w:tcPr>
            <w:tcW w:w="629" w:type="pct"/>
            <w:tcBorders>
              <w:top w:val="single" w:color="auto" w:sz="4" w:space="0"/>
              <w:left w:val="single" w:color="auto" w:sz="4" w:space="0"/>
              <w:bottom w:val="single" w:color="auto" w:sz="4" w:space="0"/>
              <w:right w:val="single" w:color="auto" w:sz="4" w:space="0"/>
            </w:tcBorders>
            <w:vAlign w:val="center"/>
          </w:tcPr>
          <w:p w14:paraId="70F88F15">
            <w:pPr>
              <w:spacing w:line="400" w:lineRule="exact"/>
              <w:jc w:val="center"/>
              <w:rPr>
                <w:rFonts w:ascii="Times New Roman" w:hAnsi="Times New Roman" w:cs="Times New Roman"/>
                <w:b/>
                <w:bCs/>
                <w:color w:val="auto"/>
                <w:highlight w:val="none"/>
              </w:rPr>
            </w:pPr>
          </w:p>
        </w:tc>
        <w:tc>
          <w:tcPr>
            <w:tcW w:w="1262" w:type="pct"/>
            <w:tcBorders>
              <w:top w:val="single" w:color="auto" w:sz="4" w:space="0"/>
              <w:left w:val="single" w:color="auto" w:sz="4" w:space="0"/>
              <w:bottom w:val="single" w:color="auto" w:sz="4" w:space="0"/>
            </w:tcBorders>
            <w:vAlign w:val="center"/>
          </w:tcPr>
          <w:p w14:paraId="0A961F5B">
            <w:pPr>
              <w:spacing w:line="400" w:lineRule="exact"/>
              <w:jc w:val="center"/>
              <w:rPr>
                <w:rFonts w:ascii="Times New Roman" w:hAnsi="Times New Roman" w:cs="Times New Roman"/>
                <w:b/>
                <w:bCs/>
                <w:color w:val="auto"/>
                <w:highlight w:val="none"/>
              </w:rPr>
            </w:pPr>
          </w:p>
        </w:tc>
        <w:tc>
          <w:tcPr>
            <w:tcW w:w="509" w:type="pct"/>
            <w:tcBorders>
              <w:top w:val="single" w:color="auto" w:sz="4" w:space="0"/>
              <w:left w:val="single" w:color="auto" w:sz="4" w:space="0"/>
              <w:bottom w:val="single" w:color="auto" w:sz="4" w:space="0"/>
            </w:tcBorders>
            <w:vAlign w:val="center"/>
          </w:tcPr>
          <w:p w14:paraId="3C3D89F3">
            <w:pPr>
              <w:spacing w:line="400" w:lineRule="exact"/>
              <w:jc w:val="center"/>
              <w:rPr>
                <w:rFonts w:ascii="Times New Roman" w:hAnsi="Times New Roman" w:cs="Times New Roman"/>
                <w:b/>
                <w:bCs/>
                <w:color w:val="auto"/>
                <w:highlight w:val="none"/>
              </w:rPr>
            </w:pPr>
          </w:p>
        </w:tc>
      </w:tr>
      <w:tr w14:paraId="31FAD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3D8D352F">
            <w:pPr>
              <w:spacing w:line="40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431" w:type="pct"/>
            <w:tcBorders>
              <w:top w:val="single" w:color="auto" w:sz="4" w:space="0"/>
              <w:left w:val="single" w:color="auto" w:sz="4" w:space="0"/>
              <w:bottom w:val="single" w:color="auto" w:sz="4" w:space="0"/>
              <w:right w:val="single" w:color="auto" w:sz="4" w:space="0"/>
            </w:tcBorders>
            <w:vAlign w:val="center"/>
          </w:tcPr>
          <w:p w14:paraId="6D3E1919">
            <w:pPr>
              <w:spacing w:line="400" w:lineRule="exact"/>
              <w:jc w:val="center"/>
              <w:rPr>
                <w:rFonts w:ascii="Times New Roman" w:hAnsi="Times New Roman" w:cs="Times New Roman"/>
                <w:color w:val="auto"/>
                <w:highlight w:val="none"/>
              </w:rPr>
            </w:pPr>
          </w:p>
        </w:tc>
        <w:tc>
          <w:tcPr>
            <w:tcW w:w="433" w:type="pct"/>
            <w:tcBorders>
              <w:top w:val="single" w:color="auto" w:sz="4" w:space="0"/>
              <w:left w:val="single" w:color="auto" w:sz="4" w:space="0"/>
              <w:bottom w:val="single" w:color="auto" w:sz="4" w:space="0"/>
              <w:right w:val="single" w:color="auto" w:sz="4" w:space="0"/>
            </w:tcBorders>
            <w:vAlign w:val="center"/>
          </w:tcPr>
          <w:p w14:paraId="0255C9CC">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302B5860">
            <w:pPr>
              <w:spacing w:line="400" w:lineRule="exact"/>
              <w:jc w:val="center"/>
              <w:rPr>
                <w:rFonts w:ascii="Times New Roman" w:hAnsi="Times New Roman" w:cs="Times New Roman"/>
                <w:color w:val="auto"/>
                <w:highlight w:val="none"/>
              </w:rPr>
            </w:pPr>
          </w:p>
        </w:tc>
        <w:tc>
          <w:tcPr>
            <w:tcW w:w="435" w:type="pct"/>
            <w:tcBorders>
              <w:top w:val="single" w:color="auto" w:sz="4" w:space="0"/>
              <w:left w:val="single" w:color="auto" w:sz="4" w:space="0"/>
              <w:bottom w:val="single" w:color="auto" w:sz="4" w:space="0"/>
              <w:right w:val="single" w:color="auto" w:sz="4" w:space="0"/>
            </w:tcBorders>
            <w:vAlign w:val="center"/>
          </w:tcPr>
          <w:p w14:paraId="09EA1660">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74690D88">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7D38FE22">
            <w:pPr>
              <w:spacing w:line="400" w:lineRule="exact"/>
              <w:jc w:val="center"/>
              <w:rPr>
                <w:rFonts w:ascii="Times New Roman" w:hAnsi="Times New Roman" w:cs="Times New Roman"/>
                <w:color w:val="auto"/>
                <w:highlight w:val="none"/>
              </w:rPr>
            </w:pPr>
          </w:p>
        </w:tc>
        <w:tc>
          <w:tcPr>
            <w:tcW w:w="629" w:type="pct"/>
            <w:tcBorders>
              <w:top w:val="single" w:color="auto" w:sz="4" w:space="0"/>
              <w:left w:val="single" w:color="auto" w:sz="4" w:space="0"/>
              <w:bottom w:val="single" w:color="auto" w:sz="4" w:space="0"/>
              <w:right w:val="single" w:color="auto" w:sz="4" w:space="0"/>
            </w:tcBorders>
            <w:vAlign w:val="center"/>
          </w:tcPr>
          <w:p w14:paraId="0E7A5591">
            <w:pPr>
              <w:spacing w:line="400" w:lineRule="exact"/>
              <w:jc w:val="center"/>
              <w:rPr>
                <w:rFonts w:ascii="Times New Roman" w:hAnsi="Times New Roman" w:cs="Times New Roman"/>
                <w:b/>
                <w:bCs/>
                <w:color w:val="auto"/>
                <w:highlight w:val="none"/>
              </w:rPr>
            </w:pPr>
          </w:p>
        </w:tc>
        <w:tc>
          <w:tcPr>
            <w:tcW w:w="1262" w:type="pct"/>
            <w:tcBorders>
              <w:top w:val="single" w:color="auto" w:sz="4" w:space="0"/>
              <w:left w:val="single" w:color="auto" w:sz="4" w:space="0"/>
              <w:bottom w:val="single" w:color="auto" w:sz="4" w:space="0"/>
            </w:tcBorders>
            <w:vAlign w:val="center"/>
          </w:tcPr>
          <w:p w14:paraId="06314EDB">
            <w:pPr>
              <w:spacing w:line="400" w:lineRule="exact"/>
              <w:jc w:val="center"/>
              <w:rPr>
                <w:rFonts w:ascii="Times New Roman" w:hAnsi="Times New Roman" w:cs="Times New Roman"/>
                <w:b/>
                <w:bCs/>
                <w:color w:val="auto"/>
                <w:highlight w:val="none"/>
              </w:rPr>
            </w:pPr>
          </w:p>
        </w:tc>
        <w:tc>
          <w:tcPr>
            <w:tcW w:w="509" w:type="pct"/>
            <w:tcBorders>
              <w:top w:val="single" w:color="auto" w:sz="4" w:space="0"/>
              <w:left w:val="single" w:color="auto" w:sz="4" w:space="0"/>
              <w:bottom w:val="single" w:color="auto" w:sz="4" w:space="0"/>
            </w:tcBorders>
            <w:vAlign w:val="center"/>
          </w:tcPr>
          <w:p w14:paraId="2CAADD5C">
            <w:pPr>
              <w:spacing w:line="400" w:lineRule="exact"/>
              <w:jc w:val="center"/>
              <w:rPr>
                <w:rFonts w:ascii="Times New Roman" w:hAnsi="Times New Roman" w:cs="Times New Roman"/>
                <w:b/>
                <w:bCs/>
                <w:color w:val="auto"/>
                <w:highlight w:val="none"/>
              </w:rPr>
            </w:pPr>
          </w:p>
        </w:tc>
      </w:tr>
      <w:tr w14:paraId="208B7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43" w:type="pct"/>
            <w:tcBorders>
              <w:top w:val="single" w:color="auto" w:sz="4" w:space="0"/>
              <w:left w:val="single" w:color="auto" w:sz="4" w:space="0"/>
              <w:bottom w:val="single" w:color="auto" w:sz="4" w:space="0"/>
              <w:right w:val="single" w:color="auto" w:sz="4" w:space="0"/>
            </w:tcBorders>
            <w:vAlign w:val="center"/>
          </w:tcPr>
          <w:p w14:paraId="7EEDFE8C">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431" w:type="pct"/>
            <w:tcBorders>
              <w:top w:val="single" w:color="auto" w:sz="4" w:space="0"/>
              <w:left w:val="single" w:color="auto" w:sz="4" w:space="0"/>
              <w:bottom w:val="single" w:color="auto" w:sz="4" w:space="0"/>
              <w:right w:val="single" w:color="auto" w:sz="4" w:space="0"/>
            </w:tcBorders>
            <w:vAlign w:val="center"/>
          </w:tcPr>
          <w:p w14:paraId="0B4B4111">
            <w:pPr>
              <w:spacing w:line="400" w:lineRule="exact"/>
              <w:jc w:val="center"/>
              <w:rPr>
                <w:rFonts w:ascii="Times New Roman" w:hAnsi="Times New Roman" w:cs="Times New Roman"/>
                <w:color w:val="auto"/>
                <w:highlight w:val="none"/>
              </w:rPr>
            </w:pPr>
          </w:p>
        </w:tc>
        <w:tc>
          <w:tcPr>
            <w:tcW w:w="433" w:type="pct"/>
            <w:tcBorders>
              <w:top w:val="single" w:color="auto" w:sz="4" w:space="0"/>
              <w:left w:val="single" w:color="auto" w:sz="4" w:space="0"/>
              <w:bottom w:val="single" w:color="auto" w:sz="4" w:space="0"/>
              <w:right w:val="single" w:color="auto" w:sz="4" w:space="0"/>
            </w:tcBorders>
            <w:vAlign w:val="center"/>
          </w:tcPr>
          <w:p w14:paraId="610BD48F">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1DE6524F">
            <w:pPr>
              <w:spacing w:line="400" w:lineRule="exact"/>
              <w:jc w:val="center"/>
              <w:rPr>
                <w:rFonts w:ascii="Times New Roman" w:hAnsi="Times New Roman" w:cs="Times New Roman"/>
                <w:color w:val="auto"/>
                <w:highlight w:val="none"/>
              </w:rPr>
            </w:pPr>
          </w:p>
        </w:tc>
        <w:tc>
          <w:tcPr>
            <w:tcW w:w="435" w:type="pct"/>
            <w:tcBorders>
              <w:top w:val="single" w:color="auto" w:sz="4" w:space="0"/>
              <w:left w:val="single" w:color="auto" w:sz="4" w:space="0"/>
              <w:bottom w:val="single" w:color="auto" w:sz="4" w:space="0"/>
              <w:right w:val="single" w:color="auto" w:sz="4" w:space="0"/>
            </w:tcBorders>
            <w:vAlign w:val="center"/>
          </w:tcPr>
          <w:p w14:paraId="27F06ACE">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4D3E2CF6">
            <w:pPr>
              <w:spacing w:line="400" w:lineRule="exact"/>
              <w:jc w:val="center"/>
              <w:rPr>
                <w:rFonts w:ascii="Times New Roman" w:hAnsi="Times New Roman" w:cs="Times New Roman"/>
                <w:color w:val="auto"/>
                <w:highlight w:val="none"/>
              </w:rPr>
            </w:pPr>
          </w:p>
        </w:tc>
        <w:tc>
          <w:tcPr>
            <w:tcW w:w="318" w:type="pct"/>
            <w:tcBorders>
              <w:top w:val="single" w:color="auto" w:sz="4" w:space="0"/>
              <w:left w:val="single" w:color="auto" w:sz="4" w:space="0"/>
              <w:bottom w:val="single" w:color="auto" w:sz="4" w:space="0"/>
              <w:right w:val="single" w:color="auto" w:sz="4" w:space="0"/>
            </w:tcBorders>
            <w:vAlign w:val="center"/>
          </w:tcPr>
          <w:p w14:paraId="654FC82F">
            <w:pPr>
              <w:spacing w:line="400" w:lineRule="exact"/>
              <w:jc w:val="center"/>
              <w:rPr>
                <w:rFonts w:ascii="Times New Roman" w:hAnsi="Times New Roman" w:cs="Times New Roman"/>
                <w:color w:val="auto"/>
                <w:highlight w:val="none"/>
              </w:rPr>
            </w:pPr>
          </w:p>
        </w:tc>
        <w:tc>
          <w:tcPr>
            <w:tcW w:w="629" w:type="pct"/>
            <w:tcBorders>
              <w:top w:val="single" w:color="auto" w:sz="4" w:space="0"/>
              <w:left w:val="single" w:color="auto" w:sz="4" w:space="0"/>
              <w:bottom w:val="single" w:color="auto" w:sz="4" w:space="0"/>
              <w:right w:val="single" w:color="auto" w:sz="4" w:space="0"/>
            </w:tcBorders>
            <w:vAlign w:val="center"/>
          </w:tcPr>
          <w:p w14:paraId="40BFA5B7">
            <w:pPr>
              <w:spacing w:line="400" w:lineRule="exact"/>
              <w:jc w:val="center"/>
              <w:rPr>
                <w:rFonts w:ascii="Times New Roman" w:hAnsi="Times New Roman" w:cs="Times New Roman"/>
                <w:b/>
                <w:bCs/>
                <w:color w:val="auto"/>
                <w:highlight w:val="none"/>
              </w:rPr>
            </w:pPr>
          </w:p>
        </w:tc>
        <w:tc>
          <w:tcPr>
            <w:tcW w:w="1262" w:type="pct"/>
            <w:tcBorders>
              <w:top w:val="single" w:color="auto" w:sz="4" w:space="0"/>
              <w:left w:val="single" w:color="auto" w:sz="4" w:space="0"/>
              <w:bottom w:val="single" w:color="auto" w:sz="4" w:space="0"/>
            </w:tcBorders>
            <w:vAlign w:val="center"/>
          </w:tcPr>
          <w:p w14:paraId="134533E0">
            <w:pPr>
              <w:spacing w:line="400" w:lineRule="exact"/>
              <w:jc w:val="center"/>
              <w:rPr>
                <w:rFonts w:ascii="Times New Roman" w:hAnsi="Times New Roman" w:cs="Times New Roman"/>
                <w:b/>
                <w:bCs/>
                <w:color w:val="auto"/>
                <w:highlight w:val="none"/>
              </w:rPr>
            </w:pPr>
          </w:p>
        </w:tc>
        <w:tc>
          <w:tcPr>
            <w:tcW w:w="509" w:type="pct"/>
            <w:tcBorders>
              <w:top w:val="single" w:color="auto" w:sz="4" w:space="0"/>
              <w:left w:val="single" w:color="auto" w:sz="4" w:space="0"/>
              <w:bottom w:val="single" w:color="auto" w:sz="4" w:space="0"/>
            </w:tcBorders>
            <w:vAlign w:val="center"/>
          </w:tcPr>
          <w:p w14:paraId="60E3DC69">
            <w:pPr>
              <w:spacing w:line="400" w:lineRule="exact"/>
              <w:jc w:val="center"/>
              <w:rPr>
                <w:rFonts w:ascii="Times New Roman" w:hAnsi="Times New Roman" w:cs="Times New Roman"/>
                <w:b/>
                <w:bCs/>
                <w:color w:val="auto"/>
                <w:highlight w:val="none"/>
              </w:rPr>
            </w:pPr>
          </w:p>
        </w:tc>
      </w:tr>
      <w:tr w14:paraId="4771C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229EF6E0">
            <w:pPr>
              <w:spacing w:line="400" w:lineRule="exact"/>
              <w:rPr>
                <w:rFonts w:ascii="Times New Roman" w:hAnsi="Times New Roman" w:eastAsia="宋体" w:cs="Times New Roman"/>
                <w:color w:val="auto"/>
                <w:spacing w:val="-6"/>
                <w:highlight w:val="none"/>
                <w:lang w:eastAsia="zh-CN"/>
              </w:rPr>
            </w:pPr>
            <w:r>
              <w:rPr>
                <w:rFonts w:ascii="Times New Roman" w:hAnsi="Times New Roman" w:eastAsia="宋体" w:cs="Times New Roman"/>
                <w:color w:val="auto"/>
                <w:spacing w:val="-6"/>
                <w:highlight w:val="none"/>
                <w:lang w:eastAsia="zh-CN"/>
              </w:rPr>
              <w:t>谈判</w:t>
            </w:r>
            <w:r>
              <w:rPr>
                <w:rFonts w:ascii="Times New Roman" w:hAnsi="Times New Roman" w:cs="Times New Roman"/>
                <w:color w:val="auto"/>
                <w:spacing w:val="-6"/>
                <w:highlight w:val="none"/>
                <w:lang w:eastAsia="zh-CN"/>
              </w:rPr>
              <w:t>总报价（大写）：                                            元（￥                      ）人民币</w:t>
            </w:r>
          </w:p>
        </w:tc>
      </w:tr>
      <w:tr w14:paraId="426788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726C5E38">
            <w:pPr>
              <w:spacing w:line="400" w:lineRule="exact"/>
              <w:rPr>
                <w:rFonts w:ascii="Times New Roman" w:hAnsi="Times New Roman" w:cs="Times New Roman"/>
                <w:color w:val="auto"/>
                <w:spacing w:val="-6"/>
                <w:highlight w:val="none"/>
              </w:rPr>
            </w:pPr>
            <w:r>
              <w:rPr>
                <w:rFonts w:ascii="Times New Roman" w:hAnsi="Times New Roman" w:cs="Times New Roman"/>
                <w:color w:val="auto"/>
                <w:spacing w:val="-6"/>
                <w:highlight w:val="none"/>
              </w:rPr>
              <w:t>交付使用期：</w:t>
            </w:r>
          </w:p>
        </w:tc>
      </w:tr>
      <w:tr w14:paraId="3C135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18DEF2BF">
            <w:pPr>
              <w:spacing w:line="400" w:lineRule="exact"/>
              <w:rPr>
                <w:rFonts w:ascii="Times New Roman" w:hAnsi="Times New Roman" w:cs="Times New Roman"/>
                <w:color w:val="auto"/>
                <w:spacing w:val="-6"/>
                <w:highlight w:val="none"/>
              </w:rPr>
            </w:pPr>
            <w:r>
              <w:rPr>
                <w:rFonts w:ascii="Times New Roman" w:hAnsi="Times New Roman" w:cs="Times New Roman"/>
                <w:color w:val="auto"/>
                <w:spacing w:val="-6"/>
                <w:highlight w:val="none"/>
              </w:rPr>
              <w:t>免费保修期：</w:t>
            </w:r>
          </w:p>
        </w:tc>
      </w:tr>
      <w:tr w14:paraId="0B4EE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4C90B3BC">
            <w:pPr>
              <w:spacing w:line="400" w:lineRule="exact"/>
              <w:rPr>
                <w:rFonts w:ascii="Times New Roman" w:hAnsi="Times New Roman" w:cs="Times New Roman"/>
                <w:color w:val="auto"/>
                <w:spacing w:val="-6"/>
                <w:highlight w:val="none"/>
                <w:lang w:eastAsia="zh-CN"/>
              </w:rPr>
            </w:pPr>
            <w:r>
              <w:rPr>
                <w:rFonts w:ascii="Times New Roman" w:hAnsi="Times New Roman" w:cs="Times New Roman"/>
                <w:color w:val="auto"/>
                <w:spacing w:val="-6"/>
                <w:highlight w:val="none"/>
                <w:lang w:eastAsia="zh-CN"/>
              </w:rPr>
              <w:t>其中：</w:t>
            </w:r>
          </w:p>
          <w:p w14:paraId="664C2363">
            <w:pPr>
              <w:spacing w:line="400" w:lineRule="exact"/>
              <w:rPr>
                <w:rFonts w:ascii="Times New Roman" w:hAnsi="Times New Roman" w:cs="Times New Roman"/>
                <w:color w:val="auto"/>
                <w:spacing w:val="-6"/>
                <w:highlight w:val="none"/>
                <w:lang w:eastAsia="zh-CN"/>
              </w:rPr>
            </w:pPr>
            <w:r>
              <w:rPr>
                <w:rFonts w:ascii="Times New Roman" w:hAnsi="Times New Roman" w:cs="Times New Roman"/>
                <w:color w:val="auto"/>
                <w:spacing w:val="-6"/>
                <w:highlight w:val="none"/>
                <w:lang w:eastAsia="zh-CN"/>
              </w:rPr>
              <w:t>属于财政部</w:t>
            </w:r>
            <w:r>
              <w:rPr>
                <w:rFonts w:ascii="Times New Roman" w:hAnsi="Times New Roman" w:cs="Times New Roman"/>
                <w:bCs/>
                <w:color w:val="auto"/>
                <w:highlight w:val="none"/>
                <w:lang w:eastAsia="zh-CN"/>
              </w:rPr>
              <w:t>《节能产品政府采购品目清单》</w:t>
            </w:r>
            <w:r>
              <w:rPr>
                <w:rFonts w:ascii="Times New Roman" w:hAnsi="Times New Roman" w:cs="Times New Roman"/>
                <w:color w:val="auto"/>
                <w:spacing w:val="-6"/>
                <w:highlight w:val="none"/>
                <w:lang w:eastAsia="zh-CN"/>
              </w:rPr>
              <w:t>内产品的总金额为人民币（大写）：</w:t>
            </w:r>
            <w:r>
              <w:rPr>
                <w:rFonts w:ascii="Times New Roman" w:hAnsi="Times New Roman" w:cs="Times New Roman"/>
                <w:color w:val="auto"/>
                <w:spacing w:val="-6"/>
                <w:highlight w:val="none"/>
                <w:u w:val="single"/>
                <w:lang w:eastAsia="zh-CN"/>
              </w:rPr>
              <w:t xml:space="preserve">               元（￥            ）</w:t>
            </w:r>
            <w:r>
              <w:rPr>
                <w:rFonts w:ascii="Times New Roman" w:hAnsi="Times New Roman" w:cs="Times New Roman"/>
                <w:color w:val="auto"/>
                <w:spacing w:val="-6"/>
                <w:highlight w:val="none"/>
                <w:lang w:eastAsia="zh-CN"/>
              </w:rPr>
              <w:t>；</w:t>
            </w:r>
          </w:p>
          <w:p w14:paraId="11F682FB">
            <w:pPr>
              <w:spacing w:line="400" w:lineRule="exact"/>
              <w:rPr>
                <w:rFonts w:ascii="Times New Roman" w:hAnsi="Times New Roman" w:cs="Times New Roman"/>
                <w:color w:val="auto"/>
                <w:spacing w:val="-6"/>
                <w:highlight w:val="none"/>
                <w:lang w:eastAsia="zh-CN"/>
              </w:rPr>
            </w:pPr>
            <w:r>
              <w:rPr>
                <w:rFonts w:ascii="Times New Roman" w:hAnsi="Times New Roman" w:cs="Times New Roman"/>
                <w:color w:val="auto"/>
                <w:spacing w:val="-6"/>
                <w:highlight w:val="none"/>
                <w:lang w:eastAsia="zh-CN"/>
              </w:rPr>
              <w:t>属于财政部</w:t>
            </w:r>
            <w:r>
              <w:rPr>
                <w:rFonts w:ascii="Times New Roman" w:hAnsi="Times New Roman" w:cs="Times New Roman"/>
                <w:bCs/>
                <w:color w:val="auto"/>
                <w:highlight w:val="none"/>
                <w:lang w:eastAsia="zh-CN"/>
              </w:rPr>
              <w:t>《环境标志产品政府采购品目清单》</w:t>
            </w:r>
            <w:r>
              <w:rPr>
                <w:rFonts w:ascii="Times New Roman" w:hAnsi="Times New Roman" w:cs="Times New Roman"/>
                <w:color w:val="auto"/>
                <w:spacing w:val="-6"/>
                <w:highlight w:val="none"/>
                <w:lang w:eastAsia="zh-CN"/>
              </w:rPr>
              <w:t>内产品的总金额为人民币（大写）：</w:t>
            </w:r>
            <w:r>
              <w:rPr>
                <w:rFonts w:ascii="Times New Roman" w:hAnsi="Times New Roman" w:cs="Times New Roman"/>
                <w:color w:val="auto"/>
                <w:spacing w:val="-6"/>
                <w:highlight w:val="none"/>
                <w:u w:val="single"/>
                <w:lang w:eastAsia="zh-CN"/>
              </w:rPr>
              <w:t xml:space="preserve">                   元（￥             ）</w:t>
            </w:r>
            <w:r>
              <w:rPr>
                <w:rFonts w:ascii="Times New Roman" w:hAnsi="Times New Roman" w:cs="Times New Roman"/>
                <w:color w:val="auto"/>
                <w:spacing w:val="-6"/>
                <w:highlight w:val="none"/>
                <w:lang w:eastAsia="zh-CN"/>
              </w:rPr>
              <w:t>。</w:t>
            </w:r>
          </w:p>
          <w:p w14:paraId="390B8DE2">
            <w:pPr>
              <w:spacing w:line="400" w:lineRule="exact"/>
              <w:rPr>
                <w:rFonts w:ascii="Times New Roman" w:hAnsi="Times New Roman" w:cs="Times New Roman"/>
                <w:b/>
                <w:color w:val="auto"/>
                <w:spacing w:val="-6"/>
                <w:highlight w:val="none"/>
                <w:lang w:eastAsia="zh-CN"/>
              </w:rPr>
            </w:pPr>
            <w:r>
              <w:rPr>
                <w:rFonts w:ascii="Times New Roman" w:hAnsi="Times New Roman" w:cs="Times New Roman"/>
                <w:b/>
                <w:color w:val="auto"/>
                <w:spacing w:val="-6"/>
                <w:highlight w:val="none"/>
                <w:lang w:eastAsia="zh-CN"/>
              </w:rPr>
              <w:t>备注：若不属于财政部《节能产品政府采购品目清单》及《环境标志产品政府采购品目清单》内产品的，则该处填写“无”字样。</w:t>
            </w:r>
          </w:p>
        </w:tc>
      </w:tr>
      <w:tr w14:paraId="3AD77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tcBorders>
            <w:vAlign w:val="center"/>
          </w:tcPr>
          <w:p w14:paraId="6C2DF9DD">
            <w:pPr>
              <w:spacing w:line="400" w:lineRule="exact"/>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说明</w:t>
            </w:r>
            <w:r>
              <w:rPr>
                <w:rFonts w:ascii="Times New Roman" w:hAnsi="Times New Roman" w:cs="Times New Roman"/>
                <w:b/>
                <w:bCs/>
                <w:color w:val="auto"/>
                <w:highlight w:val="none"/>
                <w:lang w:eastAsia="zh-CN"/>
              </w:rPr>
              <w:t>：</w:t>
            </w:r>
            <w:r>
              <w:rPr>
                <w:rFonts w:ascii="Times New Roman" w:hAnsi="Times New Roman" w:cs="Times New Roman"/>
                <w:color w:val="auto"/>
                <w:highlight w:val="none"/>
                <w:lang w:eastAsia="zh-CN"/>
              </w:rPr>
              <w:t>供应商</w:t>
            </w:r>
            <w:r>
              <w:rPr>
                <w:rFonts w:ascii="Times New Roman" w:hAnsi="Times New Roman" w:eastAsia="宋体" w:cs="Times New Roman"/>
                <w:color w:val="auto"/>
                <w:highlight w:val="none"/>
                <w:lang w:eastAsia="zh-CN"/>
              </w:rPr>
              <w:t>谈判</w:t>
            </w:r>
            <w:r>
              <w:rPr>
                <w:rFonts w:ascii="Times New Roman" w:hAnsi="Times New Roman" w:cs="Times New Roman"/>
                <w:color w:val="auto"/>
                <w:highlight w:val="none"/>
                <w:lang w:eastAsia="zh-CN"/>
              </w:rPr>
              <w:t>报价包括本次采购范围内货物价款、货物随配标准附件、包装、运输、装卸、保险、税金、货到位以及安装、安装所需辅材、调试、检验、售后服务、培训、保修及其他所有成本费用的总和；供应商综合考虑在报价中。</w:t>
            </w:r>
          </w:p>
        </w:tc>
      </w:tr>
    </w:tbl>
    <w:p w14:paraId="762EAE9C">
      <w:pPr>
        <w:pStyle w:val="8"/>
        <w:widowControl w:val="0"/>
        <w:spacing w:line="400" w:lineRule="exact"/>
        <w:rPr>
          <w:rFonts w:ascii="Times New Roman" w:hAnsi="Times New Roman" w:cs="Times New Roman"/>
          <w:color w:val="auto"/>
          <w:highlight w:val="none"/>
          <w:lang w:eastAsia="zh-CN"/>
        </w:rPr>
      </w:pPr>
    </w:p>
    <w:p w14:paraId="77ED8C4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供应商</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w:t>
      </w:r>
      <w:r>
        <w:rPr>
          <w:rFonts w:ascii="Times New Roman" w:hAnsi="Times New Roman" w:eastAsia="宋体" w:cs="Times New Roman"/>
          <w:color w:val="auto"/>
          <w:highlight w:val="none"/>
          <w:lang w:eastAsia="zh-CN"/>
        </w:rPr>
        <w:t>：</w:t>
      </w:r>
    </w:p>
    <w:p w14:paraId="6F2C936E">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法定代表人(负责人、 自然人)或委托代理人签字</w:t>
      </w:r>
      <w:r>
        <w:rPr>
          <w:rFonts w:ascii="Times New Roman" w:hAnsi="Times New Roman" w:eastAsia="宋体" w:cs="Times New Roman"/>
          <w:b/>
          <w:bCs/>
          <w:color w:val="auto"/>
          <w:highlight w:val="none"/>
          <w:lang w:eastAsia="zh-CN"/>
        </w:rPr>
        <w:t>（或个人</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CA</w:t>
      </w:r>
      <w:r>
        <w:rPr>
          <w:rFonts w:ascii="Times New Roman" w:hAnsi="Times New Roman" w:eastAsia="宋体" w:cs="Times New Roman"/>
          <w:color w:val="auto"/>
          <w:highlight w:val="none"/>
          <w:lang w:eastAsia="zh-CN"/>
        </w:rPr>
        <w:t xml:space="preserve"> </w:t>
      </w:r>
      <w:r>
        <w:rPr>
          <w:rFonts w:ascii="Times New Roman" w:hAnsi="Times New Roman" w:eastAsia="宋体" w:cs="Times New Roman"/>
          <w:b/>
          <w:bCs/>
          <w:color w:val="auto"/>
          <w:highlight w:val="none"/>
          <w:lang w:eastAsia="zh-CN"/>
        </w:rPr>
        <w:t>证书签章）</w:t>
      </w:r>
      <w:r>
        <w:rPr>
          <w:rFonts w:ascii="Times New Roman" w:hAnsi="Times New Roman" w:eastAsia="宋体" w:cs="Times New Roman"/>
          <w:color w:val="auto"/>
          <w:highlight w:val="none"/>
          <w:lang w:eastAsia="zh-CN"/>
        </w:rPr>
        <w:t>：</w:t>
      </w:r>
    </w:p>
    <w:p w14:paraId="1C20CFFC">
      <w:pPr>
        <w:widowControl w:val="0"/>
        <w:spacing w:line="400" w:lineRule="exact"/>
        <w:ind w:firstLine="420" w:firstLineChars="200"/>
        <w:rPr>
          <w:rFonts w:ascii="Times New Roman" w:hAnsi="Times New Roman" w:eastAsia="宋体" w:cs="Times New Roman"/>
          <w:color w:val="auto"/>
          <w:highlight w:val="none"/>
          <w:lang w:eastAsia="zh-CN"/>
        </w:rPr>
      </w:pPr>
      <w:r>
        <w:rPr>
          <w:rFonts w:ascii="Times New Roman" w:hAnsi="Times New Roman" w:eastAsia="宋体" w:cs="Times New Roman"/>
          <w:color w:val="auto"/>
          <w:highlight w:val="none"/>
          <w:lang w:eastAsia="zh-CN"/>
        </w:rPr>
        <w:t>日          期：</w:t>
      </w:r>
    </w:p>
    <w:p w14:paraId="31D7B51D">
      <w:pPr>
        <w:pStyle w:val="8"/>
        <w:widowControl w:val="0"/>
        <w:spacing w:line="400" w:lineRule="exact"/>
        <w:ind w:firstLine="420" w:firstLineChars="200"/>
        <w:rPr>
          <w:rFonts w:ascii="Times New Roman" w:hAnsi="Times New Roman" w:cs="Times New Roman"/>
          <w:color w:val="auto"/>
          <w:highlight w:val="none"/>
          <w:lang w:eastAsia="zh-CN"/>
        </w:rPr>
      </w:pPr>
    </w:p>
    <w:p w14:paraId="3B4BE6B6">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注：</w:t>
      </w:r>
    </w:p>
    <w:p w14:paraId="69DEB167">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1.</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供应商必须就“采购需求</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”中的全部内容作完整唯一报价，响应文件只允许有一个报价方案，有选择的或有条件的报价将不予接受。</w:t>
      </w:r>
    </w:p>
    <w:p w14:paraId="1F489BBB">
      <w:pPr>
        <w:widowControl w:val="0"/>
        <w:spacing w:line="400" w:lineRule="exact"/>
        <w:ind w:firstLine="402" w:firstLineChars="200"/>
        <w:rPr>
          <w:rFonts w:ascii="Times New Roman" w:hAnsi="Times New Roman" w:eastAsia="宋体" w:cs="Times New Roman"/>
          <w:color w:val="auto"/>
          <w:sz w:val="20"/>
          <w:szCs w:val="20"/>
          <w:highlight w:val="none"/>
          <w:lang w:eastAsia="zh-CN"/>
        </w:rPr>
      </w:pPr>
      <w:r>
        <w:rPr>
          <w:rFonts w:ascii="Times New Roman" w:hAnsi="Times New Roman" w:eastAsia="宋体" w:cs="Times New Roman"/>
          <w:b/>
          <w:bCs/>
          <w:color w:val="auto"/>
          <w:sz w:val="20"/>
          <w:szCs w:val="20"/>
          <w:highlight w:val="none"/>
          <w:lang w:eastAsia="zh-CN"/>
        </w:rPr>
        <w:t>2.供应商应如实填写谈判报价表的各项内容，否则，响应无效。</w:t>
      </w:r>
    </w:p>
    <w:p w14:paraId="61AA6786">
      <w:pPr>
        <w:widowControl w:val="0"/>
        <w:spacing w:line="400" w:lineRule="exact"/>
        <w:ind w:firstLine="402" w:firstLineChars="200"/>
        <w:rPr>
          <w:rFonts w:ascii="Times New Roman" w:hAnsi="Times New Roman" w:cs="Times New Roman"/>
          <w:b/>
          <w:color w:val="auto"/>
          <w:sz w:val="28"/>
          <w:szCs w:val="28"/>
          <w:highlight w:val="none"/>
          <w:lang w:eastAsia="zh-CN"/>
        </w:rPr>
        <w:sectPr>
          <w:footerReference r:id="rId16" w:type="default"/>
          <w:pgSz w:w="11906" w:h="16838"/>
          <w:pgMar w:top="1440" w:right="935" w:bottom="1440" w:left="777" w:header="851" w:footer="992" w:gutter="0"/>
          <w:cols w:space="720" w:num="1"/>
          <w:docGrid w:type="lines" w:linePitch="312" w:charSpace="0"/>
        </w:sectPr>
      </w:pPr>
      <w:r>
        <w:rPr>
          <w:rFonts w:ascii="Times New Roman" w:hAnsi="Times New Roman" w:eastAsia="宋体" w:cs="Times New Roman"/>
          <w:b/>
          <w:bCs/>
          <w:color w:val="auto"/>
          <w:sz w:val="20"/>
          <w:szCs w:val="20"/>
          <w:highlight w:val="none"/>
          <w:lang w:eastAsia="zh-CN"/>
        </w:rPr>
        <w:t>3.谈判报价表由多页构成时，须由法定代表人(负责人、自然人)或相应的委托代理人签字（或个人</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CA</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证书签章）加盖供应商公章（CA</w:t>
      </w:r>
      <w:r>
        <w:rPr>
          <w:rFonts w:ascii="Times New Roman" w:hAnsi="Times New Roman" w:eastAsia="宋体" w:cs="Times New Roman"/>
          <w:color w:val="auto"/>
          <w:sz w:val="20"/>
          <w:szCs w:val="20"/>
          <w:highlight w:val="none"/>
          <w:lang w:eastAsia="zh-CN"/>
        </w:rPr>
        <w:t xml:space="preserve"> </w:t>
      </w:r>
      <w:r>
        <w:rPr>
          <w:rFonts w:ascii="Times New Roman" w:hAnsi="Times New Roman" w:eastAsia="宋体" w:cs="Times New Roman"/>
          <w:b/>
          <w:bCs/>
          <w:color w:val="auto"/>
          <w:sz w:val="20"/>
          <w:szCs w:val="20"/>
          <w:highlight w:val="none"/>
          <w:lang w:eastAsia="zh-CN"/>
        </w:rPr>
        <w:t>证书签章）。</w:t>
      </w:r>
    </w:p>
    <w:p w14:paraId="541372B6">
      <w:pPr>
        <w:tabs>
          <w:tab w:val="left" w:pos="1305"/>
        </w:tabs>
        <w:spacing w:line="400" w:lineRule="exact"/>
        <w:rPr>
          <w:rFonts w:ascii="Times New Roman" w:hAnsi="Times New Roman" w:eastAsia="宋体" w:cs="Times New Roman"/>
          <w:b/>
          <w:color w:val="auto"/>
          <w:sz w:val="28"/>
          <w:szCs w:val="28"/>
          <w:highlight w:val="none"/>
          <w:lang w:eastAsia="zh-CN"/>
        </w:rPr>
      </w:pPr>
      <w:r>
        <w:rPr>
          <w:rFonts w:ascii="Times New Roman" w:hAnsi="Times New Roman" w:eastAsia="宋体" w:cs="Times New Roman"/>
          <w:b/>
          <w:color w:val="auto"/>
          <w:sz w:val="28"/>
          <w:szCs w:val="28"/>
          <w:highlight w:val="none"/>
          <w:lang w:eastAsia="zh-CN"/>
        </w:rPr>
        <w:t>3.技术规格偏离表（必须提供）；</w:t>
      </w:r>
    </w:p>
    <w:p w14:paraId="092499B2">
      <w:pPr>
        <w:spacing w:line="400" w:lineRule="exact"/>
        <w:rPr>
          <w:rFonts w:ascii="Times New Roman" w:hAnsi="Times New Roman" w:cs="Times New Roman"/>
          <w:b/>
          <w:color w:val="auto"/>
          <w:sz w:val="30"/>
          <w:szCs w:val="30"/>
          <w:highlight w:val="none"/>
          <w:lang w:eastAsia="zh-CN"/>
        </w:rPr>
      </w:pPr>
      <w:r>
        <w:rPr>
          <w:rFonts w:ascii="Times New Roman" w:hAnsi="Times New Roman" w:cs="Times New Roman"/>
          <w:b/>
          <w:color w:val="auto"/>
          <w:sz w:val="30"/>
          <w:szCs w:val="30"/>
          <w:highlight w:val="none"/>
          <w:lang w:eastAsia="zh-CN"/>
        </w:rPr>
        <w:t>附件：</w:t>
      </w:r>
    </w:p>
    <w:p w14:paraId="5C28F284">
      <w:pPr>
        <w:pStyle w:val="11"/>
        <w:spacing w:line="400" w:lineRule="exact"/>
        <w:jc w:val="center"/>
        <w:rPr>
          <w:rFonts w:ascii="Times New Roman" w:hAnsi="Times New Roman" w:cs="Times New Roman"/>
          <w:b/>
          <w:bCs/>
          <w:color w:val="auto"/>
          <w:sz w:val="32"/>
          <w:highlight w:val="none"/>
          <w:lang w:eastAsia="zh-CN"/>
        </w:rPr>
      </w:pPr>
      <w:r>
        <w:rPr>
          <w:rFonts w:hint="eastAsia" w:ascii="Times New Roman" w:hAnsi="Times New Roman" w:cs="Times New Roman"/>
          <w:b/>
          <w:color w:val="auto"/>
          <w:sz w:val="32"/>
          <w:szCs w:val="32"/>
          <w:highlight w:val="none"/>
          <w:u w:val="single"/>
          <w:lang w:val="en-US" w:eastAsia="zh-CN"/>
        </w:rPr>
        <w:t xml:space="preserve">      </w:t>
      </w:r>
      <w:r>
        <w:rPr>
          <w:rFonts w:hint="eastAsia" w:ascii="Times New Roman" w:hAnsi="Times New Roman" w:cs="Times New Roman"/>
          <w:b/>
          <w:color w:val="auto"/>
          <w:sz w:val="32"/>
          <w:szCs w:val="32"/>
          <w:highlight w:val="none"/>
          <w:u w:val="none"/>
          <w:lang w:val="en-US" w:eastAsia="zh-CN"/>
        </w:rPr>
        <w:t>分标</w:t>
      </w:r>
      <w:r>
        <w:rPr>
          <w:rFonts w:ascii="Times New Roman" w:hAnsi="Times New Roman" w:cs="Times New Roman"/>
          <w:b/>
          <w:color w:val="auto"/>
          <w:sz w:val="32"/>
          <w:szCs w:val="32"/>
          <w:highlight w:val="none"/>
          <w:lang w:eastAsia="zh-CN"/>
        </w:rPr>
        <w:t>技术规格偏离表</w:t>
      </w:r>
      <w:r>
        <w:rPr>
          <w:rFonts w:ascii="Times New Roman" w:hAnsi="Times New Roman" w:cs="Times New Roman"/>
          <w:b/>
          <w:bCs/>
          <w:color w:val="auto"/>
          <w:sz w:val="32"/>
          <w:highlight w:val="none"/>
          <w:lang w:eastAsia="zh-CN"/>
        </w:rPr>
        <w:t>（格式）</w:t>
      </w:r>
    </w:p>
    <w:tbl>
      <w:tblPr>
        <w:tblStyle w:val="22"/>
        <w:tblW w:w="9774"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1"/>
        <w:gridCol w:w="2489"/>
        <w:gridCol w:w="2520"/>
        <w:gridCol w:w="2106"/>
      </w:tblGrid>
      <w:tr w14:paraId="1927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29EC9C47">
            <w:pPr>
              <w:pStyle w:val="11"/>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序号</w:t>
            </w:r>
          </w:p>
        </w:tc>
        <w:tc>
          <w:tcPr>
            <w:tcW w:w="1651" w:type="dxa"/>
            <w:vAlign w:val="center"/>
          </w:tcPr>
          <w:p w14:paraId="75341FF7">
            <w:pPr>
              <w:pStyle w:val="11"/>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货物名称</w:t>
            </w:r>
          </w:p>
        </w:tc>
        <w:tc>
          <w:tcPr>
            <w:tcW w:w="2489" w:type="dxa"/>
            <w:vAlign w:val="center"/>
          </w:tcPr>
          <w:p w14:paraId="6BBB2E34">
            <w:pPr>
              <w:pStyle w:val="11"/>
              <w:spacing w:line="400" w:lineRule="exact"/>
              <w:jc w:val="center"/>
              <w:rPr>
                <w:rFonts w:ascii="Times New Roman" w:hAnsi="Times New Roman" w:cs="Times New Roman"/>
                <w:color w:val="auto"/>
                <w:highlight w:val="none"/>
              </w:rPr>
            </w:pPr>
            <w:r>
              <w:rPr>
                <w:rFonts w:ascii="Times New Roman" w:hAnsi="Times New Roman" w:cs="Times New Roman"/>
                <w:b/>
                <w:color w:val="auto"/>
                <w:szCs w:val="21"/>
                <w:highlight w:val="none"/>
              </w:rPr>
              <w:t>技术需求</w:t>
            </w:r>
          </w:p>
        </w:tc>
        <w:tc>
          <w:tcPr>
            <w:tcW w:w="2520" w:type="dxa"/>
            <w:vAlign w:val="center"/>
          </w:tcPr>
          <w:p w14:paraId="06E87B41">
            <w:pPr>
              <w:pStyle w:val="11"/>
              <w:spacing w:line="400" w:lineRule="exact"/>
              <w:jc w:val="center"/>
              <w:rPr>
                <w:rFonts w:ascii="Times New Roman" w:hAnsi="Times New Roman" w:cs="Times New Roman"/>
                <w:b/>
                <w:color w:val="auto"/>
                <w:szCs w:val="21"/>
                <w:highlight w:val="none"/>
              </w:rPr>
            </w:pPr>
            <w:r>
              <w:rPr>
                <w:rFonts w:ascii="Times New Roman" w:hAnsi="Times New Roman" w:cs="Times New Roman"/>
                <w:b/>
                <w:color w:val="auto"/>
                <w:szCs w:val="21"/>
                <w:highlight w:val="none"/>
                <w:lang w:eastAsia="zh-CN"/>
              </w:rPr>
              <w:t>响应文件</w:t>
            </w:r>
            <w:r>
              <w:rPr>
                <w:rFonts w:ascii="Times New Roman" w:hAnsi="Times New Roman" w:cs="Times New Roman"/>
                <w:b/>
                <w:color w:val="auto"/>
                <w:szCs w:val="21"/>
                <w:highlight w:val="none"/>
              </w:rPr>
              <w:t>的响应情况</w:t>
            </w:r>
          </w:p>
        </w:tc>
        <w:tc>
          <w:tcPr>
            <w:tcW w:w="2106" w:type="dxa"/>
            <w:vAlign w:val="center"/>
          </w:tcPr>
          <w:p w14:paraId="1FCD118E">
            <w:pPr>
              <w:pStyle w:val="11"/>
              <w:spacing w:line="400" w:lineRule="exact"/>
              <w:jc w:val="center"/>
              <w:rPr>
                <w:rFonts w:ascii="Times New Roman" w:hAnsi="Times New Roman" w:cs="Times New Roman"/>
                <w:color w:val="auto"/>
                <w:highlight w:val="none"/>
              </w:rPr>
            </w:pPr>
            <w:bookmarkStart w:id="50" w:name="_Toc254970701"/>
            <w:bookmarkStart w:id="51" w:name="_Toc254970560"/>
            <w:r>
              <w:rPr>
                <w:rFonts w:ascii="Times New Roman" w:hAnsi="Times New Roman" w:cs="Times New Roman"/>
                <w:color w:val="auto"/>
                <w:highlight w:val="none"/>
              </w:rPr>
              <w:t>偏离情况</w:t>
            </w:r>
            <w:bookmarkEnd w:id="50"/>
            <w:bookmarkEnd w:id="51"/>
            <w:r>
              <w:rPr>
                <w:rFonts w:ascii="Times New Roman" w:hAnsi="Times New Roman" w:cs="Times New Roman"/>
                <w:color w:val="auto"/>
                <w:highlight w:val="none"/>
              </w:rPr>
              <w:t>说明</w:t>
            </w:r>
          </w:p>
        </w:tc>
      </w:tr>
      <w:tr w14:paraId="1B49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11607B26">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51" w:type="dxa"/>
            <w:vAlign w:val="center"/>
          </w:tcPr>
          <w:p w14:paraId="3D610CB7">
            <w:pPr>
              <w:spacing w:line="400" w:lineRule="exact"/>
              <w:jc w:val="center"/>
              <w:rPr>
                <w:rFonts w:ascii="Times New Roman" w:hAnsi="Times New Roman" w:cs="Times New Roman"/>
                <w:color w:val="auto"/>
                <w:highlight w:val="none"/>
              </w:rPr>
            </w:pPr>
          </w:p>
        </w:tc>
        <w:tc>
          <w:tcPr>
            <w:tcW w:w="2489" w:type="dxa"/>
            <w:vAlign w:val="center"/>
          </w:tcPr>
          <w:p w14:paraId="4F318CE4">
            <w:pPr>
              <w:pStyle w:val="11"/>
              <w:spacing w:line="400" w:lineRule="exact"/>
              <w:jc w:val="center"/>
              <w:rPr>
                <w:rFonts w:ascii="Times New Roman" w:hAnsi="Times New Roman" w:cs="Times New Roman"/>
                <w:color w:val="auto"/>
                <w:highlight w:val="none"/>
              </w:rPr>
            </w:pPr>
          </w:p>
        </w:tc>
        <w:tc>
          <w:tcPr>
            <w:tcW w:w="2520" w:type="dxa"/>
          </w:tcPr>
          <w:p w14:paraId="3AF6DA73">
            <w:pPr>
              <w:pStyle w:val="11"/>
              <w:spacing w:line="400" w:lineRule="exact"/>
              <w:jc w:val="center"/>
              <w:rPr>
                <w:rFonts w:ascii="Times New Roman" w:hAnsi="Times New Roman" w:cs="Times New Roman"/>
                <w:color w:val="auto"/>
                <w:highlight w:val="none"/>
              </w:rPr>
            </w:pPr>
          </w:p>
        </w:tc>
        <w:tc>
          <w:tcPr>
            <w:tcW w:w="2106" w:type="dxa"/>
            <w:vAlign w:val="center"/>
          </w:tcPr>
          <w:p w14:paraId="2B273C87">
            <w:pPr>
              <w:pStyle w:val="11"/>
              <w:spacing w:line="400" w:lineRule="exact"/>
              <w:jc w:val="center"/>
              <w:rPr>
                <w:rFonts w:ascii="Times New Roman" w:hAnsi="Times New Roman" w:cs="Times New Roman"/>
                <w:color w:val="auto"/>
                <w:highlight w:val="none"/>
              </w:rPr>
            </w:pPr>
          </w:p>
        </w:tc>
      </w:tr>
      <w:tr w14:paraId="3B3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7BB8361B">
            <w:pPr>
              <w:spacing w:line="40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1651" w:type="dxa"/>
            <w:vAlign w:val="center"/>
          </w:tcPr>
          <w:p w14:paraId="6500B3AD">
            <w:pPr>
              <w:spacing w:line="400" w:lineRule="exact"/>
              <w:jc w:val="center"/>
              <w:rPr>
                <w:rFonts w:ascii="Times New Roman" w:hAnsi="Times New Roman" w:cs="Times New Roman"/>
                <w:color w:val="auto"/>
                <w:highlight w:val="none"/>
              </w:rPr>
            </w:pPr>
          </w:p>
        </w:tc>
        <w:tc>
          <w:tcPr>
            <w:tcW w:w="2489" w:type="dxa"/>
            <w:vAlign w:val="center"/>
          </w:tcPr>
          <w:p w14:paraId="66F9D614">
            <w:pPr>
              <w:pStyle w:val="11"/>
              <w:spacing w:line="400" w:lineRule="exact"/>
              <w:jc w:val="center"/>
              <w:rPr>
                <w:rFonts w:ascii="Times New Roman" w:hAnsi="Times New Roman" w:cs="Times New Roman"/>
                <w:color w:val="auto"/>
                <w:highlight w:val="none"/>
              </w:rPr>
            </w:pPr>
          </w:p>
        </w:tc>
        <w:tc>
          <w:tcPr>
            <w:tcW w:w="2520" w:type="dxa"/>
          </w:tcPr>
          <w:p w14:paraId="19969C21">
            <w:pPr>
              <w:pStyle w:val="11"/>
              <w:spacing w:line="400" w:lineRule="exact"/>
              <w:jc w:val="center"/>
              <w:rPr>
                <w:rFonts w:ascii="Times New Roman" w:hAnsi="Times New Roman" w:cs="Times New Roman"/>
                <w:color w:val="auto"/>
                <w:highlight w:val="none"/>
              </w:rPr>
            </w:pPr>
          </w:p>
        </w:tc>
        <w:tc>
          <w:tcPr>
            <w:tcW w:w="2106" w:type="dxa"/>
            <w:vAlign w:val="center"/>
          </w:tcPr>
          <w:p w14:paraId="41F04FD1">
            <w:pPr>
              <w:pStyle w:val="11"/>
              <w:spacing w:line="400" w:lineRule="exact"/>
              <w:jc w:val="center"/>
              <w:rPr>
                <w:rFonts w:ascii="Times New Roman" w:hAnsi="Times New Roman" w:cs="Times New Roman"/>
                <w:color w:val="auto"/>
                <w:highlight w:val="none"/>
              </w:rPr>
            </w:pPr>
          </w:p>
        </w:tc>
      </w:tr>
      <w:tr w14:paraId="42F1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08" w:type="dxa"/>
            <w:vAlign w:val="center"/>
          </w:tcPr>
          <w:p w14:paraId="286544B7">
            <w:pPr>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651" w:type="dxa"/>
            <w:vAlign w:val="center"/>
          </w:tcPr>
          <w:p w14:paraId="5009E676">
            <w:pPr>
              <w:spacing w:line="400" w:lineRule="exact"/>
              <w:jc w:val="center"/>
              <w:rPr>
                <w:rFonts w:ascii="Times New Roman" w:hAnsi="Times New Roman" w:cs="Times New Roman"/>
                <w:color w:val="auto"/>
                <w:highlight w:val="none"/>
              </w:rPr>
            </w:pPr>
          </w:p>
        </w:tc>
        <w:tc>
          <w:tcPr>
            <w:tcW w:w="2489" w:type="dxa"/>
            <w:vAlign w:val="center"/>
          </w:tcPr>
          <w:p w14:paraId="26DB2FBC">
            <w:pPr>
              <w:pStyle w:val="11"/>
              <w:spacing w:line="400" w:lineRule="exact"/>
              <w:jc w:val="center"/>
              <w:rPr>
                <w:rFonts w:ascii="Times New Roman" w:hAnsi="Times New Roman" w:cs="Times New Roman"/>
                <w:color w:val="auto"/>
                <w:highlight w:val="none"/>
              </w:rPr>
            </w:pPr>
          </w:p>
        </w:tc>
        <w:tc>
          <w:tcPr>
            <w:tcW w:w="2520" w:type="dxa"/>
          </w:tcPr>
          <w:p w14:paraId="41C3043B">
            <w:pPr>
              <w:pStyle w:val="11"/>
              <w:spacing w:line="400" w:lineRule="exact"/>
              <w:jc w:val="center"/>
              <w:rPr>
                <w:rFonts w:ascii="Times New Roman" w:hAnsi="Times New Roman" w:cs="Times New Roman"/>
                <w:color w:val="auto"/>
                <w:highlight w:val="none"/>
              </w:rPr>
            </w:pPr>
          </w:p>
        </w:tc>
        <w:tc>
          <w:tcPr>
            <w:tcW w:w="2106" w:type="dxa"/>
            <w:vAlign w:val="center"/>
          </w:tcPr>
          <w:p w14:paraId="71862977">
            <w:pPr>
              <w:pStyle w:val="11"/>
              <w:spacing w:line="400" w:lineRule="exact"/>
              <w:jc w:val="center"/>
              <w:rPr>
                <w:rFonts w:ascii="Times New Roman" w:hAnsi="Times New Roman" w:cs="Times New Roman"/>
                <w:color w:val="auto"/>
                <w:highlight w:val="none"/>
              </w:rPr>
            </w:pPr>
          </w:p>
        </w:tc>
      </w:tr>
    </w:tbl>
    <w:p w14:paraId="4E4DA8DC">
      <w:pPr>
        <w:spacing w:line="400" w:lineRule="exact"/>
        <w:rPr>
          <w:rFonts w:ascii="Times New Roman" w:hAnsi="Times New Roman" w:cs="Times New Roman"/>
          <w:color w:val="auto"/>
          <w:highlight w:val="none"/>
          <w:u w:val="single"/>
          <w:lang w:eastAsia="zh-CN"/>
        </w:rPr>
      </w:pPr>
      <w:r>
        <w:rPr>
          <w:rFonts w:ascii="Times New Roman" w:hAnsi="Times New Roman" w:cs="Times New Roman"/>
          <w:color w:val="auto"/>
          <w:highlight w:val="none"/>
          <w:lang w:eastAsia="zh-CN"/>
        </w:rPr>
        <w:t xml:space="preserve">            供应商 (CA证书签章)：</w:t>
      </w:r>
      <w:r>
        <w:rPr>
          <w:rFonts w:ascii="Times New Roman" w:hAnsi="Times New Roman" w:cs="Times New Roman"/>
          <w:color w:val="auto"/>
          <w:highlight w:val="none"/>
          <w:u w:val="single"/>
          <w:lang w:eastAsia="zh-CN"/>
        </w:rPr>
        <w:t xml:space="preserve">                                     </w:t>
      </w:r>
    </w:p>
    <w:p w14:paraId="1453F111">
      <w:pPr>
        <w:pStyle w:val="11"/>
        <w:spacing w:line="400" w:lineRule="exact"/>
        <w:ind w:left="1260" w:leftChars="200" w:hanging="840" w:hangingChars="400"/>
        <w:rPr>
          <w:rFonts w:ascii="Times New Roman" w:hAnsi="Times New Roman" w:cs="Times New Roman"/>
          <w:b/>
          <w:color w:val="auto"/>
          <w:highlight w:val="none"/>
          <w:lang w:eastAsia="zh-CN"/>
        </w:rPr>
      </w:pPr>
      <w:r>
        <w:rPr>
          <w:rFonts w:ascii="Times New Roman" w:hAnsi="Times New Roman" w:cs="Times New Roman"/>
          <w:color w:val="auto"/>
          <w:szCs w:val="21"/>
          <w:highlight w:val="none"/>
          <w:lang w:eastAsia="zh-CN"/>
        </w:rPr>
        <w:t xml:space="preserve">        法定代表人（负责人、自然人）</w:t>
      </w:r>
      <w:r>
        <w:rPr>
          <w:rFonts w:ascii="Times New Roman" w:hAnsi="Times New Roman" w:cs="Times New Roman"/>
          <w:color w:val="auto"/>
          <w:highlight w:val="none"/>
          <w:lang w:eastAsia="zh-CN"/>
        </w:rPr>
        <w:t>或相应的委托代理人</w:t>
      </w:r>
      <w:r>
        <w:rPr>
          <w:rFonts w:ascii="Times New Roman" w:hAnsi="Times New Roman" w:cs="Times New Roman"/>
          <w:color w:val="auto"/>
          <w:szCs w:val="21"/>
          <w:highlight w:val="none"/>
          <w:lang w:eastAsia="zh-CN"/>
        </w:rPr>
        <w:t>签字（或个人CA证书签章）</w:t>
      </w:r>
      <w:r>
        <w:rPr>
          <w:rFonts w:ascii="Times New Roman" w:hAnsi="Times New Roman" w:cs="Times New Roman"/>
          <w:color w:val="auto"/>
          <w:highlight w:val="none"/>
          <w:lang w:eastAsia="zh-CN"/>
        </w:rPr>
        <w:t>：</w:t>
      </w:r>
      <w:r>
        <w:rPr>
          <w:rFonts w:ascii="Times New Roman" w:hAnsi="Times New Roman" w:cs="Times New Roman"/>
          <w:color w:val="auto"/>
          <w:szCs w:val="21"/>
          <w:highlight w:val="none"/>
          <w:u w:val="single"/>
          <w:lang w:eastAsia="zh-CN"/>
        </w:rPr>
        <w:t xml:space="preserve">                             </w:t>
      </w:r>
      <w:r>
        <w:rPr>
          <w:rFonts w:ascii="Times New Roman" w:hAnsi="Times New Roman" w:cs="Times New Roman"/>
          <w:color w:val="auto"/>
          <w:highlight w:val="none"/>
          <w:lang w:eastAsia="zh-CN"/>
        </w:rPr>
        <w:t>日     期：</w:t>
      </w:r>
      <w:r>
        <w:rPr>
          <w:rFonts w:ascii="Times New Roman" w:hAnsi="Times New Roman" w:cs="Times New Roman"/>
          <w:color w:val="auto"/>
          <w:highlight w:val="none"/>
          <w:u w:val="single"/>
          <w:lang w:eastAsia="zh-CN"/>
        </w:rPr>
        <w:t xml:space="preserve">                                                   </w:t>
      </w:r>
      <w:r>
        <w:rPr>
          <w:rFonts w:ascii="Times New Roman" w:hAnsi="Times New Roman" w:cs="Times New Roman"/>
          <w:b/>
          <w:color w:val="auto"/>
          <w:highlight w:val="none"/>
          <w:lang w:eastAsia="zh-CN"/>
        </w:rPr>
        <w:t xml:space="preserve">  </w:t>
      </w:r>
    </w:p>
    <w:p w14:paraId="7353D74A">
      <w:pPr>
        <w:pStyle w:val="11"/>
        <w:spacing w:line="400" w:lineRule="exact"/>
        <w:rPr>
          <w:rFonts w:ascii="Times New Roman" w:hAnsi="Times New Roman" w:cs="Times New Roman"/>
          <w:b/>
          <w:color w:val="auto"/>
          <w:highlight w:val="none"/>
          <w:lang w:eastAsia="zh-CN"/>
        </w:rPr>
      </w:pPr>
      <w:r>
        <w:rPr>
          <w:rFonts w:ascii="Times New Roman" w:hAnsi="Times New Roman" w:cs="Times New Roman"/>
          <w:b/>
          <w:color w:val="auto"/>
          <w:highlight w:val="none"/>
          <w:lang w:eastAsia="zh-CN"/>
        </w:rPr>
        <w:t>注：1. 说明：供应商应对照</w:t>
      </w:r>
      <w:r>
        <w:rPr>
          <w:rFonts w:ascii="Times New Roman" w:hAnsi="Times New Roman" w:eastAsia="宋体" w:cs="Times New Roman"/>
          <w:b/>
          <w:color w:val="auto"/>
          <w:highlight w:val="none"/>
          <w:lang w:eastAsia="zh-CN"/>
        </w:rPr>
        <w:t>谈判</w:t>
      </w:r>
      <w:r>
        <w:rPr>
          <w:rFonts w:ascii="Times New Roman" w:hAnsi="Times New Roman" w:cs="Times New Roman"/>
          <w:b/>
          <w:color w:val="auto"/>
          <w:highlight w:val="none"/>
          <w:lang w:eastAsia="zh-CN"/>
        </w:rPr>
        <w:t>文件“第三章 采购需求”中的“采购内容及技术参数”逐条作出明确响应，并作出偏离说明。</w:t>
      </w:r>
    </w:p>
    <w:p w14:paraId="727721F9">
      <w:pPr>
        <w:pStyle w:val="11"/>
        <w:spacing w:line="400" w:lineRule="exact"/>
        <w:rPr>
          <w:rFonts w:ascii="Times New Roman" w:hAnsi="Times New Roman" w:cs="Times New Roman"/>
          <w:b/>
          <w:color w:val="auto"/>
          <w:highlight w:val="none"/>
          <w:lang w:eastAsia="zh-CN"/>
        </w:rPr>
      </w:pPr>
      <w:r>
        <w:rPr>
          <w:rFonts w:ascii="Times New Roman" w:hAnsi="Times New Roman" w:cs="Times New Roman"/>
          <w:b/>
          <w:color w:val="auto"/>
          <w:highlight w:val="none"/>
          <w:lang w:eastAsia="zh-CN"/>
        </w:rPr>
        <w:t>2. 供应商应根据</w:t>
      </w:r>
      <w:r>
        <w:rPr>
          <w:rFonts w:ascii="Times New Roman" w:hAnsi="Times New Roman" w:eastAsia="宋体" w:cs="Times New Roman"/>
          <w:b/>
          <w:color w:val="auto"/>
          <w:highlight w:val="none"/>
          <w:lang w:eastAsia="zh-CN"/>
        </w:rPr>
        <w:t>谈判</w:t>
      </w:r>
      <w:r>
        <w:rPr>
          <w:rFonts w:ascii="Times New Roman" w:hAnsi="Times New Roman" w:cs="Times New Roman"/>
          <w:b/>
          <w:color w:val="auto"/>
          <w:highlight w:val="none"/>
          <w:lang w:eastAsia="zh-CN"/>
        </w:rPr>
        <w:t>设备的性能指标，对照</w:t>
      </w:r>
      <w:r>
        <w:rPr>
          <w:rFonts w:ascii="Times New Roman" w:hAnsi="Times New Roman" w:eastAsia="宋体" w:cs="Times New Roman"/>
          <w:b/>
          <w:color w:val="auto"/>
          <w:highlight w:val="none"/>
          <w:lang w:eastAsia="zh-CN"/>
        </w:rPr>
        <w:t>谈判</w:t>
      </w:r>
      <w:r>
        <w:rPr>
          <w:rFonts w:ascii="Times New Roman" w:hAnsi="Times New Roman" w:cs="Times New Roman"/>
          <w:b/>
          <w:color w:val="auto"/>
          <w:highlight w:val="none"/>
          <w:lang w:eastAsia="zh-CN"/>
        </w:rPr>
        <w:t>文件要求，在“偏离说明”中注明“正偏离”、“负偏离”或者“无偏离”。既不属于“正偏离”也不属于“负偏离”即为“无偏离”。</w:t>
      </w:r>
    </w:p>
    <w:p w14:paraId="5F5F4378">
      <w:pPr>
        <w:pStyle w:val="11"/>
        <w:spacing w:line="400" w:lineRule="exact"/>
        <w:rPr>
          <w:rFonts w:ascii="Times New Roman" w:hAnsi="Times New Roman" w:cs="Times New Roman"/>
          <w:b/>
          <w:color w:val="auto"/>
          <w:highlight w:val="none"/>
          <w:lang w:eastAsia="zh-CN"/>
        </w:rPr>
      </w:pPr>
      <w:r>
        <w:rPr>
          <w:rFonts w:ascii="Times New Roman" w:hAnsi="Times New Roman" w:cs="Times New Roman"/>
          <w:b/>
          <w:color w:val="auto"/>
          <w:highlight w:val="none"/>
          <w:lang w:eastAsia="zh-CN"/>
        </w:rPr>
        <w:t>3.服务内容及技术需求偏离表须由法定代表人(负责人、自然人)或相应的委托代理人签字（或个人CA证书签章）并加盖供应商公章（CA证书签章）。</w:t>
      </w:r>
    </w:p>
    <w:p w14:paraId="64AC2FBA">
      <w:pPr>
        <w:pStyle w:val="6"/>
        <w:spacing w:line="400" w:lineRule="exact"/>
        <w:rPr>
          <w:rFonts w:ascii="Times New Roman" w:hAnsi="Times New Roman" w:cs="Times New Roman"/>
          <w:b/>
          <w:color w:val="auto"/>
          <w:highlight w:val="none"/>
          <w:lang w:eastAsia="zh-CN"/>
        </w:rPr>
      </w:pPr>
    </w:p>
    <w:p w14:paraId="3CAFEA4E">
      <w:pPr>
        <w:rPr>
          <w:rFonts w:ascii="Times New Roman" w:hAnsi="Times New Roman" w:eastAsia="宋体" w:cs="Times New Roman"/>
          <w:b/>
          <w:color w:val="auto"/>
          <w:sz w:val="28"/>
          <w:szCs w:val="28"/>
          <w:highlight w:val="none"/>
          <w:lang w:eastAsia="zh-CN"/>
        </w:rPr>
      </w:pPr>
      <w:r>
        <w:rPr>
          <w:rFonts w:ascii="Times New Roman" w:hAnsi="Times New Roman" w:eastAsia="宋体" w:cs="Times New Roman"/>
          <w:b/>
          <w:color w:val="auto"/>
          <w:sz w:val="28"/>
          <w:szCs w:val="28"/>
          <w:highlight w:val="none"/>
          <w:lang w:eastAsia="zh-CN"/>
        </w:rPr>
        <w:br w:type="page"/>
      </w:r>
    </w:p>
    <w:p w14:paraId="43BC9637">
      <w:pPr>
        <w:tabs>
          <w:tab w:val="left" w:pos="1305"/>
        </w:tabs>
        <w:spacing w:line="400" w:lineRule="exact"/>
        <w:rPr>
          <w:rFonts w:ascii="Times New Roman" w:hAnsi="Times New Roman" w:eastAsia="宋体" w:cs="Times New Roman"/>
          <w:b/>
          <w:color w:val="auto"/>
          <w:sz w:val="28"/>
          <w:szCs w:val="28"/>
          <w:highlight w:val="none"/>
          <w:lang w:eastAsia="zh-CN"/>
        </w:rPr>
      </w:pPr>
      <w:r>
        <w:rPr>
          <w:rFonts w:ascii="Times New Roman" w:hAnsi="Times New Roman" w:eastAsia="宋体" w:cs="Times New Roman"/>
          <w:b/>
          <w:color w:val="auto"/>
          <w:sz w:val="28"/>
          <w:szCs w:val="28"/>
          <w:highlight w:val="none"/>
          <w:lang w:eastAsia="zh-CN"/>
        </w:rPr>
        <w:t>4.</w:t>
      </w:r>
      <w:r>
        <w:rPr>
          <w:rFonts w:hint="eastAsia" w:ascii="Times New Roman" w:hAnsi="Times New Roman" w:eastAsia="宋体" w:cs="Times New Roman"/>
          <w:b/>
          <w:color w:val="auto"/>
          <w:sz w:val="28"/>
          <w:szCs w:val="28"/>
          <w:highlight w:val="none"/>
          <w:lang w:eastAsia="zh-CN"/>
        </w:rPr>
        <w:t>商务要求响应表</w:t>
      </w:r>
      <w:r>
        <w:rPr>
          <w:rFonts w:ascii="Times New Roman" w:hAnsi="Times New Roman" w:eastAsia="宋体" w:cs="Times New Roman"/>
          <w:b/>
          <w:color w:val="auto"/>
          <w:sz w:val="28"/>
          <w:szCs w:val="28"/>
          <w:highlight w:val="none"/>
          <w:lang w:eastAsia="zh-CN"/>
        </w:rPr>
        <w:t>（必须提供）；</w:t>
      </w:r>
    </w:p>
    <w:p w14:paraId="34DB9AB1">
      <w:pPr>
        <w:spacing w:line="400" w:lineRule="exact"/>
        <w:rPr>
          <w:rFonts w:ascii="Times New Roman" w:hAnsi="Times New Roman" w:cs="Times New Roman"/>
          <w:color w:val="auto"/>
          <w:highlight w:val="none"/>
          <w:lang w:eastAsia="zh-CN"/>
        </w:rPr>
      </w:pPr>
    </w:p>
    <w:p w14:paraId="67CA428D">
      <w:pPr>
        <w:spacing w:line="400" w:lineRule="exact"/>
        <w:rPr>
          <w:rFonts w:ascii="Times New Roman" w:hAnsi="Times New Roman" w:cs="Times New Roman"/>
          <w:b/>
          <w:color w:val="auto"/>
          <w:sz w:val="30"/>
          <w:szCs w:val="30"/>
          <w:highlight w:val="none"/>
        </w:rPr>
      </w:pPr>
      <w:r>
        <w:rPr>
          <w:rFonts w:ascii="Times New Roman" w:hAnsi="Times New Roman" w:cs="Times New Roman"/>
          <w:b/>
          <w:color w:val="auto"/>
          <w:sz w:val="30"/>
          <w:szCs w:val="30"/>
          <w:highlight w:val="none"/>
        </w:rPr>
        <w:t>附件：</w:t>
      </w:r>
    </w:p>
    <w:p w14:paraId="55681BA6">
      <w:pPr>
        <w:spacing w:line="400" w:lineRule="exact"/>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b/>
          <w:bCs/>
          <w:color w:val="auto"/>
          <w:sz w:val="32"/>
          <w:szCs w:val="32"/>
          <w:highlight w:val="none"/>
          <w:u w:val="single"/>
          <w:lang w:val="en-US" w:eastAsia="zh-CN"/>
        </w:rPr>
        <w:t xml:space="preserve">       </w:t>
      </w:r>
      <w:r>
        <w:rPr>
          <w:rFonts w:hint="eastAsia" w:ascii="Times New Roman" w:hAnsi="Times New Roman" w:eastAsia="宋体" w:cs="Times New Roman"/>
          <w:b/>
          <w:bCs/>
          <w:color w:val="auto"/>
          <w:sz w:val="32"/>
          <w:szCs w:val="32"/>
          <w:highlight w:val="none"/>
          <w:lang w:eastAsia="zh-CN"/>
        </w:rPr>
        <w:t>分标商务要求响应表</w:t>
      </w:r>
    </w:p>
    <w:tbl>
      <w:tblPr>
        <w:tblStyle w:val="22"/>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6"/>
        <w:gridCol w:w="3148"/>
        <w:gridCol w:w="2617"/>
        <w:gridCol w:w="2089"/>
      </w:tblGrid>
      <w:tr w14:paraId="0D2A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15F995E2">
            <w:pPr>
              <w:spacing w:line="400" w:lineRule="exact"/>
              <w:jc w:val="center"/>
              <w:rPr>
                <w:rFonts w:ascii="Times New Roman" w:hAnsi="Times New Roman" w:cs="Times New Roman"/>
                <w:color w:val="auto"/>
                <w:szCs w:val="20"/>
                <w:highlight w:val="none"/>
              </w:rPr>
            </w:pPr>
            <w:r>
              <w:rPr>
                <w:rFonts w:ascii="Times New Roman" w:hAnsi="Times New Roman" w:cs="Times New Roman"/>
                <w:color w:val="auto"/>
                <w:szCs w:val="20"/>
                <w:highlight w:val="none"/>
              </w:rPr>
              <w:t>项目</w:t>
            </w:r>
          </w:p>
        </w:tc>
        <w:tc>
          <w:tcPr>
            <w:tcW w:w="3148" w:type="dxa"/>
            <w:tcBorders>
              <w:top w:val="single" w:color="auto" w:sz="4" w:space="0"/>
              <w:left w:val="single" w:color="auto" w:sz="4" w:space="0"/>
              <w:bottom w:val="single" w:color="auto" w:sz="4" w:space="0"/>
              <w:right w:val="single" w:color="auto" w:sz="4" w:space="0"/>
            </w:tcBorders>
            <w:vAlign w:val="center"/>
          </w:tcPr>
          <w:p w14:paraId="22F7CC21">
            <w:pPr>
              <w:spacing w:line="400" w:lineRule="exact"/>
              <w:jc w:val="center"/>
              <w:rPr>
                <w:rFonts w:ascii="Times New Roman" w:hAnsi="Times New Roman" w:cs="Times New Roman"/>
                <w:color w:val="auto"/>
                <w:szCs w:val="20"/>
                <w:highlight w:val="none"/>
              </w:rPr>
            </w:pPr>
            <w:r>
              <w:rPr>
                <w:rFonts w:ascii="Times New Roman" w:hAnsi="Times New Roman" w:cs="Times New Roman"/>
                <w:color w:val="auto"/>
                <w:szCs w:val="20"/>
                <w:highlight w:val="none"/>
                <w:lang w:eastAsia="zh-CN"/>
              </w:rPr>
              <w:t>谈判文件</w:t>
            </w:r>
            <w:r>
              <w:rPr>
                <w:rFonts w:ascii="Times New Roman" w:hAnsi="Times New Roman" w:cs="Times New Roman"/>
                <w:color w:val="auto"/>
                <w:szCs w:val="20"/>
                <w:highlight w:val="none"/>
              </w:rPr>
              <w:t>要求</w:t>
            </w:r>
          </w:p>
        </w:tc>
        <w:tc>
          <w:tcPr>
            <w:tcW w:w="2617" w:type="dxa"/>
            <w:tcBorders>
              <w:top w:val="single" w:color="auto" w:sz="4" w:space="0"/>
              <w:left w:val="single" w:color="auto" w:sz="4" w:space="0"/>
              <w:bottom w:val="single" w:color="auto" w:sz="4" w:space="0"/>
              <w:right w:val="single" w:color="auto" w:sz="4" w:space="0"/>
            </w:tcBorders>
            <w:vAlign w:val="center"/>
          </w:tcPr>
          <w:p w14:paraId="175EDD57">
            <w:pPr>
              <w:spacing w:line="400" w:lineRule="exact"/>
              <w:jc w:val="center"/>
              <w:rPr>
                <w:rFonts w:ascii="Times New Roman" w:hAnsi="Times New Roman" w:cs="Times New Roman"/>
                <w:color w:val="auto"/>
                <w:szCs w:val="20"/>
                <w:highlight w:val="none"/>
              </w:rPr>
            </w:pPr>
            <w:r>
              <w:rPr>
                <w:rFonts w:ascii="Times New Roman" w:hAnsi="Times New Roman" w:cs="Times New Roman"/>
                <w:color w:val="auto"/>
                <w:szCs w:val="20"/>
                <w:highlight w:val="none"/>
                <w:lang w:eastAsia="zh-CN"/>
              </w:rPr>
              <w:t>响应文件</w:t>
            </w:r>
            <w:r>
              <w:rPr>
                <w:rFonts w:ascii="Times New Roman" w:hAnsi="Times New Roman" w:cs="Times New Roman"/>
                <w:color w:val="auto"/>
                <w:szCs w:val="20"/>
                <w:highlight w:val="none"/>
              </w:rPr>
              <w:t>的响应情况</w:t>
            </w:r>
          </w:p>
        </w:tc>
        <w:tc>
          <w:tcPr>
            <w:tcW w:w="2089" w:type="dxa"/>
            <w:tcBorders>
              <w:top w:val="single" w:color="auto" w:sz="4" w:space="0"/>
              <w:left w:val="single" w:color="auto" w:sz="4" w:space="0"/>
              <w:bottom w:val="single" w:color="auto" w:sz="4" w:space="0"/>
              <w:right w:val="single" w:color="auto" w:sz="4" w:space="0"/>
            </w:tcBorders>
            <w:vAlign w:val="center"/>
          </w:tcPr>
          <w:p w14:paraId="2D5E13CB">
            <w:pPr>
              <w:spacing w:line="400" w:lineRule="exact"/>
              <w:jc w:val="center"/>
              <w:rPr>
                <w:rFonts w:ascii="Times New Roman" w:hAnsi="Times New Roman" w:cs="Times New Roman"/>
                <w:color w:val="auto"/>
                <w:szCs w:val="20"/>
                <w:highlight w:val="none"/>
                <w:lang w:eastAsia="zh-CN"/>
              </w:rPr>
            </w:pPr>
            <w:r>
              <w:rPr>
                <w:rFonts w:ascii="Times New Roman" w:hAnsi="Times New Roman" w:cs="Times New Roman"/>
                <w:color w:val="auto"/>
                <w:highlight w:val="none"/>
              </w:rPr>
              <w:t>偏离情况说明</w:t>
            </w:r>
          </w:p>
        </w:tc>
      </w:tr>
      <w:tr w14:paraId="5FB1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2625865B">
            <w:pPr>
              <w:spacing w:line="400" w:lineRule="exact"/>
              <w:jc w:val="center"/>
              <w:rPr>
                <w:rFonts w:ascii="Times New Roman" w:hAnsi="Times New Roman" w:cs="Times New Roman"/>
                <w:color w:val="auto"/>
                <w:szCs w:val="20"/>
                <w:highlight w:val="none"/>
              </w:rPr>
            </w:pPr>
          </w:p>
        </w:tc>
        <w:tc>
          <w:tcPr>
            <w:tcW w:w="3148" w:type="dxa"/>
            <w:tcBorders>
              <w:top w:val="single" w:color="auto" w:sz="4" w:space="0"/>
              <w:left w:val="single" w:color="auto" w:sz="4" w:space="0"/>
              <w:bottom w:val="single" w:color="auto" w:sz="4" w:space="0"/>
              <w:right w:val="single" w:color="auto" w:sz="4" w:space="0"/>
            </w:tcBorders>
            <w:vAlign w:val="center"/>
          </w:tcPr>
          <w:p w14:paraId="08A0171F">
            <w:pPr>
              <w:spacing w:line="400" w:lineRule="exact"/>
              <w:rPr>
                <w:rFonts w:ascii="Times New Roman" w:hAnsi="Times New Roman" w:cs="Times New Roman"/>
                <w:color w:val="auto"/>
                <w:szCs w:val="20"/>
                <w:highlight w:val="none"/>
              </w:rPr>
            </w:pPr>
          </w:p>
        </w:tc>
        <w:tc>
          <w:tcPr>
            <w:tcW w:w="2617" w:type="dxa"/>
            <w:tcBorders>
              <w:top w:val="single" w:color="auto" w:sz="4" w:space="0"/>
              <w:left w:val="single" w:color="auto" w:sz="4" w:space="0"/>
              <w:bottom w:val="single" w:color="auto" w:sz="4" w:space="0"/>
              <w:right w:val="single" w:color="auto" w:sz="4" w:space="0"/>
            </w:tcBorders>
          </w:tcPr>
          <w:p w14:paraId="00A3AD5F">
            <w:pPr>
              <w:spacing w:line="400" w:lineRule="exact"/>
              <w:jc w:val="center"/>
              <w:rPr>
                <w:rFonts w:ascii="Times New Roman" w:hAnsi="Times New Roman" w:cs="Times New Roman"/>
                <w:color w:val="auto"/>
                <w:szCs w:val="20"/>
                <w:highlight w:val="none"/>
              </w:rPr>
            </w:pPr>
          </w:p>
        </w:tc>
        <w:tc>
          <w:tcPr>
            <w:tcW w:w="2089" w:type="dxa"/>
            <w:tcBorders>
              <w:top w:val="single" w:color="auto" w:sz="4" w:space="0"/>
              <w:left w:val="single" w:color="auto" w:sz="4" w:space="0"/>
              <w:bottom w:val="single" w:color="auto" w:sz="4" w:space="0"/>
              <w:right w:val="single" w:color="auto" w:sz="4" w:space="0"/>
            </w:tcBorders>
          </w:tcPr>
          <w:p w14:paraId="223ED654">
            <w:pPr>
              <w:spacing w:line="400" w:lineRule="exact"/>
              <w:jc w:val="center"/>
              <w:rPr>
                <w:rFonts w:ascii="Times New Roman" w:hAnsi="Times New Roman" w:cs="Times New Roman"/>
                <w:color w:val="auto"/>
                <w:szCs w:val="20"/>
                <w:highlight w:val="none"/>
              </w:rPr>
            </w:pPr>
          </w:p>
        </w:tc>
      </w:tr>
      <w:tr w14:paraId="5E38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263BD08F">
            <w:pPr>
              <w:spacing w:line="400" w:lineRule="exact"/>
              <w:jc w:val="center"/>
              <w:rPr>
                <w:rFonts w:ascii="Times New Roman" w:hAnsi="Times New Roman" w:cs="Times New Roman"/>
                <w:color w:val="auto"/>
                <w:szCs w:val="20"/>
                <w:highlight w:val="none"/>
              </w:rPr>
            </w:pPr>
          </w:p>
        </w:tc>
        <w:tc>
          <w:tcPr>
            <w:tcW w:w="3148" w:type="dxa"/>
            <w:tcBorders>
              <w:top w:val="single" w:color="auto" w:sz="4" w:space="0"/>
              <w:left w:val="single" w:color="auto" w:sz="4" w:space="0"/>
              <w:bottom w:val="single" w:color="auto" w:sz="4" w:space="0"/>
              <w:right w:val="single" w:color="auto" w:sz="4" w:space="0"/>
            </w:tcBorders>
          </w:tcPr>
          <w:p w14:paraId="5FBCD0D1">
            <w:pPr>
              <w:spacing w:line="400" w:lineRule="exact"/>
              <w:rPr>
                <w:rFonts w:ascii="Times New Roman" w:hAnsi="Times New Roman" w:cs="Times New Roman"/>
                <w:color w:val="auto"/>
                <w:szCs w:val="20"/>
                <w:highlight w:val="none"/>
              </w:rPr>
            </w:pPr>
          </w:p>
        </w:tc>
        <w:tc>
          <w:tcPr>
            <w:tcW w:w="2617" w:type="dxa"/>
            <w:tcBorders>
              <w:top w:val="single" w:color="auto" w:sz="4" w:space="0"/>
              <w:left w:val="single" w:color="auto" w:sz="4" w:space="0"/>
              <w:bottom w:val="single" w:color="auto" w:sz="4" w:space="0"/>
              <w:right w:val="single" w:color="auto" w:sz="4" w:space="0"/>
            </w:tcBorders>
          </w:tcPr>
          <w:p w14:paraId="69A3DE14">
            <w:pPr>
              <w:spacing w:line="400" w:lineRule="exact"/>
              <w:jc w:val="center"/>
              <w:rPr>
                <w:rFonts w:ascii="Times New Roman" w:hAnsi="Times New Roman" w:cs="Times New Roman"/>
                <w:color w:val="auto"/>
                <w:szCs w:val="20"/>
                <w:highlight w:val="none"/>
              </w:rPr>
            </w:pPr>
          </w:p>
        </w:tc>
        <w:tc>
          <w:tcPr>
            <w:tcW w:w="2089" w:type="dxa"/>
            <w:tcBorders>
              <w:top w:val="single" w:color="auto" w:sz="4" w:space="0"/>
              <w:left w:val="single" w:color="auto" w:sz="4" w:space="0"/>
              <w:bottom w:val="single" w:color="auto" w:sz="4" w:space="0"/>
              <w:right w:val="single" w:color="auto" w:sz="4" w:space="0"/>
            </w:tcBorders>
          </w:tcPr>
          <w:p w14:paraId="4E8BA4A5">
            <w:pPr>
              <w:spacing w:line="400" w:lineRule="exact"/>
              <w:jc w:val="center"/>
              <w:rPr>
                <w:rFonts w:ascii="Times New Roman" w:hAnsi="Times New Roman" w:cs="Times New Roman"/>
                <w:color w:val="auto"/>
                <w:szCs w:val="20"/>
                <w:highlight w:val="none"/>
              </w:rPr>
            </w:pPr>
          </w:p>
        </w:tc>
      </w:tr>
      <w:tr w14:paraId="1B5B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2A24834C">
            <w:pPr>
              <w:spacing w:line="400" w:lineRule="exact"/>
              <w:jc w:val="center"/>
              <w:rPr>
                <w:rFonts w:ascii="Times New Roman" w:hAnsi="Times New Roman" w:cs="Times New Roman"/>
                <w:color w:val="auto"/>
                <w:szCs w:val="20"/>
                <w:highlight w:val="none"/>
              </w:rPr>
            </w:pPr>
          </w:p>
        </w:tc>
        <w:tc>
          <w:tcPr>
            <w:tcW w:w="3148" w:type="dxa"/>
            <w:tcBorders>
              <w:top w:val="single" w:color="auto" w:sz="4" w:space="0"/>
              <w:left w:val="single" w:color="auto" w:sz="4" w:space="0"/>
              <w:bottom w:val="single" w:color="auto" w:sz="4" w:space="0"/>
              <w:right w:val="single" w:color="auto" w:sz="4" w:space="0"/>
            </w:tcBorders>
            <w:vAlign w:val="center"/>
          </w:tcPr>
          <w:p w14:paraId="55CDC4B6">
            <w:pPr>
              <w:spacing w:line="400" w:lineRule="exact"/>
              <w:rPr>
                <w:rFonts w:ascii="Times New Roman" w:hAnsi="Times New Roman" w:cs="Times New Roman"/>
                <w:color w:val="auto"/>
                <w:szCs w:val="20"/>
                <w:highlight w:val="none"/>
              </w:rPr>
            </w:pPr>
          </w:p>
        </w:tc>
        <w:tc>
          <w:tcPr>
            <w:tcW w:w="2617" w:type="dxa"/>
            <w:tcBorders>
              <w:top w:val="single" w:color="auto" w:sz="4" w:space="0"/>
              <w:left w:val="single" w:color="auto" w:sz="4" w:space="0"/>
              <w:bottom w:val="single" w:color="auto" w:sz="4" w:space="0"/>
              <w:right w:val="single" w:color="auto" w:sz="4" w:space="0"/>
            </w:tcBorders>
          </w:tcPr>
          <w:p w14:paraId="52006C9B">
            <w:pPr>
              <w:spacing w:line="400" w:lineRule="exact"/>
              <w:jc w:val="center"/>
              <w:rPr>
                <w:rFonts w:ascii="Times New Roman" w:hAnsi="Times New Roman" w:cs="Times New Roman"/>
                <w:color w:val="auto"/>
                <w:szCs w:val="20"/>
                <w:highlight w:val="none"/>
              </w:rPr>
            </w:pPr>
          </w:p>
        </w:tc>
        <w:tc>
          <w:tcPr>
            <w:tcW w:w="2089" w:type="dxa"/>
            <w:tcBorders>
              <w:top w:val="single" w:color="auto" w:sz="4" w:space="0"/>
              <w:left w:val="single" w:color="auto" w:sz="4" w:space="0"/>
              <w:bottom w:val="single" w:color="auto" w:sz="4" w:space="0"/>
              <w:right w:val="single" w:color="auto" w:sz="4" w:space="0"/>
            </w:tcBorders>
          </w:tcPr>
          <w:p w14:paraId="75536520">
            <w:pPr>
              <w:spacing w:line="400" w:lineRule="exact"/>
              <w:jc w:val="center"/>
              <w:rPr>
                <w:rFonts w:ascii="Times New Roman" w:hAnsi="Times New Roman" w:cs="Times New Roman"/>
                <w:color w:val="auto"/>
                <w:szCs w:val="20"/>
                <w:highlight w:val="none"/>
              </w:rPr>
            </w:pPr>
          </w:p>
        </w:tc>
      </w:tr>
      <w:tr w14:paraId="69C6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1DC85A3F">
            <w:pPr>
              <w:spacing w:line="400" w:lineRule="exact"/>
              <w:jc w:val="center"/>
              <w:rPr>
                <w:rFonts w:ascii="Times New Roman" w:hAnsi="Times New Roman" w:cs="Times New Roman"/>
                <w:color w:val="auto"/>
                <w:szCs w:val="20"/>
                <w:highlight w:val="none"/>
              </w:rPr>
            </w:pPr>
          </w:p>
        </w:tc>
        <w:tc>
          <w:tcPr>
            <w:tcW w:w="3148" w:type="dxa"/>
            <w:tcBorders>
              <w:top w:val="single" w:color="auto" w:sz="4" w:space="0"/>
              <w:left w:val="single" w:color="auto" w:sz="4" w:space="0"/>
              <w:bottom w:val="single" w:color="auto" w:sz="4" w:space="0"/>
              <w:right w:val="single" w:color="auto" w:sz="4" w:space="0"/>
            </w:tcBorders>
            <w:vAlign w:val="center"/>
          </w:tcPr>
          <w:p w14:paraId="2A3AF4DC">
            <w:pPr>
              <w:spacing w:line="400" w:lineRule="exact"/>
              <w:rPr>
                <w:rFonts w:ascii="Times New Roman" w:hAnsi="Times New Roman" w:cs="Times New Roman"/>
                <w:color w:val="auto"/>
                <w:highlight w:val="none"/>
              </w:rPr>
            </w:pPr>
          </w:p>
        </w:tc>
        <w:tc>
          <w:tcPr>
            <w:tcW w:w="2617" w:type="dxa"/>
            <w:tcBorders>
              <w:top w:val="single" w:color="auto" w:sz="4" w:space="0"/>
              <w:left w:val="single" w:color="auto" w:sz="4" w:space="0"/>
              <w:bottom w:val="single" w:color="auto" w:sz="4" w:space="0"/>
              <w:right w:val="single" w:color="auto" w:sz="4" w:space="0"/>
            </w:tcBorders>
          </w:tcPr>
          <w:p w14:paraId="32D06AD3">
            <w:pPr>
              <w:spacing w:line="400" w:lineRule="exact"/>
              <w:jc w:val="center"/>
              <w:rPr>
                <w:rFonts w:ascii="Times New Roman" w:hAnsi="Times New Roman" w:cs="Times New Roman"/>
                <w:color w:val="auto"/>
                <w:szCs w:val="20"/>
                <w:highlight w:val="none"/>
              </w:rPr>
            </w:pPr>
          </w:p>
        </w:tc>
        <w:tc>
          <w:tcPr>
            <w:tcW w:w="2089" w:type="dxa"/>
            <w:tcBorders>
              <w:top w:val="single" w:color="auto" w:sz="4" w:space="0"/>
              <w:left w:val="single" w:color="auto" w:sz="4" w:space="0"/>
              <w:bottom w:val="single" w:color="auto" w:sz="4" w:space="0"/>
              <w:right w:val="single" w:color="auto" w:sz="4" w:space="0"/>
            </w:tcBorders>
          </w:tcPr>
          <w:p w14:paraId="009EDE66">
            <w:pPr>
              <w:spacing w:line="400" w:lineRule="exact"/>
              <w:jc w:val="center"/>
              <w:rPr>
                <w:rFonts w:ascii="Times New Roman" w:hAnsi="Times New Roman" w:cs="Times New Roman"/>
                <w:color w:val="auto"/>
                <w:szCs w:val="20"/>
                <w:highlight w:val="none"/>
              </w:rPr>
            </w:pPr>
          </w:p>
        </w:tc>
      </w:tr>
      <w:tr w14:paraId="22FE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06" w:type="dxa"/>
            <w:tcBorders>
              <w:top w:val="single" w:color="auto" w:sz="4" w:space="0"/>
              <w:left w:val="single" w:color="auto" w:sz="4" w:space="0"/>
              <w:bottom w:val="single" w:color="auto" w:sz="4" w:space="0"/>
              <w:right w:val="single" w:color="auto" w:sz="4" w:space="0"/>
            </w:tcBorders>
            <w:vAlign w:val="center"/>
          </w:tcPr>
          <w:p w14:paraId="027322CF">
            <w:pPr>
              <w:spacing w:line="400" w:lineRule="exact"/>
              <w:jc w:val="center"/>
              <w:rPr>
                <w:rFonts w:ascii="Times New Roman" w:hAnsi="Times New Roman" w:cs="Times New Roman"/>
                <w:color w:val="auto"/>
                <w:szCs w:val="20"/>
                <w:highlight w:val="none"/>
              </w:rPr>
            </w:pPr>
            <w:r>
              <w:rPr>
                <w:rFonts w:ascii="Times New Roman" w:hAnsi="Times New Roman" w:cs="Times New Roman"/>
                <w:color w:val="auto"/>
                <w:szCs w:val="20"/>
                <w:highlight w:val="none"/>
              </w:rPr>
              <w:t>……</w:t>
            </w:r>
          </w:p>
        </w:tc>
        <w:tc>
          <w:tcPr>
            <w:tcW w:w="3148" w:type="dxa"/>
            <w:tcBorders>
              <w:top w:val="single" w:color="auto" w:sz="4" w:space="0"/>
              <w:left w:val="single" w:color="auto" w:sz="4" w:space="0"/>
              <w:bottom w:val="single" w:color="auto" w:sz="4" w:space="0"/>
              <w:right w:val="single" w:color="auto" w:sz="4" w:space="0"/>
            </w:tcBorders>
            <w:vAlign w:val="center"/>
          </w:tcPr>
          <w:p w14:paraId="160B1F7E">
            <w:pPr>
              <w:spacing w:line="400" w:lineRule="exact"/>
              <w:rPr>
                <w:rFonts w:ascii="Times New Roman" w:hAnsi="Times New Roman" w:cs="Times New Roman"/>
                <w:color w:val="auto"/>
                <w:highlight w:val="none"/>
              </w:rPr>
            </w:pPr>
          </w:p>
        </w:tc>
        <w:tc>
          <w:tcPr>
            <w:tcW w:w="2617" w:type="dxa"/>
            <w:tcBorders>
              <w:top w:val="single" w:color="auto" w:sz="4" w:space="0"/>
              <w:left w:val="single" w:color="auto" w:sz="4" w:space="0"/>
              <w:bottom w:val="single" w:color="auto" w:sz="4" w:space="0"/>
              <w:right w:val="single" w:color="auto" w:sz="4" w:space="0"/>
            </w:tcBorders>
          </w:tcPr>
          <w:p w14:paraId="43C3D268">
            <w:pPr>
              <w:spacing w:line="400" w:lineRule="exact"/>
              <w:jc w:val="center"/>
              <w:rPr>
                <w:rFonts w:ascii="Times New Roman" w:hAnsi="Times New Roman" w:cs="Times New Roman"/>
                <w:color w:val="auto"/>
                <w:szCs w:val="20"/>
                <w:highlight w:val="none"/>
              </w:rPr>
            </w:pPr>
          </w:p>
        </w:tc>
        <w:tc>
          <w:tcPr>
            <w:tcW w:w="2089" w:type="dxa"/>
            <w:tcBorders>
              <w:top w:val="single" w:color="auto" w:sz="4" w:space="0"/>
              <w:left w:val="single" w:color="auto" w:sz="4" w:space="0"/>
              <w:bottom w:val="single" w:color="auto" w:sz="4" w:space="0"/>
              <w:right w:val="single" w:color="auto" w:sz="4" w:space="0"/>
            </w:tcBorders>
          </w:tcPr>
          <w:p w14:paraId="4A6BC203">
            <w:pPr>
              <w:spacing w:line="400" w:lineRule="exact"/>
              <w:jc w:val="center"/>
              <w:rPr>
                <w:rFonts w:ascii="Times New Roman" w:hAnsi="Times New Roman" w:cs="Times New Roman"/>
                <w:color w:val="auto"/>
                <w:szCs w:val="20"/>
                <w:highlight w:val="none"/>
              </w:rPr>
            </w:pPr>
          </w:p>
        </w:tc>
      </w:tr>
    </w:tbl>
    <w:p w14:paraId="23E30178">
      <w:pPr>
        <w:spacing w:line="400" w:lineRule="exact"/>
        <w:ind w:firstLine="1050" w:firstLineChars="500"/>
        <w:rPr>
          <w:rFonts w:ascii="Times New Roman" w:hAnsi="Times New Roman" w:cs="Times New Roman"/>
          <w:color w:val="auto"/>
          <w:highlight w:val="none"/>
          <w:u w:val="single"/>
          <w:lang w:eastAsia="zh-CN"/>
        </w:rPr>
      </w:pPr>
      <w:r>
        <w:rPr>
          <w:rFonts w:ascii="Times New Roman" w:hAnsi="Times New Roman" w:cs="Times New Roman"/>
          <w:color w:val="auto"/>
          <w:highlight w:val="none"/>
          <w:lang w:eastAsia="zh-CN"/>
        </w:rPr>
        <w:t xml:space="preserve">  供应商(CA证书签章)：</w:t>
      </w:r>
      <w:r>
        <w:rPr>
          <w:rFonts w:ascii="Times New Roman" w:hAnsi="Times New Roman" w:cs="Times New Roman"/>
          <w:color w:val="auto"/>
          <w:highlight w:val="none"/>
          <w:u w:val="single"/>
          <w:lang w:eastAsia="zh-CN"/>
        </w:rPr>
        <w:t xml:space="preserve">                                     </w:t>
      </w:r>
    </w:p>
    <w:p w14:paraId="56BC2A6A">
      <w:pPr>
        <w:pStyle w:val="11"/>
        <w:spacing w:line="400" w:lineRule="exact"/>
        <w:ind w:firstLine="420"/>
        <w:rPr>
          <w:rFonts w:ascii="Times New Roman" w:hAnsi="Times New Roman" w:cs="Times New Roman"/>
          <w:color w:val="auto"/>
          <w:szCs w:val="21"/>
          <w:highlight w:val="none"/>
          <w:u w:val="single"/>
          <w:lang w:eastAsia="zh-CN"/>
        </w:rPr>
      </w:pPr>
      <w:r>
        <w:rPr>
          <w:rFonts w:ascii="Times New Roman" w:hAnsi="Times New Roman" w:cs="Times New Roman"/>
          <w:color w:val="auto"/>
          <w:szCs w:val="21"/>
          <w:highlight w:val="none"/>
          <w:lang w:eastAsia="zh-CN"/>
        </w:rPr>
        <w:t xml:space="preserve">        法定代表人（负责人、自然人）</w:t>
      </w:r>
      <w:r>
        <w:rPr>
          <w:rFonts w:ascii="Times New Roman" w:hAnsi="Times New Roman" w:cs="Times New Roman"/>
          <w:color w:val="auto"/>
          <w:highlight w:val="none"/>
          <w:lang w:eastAsia="zh-CN"/>
        </w:rPr>
        <w:t>或相应的委托代理人</w:t>
      </w:r>
      <w:r>
        <w:rPr>
          <w:rFonts w:ascii="Times New Roman" w:hAnsi="Times New Roman" w:cs="Times New Roman"/>
          <w:color w:val="auto"/>
          <w:szCs w:val="21"/>
          <w:highlight w:val="none"/>
          <w:lang w:eastAsia="zh-CN"/>
        </w:rPr>
        <w:t>签字（或个人CA证书签章）</w:t>
      </w:r>
      <w:r>
        <w:rPr>
          <w:rFonts w:ascii="Times New Roman" w:hAnsi="Times New Roman" w:cs="Times New Roman"/>
          <w:color w:val="auto"/>
          <w:highlight w:val="none"/>
          <w:lang w:eastAsia="zh-CN"/>
        </w:rPr>
        <w:t>：</w:t>
      </w:r>
      <w:r>
        <w:rPr>
          <w:rFonts w:ascii="Times New Roman" w:hAnsi="Times New Roman" w:cs="Times New Roman"/>
          <w:color w:val="auto"/>
          <w:szCs w:val="21"/>
          <w:highlight w:val="none"/>
          <w:u w:val="single"/>
          <w:lang w:eastAsia="zh-CN"/>
        </w:rPr>
        <w:t xml:space="preserve">                              </w:t>
      </w:r>
    </w:p>
    <w:p w14:paraId="0BB40BD6">
      <w:pPr>
        <w:spacing w:line="400" w:lineRule="exact"/>
        <w:rPr>
          <w:rFonts w:ascii="Times New Roman" w:hAnsi="Times New Roman" w:cs="Times New Roman"/>
          <w:color w:val="auto"/>
          <w:highlight w:val="none"/>
          <w:u w:val="single"/>
          <w:lang w:eastAsia="zh-CN"/>
        </w:rPr>
      </w:pPr>
      <w:r>
        <w:rPr>
          <w:rFonts w:ascii="Times New Roman" w:hAnsi="Times New Roman" w:cs="Times New Roman"/>
          <w:color w:val="auto"/>
          <w:highlight w:val="none"/>
          <w:lang w:eastAsia="zh-CN"/>
        </w:rPr>
        <w:t xml:space="preserve">            日     期：</w:t>
      </w:r>
      <w:r>
        <w:rPr>
          <w:rFonts w:ascii="Times New Roman" w:hAnsi="Times New Roman" w:cs="Times New Roman"/>
          <w:color w:val="auto"/>
          <w:highlight w:val="none"/>
          <w:u w:val="single"/>
          <w:lang w:eastAsia="zh-CN"/>
        </w:rPr>
        <w:t xml:space="preserve">                                                   </w:t>
      </w:r>
    </w:p>
    <w:p w14:paraId="1536D6BA">
      <w:pPr>
        <w:pStyle w:val="11"/>
        <w:spacing w:line="400" w:lineRule="exact"/>
        <w:rPr>
          <w:rFonts w:ascii="Times New Roman" w:hAnsi="Times New Roman" w:cs="Times New Roman"/>
          <w:b/>
          <w:color w:val="auto"/>
          <w:highlight w:val="none"/>
          <w:lang w:eastAsia="zh-CN"/>
        </w:rPr>
      </w:pPr>
      <w:r>
        <w:rPr>
          <w:rFonts w:ascii="Times New Roman" w:hAnsi="Times New Roman" w:cs="Times New Roman"/>
          <w:b/>
          <w:color w:val="auto"/>
          <w:highlight w:val="none"/>
          <w:lang w:eastAsia="zh-CN"/>
        </w:rPr>
        <w:t>注：</w:t>
      </w:r>
      <w:r>
        <w:rPr>
          <w:rFonts w:hint="eastAsia" w:ascii="Times New Roman" w:hAnsi="Times New Roman" w:cs="Times New Roman"/>
          <w:b/>
          <w:color w:val="auto"/>
          <w:highlight w:val="none"/>
          <w:lang w:eastAsia="zh-CN"/>
        </w:rPr>
        <w:t>商务要求响应表</w:t>
      </w:r>
      <w:r>
        <w:rPr>
          <w:rFonts w:ascii="Times New Roman" w:hAnsi="Times New Roman" w:cs="Times New Roman"/>
          <w:b/>
          <w:color w:val="auto"/>
          <w:highlight w:val="none"/>
          <w:lang w:eastAsia="zh-CN"/>
        </w:rPr>
        <w:t>须由法定代表人(负责人、自然人)或相应的委托代理人签字（或个人CA证书签章）并加盖供应商公章（CA证书签章）。</w:t>
      </w:r>
    </w:p>
    <w:p w14:paraId="73D86A12">
      <w:pPr>
        <w:widowControl w:val="0"/>
        <w:spacing w:line="400" w:lineRule="exact"/>
        <w:rPr>
          <w:rFonts w:ascii="Times New Roman" w:hAnsi="Times New Roman" w:eastAsia="宋体" w:cs="Times New Roman"/>
          <w:b/>
          <w:bCs/>
          <w:color w:val="auto"/>
          <w:sz w:val="28"/>
          <w:szCs w:val="28"/>
          <w:highlight w:val="none"/>
          <w:lang w:eastAsia="zh-CN"/>
        </w:rPr>
      </w:pPr>
    </w:p>
    <w:p w14:paraId="506A1FD6">
      <w:pPr>
        <w:spacing w:line="400" w:lineRule="exact"/>
        <w:rPr>
          <w:rFonts w:ascii="Times New Roman" w:hAnsi="Times New Roman" w:eastAsia="宋体" w:cs="Times New Roman"/>
          <w:b/>
          <w:bCs/>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br w:type="page"/>
      </w:r>
    </w:p>
    <w:p w14:paraId="125432C8">
      <w:pPr>
        <w:widowControl w:val="0"/>
        <w:spacing w:line="400" w:lineRule="exact"/>
        <w:rPr>
          <w:rFonts w:ascii="Times New Roman" w:hAnsi="Times New Roman" w:eastAsia="宋体" w:cs="Times New Roman"/>
          <w:b/>
          <w:bCs/>
          <w:color w:val="auto"/>
          <w:sz w:val="31"/>
          <w:szCs w:val="31"/>
          <w:highlight w:val="none"/>
          <w:lang w:eastAsia="zh-CN"/>
        </w:rPr>
      </w:pPr>
      <w:r>
        <w:rPr>
          <w:rFonts w:ascii="Times New Roman" w:hAnsi="Times New Roman" w:eastAsia="宋体" w:cs="Times New Roman"/>
          <w:b/>
          <w:bCs/>
          <w:color w:val="auto"/>
          <w:sz w:val="28"/>
          <w:szCs w:val="28"/>
          <w:highlight w:val="none"/>
          <w:lang w:eastAsia="zh-CN"/>
        </w:rPr>
        <w:t>5.售后服务承诺书（必须提供）</w:t>
      </w:r>
    </w:p>
    <w:p w14:paraId="432CD48F">
      <w:pPr>
        <w:widowControl w:val="0"/>
        <w:spacing w:line="400" w:lineRule="exact"/>
        <w:ind w:firstLine="1556" w:firstLineChars="500"/>
        <w:rPr>
          <w:rFonts w:ascii="Times New Roman" w:hAnsi="Times New Roman" w:eastAsia="宋体" w:cs="Times New Roman"/>
          <w:b/>
          <w:bCs/>
          <w:color w:val="auto"/>
          <w:sz w:val="31"/>
          <w:szCs w:val="31"/>
          <w:highlight w:val="none"/>
          <w:lang w:eastAsia="zh-CN"/>
        </w:rPr>
      </w:pPr>
    </w:p>
    <w:p w14:paraId="29E34ABE">
      <w:pPr>
        <w:widowControl w:val="0"/>
        <w:spacing w:line="400" w:lineRule="exact"/>
        <w:ind w:firstLine="2490" w:firstLineChars="800"/>
        <w:rPr>
          <w:rFonts w:ascii="Times New Roman" w:hAnsi="Times New Roman" w:eastAsia="宋体" w:cs="Times New Roman"/>
          <w:color w:val="auto"/>
          <w:sz w:val="31"/>
          <w:szCs w:val="31"/>
          <w:highlight w:val="none"/>
          <w:lang w:eastAsia="zh-CN"/>
        </w:rPr>
      </w:pPr>
      <w:r>
        <w:rPr>
          <w:rFonts w:hint="eastAsia" w:ascii="Times New Roman" w:hAnsi="Times New Roman" w:eastAsia="宋体" w:cs="Times New Roman"/>
          <w:b/>
          <w:bCs/>
          <w:color w:val="auto"/>
          <w:sz w:val="31"/>
          <w:szCs w:val="31"/>
          <w:highlight w:val="none"/>
          <w:u w:val="single"/>
          <w:lang w:val="en-US" w:eastAsia="zh-CN"/>
        </w:rPr>
        <w:t xml:space="preserve">      </w:t>
      </w:r>
      <w:r>
        <w:rPr>
          <w:rFonts w:hint="eastAsia" w:ascii="Times New Roman" w:hAnsi="Times New Roman" w:eastAsia="宋体" w:cs="Times New Roman"/>
          <w:b/>
          <w:bCs/>
          <w:color w:val="auto"/>
          <w:sz w:val="31"/>
          <w:szCs w:val="31"/>
          <w:highlight w:val="none"/>
          <w:lang w:eastAsia="zh-CN"/>
        </w:rPr>
        <w:t>分标</w:t>
      </w:r>
      <w:r>
        <w:rPr>
          <w:rFonts w:ascii="Times New Roman" w:hAnsi="Times New Roman" w:eastAsia="宋体" w:cs="Times New Roman"/>
          <w:b/>
          <w:bCs/>
          <w:color w:val="auto"/>
          <w:sz w:val="31"/>
          <w:szCs w:val="31"/>
          <w:highlight w:val="none"/>
          <w:lang w:eastAsia="zh-CN"/>
        </w:rPr>
        <w:t>售后服务承诺书（格式，内容自拟）</w:t>
      </w:r>
    </w:p>
    <w:p w14:paraId="0FB717DE">
      <w:pPr>
        <w:pStyle w:val="8"/>
        <w:widowControl w:val="0"/>
        <w:spacing w:line="400" w:lineRule="exact"/>
        <w:ind w:firstLine="420" w:firstLineChars="200"/>
        <w:rPr>
          <w:rFonts w:ascii="Times New Roman" w:hAnsi="Times New Roman" w:cs="Times New Roman"/>
          <w:color w:val="auto"/>
          <w:highlight w:val="none"/>
          <w:lang w:eastAsia="zh-CN"/>
        </w:rPr>
      </w:pPr>
    </w:p>
    <w:p w14:paraId="7E1B6601">
      <w:pPr>
        <w:widowControl w:val="0"/>
        <w:spacing w:line="400" w:lineRule="exact"/>
        <w:ind w:firstLine="480" w:firstLineChars="200"/>
        <w:outlineLvl w:val="1"/>
        <w:rPr>
          <w:rFonts w:ascii="Times New Roman" w:hAnsi="Times New Roman" w:eastAsia="宋体" w:cs="Times New Roman"/>
          <w:color w:val="auto"/>
          <w:sz w:val="24"/>
          <w:szCs w:val="24"/>
          <w:highlight w:val="none"/>
          <w:lang w:eastAsia="zh-CN"/>
        </w:rPr>
      </w:pPr>
    </w:p>
    <w:p w14:paraId="7C2523B4">
      <w:pPr>
        <w:widowControl w:val="0"/>
        <w:spacing w:line="400" w:lineRule="exact"/>
        <w:ind w:firstLine="480" w:firstLineChars="200"/>
        <w:outlineLvl w:val="1"/>
        <w:rPr>
          <w:rFonts w:ascii="Times New Roman" w:hAnsi="Times New Roman" w:eastAsia="宋体" w:cs="Times New Roman"/>
          <w:color w:val="auto"/>
          <w:sz w:val="24"/>
          <w:szCs w:val="24"/>
          <w:highlight w:val="none"/>
          <w:lang w:eastAsia="zh-CN"/>
        </w:rPr>
      </w:pPr>
    </w:p>
    <w:p w14:paraId="37D7AD99">
      <w:pPr>
        <w:widowControl w:val="0"/>
        <w:spacing w:line="400" w:lineRule="exact"/>
        <w:ind w:firstLine="480" w:firstLineChars="200"/>
        <w:outlineLvl w:val="1"/>
        <w:rPr>
          <w:rFonts w:ascii="Times New Roman" w:hAnsi="Times New Roman" w:eastAsia="宋体" w:cs="Times New Roman"/>
          <w:color w:val="auto"/>
          <w:sz w:val="24"/>
          <w:szCs w:val="24"/>
          <w:highlight w:val="none"/>
          <w:lang w:eastAsia="zh-CN"/>
        </w:rPr>
      </w:pPr>
    </w:p>
    <w:p w14:paraId="682B8E23">
      <w:pPr>
        <w:widowControl w:val="0"/>
        <w:spacing w:line="400" w:lineRule="exact"/>
        <w:ind w:firstLine="480" w:firstLineChars="200"/>
        <w:outlineLvl w:val="1"/>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供应商(CA 证书签章)：</w:t>
      </w:r>
    </w:p>
    <w:p w14:paraId="69F8C076">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法定代表人或相应的委托代理人签字（或个人 CA 证书签章）：</w:t>
      </w:r>
    </w:p>
    <w:p w14:paraId="06FC505A">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日     期：</w:t>
      </w:r>
    </w:p>
    <w:p w14:paraId="18A34C3D">
      <w:pPr>
        <w:pStyle w:val="8"/>
        <w:widowControl w:val="0"/>
        <w:spacing w:line="400" w:lineRule="exact"/>
        <w:ind w:firstLine="420" w:firstLineChars="200"/>
        <w:rPr>
          <w:rFonts w:ascii="Times New Roman" w:hAnsi="Times New Roman" w:cs="Times New Roman"/>
          <w:color w:val="auto"/>
          <w:highlight w:val="none"/>
          <w:lang w:eastAsia="zh-CN"/>
        </w:rPr>
      </w:pPr>
    </w:p>
    <w:p w14:paraId="4BB074D6">
      <w:pPr>
        <w:widowControl w:val="0"/>
        <w:spacing w:line="400" w:lineRule="exact"/>
        <w:ind w:firstLine="482" w:firstLineChars="200"/>
        <w:rPr>
          <w:rFonts w:ascii="Times New Roman" w:hAnsi="Times New Roman" w:eastAsia="宋体" w:cs="Times New Roman"/>
          <w:b/>
          <w:bCs/>
          <w:color w:val="auto"/>
          <w:sz w:val="24"/>
          <w:szCs w:val="24"/>
          <w:highlight w:val="none"/>
          <w:lang w:eastAsia="zh-CN"/>
        </w:rPr>
      </w:pPr>
      <w:r>
        <w:rPr>
          <w:rFonts w:ascii="Times New Roman" w:hAnsi="Times New Roman" w:eastAsia="宋体" w:cs="Times New Roman"/>
          <w:b/>
          <w:bCs/>
          <w:color w:val="auto"/>
          <w:sz w:val="24"/>
          <w:szCs w:val="24"/>
          <w:highlight w:val="none"/>
          <w:lang w:eastAsia="zh-CN"/>
        </w:rPr>
        <w:t>注：售后服务承诺书须由法定代表人或相应的委托代理人签字（或个人</w:t>
      </w:r>
      <w:r>
        <w:rPr>
          <w:rFonts w:ascii="Times New Roman" w:hAnsi="Times New Roman" w:eastAsia="宋体" w:cs="Times New Roman"/>
          <w:color w:val="auto"/>
          <w:sz w:val="24"/>
          <w:szCs w:val="24"/>
          <w:highlight w:val="none"/>
          <w:lang w:eastAsia="zh-CN"/>
        </w:rPr>
        <w:t xml:space="preserve"> </w:t>
      </w:r>
      <w:r>
        <w:rPr>
          <w:rFonts w:ascii="Times New Roman" w:hAnsi="Times New Roman" w:eastAsia="宋体" w:cs="Times New Roman"/>
          <w:b/>
          <w:bCs/>
          <w:color w:val="auto"/>
          <w:sz w:val="24"/>
          <w:szCs w:val="24"/>
          <w:highlight w:val="none"/>
          <w:lang w:eastAsia="zh-CN"/>
        </w:rPr>
        <w:t>CA</w:t>
      </w:r>
      <w:r>
        <w:rPr>
          <w:rFonts w:ascii="Times New Roman" w:hAnsi="Times New Roman" w:eastAsia="宋体" w:cs="Times New Roman"/>
          <w:color w:val="auto"/>
          <w:sz w:val="24"/>
          <w:szCs w:val="24"/>
          <w:highlight w:val="none"/>
          <w:lang w:eastAsia="zh-CN"/>
        </w:rPr>
        <w:t xml:space="preserve"> </w:t>
      </w:r>
      <w:r>
        <w:rPr>
          <w:rFonts w:ascii="Times New Roman" w:hAnsi="Times New Roman" w:eastAsia="宋体" w:cs="Times New Roman"/>
          <w:b/>
          <w:bCs/>
          <w:color w:val="auto"/>
          <w:sz w:val="24"/>
          <w:szCs w:val="24"/>
          <w:highlight w:val="none"/>
          <w:lang w:eastAsia="zh-CN"/>
        </w:rPr>
        <w:t>证书</w:t>
      </w:r>
      <w:r>
        <w:rPr>
          <w:rFonts w:ascii="Times New Roman" w:hAnsi="Times New Roman" w:eastAsia="宋体" w:cs="Times New Roman"/>
          <w:color w:val="auto"/>
          <w:sz w:val="24"/>
          <w:szCs w:val="24"/>
          <w:highlight w:val="none"/>
          <w:lang w:eastAsia="zh-CN"/>
        </w:rPr>
        <w:t xml:space="preserve"> </w:t>
      </w:r>
      <w:r>
        <w:rPr>
          <w:rFonts w:ascii="Times New Roman" w:hAnsi="Times New Roman" w:eastAsia="宋体" w:cs="Times New Roman"/>
          <w:b/>
          <w:bCs/>
          <w:color w:val="auto"/>
          <w:sz w:val="24"/>
          <w:szCs w:val="24"/>
          <w:highlight w:val="none"/>
          <w:lang w:eastAsia="zh-CN"/>
        </w:rPr>
        <w:t>签章）并加盖投供应商公章（CA</w:t>
      </w:r>
      <w:r>
        <w:rPr>
          <w:rFonts w:ascii="Times New Roman" w:hAnsi="Times New Roman" w:eastAsia="宋体" w:cs="Times New Roman"/>
          <w:color w:val="auto"/>
          <w:sz w:val="24"/>
          <w:szCs w:val="24"/>
          <w:highlight w:val="none"/>
          <w:lang w:eastAsia="zh-CN"/>
        </w:rPr>
        <w:t xml:space="preserve"> </w:t>
      </w:r>
      <w:r>
        <w:rPr>
          <w:rFonts w:ascii="Times New Roman" w:hAnsi="Times New Roman" w:eastAsia="宋体" w:cs="Times New Roman"/>
          <w:b/>
          <w:bCs/>
          <w:color w:val="auto"/>
          <w:sz w:val="24"/>
          <w:szCs w:val="24"/>
          <w:highlight w:val="none"/>
          <w:lang w:eastAsia="zh-CN"/>
        </w:rPr>
        <w:t>证书签章）。</w:t>
      </w:r>
    </w:p>
    <w:p w14:paraId="4B7F03D1">
      <w:pPr>
        <w:pStyle w:val="3"/>
        <w:spacing w:line="400" w:lineRule="exact"/>
        <w:rPr>
          <w:rFonts w:ascii="Times New Roman" w:hAnsi="Times New Roman"/>
          <w:bCs/>
          <w:color w:val="auto"/>
          <w:kern w:val="0"/>
          <w:sz w:val="28"/>
          <w:szCs w:val="28"/>
          <w:highlight w:val="none"/>
        </w:rPr>
      </w:pPr>
    </w:p>
    <w:p w14:paraId="62C24D1A">
      <w:pPr>
        <w:spacing w:line="400" w:lineRule="exact"/>
        <w:rPr>
          <w:rFonts w:ascii="Times New Roman" w:hAnsi="Times New Roman" w:eastAsia="宋体" w:cs="Times New Roman"/>
          <w:b/>
          <w:bCs/>
          <w:color w:val="auto"/>
          <w:sz w:val="28"/>
          <w:szCs w:val="28"/>
          <w:highlight w:val="none"/>
          <w:lang w:eastAsia="zh-CN"/>
        </w:rPr>
      </w:pPr>
    </w:p>
    <w:p w14:paraId="5314D907">
      <w:pPr>
        <w:spacing w:line="400" w:lineRule="exact"/>
        <w:rPr>
          <w:rFonts w:ascii="Times New Roman" w:hAnsi="Times New Roman" w:eastAsia="宋体" w:cs="Times New Roman"/>
          <w:b/>
          <w:bCs/>
          <w:color w:val="auto"/>
          <w:sz w:val="28"/>
          <w:szCs w:val="28"/>
          <w:highlight w:val="none"/>
          <w:lang w:eastAsia="zh-CN"/>
        </w:rPr>
      </w:pPr>
    </w:p>
    <w:p w14:paraId="61D6C1AD">
      <w:pPr>
        <w:spacing w:line="400" w:lineRule="exact"/>
        <w:rPr>
          <w:rFonts w:ascii="Times New Roman" w:hAnsi="Times New Roman" w:eastAsia="宋体" w:cs="Times New Roman"/>
          <w:b/>
          <w:bCs/>
          <w:color w:val="auto"/>
          <w:sz w:val="28"/>
          <w:szCs w:val="28"/>
          <w:highlight w:val="none"/>
          <w:lang w:eastAsia="zh-CN"/>
        </w:rPr>
      </w:pPr>
    </w:p>
    <w:p w14:paraId="06D0E56A">
      <w:pPr>
        <w:spacing w:line="400" w:lineRule="exact"/>
        <w:rPr>
          <w:rFonts w:ascii="Times New Roman" w:hAnsi="Times New Roman" w:eastAsia="宋体" w:cs="Times New Roman"/>
          <w:b/>
          <w:bCs/>
          <w:color w:val="auto"/>
          <w:sz w:val="28"/>
          <w:szCs w:val="28"/>
          <w:highlight w:val="none"/>
          <w:lang w:eastAsia="zh-CN"/>
        </w:rPr>
      </w:pPr>
    </w:p>
    <w:p w14:paraId="16FDC5A3">
      <w:pPr>
        <w:spacing w:line="400" w:lineRule="exact"/>
        <w:rPr>
          <w:rFonts w:ascii="Times New Roman" w:hAnsi="Times New Roman" w:eastAsia="宋体" w:cs="Times New Roman"/>
          <w:b/>
          <w:bCs/>
          <w:color w:val="auto"/>
          <w:sz w:val="28"/>
          <w:szCs w:val="28"/>
          <w:highlight w:val="none"/>
          <w:lang w:eastAsia="zh-CN"/>
        </w:rPr>
      </w:pPr>
    </w:p>
    <w:p w14:paraId="2093C58C">
      <w:pPr>
        <w:spacing w:line="400" w:lineRule="exact"/>
        <w:rPr>
          <w:rFonts w:ascii="Times New Roman" w:hAnsi="Times New Roman" w:eastAsia="宋体" w:cs="Times New Roman"/>
          <w:b/>
          <w:bCs/>
          <w:color w:val="auto"/>
          <w:sz w:val="28"/>
          <w:szCs w:val="28"/>
          <w:highlight w:val="none"/>
          <w:lang w:eastAsia="zh-CN"/>
        </w:rPr>
      </w:pPr>
      <w:r>
        <w:rPr>
          <w:rFonts w:ascii="Times New Roman" w:hAnsi="Times New Roman" w:eastAsia="宋体" w:cs="Times New Roman"/>
          <w:b/>
          <w:bCs/>
          <w:color w:val="auto"/>
          <w:sz w:val="28"/>
          <w:szCs w:val="28"/>
          <w:highlight w:val="none"/>
          <w:lang w:eastAsia="zh-CN"/>
        </w:rPr>
        <w:t>6.“采购需求”需提供的有效证明文件（按采购需求要求提供）。</w:t>
      </w:r>
    </w:p>
    <w:p w14:paraId="600E62B3">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p>
    <w:p w14:paraId="22ED5AE0">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p>
    <w:p w14:paraId="06C401CB">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p>
    <w:p w14:paraId="288587FD">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p>
    <w:p w14:paraId="25BEB414">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p>
    <w:p w14:paraId="200F1B77">
      <w:pPr>
        <w:widowControl w:val="0"/>
        <w:spacing w:line="400" w:lineRule="exact"/>
        <w:ind w:firstLine="480" w:firstLineChars="200"/>
        <w:rPr>
          <w:rFonts w:ascii="Times New Roman" w:hAnsi="Times New Roman" w:eastAsia="宋体" w:cs="Times New Roman"/>
          <w:color w:val="auto"/>
          <w:sz w:val="24"/>
          <w:szCs w:val="24"/>
          <w:highlight w:val="none"/>
          <w:lang w:eastAsia="zh-CN"/>
        </w:rPr>
      </w:pPr>
    </w:p>
    <w:p w14:paraId="7E9D608B">
      <w:pPr>
        <w:spacing w:line="400" w:lineRule="exact"/>
        <w:rPr>
          <w:rFonts w:ascii="Times New Roman" w:hAnsi="Times New Roman" w:eastAsia="宋体" w:cs="Times New Roman"/>
          <w:b/>
          <w:bCs/>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br w:type="page"/>
      </w:r>
    </w:p>
    <w:p w14:paraId="768DBD2A">
      <w:pPr>
        <w:widowControl w:val="0"/>
        <w:spacing w:line="400" w:lineRule="exact"/>
        <w:ind w:firstLine="622" w:firstLineChars="200"/>
        <w:rPr>
          <w:rFonts w:ascii="Times New Roman" w:hAnsi="Times New Roman" w:eastAsia="宋体" w:cs="Times New Roman"/>
          <w:color w:val="auto"/>
          <w:sz w:val="31"/>
          <w:szCs w:val="31"/>
          <w:highlight w:val="none"/>
          <w:lang w:eastAsia="zh-CN"/>
        </w:rPr>
      </w:pPr>
      <w:r>
        <w:rPr>
          <w:rFonts w:ascii="Times New Roman" w:hAnsi="Times New Roman" w:eastAsia="宋体" w:cs="Times New Roman"/>
          <w:b/>
          <w:bCs/>
          <w:color w:val="auto"/>
          <w:sz w:val="31"/>
          <w:szCs w:val="31"/>
          <w:highlight w:val="none"/>
          <w:lang w:eastAsia="zh-CN"/>
        </w:rPr>
        <w:t>（三）其它有效证明材料目录</w:t>
      </w:r>
    </w:p>
    <w:p w14:paraId="369EDA16">
      <w:pPr>
        <w:tabs>
          <w:tab w:val="left" w:pos="1305"/>
        </w:tabs>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1.项目实施方案（格式见附件）</w:t>
      </w:r>
      <w:r>
        <w:rPr>
          <w:rFonts w:ascii="Times New Roman" w:hAnsi="Times New Roman" w:eastAsia="宋体" w:cs="Times New Roman"/>
          <w:b/>
          <w:bCs/>
          <w:color w:val="auto"/>
          <w:highlight w:val="none"/>
          <w:lang w:eastAsia="zh-CN"/>
        </w:rPr>
        <w:t>（如有，请提供）；</w:t>
      </w:r>
    </w:p>
    <w:p w14:paraId="07215224">
      <w:pPr>
        <w:tabs>
          <w:tab w:val="left" w:pos="1305"/>
        </w:tabs>
        <w:spacing w:line="400" w:lineRule="exact"/>
        <w:ind w:firstLine="420" w:firstLineChars="200"/>
        <w:rPr>
          <w:rFonts w:ascii="Times New Roman" w:hAnsi="Times New Roman" w:eastAsia="宋体" w:cs="Times New Roman"/>
          <w:b/>
          <w:bCs/>
          <w:color w:val="auto"/>
          <w:highlight w:val="none"/>
          <w:lang w:eastAsia="zh-CN"/>
        </w:rPr>
      </w:pPr>
      <w:r>
        <w:rPr>
          <w:rFonts w:ascii="Times New Roman" w:hAnsi="Times New Roman" w:eastAsia="宋体" w:cs="Times New Roman"/>
          <w:color w:val="auto"/>
          <w:highlight w:val="none"/>
          <w:lang w:eastAsia="zh-CN"/>
        </w:rPr>
        <w:t>2.</w:t>
      </w:r>
      <w:r>
        <w:rPr>
          <w:rFonts w:hint="eastAsia" w:ascii="Times New Roman" w:hAnsi="Times New Roman" w:eastAsia="宋体" w:cs="Times New Roman"/>
          <w:color w:val="auto"/>
          <w:highlight w:val="none"/>
          <w:lang w:eastAsia="zh-CN"/>
        </w:rPr>
        <w:t>拟投入人员一览表</w:t>
      </w:r>
      <w:r>
        <w:rPr>
          <w:rFonts w:ascii="Times New Roman" w:hAnsi="Times New Roman" w:eastAsia="宋体" w:cs="Times New Roman"/>
          <w:b/>
          <w:bCs/>
          <w:color w:val="auto"/>
          <w:highlight w:val="none"/>
          <w:lang w:eastAsia="zh-CN"/>
        </w:rPr>
        <w:t>（如有，请提供）；</w:t>
      </w:r>
    </w:p>
    <w:p w14:paraId="2458E1E2">
      <w:pPr>
        <w:pStyle w:val="8"/>
        <w:spacing w:before="114" w:line="400" w:lineRule="exact"/>
        <w:ind w:left="428"/>
        <w:rPr>
          <w:rFonts w:ascii="Times New Roman" w:hAnsi="Times New Roman" w:eastAsia="宋体" w:cs="Times New Roman"/>
          <w:color w:val="auto"/>
          <w:highlight w:val="none"/>
          <w:lang w:eastAsia="zh-CN"/>
        </w:rPr>
      </w:pPr>
      <w:r>
        <w:rPr>
          <w:rFonts w:ascii="Times New Roman" w:hAnsi="Times New Roman" w:eastAsia="宋体" w:cs="Times New Roman"/>
          <w:color w:val="auto"/>
          <w:spacing w:val="8"/>
          <w:highlight w:val="none"/>
          <w:lang w:eastAsia="zh-CN"/>
        </w:rPr>
        <w:t>3.节能方面的证书扫描件</w:t>
      </w:r>
      <w:r>
        <w:rPr>
          <w:rFonts w:ascii="Times New Roman" w:hAnsi="Times New Roman" w:eastAsia="宋体" w:cs="Times New Roman"/>
          <w:b/>
          <w:bCs/>
          <w:color w:val="auto"/>
          <w:spacing w:val="8"/>
          <w:highlight w:val="none"/>
          <w:lang w:eastAsia="zh-CN"/>
        </w:rPr>
        <w:t>（如有，请提供</w:t>
      </w:r>
      <w:r>
        <w:rPr>
          <w:rFonts w:ascii="Times New Roman" w:hAnsi="Times New Roman" w:eastAsia="宋体" w:cs="Times New Roman"/>
          <w:b/>
          <w:bCs/>
          <w:color w:val="auto"/>
          <w:spacing w:val="1"/>
          <w:highlight w:val="none"/>
          <w:lang w:eastAsia="zh-CN"/>
        </w:rPr>
        <w:t>）</w:t>
      </w:r>
      <w:r>
        <w:rPr>
          <w:rFonts w:ascii="Times New Roman" w:hAnsi="Times New Roman" w:eastAsia="宋体" w:cs="Times New Roman"/>
          <w:color w:val="auto"/>
          <w:spacing w:val="1"/>
          <w:highlight w:val="none"/>
          <w:lang w:eastAsia="zh-CN"/>
        </w:rPr>
        <w:t>；</w:t>
      </w:r>
    </w:p>
    <w:p w14:paraId="00DE546D">
      <w:pPr>
        <w:pStyle w:val="8"/>
        <w:spacing w:before="114" w:line="400" w:lineRule="exact"/>
        <w:ind w:left="428"/>
        <w:rPr>
          <w:rFonts w:ascii="Times New Roman" w:hAnsi="Times New Roman" w:eastAsia="宋体" w:cs="Times New Roman"/>
          <w:b/>
          <w:bCs/>
          <w:color w:val="auto"/>
          <w:highlight w:val="none"/>
          <w:lang w:eastAsia="zh-CN"/>
        </w:rPr>
      </w:pPr>
      <w:r>
        <w:rPr>
          <w:rFonts w:ascii="Times New Roman" w:hAnsi="Times New Roman" w:eastAsia="宋体" w:cs="Times New Roman"/>
          <w:color w:val="auto"/>
          <w:spacing w:val="8"/>
          <w:highlight w:val="none"/>
          <w:lang w:eastAsia="zh-CN"/>
        </w:rPr>
        <w:t>4.环境标志方面的证书扫描件</w:t>
      </w:r>
      <w:r>
        <w:rPr>
          <w:rFonts w:ascii="Times New Roman" w:hAnsi="Times New Roman" w:eastAsia="宋体" w:cs="Times New Roman"/>
          <w:b/>
          <w:bCs/>
          <w:color w:val="auto"/>
          <w:spacing w:val="8"/>
          <w:highlight w:val="none"/>
          <w:lang w:eastAsia="zh-CN"/>
        </w:rPr>
        <w:t>（如有，请提供</w:t>
      </w:r>
      <w:r>
        <w:rPr>
          <w:rFonts w:ascii="Times New Roman" w:hAnsi="Times New Roman" w:eastAsia="宋体" w:cs="Times New Roman"/>
          <w:b/>
          <w:bCs/>
          <w:color w:val="auto"/>
          <w:spacing w:val="3"/>
          <w:highlight w:val="none"/>
          <w:lang w:eastAsia="zh-CN"/>
        </w:rPr>
        <w:t>）</w:t>
      </w:r>
      <w:r>
        <w:rPr>
          <w:rFonts w:ascii="Times New Roman" w:hAnsi="Times New Roman" w:eastAsia="宋体" w:cs="Times New Roman"/>
          <w:color w:val="auto"/>
          <w:spacing w:val="3"/>
          <w:highlight w:val="none"/>
          <w:lang w:eastAsia="zh-CN"/>
        </w:rPr>
        <w:t>；</w:t>
      </w:r>
    </w:p>
    <w:p w14:paraId="48417EA4">
      <w:pPr>
        <w:widowControl w:val="0"/>
        <w:spacing w:line="400" w:lineRule="exact"/>
        <w:ind w:firstLine="420" w:firstLineChars="200"/>
        <w:rPr>
          <w:rFonts w:hint="eastAsia"/>
          <w:lang w:eastAsia="zh-CN"/>
        </w:rPr>
      </w:pPr>
      <w:r>
        <w:rPr>
          <w:rFonts w:ascii="Times New Roman" w:hAnsi="Times New Roman" w:eastAsia="宋体" w:cs="Times New Roman"/>
          <w:color w:val="auto"/>
          <w:highlight w:val="none"/>
          <w:lang w:eastAsia="zh-CN"/>
        </w:rPr>
        <w:t>5.</w:t>
      </w:r>
      <w:r>
        <w:rPr>
          <w:rFonts w:ascii="Times New Roman" w:hAnsi="Times New Roman"/>
          <w:b w:val="0"/>
          <w:color w:val="auto"/>
          <w:kern w:val="0"/>
          <w:sz w:val="21"/>
          <w:szCs w:val="21"/>
          <w:highlight w:val="none"/>
        </w:rPr>
        <w:t>《</w:t>
      </w:r>
      <w:r>
        <w:rPr>
          <w:rFonts w:hint="eastAsia" w:ascii="Times New Roman" w:hAnsi="Times New Roman"/>
          <w:b w:val="0"/>
          <w:color w:val="auto"/>
          <w:kern w:val="0"/>
          <w:sz w:val="21"/>
          <w:szCs w:val="21"/>
          <w:highlight w:val="none"/>
        </w:rPr>
        <w:t>关于符合本国产品标准的声明函</w:t>
      </w:r>
      <w:r>
        <w:rPr>
          <w:rFonts w:ascii="Times New Roman" w:hAnsi="Times New Roman"/>
          <w:b w:val="0"/>
          <w:color w:val="auto"/>
          <w:kern w:val="0"/>
          <w:sz w:val="21"/>
          <w:szCs w:val="21"/>
          <w:highlight w:val="none"/>
        </w:rPr>
        <w:t>》</w:t>
      </w:r>
      <w:r>
        <w:rPr>
          <w:rFonts w:hint="eastAsia" w:ascii="Times New Roman" w:hAnsi="Times New Roman"/>
          <w:b w:val="0"/>
          <w:color w:val="auto"/>
          <w:kern w:val="0"/>
          <w:sz w:val="21"/>
          <w:szCs w:val="21"/>
          <w:highlight w:val="none"/>
        </w:rPr>
        <w:t>或者财政部会同有关部门规定的有关证明文件</w:t>
      </w:r>
      <w:r>
        <w:rPr>
          <w:rFonts w:hint="eastAsia" w:ascii="Times New Roman" w:hAnsi="Times New Roman"/>
          <w:b/>
          <w:bCs/>
          <w:color w:val="auto"/>
          <w:kern w:val="0"/>
          <w:sz w:val="21"/>
          <w:szCs w:val="21"/>
          <w:highlight w:val="none"/>
        </w:rPr>
        <w:t>（如有，请提供）</w:t>
      </w:r>
      <w:r>
        <w:rPr>
          <w:rFonts w:hint="eastAsia" w:ascii="Times New Roman" w:hAnsi="Times New Roman" w:eastAsia="宋体" w:cs="Times New Roman"/>
          <w:b/>
          <w:bCs/>
          <w:color w:val="auto"/>
          <w:highlight w:val="none"/>
          <w:lang w:eastAsia="zh-CN"/>
        </w:rPr>
        <w:t>；</w:t>
      </w:r>
    </w:p>
    <w:p w14:paraId="305D48D5">
      <w:pPr>
        <w:tabs>
          <w:tab w:val="left" w:pos="1305"/>
        </w:tabs>
        <w:spacing w:line="400" w:lineRule="exact"/>
        <w:ind w:firstLine="420" w:firstLineChars="200"/>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6</w:t>
      </w:r>
      <w:r>
        <w:rPr>
          <w:rFonts w:ascii="Times New Roman" w:hAnsi="Times New Roman" w:eastAsia="宋体" w:cs="Times New Roman"/>
          <w:color w:val="auto"/>
          <w:highlight w:val="none"/>
          <w:lang w:eastAsia="zh-CN"/>
        </w:rPr>
        <w:t>.供应商可结合本项目的评审办法视自身情况自行提交相关证明材料</w:t>
      </w:r>
      <w:r>
        <w:rPr>
          <w:rFonts w:ascii="Times New Roman" w:hAnsi="Times New Roman" w:eastAsia="宋体" w:cs="Times New Roman"/>
          <w:b/>
          <w:bCs/>
          <w:color w:val="auto"/>
          <w:highlight w:val="none"/>
          <w:lang w:eastAsia="zh-CN"/>
        </w:rPr>
        <w:t>（如有，请提供）</w:t>
      </w:r>
      <w:r>
        <w:rPr>
          <w:rFonts w:hint="eastAsia" w:ascii="Times New Roman" w:hAnsi="Times New Roman" w:eastAsia="宋体" w:cs="Times New Roman"/>
          <w:b/>
          <w:bCs/>
          <w:color w:val="auto"/>
          <w:highlight w:val="none"/>
          <w:lang w:eastAsia="zh-CN"/>
        </w:rPr>
        <w:t>。</w:t>
      </w:r>
    </w:p>
    <w:p w14:paraId="4243C68D">
      <w:pPr>
        <w:tabs>
          <w:tab w:val="left" w:pos="1305"/>
        </w:tabs>
        <w:spacing w:line="400" w:lineRule="exact"/>
        <w:ind w:firstLine="420" w:firstLineChars="200"/>
        <w:rPr>
          <w:rFonts w:ascii="Times New Roman" w:hAnsi="Times New Roman" w:cs="Times New Roman"/>
          <w:color w:val="auto"/>
          <w:highlight w:val="none"/>
          <w:lang w:eastAsia="zh-CN"/>
        </w:rPr>
      </w:pPr>
    </w:p>
    <w:p w14:paraId="3D24DFEC">
      <w:pPr>
        <w:tabs>
          <w:tab w:val="left" w:pos="1305"/>
        </w:tabs>
        <w:spacing w:line="400" w:lineRule="exact"/>
        <w:ind w:firstLine="420" w:firstLineChars="200"/>
        <w:rPr>
          <w:rFonts w:ascii="Times New Roman" w:hAnsi="Times New Roman" w:cs="Times New Roman"/>
          <w:color w:val="auto"/>
          <w:highlight w:val="none"/>
          <w:lang w:eastAsia="zh-CN"/>
        </w:rPr>
      </w:pPr>
    </w:p>
    <w:p w14:paraId="4AAF2C43">
      <w:pPr>
        <w:tabs>
          <w:tab w:val="left" w:pos="1305"/>
        </w:tabs>
        <w:spacing w:line="400" w:lineRule="exact"/>
        <w:ind w:firstLine="420" w:firstLineChars="200"/>
        <w:rPr>
          <w:rFonts w:ascii="Times New Roman" w:hAnsi="Times New Roman" w:cs="Times New Roman"/>
          <w:b/>
          <w:color w:val="auto"/>
          <w:highlight w:val="none"/>
          <w:lang w:eastAsia="zh-CN"/>
        </w:rPr>
      </w:pPr>
    </w:p>
    <w:p w14:paraId="3D41E3C7">
      <w:pPr>
        <w:pStyle w:val="11"/>
        <w:spacing w:line="400" w:lineRule="exact"/>
        <w:rPr>
          <w:rFonts w:ascii="Times New Roman" w:hAnsi="Times New Roman" w:cs="Times New Roman"/>
          <w:b/>
          <w:bCs/>
          <w:color w:val="auto"/>
          <w:sz w:val="32"/>
          <w:szCs w:val="32"/>
          <w:highlight w:val="none"/>
          <w:lang w:eastAsia="zh-CN"/>
        </w:rPr>
      </w:pPr>
    </w:p>
    <w:p w14:paraId="23CC102D">
      <w:pPr>
        <w:pStyle w:val="11"/>
        <w:spacing w:line="400" w:lineRule="exact"/>
        <w:rPr>
          <w:rFonts w:ascii="Times New Roman" w:hAnsi="Times New Roman" w:cs="Times New Roman"/>
          <w:b/>
          <w:bCs/>
          <w:color w:val="auto"/>
          <w:sz w:val="32"/>
          <w:szCs w:val="32"/>
          <w:highlight w:val="none"/>
          <w:lang w:eastAsia="zh-CN"/>
        </w:rPr>
      </w:pPr>
    </w:p>
    <w:p w14:paraId="669561BE">
      <w:pPr>
        <w:pStyle w:val="11"/>
        <w:spacing w:line="400" w:lineRule="exact"/>
        <w:rPr>
          <w:rFonts w:ascii="Times New Roman" w:hAnsi="Times New Roman" w:cs="Times New Roman"/>
          <w:b/>
          <w:bCs/>
          <w:color w:val="auto"/>
          <w:sz w:val="32"/>
          <w:szCs w:val="32"/>
          <w:highlight w:val="none"/>
          <w:lang w:eastAsia="zh-CN"/>
        </w:rPr>
      </w:pPr>
    </w:p>
    <w:p w14:paraId="0BD3963C">
      <w:pPr>
        <w:pStyle w:val="11"/>
        <w:spacing w:line="400" w:lineRule="exact"/>
        <w:rPr>
          <w:rFonts w:ascii="Times New Roman" w:hAnsi="Times New Roman" w:cs="Times New Roman"/>
          <w:b/>
          <w:bCs/>
          <w:color w:val="auto"/>
          <w:sz w:val="32"/>
          <w:szCs w:val="32"/>
          <w:highlight w:val="none"/>
          <w:lang w:eastAsia="zh-CN"/>
        </w:rPr>
      </w:pPr>
    </w:p>
    <w:p w14:paraId="4F3737F7">
      <w:pPr>
        <w:pStyle w:val="11"/>
        <w:spacing w:line="400" w:lineRule="exact"/>
        <w:rPr>
          <w:rFonts w:ascii="Times New Roman" w:hAnsi="Times New Roman" w:cs="Times New Roman"/>
          <w:b/>
          <w:bCs/>
          <w:color w:val="auto"/>
          <w:sz w:val="32"/>
          <w:szCs w:val="32"/>
          <w:highlight w:val="none"/>
          <w:lang w:eastAsia="zh-CN"/>
        </w:rPr>
      </w:pPr>
    </w:p>
    <w:p w14:paraId="146AD31A">
      <w:pPr>
        <w:pStyle w:val="11"/>
        <w:spacing w:line="400" w:lineRule="exact"/>
        <w:rPr>
          <w:rFonts w:ascii="Times New Roman" w:hAnsi="Times New Roman" w:cs="Times New Roman"/>
          <w:b/>
          <w:bCs/>
          <w:color w:val="auto"/>
          <w:sz w:val="32"/>
          <w:szCs w:val="32"/>
          <w:highlight w:val="none"/>
          <w:lang w:eastAsia="zh-CN"/>
        </w:rPr>
      </w:pPr>
    </w:p>
    <w:p w14:paraId="61315426">
      <w:pPr>
        <w:pStyle w:val="11"/>
        <w:spacing w:line="400" w:lineRule="exact"/>
        <w:rPr>
          <w:rFonts w:ascii="Times New Roman" w:hAnsi="Times New Roman" w:cs="Times New Roman"/>
          <w:b/>
          <w:bCs/>
          <w:color w:val="auto"/>
          <w:sz w:val="32"/>
          <w:szCs w:val="32"/>
          <w:highlight w:val="none"/>
          <w:lang w:eastAsia="zh-CN"/>
        </w:rPr>
      </w:pPr>
    </w:p>
    <w:p w14:paraId="3C762F7D">
      <w:pPr>
        <w:pStyle w:val="11"/>
        <w:spacing w:line="400" w:lineRule="exact"/>
        <w:rPr>
          <w:rFonts w:ascii="Times New Roman" w:hAnsi="Times New Roman" w:eastAsia="宋体" w:cs="Times New Roman"/>
          <w:b/>
          <w:color w:val="auto"/>
          <w:sz w:val="32"/>
          <w:highlight w:val="none"/>
          <w:lang w:eastAsia="zh-CN"/>
        </w:rPr>
      </w:pPr>
      <w:r>
        <w:rPr>
          <w:rFonts w:ascii="Times New Roman" w:hAnsi="Times New Roman" w:cs="Times New Roman"/>
          <w:b/>
          <w:color w:val="auto"/>
          <w:sz w:val="32"/>
          <w:highlight w:val="none"/>
          <w:lang w:eastAsia="zh-CN"/>
        </w:rPr>
        <w:br w:type="page"/>
      </w:r>
      <w:r>
        <w:rPr>
          <w:rFonts w:ascii="Times New Roman" w:hAnsi="Times New Roman" w:eastAsia="宋体" w:cs="Times New Roman"/>
          <w:b/>
          <w:color w:val="auto"/>
          <w:sz w:val="32"/>
          <w:highlight w:val="none"/>
          <w:lang w:eastAsia="zh-CN"/>
        </w:rPr>
        <w:t>1.项目实施方案（格式见附件）（如有，请提供）；</w:t>
      </w:r>
    </w:p>
    <w:p w14:paraId="1D08A7A7">
      <w:pPr>
        <w:pStyle w:val="8"/>
        <w:spacing w:before="247" w:line="400" w:lineRule="exact"/>
        <w:ind w:left="37"/>
        <w:rPr>
          <w:rFonts w:ascii="Times New Roman" w:hAnsi="Times New Roman" w:cs="Times New Roman"/>
          <w:color w:val="auto"/>
          <w:sz w:val="28"/>
          <w:szCs w:val="28"/>
          <w:highlight w:val="none"/>
          <w:lang w:eastAsia="zh-CN"/>
        </w:rPr>
      </w:pPr>
      <w:r>
        <w:rPr>
          <w:rFonts w:ascii="Times New Roman" w:hAnsi="Times New Roman" w:cs="Times New Roman"/>
          <w:b/>
          <w:bCs/>
          <w:color w:val="auto"/>
          <w:spacing w:val="-9"/>
          <w:sz w:val="28"/>
          <w:szCs w:val="28"/>
          <w:highlight w:val="none"/>
          <w:lang w:eastAsia="zh-CN"/>
        </w:rPr>
        <w:t>附件：</w:t>
      </w:r>
    </w:p>
    <w:p w14:paraId="701471F4">
      <w:pPr>
        <w:spacing w:line="400" w:lineRule="exact"/>
        <w:rPr>
          <w:rFonts w:ascii="Times New Roman" w:hAnsi="Times New Roman" w:cs="Times New Roman"/>
          <w:color w:val="auto"/>
          <w:highlight w:val="none"/>
          <w:lang w:eastAsia="zh-CN"/>
        </w:rPr>
      </w:pPr>
    </w:p>
    <w:p w14:paraId="5B6497FF">
      <w:pPr>
        <w:spacing w:line="400" w:lineRule="exact"/>
        <w:rPr>
          <w:rFonts w:ascii="Times New Roman" w:hAnsi="Times New Roman" w:cs="Times New Roman"/>
          <w:color w:val="auto"/>
          <w:highlight w:val="none"/>
          <w:lang w:eastAsia="zh-CN"/>
        </w:rPr>
      </w:pPr>
    </w:p>
    <w:p w14:paraId="3D28034E">
      <w:pPr>
        <w:spacing w:line="400" w:lineRule="exact"/>
        <w:rPr>
          <w:rFonts w:ascii="Times New Roman" w:hAnsi="Times New Roman" w:cs="Times New Roman"/>
          <w:color w:val="auto"/>
          <w:highlight w:val="none"/>
          <w:lang w:eastAsia="zh-CN"/>
        </w:rPr>
      </w:pPr>
    </w:p>
    <w:p w14:paraId="43138FDE">
      <w:pPr>
        <w:spacing w:line="400" w:lineRule="exact"/>
        <w:rPr>
          <w:rFonts w:ascii="Times New Roman" w:hAnsi="Times New Roman" w:cs="Times New Roman"/>
          <w:color w:val="auto"/>
          <w:highlight w:val="none"/>
          <w:lang w:eastAsia="zh-CN"/>
        </w:rPr>
      </w:pPr>
    </w:p>
    <w:p w14:paraId="60830AE4">
      <w:pPr>
        <w:pStyle w:val="8"/>
        <w:spacing w:before="91" w:line="400" w:lineRule="exact"/>
        <w:jc w:val="center"/>
        <w:rPr>
          <w:rFonts w:ascii="Times New Roman" w:hAnsi="Times New Roman" w:eastAsia="宋体" w:cs="Times New Roman"/>
          <w:b/>
          <w:bCs/>
          <w:color w:val="auto"/>
          <w:spacing w:val="-4"/>
          <w:sz w:val="28"/>
          <w:szCs w:val="28"/>
          <w:highlight w:val="none"/>
          <w:lang w:eastAsia="zh-CN"/>
        </w:rPr>
      </w:pPr>
      <w:r>
        <w:rPr>
          <w:rFonts w:ascii="Times New Roman" w:hAnsi="Times New Roman" w:eastAsia="宋体" w:cs="Times New Roman"/>
          <w:b/>
          <w:bCs/>
          <w:color w:val="auto"/>
          <w:spacing w:val="-4"/>
          <w:sz w:val="28"/>
          <w:szCs w:val="28"/>
          <w:highlight w:val="none"/>
          <w:lang w:eastAsia="zh-CN"/>
        </w:rPr>
        <w:t>项目实施方案 （格式）</w:t>
      </w:r>
    </w:p>
    <w:p w14:paraId="1E45C577">
      <w:pPr>
        <w:spacing w:line="400" w:lineRule="exact"/>
        <w:rPr>
          <w:rFonts w:ascii="Times New Roman" w:hAnsi="Times New Roman" w:cs="Times New Roman"/>
          <w:color w:val="auto"/>
          <w:highlight w:val="none"/>
          <w:lang w:eastAsia="zh-CN"/>
        </w:rPr>
      </w:pPr>
    </w:p>
    <w:p w14:paraId="75B52AA3">
      <w:pPr>
        <w:spacing w:line="400" w:lineRule="exact"/>
        <w:rPr>
          <w:rFonts w:ascii="Times New Roman" w:hAnsi="Times New Roman" w:cs="Times New Roman"/>
          <w:color w:val="auto"/>
          <w:highlight w:val="none"/>
          <w:lang w:eastAsia="zh-CN"/>
        </w:rPr>
      </w:pPr>
    </w:p>
    <w:p w14:paraId="4231A933">
      <w:pPr>
        <w:spacing w:line="400" w:lineRule="exact"/>
        <w:rPr>
          <w:rFonts w:ascii="Times New Roman" w:hAnsi="Times New Roman" w:cs="Times New Roman"/>
          <w:color w:val="auto"/>
          <w:highlight w:val="none"/>
          <w:lang w:eastAsia="zh-CN"/>
        </w:rPr>
      </w:pPr>
    </w:p>
    <w:p w14:paraId="0634D848">
      <w:pPr>
        <w:pStyle w:val="8"/>
        <w:spacing w:before="91" w:line="400" w:lineRule="exact"/>
        <w:jc w:val="center"/>
        <w:rPr>
          <w:rFonts w:ascii="Times New Roman" w:hAnsi="Times New Roman" w:cs="Times New Roman"/>
          <w:color w:val="auto"/>
          <w:sz w:val="28"/>
          <w:szCs w:val="28"/>
          <w:highlight w:val="none"/>
          <w:lang w:eastAsia="zh-CN"/>
        </w:rPr>
      </w:pPr>
      <w:r>
        <w:rPr>
          <w:rFonts w:ascii="Times New Roman" w:hAnsi="Times New Roman" w:cs="Times New Roman"/>
          <w:b/>
          <w:bCs/>
          <w:color w:val="auto"/>
          <w:spacing w:val="-4"/>
          <w:sz w:val="28"/>
          <w:szCs w:val="28"/>
          <w:highlight w:val="none"/>
          <w:lang w:eastAsia="zh-CN"/>
        </w:rPr>
        <w:t>（根据采购需求自行编制）</w:t>
      </w:r>
    </w:p>
    <w:p w14:paraId="3459F1F6">
      <w:pPr>
        <w:pStyle w:val="11"/>
        <w:spacing w:line="400" w:lineRule="exact"/>
        <w:ind w:firstLine="471" w:firstLineChars="147"/>
        <w:jc w:val="center"/>
        <w:rPr>
          <w:rFonts w:ascii="Times New Roman" w:hAnsi="Times New Roman" w:cs="Times New Roman"/>
          <w:b/>
          <w:bCs/>
          <w:color w:val="auto"/>
          <w:sz w:val="32"/>
          <w:highlight w:val="none"/>
          <w:lang w:eastAsia="zh-CN"/>
        </w:rPr>
      </w:pPr>
    </w:p>
    <w:p w14:paraId="79A43FDB">
      <w:pPr>
        <w:pStyle w:val="13"/>
        <w:spacing w:line="400" w:lineRule="exact"/>
        <w:rPr>
          <w:rFonts w:ascii="Times New Roman" w:hAnsi="Times New Roman" w:cs="Times New Roman"/>
          <w:color w:val="auto"/>
          <w:highlight w:val="none"/>
          <w:lang w:eastAsia="zh-CN"/>
        </w:rPr>
      </w:pPr>
    </w:p>
    <w:p w14:paraId="2D32BE6E">
      <w:pPr>
        <w:pStyle w:val="13"/>
        <w:spacing w:line="400" w:lineRule="exact"/>
        <w:rPr>
          <w:rFonts w:ascii="Times New Roman" w:hAnsi="Times New Roman" w:cs="Times New Roman"/>
          <w:color w:val="auto"/>
          <w:highlight w:val="none"/>
          <w:lang w:eastAsia="zh-CN"/>
        </w:rPr>
      </w:pPr>
    </w:p>
    <w:p w14:paraId="0EC03DD5">
      <w:pPr>
        <w:pStyle w:val="13"/>
        <w:spacing w:line="400" w:lineRule="exact"/>
        <w:rPr>
          <w:rFonts w:ascii="Times New Roman" w:hAnsi="Times New Roman" w:cs="Times New Roman"/>
          <w:color w:val="auto"/>
          <w:highlight w:val="none"/>
          <w:lang w:eastAsia="zh-CN"/>
        </w:rPr>
      </w:pPr>
    </w:p>
    <w:p w14:paraId="0010CCE1">
      <w:pPr>
        <w:pStyle w:val="13"/>
        <w:spacing w:line="400" w:lineRule="exact"/>
        <w:rPr>
          <w:rFonts w:ascii="Times New Roman" w:hAnsi="Times New Roman" w:cs="Times New Roman"/>
          <w:color w:val="auto"/>
          <w:highlight w:val="none"/>
          <w:lang w:eastAsia="zh-CN"/>
        </w:rPr>
      </w:pPr>
    </w:p>
    <w:p w14:paraId="1F908591">
      <w:pPr>
        <w:pStyle w:val="13"/>
        <w:spacing w:line="400" w:lineRule="exact"/>
        <w:rPr>
          <w:rFonts w:ascii="Times New Roman" w:hAnsi="Times New Roman" w:cs="Times New Roman"/>
          <w:color w:val="auto"/>
          <w:highlight w:val="none"/>
          <w:lang w:eastAsia="zh-CN"/>
        </w:rPr>
      </w:pPr>
    </w:p>
    <w:p w14:paraId="0660DD81">
      <w:pPr>
        <w:pStyle w:val="13"/>
        <w:spacing w:line="400" w:lineRule="exact"/>
        <w:rPr>
          <w:rFonts w:ascii="Times New Roman" w:hAnsi="Times New Roman" w:cs="Times New Roman"/>
          <w:color w:val="auto"/>
          <w:highlight w:val="none"/>
          <w:lang w:eastAsia="zh-CN"/>
        </w:rPr>
      </w:pPr>
    </w:p>
    <w:p w14:paraId="4D1E4619">
      <w:pPr>
        <w:pStyle w:val="13"/>
        <w:spacing w:line="400" w:lineRule="exact"/>
        <w:rPr>
          <w:rFonts w:ascii="Times New Roman" w:hAnsi="Times New Roman" w:cs="Times New Roman"/>
          <w:color w:val="auto"/>
          <w:highlight w:val="none"/>
          <w:lang w:eastAsia="zh-CN"/>
        </w:rPr>
      </w:pPr>
    </w:p>
    <w:p w14:paraId="1D741BAE">
      <w:pPr>
        <w:spacing w:line="400" w:lineRule="exact"/>
        <w:ind w:firstLine="1680" w:firstLineChars="800"/>
        <w:rPr>
          <w:rFonts w:ascii="Times New Roman" w:hAnsi="Times New Roman" w:cs="Times New Roman"/>
          <w:color w:val="auto"/>
          <w:highlight w:val="none"/>
          <w:lang w:eastAsia="zh-CN"/>
        </w:rPr>
      </w:pPr>
    </w:p>
    <w:p w14:paraId="0A569996">
      <w:pPr>
        <w:spacing w:line="400" w:lineRule="exact"/>
        <w:rPr>
          <w:rFonts w:ascii="Times New Roman" w:hAnsi="Times New Roman" w:cs="Times New Roman"/>
          <w:color w:val="auto"/>
          <w:highlight w:val="none"/>
          <w:u w:val="single"/>
          <w:lang w:eastAsia="zh-CN"/>
        </w:rPr>
      </w:pPr>
      <w:r>
        <w:rPr>
          <w:rFonts w:ascii="Times New Roman" w:hAnsi="Times New Roman" w:cs="Times New Roman"/>
          <w:color w:val="auto"/>
          <w:highlight w:val="none"/>
          <w:lang w:eastAsia="zh-CN"/>
        </w:rPr>
        <w:t xml:space="preserve">            供应商(CA证书签章)：</w:t>
      </w:r>
      <w:r>
        <w:rPr>
          <w:rFonts w:ascii="Times New Roman" w:hAnsi="Times New Roman" w:cs="Times New Roman"/>
          <w:color w:val="auto"/>
          <w:highlight w:val="none"/>
          <w:u w:val="single"/>
          <w:lang w:eastAsia="zh-CN"/>
        </w:rPr>
        <w:t xml:space="preserve">                                     </w:t>
      </w:r>
    </w:p>
    <w:p w14:paraId="374ECBE3">
      <w:pPr>
        <w:pStyle w:val="11"/>
        <w:spacing w:line="400" w:lineRule="exact"/>
        <w:ind w:firstLine="420"/>
        <w:rPr>
          <w:rFonts w:ascii="Times New Roman" w:hAnsi="Times New Roman" w:cs="Times New Roman"/>
          <w:color w:val="auto"/>
          <w:szCs w:val="21"/>
          <w:highlight w:val="none"/>
          <w:u w:val="single"/>
          <w:lang w:eastAsia="zh-CN"/>
        </w:rPr>
      </w:pPr>
      <w:r>
        <w:rPr>
          <w:rFonts w:ascii="Times New Roman" w:hAnsi="Times New Roman" w:cs="Times New Roman"/>
          <w:color w:val="auto"/>
          <w:szCs w:val="21"/>
          <w:highlight w:val="none"/>
          <w:lang w:eastAsia="zh-CN"/>
        </w:rPr>
        <w:t xml:space="preserve">        法定代表人（负责人、自然人）</w:t>
      </w:r>
      <w:r>
        <w:rPr>
          <w:rFonts w:ascii="Times New Roman" w:hAnsi="Times New Roman" w:cs="Times New Roman"/>
          <w:color w:val="auto"/>
          <w:highlight w:val="none"/>
          <w:lang w:eastAsia="zh-CN"/>
        </w:rPr>
        <w:t>或相应的委托代理人</w:t>
      </w:r>
      <w:r>
        <w:rPr>
          <w:rFonts w:ascii="Times New Roman" w:hAnsi="Times New Roman" w:cs="Times New Roman"/>
          <w:color w:val="auto"/>
          <w:szCs w:val="21"/>
          <w:highlight w:val="none"/>
          <w:lang w:eastAsia="zh-CN"/>
        </w:rPr>
        <w:t>签字（或个人CA证书签章）</w:t>
      </w:r>
      <w:r>
        <w:rPr>
          <w:rFonts w:ascii="Times New Roman" w:hAnsi="Times New Roman" w:cs="Times New Roman"/>
          <w:color w:val="auto"/>
          <w:highlight w:val="none"/>
          <w:lang w:eastAsia="zh-CN"/>
        </w:rPr>
        <w:t>：</w:t>
      </w:r>
      <w:r>
        <w:rPr>
          <w:rFonts w:ascii="Times New Roman" w:hAnsi="Times New Roman" w:cs="Times New Roman"/>
          <w:color w:val="auto"/>
          <w:szCs w:val="21"/>
          <w:highlight w:val="none"/>
          <w:u w:val="single"/>
          <w:lang w:eastAsia="zh-CN"/>
        </w:rPr>
        <w:t xml:space="preserve">                              </w:t>
      </w:r>
    </w:p>
    <w:p w14:paraId="64F08660">
      <w:pPr>
        <w:spacing w:line="400" w:lineRule="exact"/>
        <w:rPr>
          <w:rFonts w:ascii="Times New Roman" w:hAnsi="Times New Roman" w:cs="Times New Roman"/>
          <w:color w:val="auto"/>
          <w:highlight w:val="none"/>
          <w:u w:val="single"/>
          <w:lang w:eastAsia="zh-CN"/>
        </w:rPr>
      </w:pPr>
      <w:r>
        <w:rPr>
          <w:rFonts w:ascii="Times New Roman" w:hAnsi="Times New Roman" w:cs="Times New Roman"/>
          <w:color w:val="auto"/>
          <w:highlight w:val="none"/>
          <w:lang w:eastAsia="zh-CN"/>
        </w:rPr>
        <w:t xml:space="preserve">            日     期：</w:t>
      </w:r>
      <w:r>
        <w:rPr>
          <w:rFonts w:ascii="Times New Roman" w:hAnsi="Times New Roman" w:cs="Times New Roman"/>
          <w:color w:val="auto"/>
          <w:highlight w:val="none"/>
          <w:u w:val="single"/>
          <w:lang w:eastAsia="zh-CN"/>
        </w:rPr>
        <w:t xml:space="preserve">                                                   </w:t>
      </w:r>
    </w:p>
    <w:p w14:paraId="7A5FF294">
      <w:pPr>
        <w:spacing w:line="400" w:lineRule="exact"/>
        <w:ind w:firstLine="3570" w:firstLineChars="1700"/>
        <w:rPr>
          <w:rFonts w:ascii="Times New Roman" w:hAnsi="Times New Roman" w:cs="Times New Roman"/>
          <w:color w:val="auto"/>
          <w:highlight w:val="none"/>
          <w:lang w:eastAsia="zh-CN"/>
        </w:rPr>
      </w:pPr>
    </w:p>
    <w:p w14:paraId="4DEA1293">
      <w:pPr>
        <w:pStyle w:val="8"/>
        <w:spacing w:line="400" w:lineRule="exact"/>
        <w:rPr>
          <w:rFonts w:ascii="Times New Roman" w:hAnsi="Times New Roman" w:cs="Times New Roman"/>
          <w:color w:val="auto"/>
          <w:highlight w:val="none"/>
          <w:lang w:eastAsia="zh-CN"/>
        </w:rPr>
      </w:pPr>
    </w:p>
    <w:p w14:paraId="27D76027">
      <w:pPr>
        <w:pStyle w:val="20"/>
        <w:spacing w:line="400" w:lineRule="exact"/>
        <w:rPr>
          <w:rFonts w:hAnsi="Times New Roman" w:cs="Times New Roman"/>
          <w:color w:val="auto"/>
          <w:szCs w:val="21"/>
          <w:highlight w:val="none"/>
          <w:lang w:eastAsia="zh-CN"/>
        </w:rPr>
      </w:pPr>
    </w:p>
    <w:p w14:paraId="0C908E57">
      <w:pPr>
        <w:pStyle w:val="20"/>
        <w:spacing w:line="400" w:lineRule="exact"/>
        <w:rPr>
          <w:rFonts w:hAnsi="Times New Roman" w:cs="Times New Roman"/>
          <w:color w:val="auto"/>
          <w:szCs w:val="21"/>
          <w:highlight w:val="none"/>
          <w:lang w:eastAsia="zh-CN"/>
        </w:rPr>
      </w:pPr>
    </w:p>
    <w:p w14:paraId="20B14EBD">
      <w:pPr>
        <w:pStyle w:val="20"/>
        <w:spacing w:line="400" w:lineRule="exact"/>
        <w:rPr>
          <w:rFonts w:hAnsi="Times New Roman" w:cs="Times New Roman"/>
          <w:color w:val="auto"/>
          <w:szCs w:val="21"/>
          <w:highlight w:val="none"/>
          <w:lang w:eastAsia="zh-CN"/>
        </w:rPr>
      </w:pPr>
    </w:p>
    <w:p w14:paraId="4D2665CD">
      <w:pPr>
        <w:pStyle w:val="20"/>
        <w:spacing w:line="400" w:lineRule="exact"/>
        <w:rPr>
          <w:rFonts w:hAnsi="Times New Roman" w:cs="Times New Roman"/>
          <w:color w:val="auto"/>
          <w:szCs w:val="21"/>
          <w:highlight w:val="none"/>
          <w:lang w:eastAsia="zh-CN"/>
        </w:rPr>
      </w:pPr>
    </w:p>
    <w:p w14:paraId="551C4BB4">
      <w:pPr>
        <w:pStyle w:val="20"/>
        <w:spacing w:line="400" w:lineRule="exact"/>
        <w:rPr>
          <w:rFonts w:hAnsi="Times New Roman" w:cs="Times New Roman"/>
          <w:color w:val="auto"/>
          <w:szCs w:val="21"/>
          <w:highlight w:val="none"/>
          <w:lang w:eastAsia="zh-CN"/>
        </w:rPr>
      </w:pPr>
    </w:p>
    <w:p w14:paraId="39911740">
      <w:pPr>
        <w:pStyle w:val="20"/>
        <w:spacing w:line="400" w:lineRule="exact"/>
        <w:rPr>
          <w:rFonts w:hAnsi="Times New Roman" w:cs="Times New Roman"/>
          <w:color w:val="auto"/>
          <w:szCs w:val="21"/>
          <w:highlight w:val="none"/>
          <w:lang w:eastAsia="zh-CN"/>
        </w:rPr>
      </w:pPr>
    </w:p>
    <w:p w14:paraId="0E35CA72">
      <w:pPr>
        <w:spacing w:line="400" w:lineRule="exact"/>
        <w:rPr>
          <w:rFonts w:ascii="Times New Roman" w:hAnsi="Times New Roman" w:eastAsia="宋体" w:cs="Times New Roman"/>
          <w:b/>
          <w:color w:val="auto"/>
          <w:sz w:val="32"/>
          <w:highlight w:val="none"/>
          <w:lang w:eastAsia="zh-CN"/>
        </w:rPr>
      </w:pPr>
    </w:p>
    <w:p w14:paraId="40A422DF">
      <w:pPr>
        <w:spacing w:line="400" w:lineRule="exact"/>
        <w:rPr>
          <w:rFonts w:ascii="Times New Roman" w:hAnsi="Times New Roman" w:eastAsia="宋体" w:cs="Times New Roman"/>
          <w:b/>
          <w:color w:val="auto"/>
          <w:sz w:val="32"/>
          <w:szCs w:val="32"/>
          <w:highlight w:val="none"/>
          <w:lang w:eastAsia="zh-CN"/>
        </w:rPr>
      </w:pPr>
      <w:r>
        <w:rPr>
          <w:rFonts w:ascii="Times New Roman" w:hAnsi="Times New Roman" w:eastAsia="宋体" w:cs="Times New Roman"/>
          <w:b/>
          <w:color w:val="auto"/>
          <w:sz w:val="32"/>
          <w:highlight w:val="none"/>
          <w:lang w:eastAsia="zh-CN"/>
        </w:rPr>
        <w:t>2.</w:t>
      </w:r>
      <w:r>
        <w:rPr>
          <w:rFonts w:hint="eastAsia" w:ascii="Times New Roman" w:hAnsi="Times New Roman" w:eastAsia="宋体" w:cs="Times New Roman"/>
          <w:b/>
          <w:color w:val="auto"/>
          <w:sz w:val="32"/>
          <w:szCs w:val="32"/>
          <w:highlight w:val="none"/>
          <w:lang w:eastAsia="zh-CN"/>
        </w:rPr>
        <w:t>拟投入人员一览表</w:t>
      </w:r>
      <w:r>
        <w:rPr>
          <w:rFonts w:ascii="Times New Roman" w:hAnsi="Times New Roman" w:eastAsia="宋体" w:cs="Times New Roman"/>
          <w:b/>
          <w:color w:val="auto"/>
          <w:sz w:val="32"/>
          <w:szCs w:val="32"/>
          <w:highlight w:val="none"/>
          <w:lang w:eastAsia="zh-CN"/>
        </w:rPr>
        <w:t>（如有，请提供）</w:t>
      </w:r>
    </w:p>
    <w:p w14:paraId="73DAAC56">
      <w:pPr>
        <w:spacing w:line="400" w:lineRule="exact"/>
        <w:rPr>
          <w:rFonts w:ascii="Times New Roman" w:hAnsi="Times New Roman" w:eastAsia="宋体" w:cs="Times New Roman"/>
          <w:b/>
          <w:color w:val="auto"/>
          <w:sz w:val="30"/>
          <w:szCs w:val="30"/>
          <w:highlight w:val="none"/>
          <w:lang w:eastAsia="zh-CN"/>
        </w:rPr>
      </w:pPr>
      <w:r>
        <w:rPr>
          <w:rFonts w:ascii="Times New Roman" w:hAnsi="Times New Roman" w:eastAsia="宋体" w:cs="Times New Roman"/>
          <w:b/>
          <w:color w:val="auto"/>
          <w:sz w:val="30"/>
          <w:szCs w:val="30"/>
          <w:highlight w:val="none"/>
          <w:lang w:eastAsia="zh-CN"/>
        </w:rPr>
        <w:t>附件：</w:t>
      </w:r>
    </w:p>
    <w:p w14:paraId="27124B97">
      <w:pPr>
        <w:pStyle w:val="11"/>
        <w:spacing w:line="400" w:lineRule="exact"/>
        <w:ind w:firstLine="472" w:firstLineChars="147"/>
        <w:jc w:val="center"/>
        <w:rPr>
          <w:rFonts w:ascii="Times New Roman" w:hAnsi="Times New Roman" w:eastAsia="宋体" w:cs="Times New Roman"/>
          <w:b/>
          <w:bCs/>
          <w:color w:val="auto"/>
          <w:sz w:val="32"/>
          <w:highlight w:val="none"/>
          <w:lang w:eastAsia="zh-CN"/>
        </w:rPr>
      </w:pPr>
    </w:p>
    <w:p w14:paraId="03EAAC83">
      <w:pPr>
        <w:pStyle w:val="11"/>
        <w:spacing w:line="400" w:lineRule="exact"/>
        <w:ind w:firstLine="472" w:firstLineChars="147"/>
        <w:jc w:val="center"/>
        <w:rPr>
          <w:rFonts w:ascii="Times New Roman" w:hAnsi="Times New Roman" w:eastAsia="宋体" w:cs="Times New Roman"/>
          <w:b/>
          <w:bCs/>
          <w:color w:val="auto"/>
          <w:sz w:val="32"/>
          <w:highlight w:val="none"/>
          <w:lang w:eastAsia="zh-CN"/>
        </w:rPr>
      </w:pPr>
      <w:r>
        <w:rPr>
          <w:rFonts w:hint="eastAsia" w:ascii="Times New Roman" w:hAnsi="Times New Roman" w:eastAsia="宋体" w:cs="Times New Roman"/>
          <w:b/>
          <w:bCs/>
          <w:color w:val="auto"/>
          <w:sz w:val="32"/>
          <w:highlight w:val="none"/>
          <w:lang w:eastAsia="zh-CN"/>
        </w:rPr>
        <w:t>拟投入人员一览表</w:t>
      </w:r>
      <w:r>
        <w:rPr>
          <w:rFonts w:ascii="Times New Roman" w:hAnsi="Times New Roman" w:eastAsia="宋体" w:cs="Times New Roman"/>
          <w:b/>
          <w:bCs/>
          <w:color w:val="auto"/>
          <w:sz w:val="32"/>
          <w:highlight w:val="none"/>
          <w:lang w:eastAsia="zh-CN"/>
        </w:rPr>
        <w:t>（格式</w:t>
      </w:r>
      <w:r>
        <w:rPr>
          <w:rFonts w:hint="eastAsia" w:ascii="Times New Roman" w:hAnsi="Times New Roman" w:eastAsia="宋体" w:cs="Times New Roman"/>
          <w:b/>
          <w:bCs/>
          <w:color w:val="auto"/>
          <w:sz w:val="32"/>
          <w:highlight w:val="none"/>
          <w:lang w:eastAsia="zh-CN"/>
        </w:rPr>
        <w:t>自拟</w:t>
      </w:r>
      <w:r>
        <w:rPr>
          <w:rFonts w:ascii="Times New Roman" w:hAnsi="Times New Roman" w:eastAsia="宋体" w:cs="Times New Roman"/>
          <w:b/>
          <w:bCs/>
          <w:color w:val="auto"/>
          <w:sz w:val="32"/>
          <w:highlight w:val="none"/>
          <w:lang w:eastAsia="zh-CN"/>
        </w:rPr>
        <w:t>）</w:t>
      </w:r>
    </w:p>
    <w:p w14:paraId="5CE8CA19">
      <w:pPr>
        <w:pStyle w:val="8"/>
        <w:spacing w:before="91" w:line="400" w:lineRule="exact"/>
        <w:jc w:val="center"/>
        <w:rPr>
          <w:rFonts w:ascii="Times New Roman" w:hAnsi="Times New Roman" w:cs="Times New Roman"/>
          <w:b/>
          <w:bCs/>
          <w:color w:val="auto"/>
          <w:spacing w:val="-4"/>
          <w:sz w:val="28"/>
          <w:szCs w:val="28"/>
          <w:highlight w:val="none"/>
          <w:lang w:eastAsia="zh-CN"/>
        </w:rPr>
      </w:pPr>
    </w:p>
    <w:p w14:paraId="699DF6DF">
      <w:pPr>
        <w:pStyle w:val="8"/>
        <w:spacing w:before="91" w:line="400" w:lineRule="exact"/>
        <w:jc w:val="center"/>
        <w:rPr>
          <w:rFonts w:ascii="Times New Roman" w:hAnsi="Times New Roman" w:cs="Times New Roman"/>
          <w:b/>
          <w:bCs/>
          <w:color w:val="auto"/>
          <w:spacing w:val="-4"/>
          <w:sz w:val="28"/>
          <w:szCs w:val="28"/>
          <w:highlight w:val="none"/>
          <w:lang w:eastAsia="zh-CN"/>
        </w:rPr>
      </w:pPr>
    </w:p>
    <w:p w14:paraId="6C14C863">
      <w:pPr>
        <w:pStyle w:val="8"/>
        <w:spacing w:before="91" w:line="400" w:lineRule="exact"/>
        <w:jc w:val="center"/>
        <w:rPr>
          <w:rFonts w:ascii="Times New Roman" w:hAnsi="Times New Roman" w:cs="Times New Roman"/>
          <w:b/>
          <w:bCs/>
          <w:color w:val="auto"/>
          <w:spacing w:val="-4"/>
          <w:sz w:val="28"/>
          <w:szCs w:val="28"/>
          <w:highlight w:val="none"/>
          <w:lang w:eastAsia="zh-CN"/>
        </w:rPr>
      </w:pPr>
    </w:p>
    <w:p w14:paraId="74587612">
      <w:pPr>
        <w:pStyle w:val="8"/>
        <w:spacing w:before="91" w:line="400" w:lineRule="exact"/>
        <w:jc w:val="center"/>
        <w:rPr>
          <w:rFonts w:ascii="Times New Roman" w:hAnsi="Times New Roman" w:cs="Times New Roman"/>
          <w:color w:val="auto"/>
          <w:sz w:val="28"/>
          <w:szCs w:val="28"/>
          <w:highlight w:val="none"/>
          <w:lang w:eastAsia="zh-CN"/>
        </w:rPr>
      </w:pPr>
      <w:r>
        <w:rPr>
          <w:rFonts w:ascii="Times New Roman" w:hAnsi="Times New Roman" w:cs="Times New Roman"/>
          <w:b/>
          <w:bCs/>
          <w:color w:val="auto"/>
          <w:spacing w:val="-4"/>
          <w:sz w:val="28"/>
          <w:szCs w:val="28"/>
          <w:highlight w:val="none"/>
          <w:lang w:eastAsia="zh-CN"/>
        </w:rPr>
        <w:t>（根据采购需求自行编制）</w:t>
      </w:r>
    </w:p>
    <w:p w14:paraId="00B69757">
      <w:pPr>
        <w:spacing w:line="400" w:lineRule="exact"/>
        <w:ind w:firstLine="420" w:firstLineChars="200"/>
        <w:rPr>
          <w:rFonts w:ascii="Times New Roman" w:hAnsi="Times New Roman" w:cs="Times New Roman"/>
          <w:color w:val="auto"/>
          <w:highlight w:val="none"/>
          <w:lang w:eastAsia="zh-CN"/>
        </w:rPr>
      </w:pPr>
    </w:p>
    <w:p w14:paraId="77D88F63">
      <w:pPr>
        <w:spacing w:line="400" w:lineRule="exact"/>
        <w:rPr>
          <w:rFonts w:ascii="Times New Roman" w:hAnsi="Times New Roman" w:cs="Times New Roman"/>
          <w:color w:val="auto"/>
          <w:highlight w:val="none"/>
          <w:lang w:eastAsia="zh-CN"/>
        </w:rPr>
      </w:pPr>
    </w:p>
    <w:p w14:paraId="4A01BE4E">
      <w:pPr>
        <w:spacing w:line="400" w:lineRule="exact"/>
        <w:rPr>
          <w:rFonts w:ascii="Times New Roman" w:hAnsi="Times New Roman" w:cs="Times New Roman"/>
          <w:color w:val="auto"/>
          <w:highlight w:val="none"/>
          <w:u w:val="single"/>
          <w:lang w:eastAsia="zh-CN"/>
        </w:rPr>
      </w:pPr>
      <w:r>
        <w:rPr>
          <w:rFonts w:ascii="Times New Roman" w:hAnsi="Times New Roman" w:cs="Times New Roman"/>
          <w:color w:val="auto"/>
          <w:highlight w:val="none"/>
          <w:lang w:eastAsia="zh-CN"/>
        </w:rPr>
        <w:t xml:space="preserve">            供应商(CA证书签章)：</w:t>
      </w:r>
      <w:r>
        <w:rPr>
          <w:rFonts w:ascii="Times New Roman" w:hAnsi="Times New Roman" w:cs="Times New Roman"/>
          <w:color w:val="auto"/>
          <w:highlight w:val="none"/>
          <w:u w:val="single"/>
          <w:lang w:eastAsia="zh-CN"/>
        </w:rPr>
        <w:t xml:space="preserve">                                     </w:t>
      </w:r>
    </w:p>
    <w:p w14:paraId="3FEE8696">
      <w:pPr>
        <w:pStyle w:val="11"/>
        <w:spacing w:line="400" w:lineRule="exact"/>
        <w:ind w:firstLine="420"/>
        <w:rPr>
          <w:rFonts w:ascii="Times New Roman" w:hAnsi="Times New Roman" w:cs="Times New Roman"/>
          <w:color w:val="auto"/>
          <w:szCs w:val="21"/>
          <w:highlight w:val="none"/>
          <w:u w:val="single"/>
          <w:lang w:eastAsia="zh-CN"/>
        </w:rPr>
      </w:pPr>
      <w:r>
        <w:rPr>
          <w:rFonts w:ascii="Times New Roman" w:hAnsi="Times New Roman" w:cs="Times New Roman"/>
          <w:color w:val="auto"/>
          <w:szCs w:val="21"/>
          <w:highlight w:val="none"/>
          <w:lang w:eastAsia="zh-CN"/>
        </w:rPr>
        <w:t xml:space="preserve">        法定代表人（负责人、自然人）</w:t>
      </w:r>
      <w:r>
        <w:rPr>
          <w:rFonts w:ascii="Times New Roman" w:hAnsi="Times New Roman" w:cs="Times New Roman"/>
          <w:color w:val="auto"/>
          <w:highlight w:val="none"/>
          <w:lang w:eastAsia="zh-CN"/>
        </w:rPr>
        <w:t>或相应的委托代理人</w:t>
      </w:r>
      <w:r>
        <w:rPr>
          <w:rFonts w:ascii="Times New Roman" w:hAnsi="Times New Roman" w:cs="Times New Roman"/>
          <w:color w:val="auto"/>
          <w:szCs w:val="21"/>
          <w:highlight w:val="none"/>
          <w:lang w:eastAsia="zh-CN"/>
        </w:rPr>
        <w:t>签字（或个人CA证书签章）</w:t>
      </w:r>
      <w:r>
        <w:rPr>
          <w:rFonts w:ascii="Times New Roman" w:hAnsi="Times New Roman" w:cs="Times New Roman"/>
          <w:color w:val="auto"/>
          <w:highlight w:val="none"/>
          <w:lang w:eastAsia="zh-CN"/>
        </w:rPr>
        <w:t>：</w:t>
      </w:r>
      <w:r>
        <w:rPr>
          <w:rFonts w:ascii="Times New Roman" w:hAnsi="Times New Roman" w:cs="Times New Roman"/>
          <w:color w:val="auto"/>
          <w:szCs w:val="21"/>
          <w:highlight w:val="none"/>
          <w:u w:val="single"/>
          <w:lang w:eastAsia="zh-CN"/>
        </w:rPr>
        <w:t xml:space="preserve">                              </w:t>
      </w:r>
    </w:p>
    <w:p w14:paraId="3CADF093">
      <w:pPr>
        <w:spacing w:line="400" w:lineRule="exact"/>
        <w:rPr>
          <w:rFonts w:ascii="Times New Roman" w:hAnsi="Times New Roman" w:cs="Times New Roman"/>
          <w:color w:val="auto"/>
          <w:highlight w:val="none"/>
          <w:u w:val="single"/>
          <w:lang w:eastAsia="zh-CN"/>
        </w:rPr>
      </w:pPr>
      <w:r>
        <w:rPr>
          <w:rFonts w:ascii="Times New Roman" w:hAnsi="Times New Roman" w:cs="Times New Roman"/>
          <w:color w:val="auto"/>
          <w:highlight w:val="none"/>
          <w:lang w:eastAsia="zh-CN"/>
        </w:rPr>
        <w:t xml:space="preserve">            日     期：</w:t>
      </w:r>
      <w:r>
        <w:rPr>
          <w:rFonts w:ascii="Times New Roman" w:hAnsi="Times New Roman" w:cs="Times New Roman"/>
          <w:color w:val="auto"/>
          <w:highlight w:val="none"/>
          <w:u w:val="single"/>
          <w:lang w:eastAsia="zh-CN"/>
        </w:rPr>
        <w:t xml:space="preserve">                                                   </w:t>
      </w:r>
    </w:p>
    <w:p w14:paraId="77F30733">
      <w:pPr>
        <w:pStyle w:val="11"/>
        <w:spacing w:line="400" w:lineRule="exact"/>
        <w:rPr>
          <w:rFonts w:ascii="Times New Roman" w:hAnsi="Times New Roman" w:cs="Times New Roman"/>
          <w:b/>
          <w:bCs/>
          <w:color w:val="auto"/>
          <w:sz w:val="32"/>
          <w:szCs w:val="32"/>
          <w:highlight w:val="none"/>
          <w:lang w:eastAsia="zh-CN"/>
        </w:rPr>
      </w:pPr>
    </w:p>
    <w:p w14:paraId="41681A86">
      <w:pPr>
        <w:pStyle w:val="11"/>
        <w:spacing w:line="400" w:lineRule="exact"/>
        <w:rPr>
          <w:rFonts w:ascii="Times New Roman" w:hAnsi="Times New Roman" w:cs="Times New Roman"/>
          <w:color w:val="auto"/>
          <w:highlight w:val="none"/>
          <w:lang w:eastAsia="zh-CN"/>
        </w:rPr>
      </w:pPr>
      <w:r>
        <w:rPr>
          <w:rFonts w:ascii="Times New Roman" w:hAnsi="Times New Roman" w:cs="Times New Roman"/>
          <w:b/>
          <w:bCs/>
          <w:color w:val="auto"/>
          <w:spacing w:val="6"/>
          <w:highlight w:val="none"/>
          <w:lang w:eastAsia="zh-CN"/>
        </w:rPr>
        <w:br w:type="page"/>
      </w:r>
      <w:r>
        <w:rPr>
          <w:rFonts w:ascii="Times New Roman" w:hAnsi="Times New Roman" w:eastAsia="宋体" w:cs="Times New Roman"/>
          <w:b/>
          <w:color w:val="auto"/>
          <w:sz w:val="32"/>
          <w:highlight w:val="none"/>
          <w:lang w:eastAsia="zh-CN"/>
        </w:rPr>
        <w:t>3.节能方面的证书扫描件（如有，请提供）</w:t>
      </w:r>
    </w:p>
    <w:p w14:paraId="51CE6F34">
      <w:pPr>
        <w:spacing w:line="400" w:lineRule="exact"/>
        <w:rPr>
          <w:rFonts w:ascii="Times New Roman" w:hAnsi="Times New Roman" w:cs="Times New Roman"/>
          <w:color w:val="auto"/>
          <w:highlight w:val="none"/>
          <w:lang w:eastAsia="zh-CN"/>
        </w:rPr>
      </w:pPr>
    </w:p>
    <w:p w14:paraId="63F6A6C3">
      <w:pPr>
        <w:pStyle w:val="2"/>
        <w:rPr>
          <w:lang w:eastAsia="zh-CN"/>
        </w:rPr>
      </w:pPr>
    </w:p>
    <w:p w14:paraId="5068929E">
      <w:pPr>
        <w:rPr>
          <w:lang w:eastAsia="zh-CN"/>
        </w:rPr>
      </w:pPr>
    </w:p>
    <w:p w14:paraId="33E53FB2">
      <w:pPr>
        <w:pStyle w:val="29"/>
        <w:rPr>
          <w:lang w:eastAsia="zh-CN"/>
        </w:rPr>
      </w:pPr>
    </w:p>
    <w:p w14:paraId="50EE628C">
      <w:pPr>
        <w:spacing w:line="400" w:lineRule="exact"/>
        <w:rPr>
          <w:rFonts w:ascii="Times New Roman" w:hAnsi="Times New Roman" w:cs="Times New Roman"/>
          <w:color w:val="auto"/>
          <w:highlight w:val="none"/>
          <w:lang w:eastAsia="zh-CN"/>
        </w:rPr>
      </w:pPr>
    </w:p>
    <w:p w14:paraId="64477FA1">
      <w:pPr>
        <w:spacing w:line="400" w:lineRule="exact"/>
        <w:rPr>
          <w:rFonts w:ascii="Times New Roman" w:hAnsi="Times New Roman" w:cs="Times New Roman"/>
          <w:color w:val="auto"/>
          <w:highlight w:val="none"/>
          <w:lang w:eastAsia="zh-CN"/>
        </w:rPr>
      </w:pPr>
    </w:p>
    <w:p w14:paraId="25F83D79">
      <w:pPr>
        <w:spacing w:line="400" w:lineRule="exact"/>
        <w:rPr>
          <w:rFonts w:ascii="Times New Roman" w:hAnsi="Times New Roman" w:cs="Times New Roman"/>
          <w:color w:val="auto"/>
          <w:highlight w:val="none"/>
          <w:lang w:eastAsia="zh-CN"/>
        </w:rPr>
      </w:pPr>
    </w:p>
    <w:p w14:paraId="3F5B19B5">
      <w:pPr>
        <w:spacing w:line="400" w:lineRule="exact"/>
        <w:rPr>
          <w:rFonts w:ascii="Times New Roman" w:hAnsi="Times New Roman" w:cs="Times New Roman"/>
          <w:color w:val="auto"/>
          <w:highlight w:val="none"/>
          <w:lang w:eastAsia="zh-CN"/>
        </w:rPr>
      </w:pPr>
    </w:p>
    <w:p w14:paraId="24F60AEC">
      <w:pPr>
        <w:pStyle w:val="11"/>
        <w:numPr>
          <w:ilvl w:val="0"/>
          <w:numId w:val="4"/>
        </w:numPr>
        <w:spacing w:line="400" w:lineRule="exact"/>
        <w:rPr>
          <w:rFonts w:ascii="Times New Roman" w:hAnsi="Times New Roman" w:eastAsia="宋体" w:cs="Times New Roman"/>
          <w:b/>
          <w:color w:val="auto"/>
          <w:sz w:val="32"/>
          <w:highlight w:val="none"/>
          <w:lang w:eastAsia="zh-CN"/>
        </w:rPr>
      </w:pPr>
      <w:r>
        <w:rPr>
          <w:rFonts w:ascii="Times New Roman" w:hAnsi="Times New Roman" w:eastAsia="宋体" w:cs="Times New Roman"/>
          <w:b/>
          <w:color w:val="auto"/>
          <w:sz w:val="32"/>
          <w:highlight w:val="none"/>
          <w:lang w:eastAsia="zh-CN"/>
        </w:rPr>
        <w:t>环境标志方面的证书扫描件（如有，请提供）</w:t>
      </w:r>
    </w:p>
    <w:p w14:paraId="45133858">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67B95A25">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50797EEA">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6B193DB6">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53F588AA">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1941520B">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63B594AF">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7E1625EF">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3A9783A7">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2714F5E8">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3F5355FC">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736AA245">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1891F42B">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351373AA">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6E609CCE">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701F5EB5">
      <w:pPr>
        <w:pStyle w:val="11"/>
        <w:numPr>
          <w:ilvl w:val="0"/>
          <w:numId w:val="0"/>
        </w:numPr>
        <w:kinsoku w:val="0"/>
        <w:autoSpaceDE w:val="0"/>
        <w:autoSpaceDN w:val="0"/>
        <w:adjustRightInd w:val="0"/>
        <w:snapToGrid w:val="0"/>
        <w:spacing w:line="400" w:lineRule="exact"/>
        <w:textAlignment w:val="baseline"/>
        <w:rPr>
          <w:rFonts w:ascii="Times New Roman" w:hAnsi="Times New Roman" w:eastAsia="宋体" w:cs="Times New Roman"/>
          <w:b/>
          <w:color w:val="auto"/>
          <w:sz w:val="32"/>
          <w:highlight w:val="none"/>
          <w:lang w:eastAsia="zh-CN"/>
        </w:rPr>
      </w:pPr>
    </w:p>
    <w:p w14:paraId="217975F7">
      <w:pPr>
        <w:pStyle w:val="11"/>
        <w:numPr>
          <w:ilvl w:val="0"/>
          <w:numId w:val="4"/>
        </w:numPr>
        <w:spacing w:line="400" w:lineRule="exact"/>
        <w:rPr>
          <w:rFonts w:ascii="Times New Roman" w:hAnsi="Times New Roman" w:eastAsia="宋体" w:cs="Times New Roman"/>
          <w:b/>
          <w:color w:val="auto"/>
          <w:sz w:val="32"/>
          <w:highlight w:val="none"/>
          <w:lang w:eastAsia="zh-CN"/>
        </w:rPr>
      </w:pPr>
      <w:r>
        <w:rPr>
          <w:rFonts w:ascii="Times New Roman" w:hAnsi="Times New Roman" w:eastAsia="宋体" w:cs="Times New Roman"/>
          <w:b/>
          <w:color w:val="auto"/>
          <w:sz w:val="32"/>
          <w:highlight w:val="none"/>
          <w:lang w:eastAsia="zh-CN"/>
        </w:rPr>
        <w:t>《</w:t>
      </w:r>
      <w:r>
        <w:rPr>
          <w:rFonts w:hint="eastAsia" w:ascii="Times New Roman" w:hAnsi="Times New Roman" w:eastAsia="宋体" w:cs="Times New Roman"/>
          <w:b/>
          <w:color w:val="auto"/>
          <w:sz w:val="32"/>
          <w:highlight w:val="none"/>
          <w:lang w:eastAsia="zh-CN"/>
        </w:rPr>
        <w:t>关于符合本国产品标准的声明函</w:t>
      </w:r>
      <w:r>
        <w:rPr>
          <w:rFonts w:ascii="Times New Roman" w:hAnsi="Times New Roman" w:eastAsia="宋体" w:cs="Times New Roman"/>
          <w:b/>
          <w:color w:val="auto"/>
          <w:sz w:val="32"/>
          <w:highlight w:val="none"/>
          <w:lang w:eastAsia="zh-CN"/>
        </w:rPr>
        <w:t>》</w:t>
      </w:r>
      <w:r>
        <w:rPr>
          <w:rFonts w:hint="eastAsia" w:ascii="Times New Roman" w:hAnsi="Times New Roman" w:eastAsia="宋体" w:cs="Times New Roman"/>
          <w:b/>
          <w:color w:val="auto"/>
          <w:sz w:val="32"/>
          <w:highlight w:val="none"/>
          <w:lang w:eastAsia="zh-CN"/>
        </w:rPr>
        <w:t>或者财政部会同有关部门规定的有关证明文件（如有，请提供）</w:t>
      </w:r>
    </w:p>
    <w:p w14:paraId="6089DF96">
      <w:pPr>
        <w:widowControl/>
        <w:shd w:val="clear" w:color="auto" w:fill="FFFFFF"/>
        <w:jc w:val="center"/>
        <w:rPr>
          <w:rFonts w:hint="eastAsia" w:ascii="宋体" w:hAnsi="宋体" w:cs="宋体"/>
          <w:b/>
          <w:bCs/>
          <w:color w:val="000000" w:themeColor="text1"/>
          <w:kern w:val="0"/>
          <w:sz w:val="36"/>
          <w:szCs w:val="36"/>
          <w:highlight w:val="none"/>
          <w14:textFill>
            <w14:solidFill>
              <w14:schemeClr w14:val="tx1"/>
            </w14:solidFill>
          </w14:textFill>
        </w:rPr>
      </w:pPr>
    </w:p>
    <w:p w14:paraId="73C2C6D4">
      <w:pPr>
        <w:widowControl/>
        <w:shd w:val="clear" w:color="auto" w:fill="FFFFFF"/>
        <w:jc w:val="center"/>
        <w:rPr>
          <w:rFonts w:hint="eastAsia" w:ascii="宋体" w:hAnsi="宋体" w:cs="宋体"/>
          <w:b/>
          <w:bCs/>
          <w:color w:val="000000" w:themeColor="text1"/>
          <w:kern w:val="0"/>
          <w:sz w:val="36"/>
          <w:szCs w:val="36"/>
          <w:highlight w:val="none"/>
          <w14:textFill>
            <w14:solidFill>
              <w14:schemeClr w14:val="tx1"/>
            </w14:solidFill>
          </w14:textFill>
        </w:rPr>
      </w:pPr>
    </w:p>
    <w:p w14:paraId="1059DAF2">
      <w:pPr>
        <w:widowControl/>
        <w:shd w:val="clear" w:color="auto" w:fill="FFFFFF"/>
        <w:jc w:val="center"/>
        <w:rPr>
          <w:rFonts w:hint="eastAsia" w:ascii="宋体" w:hAnsi="宋体" w:cs="宋体"/>
          <w:b/>
          <w:bCs/>
          <w:color w:val="000000" w:themeColor="text1"/>
          <w:kern w:val="0"/>
          <w:sz w:val="36"/>
          <w:szCs w:val="36"/>
          <w:highlight w:val="none"/>
          <w14:textFill>
            <w14:solidFill>
              <w14:schemeClr w14:val="tx1"/>
            </w14:solidFill>
          </w14:textFill>
        </w:rPr>
      </w:pPr>
    </w:p>
    <w:p w14:paraId="730844F8">
      <w:pPr>
        <w:widowControl/>
        <w:shd w:val="clear" w:color="auto" w:fill="FFFFFF"/>
        <w:jc w:val="center"/>
        <w:rPr>
          <w:rFonts w:hint="eastAsia" w:ascii="宋体" w:hAnsi="宋体" w:cs="宋体"/>
          <w:b/>
          <w:bCs/>
          <w:color w:val="000000" w:themeColor="text1"/>
          <w:kern w:val="0"/>
          <w:sz w:val="36"/>
          <w:szCs w:val="36"/>
          <w:highlight w:val="none"/>
          <w14:textFill>
            <w14:solidFill>
              <w14:schemeClr w14:val="tx1"/>
            </w14:solidFill>
          </w14:textFill>
        </w:rPr>
      </w:pPr>
      <w:r>
        <w:rPr>
          <w:rFonts w:hint="eastAsia" w:ascii="宋体" w:hAnsi="宋体" w:cs="宋体"/>
          <w:b/>
          <w:bCs/>
          <w:color w:val="000000" w:themeColor="text1"/>
          <w:kern w:val="0"/>
          <w:sz w:val="36"/>
          <w:szCs w:val="36"/>
          <w:highlight w:val="none"/>
          <w14:textFill>
            <w14:solidFill>
              <w14:schemeClr w14:val="tx1"/>
            </w14:solidFill>
          </w14:textFill>
        </w:rPr>
        <w:t>关于符合本国产品标准的声明函（格式）</w:t>
      </w:r>
    </w:p>
    <w:p w14:paraId="2CE11EBD">
      <w:pPr>
        <w:widowControl/>
        <w:shd w:val="clear" w:color="auto" w:fill="FFFFFF"/>
        <w:jc w:val="center"/>
        <w:rPr>
          <w:rFonts w:hint="eastAsia" w:ascii="宋体" w:hAnsi="宋体" w:cs="宋体"/>
          <w:b/>
          <w:bCs/>
          <w:color w:val="000000" w:themeColor="text1"/>
          <w:kern w:val="0"/>
          <w:sz w:val="36"/>
          <w:szCs w:val="36"/>
          <w:highlight w:val="none"/>
          <w14:textFill>
            <w14:solidFill>
              <w14:schemeClr w14:val="tx1"/>
            </w14:solidFill>
          </w14:textFill>
        </w:rPr>
      </w:pPr>
    </w:p>
    <w:p w14:paraId="42C71093">
      <w:pPr>
        <w:widowControl/>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55FC669">
      <w:pPr>
        <w:widowControl/>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1.</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（产品名称1）</w:t>
      </w:r>
      <w:r>
        <w:rPr>
          <w:rFonts w:hint="eastAsia" w:ascii="宋体" w:hAnsi="宋体" w:cs="宋体"/>
          <w:i/>
          <w:iCs/>
          <w:color w:val="000000" w:themeColor="text1"/>
          <w:kern w:val="0"/>
          <w:sz w:val="24"/>
          <w:highlight w:val="none"/>
          <w:shd w:val="clear" w:color="auto" w:fill="FFFFFF"/>
          <w:vertAlign w:val="superscript"/>
          <w:lang w:bidi="ar"/>
          <w14:textFill>
            <w14:solidFill>
              <w14:schemeClr w14:val="tx1"/>
            </w14:solidFill>
          </w14:textFill>
        </w:rPr>
        <w:t>1</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，生产厂为</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（厂名）</w:t>
      </w:r>
      <w:r>
        <w:rPr>
          <w:rFonts w:hint="eastAsia" w:ascii="宋体" w:hAnsi="宋体" w:cs="宋体"/>
          <w:i/>
          <w:iCs/>
          <w:color w:val="000000" w:themeColor="text1"/>
          <w:kern w:val="0"/>
          <w:sz w:val="24"/>
          <w:highlight w:val="none"/>
          <w:shd w:val="clear" w:color="auto" w:fill="FFFFFF"/>
          <w:vertAlign w:val="superscript"/>
          <w:lang w:bidi="ar"/>
          <w14:textFill>
            <w14:solidFill>
              <w14:schemeClr w14:val="tx1"/>
            </w14:solidFill>
          </w14:textFill>
        </w:rPr>
        <w:t>2</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，厂址为</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（生产厂址）</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（产品名称1）</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的中国境内生产的组件成本占比≥</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（规定比例）</w:t>
      </w:r>
      <w:r>
        <w:rPr>
          <w:rFonts w:hint="eastAsia" w:ascii="宋体" w:hAnsi="宋体" w:cs="宋体"/>
          <w:i/>
          <w:iCs/>
          <w:color w:val="000000" w:themeColor="text1"/>
          <w:kern w:val="0"/>
          <w:sz w:val="24"/>
          <w:highlight w:val="none"/>
          <w:shd w:val="clear" w:color="auto" w:fill="FFFFFF"/>
          <w:vertAlign w:val="superscript"/>
          <w:lang w:bidi="ar"/>
          <w14:textFill>
            <w14:solidFill>
              <w14:schemeClr w14:val="tx1"/>
            </w14:solidFill>
          </w14:textFill>
        </w:rPr>
        <w:t>3</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（产品名称1）</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的</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（关键组件）</w:t>
      </w:r>
      <w:r>
        <w:rPr>
          <w:rFonts w:hint="eastAsia" w:ascii="宋体" w:hAnsi="宋体" w:cs="宋体"/>
          <w:i/>
          <w:iCs/>
          <w:color w:val="000000" w:themeColor="text1"/>
          <w:kern w:val="0"/>
          <w:sz w:val="24"/>
          <w:highlight w:val="none"/>
          <w:shd w:val="clear" w:color="auto" w:fill="FFFFFF"/>
          <w:vertAlign w:val="superscript"/>
          <w:lang w:bidi="ar"/>
          <w14:textFill>
            <w14:solidFill>
              <w14:schemeClr w14:val="tx1"/>
            </w14:solidFill>
          </w14:textFill>
        </w:rPr>
        <w:t>4</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在中国境内生产。</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（产品名称1）</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的</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（关键工序）</w:t>
      </w:r>
      <w:r>
        <w:rPr>
          <w:rFonts w:hint="eastAsia" w:ascii="宋体" w:hAnsi="宋体" w:cs="宋体"/>
          <w:i/>
          <w:iCs/>
          <w:color w:val="000000" w:themeColor="text1"/>
          <w:kern w:val="0"/>
          <w:sz w:val="24"/>
          <w:highlight w:val="none"/>
          <w:shd w:val="clear" w:color="auto" w:fill="FFFFFF"/>
          <w:vertAlign w:val="superscript"/>
          <w:lang w:bidi="ar"/>
          <w14:textFill>
            <w14:solidFill>
              <w14:schemeClr w14:val="tx1"/>
            </w14:solidFill>
          </w14:textFill>
        </w:rPr>
        <w:t>5</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在中国境内完成。</w:t>
      </w:r>
    </w:p>
    <w:p w14:paraId="0A79AF8C">
      <w:pPr>
        <w:widowControl/>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2.</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，生产厂为</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（厂名）</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，厂址为</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（生产厂址）</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的中国境内生产的组件成本占比≥</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（规定比例）</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的</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（关键组件）</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在中国境内生产。</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（产品名称2）</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的</w:t>
      </w:r>
      <w:r>
        <w:rPr>
          <w:rFonts w:hint="eastAsia" w:ascii="宋体" w:hAnsi="宋体" w:cs="宋体"/>
          <w:i/>
          <w:iCs/>
          <w:color w:val="000000" w:themeColor="text1"/>
          <w:kern w:val="0"/>
          <w:sz w:val="24"/>
          <w:highlight w:val="none"/>
          <w:shd w:val="clear" w:color="auto" w:fill="FFFFFF"/>
          <w:lang w:bidi="ar"/>
          <w14:textFill>
            <w14:solidFill>
              <w14:schemeClr w14:val="tx1"/>
            </w14:solidFill>
          </w14:textFill>
        </w:rPr>
        <w:t>（关键工序）</w:t>
      </w:r>
      <w:r>
        <w:rPr>
          <w:rFonts w:hint="eastAsia" w:ascii="宋体" w:hAnsi="宋体" w:cs="宋体"/>
          <w:color w:val="000000" w:themeColor="text1"/>
          <w:kern w:val="0"/>
          <w:sz w:val="24"/>
          <w:highlight w:val="none"/>
          <w:shd w:val="clear" w:color="auto" w:fill="FFFFFF"/>
          <w:lang w:bidi="ar"/>
          <w14:textFill>
            <w14:solidFill>
              <w14:schemeClr w14:val="tx1"/>
            </w14:solidFill>
          </w14:textFill>
        </w:rPr>
        <w:t>在中国境内完成。</w:t>
      </w:r>
    </w:p>
    <w:p w14:paraId="1917AA9F">
      <w:pPr>
        <w:widowControl/>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w:t>
      </w:r>
    </w:p>
    <w:p w14:paraId="56B2F8A9">
      <w:pPr>
        <w:widowControl/>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本公司（单位）对上述声明内容的真实性负责。如有虚假，愿承担相应法律责任。</w:t>
      </w:r>
    </w:p>
    <w:p w14:paraId="48D4CD31">
      <w:pPr>
        <w:widowControl/>
        <w:spacing w:line="360" w:lineRule="auto"/>
        <w:ind w:firstLine="480" w:firstLineChars="20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 </w:t>
      </w:r>
    </w:p>
    <w:p w14:paraId="72B42202">
      <w:pPr>
        <w:widowControl/>
        <w:spacing w:line="360" w:lineRule="auto"/>
        <w:ind w:firstLine="480" w:firstLineChars="200"/>
        <w:jc w:val="righ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公司（单位）名称（盖章）：　        </w:t>
      </w:r>
    </w:p>
    <w:p w14:paraId="600C2717">
      <w:pPr>
        <w:widowControl/>
        <w:spacing w:line="360" w:lineRule="auto"/>
        <w:ind w:firstLine="480" w:firstLineChars="200"/>
        <w:jc w:val="righ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日期：　     年　  月　  日         </w:t>
      </w:r>
    </w:p>
    <w:p w14:paraId="026D9FE3">
      <w:pPr>
        <w:widowControl/>
        <w:spacing w:before="30" w:after="30"/>
        <w:jc w:val="left"/>
        <w:rPr>
          <w:rFonts w:hint="eastAsia" w:ascii="宋体" w:hAnsi="宋体" w:cs="宋体"/>
          <w:color w:val="000000" w:themeColor="text1"/>
          <w:kern w:val="0"/>
          <w:sz w:val="24"/>
          <w:highlight w:val="none"/>
          <w:shd w:val="clear" w:color="auto" w:fill="FFFFFF"/>
          <w14:textFill>
            <w14:solidFill>
              <w14:schemeClr w14:val="tx1"/>
            </w14:solidFill>
          </w14:textFill>
        </w:rPr>
      </w:pPr>
      <w:r>
        <w:rPr>
          <w:rFonts w:hint="eastAsia" w:ascii="宋体" w:hAnsi="宋体" w:cs="宋体"/>
          <w:color w:val="000000" w:themeColor="text1"/>
          <w:kern w:val="0"/>
          <w:sz w:val="24"/>
          <w:highlight w:val="none"/>
          <w:shd w:val="clear" w:color="auto" w:fill="FFFFFF"/>
          <w:lang w:bidi="ar"/>
          <w14:textFill>
            <w14:solidFill>
              <w14:schemeClr w14:val="tx1"/>
            </w14:solidFill>
          </w14:textFill>
        </w:rPr>
        <w:t>__________________</w:t>
      </w:r>
    </w:p>
    <w:p w14:paraId="42AA2859">
      <w:pPr>
        <w:widowControl/>
        <w:jc w:val="left"/>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1.产品如有型号，请在“产品名称”栏一并填写。</w:t>
      </w:r>
    </w:p>
    <w:p w14:paraId="170D0F7B">
      <w:pPr>
        <w:widowControl/>
        <w:jc w:val="left"/>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2.生产厂名与厂址应与生产厂营业执照载明的相关信息保持一致。</w:t>
      </w:r>
    </w:p>
    <w:p w14:paraId="3EA9769C">
      <w:pPr>
        <w:widowControl/>
        <w:jc w:val="left"/>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3.该产品的中国境内生产的组件成本占比相关要求实施前，“规定比例”栏可不填，下同。</w:t>
      </w:r>
    </w:p>
    <w:p w14:paraId="5E1D8A80">
      <w:pPr>
        <w:widowControl/>
        <w:jc w:val="left"/>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4.该产品的关键组件要求实施前，“关键组件”栏可不填，下同。</w:t>
      </w:r>
    </w:p>
    <w:p w14:paraId="58999CC6">
      <w:pPr>
        <w:widowControl/>
        <w:jc w:val="left"/>
        <w:rPr>
          <w:rFonts w:hint="eastAsia"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5.该产品的关键工序要求实施前，“关键工序”栏可不填，下同。</w:t>
      </w:r>
    </w:p>
    <w:p w14:paraId="417190A0">
      <w:pPr>
        <w:spacing w:line="400" w:lineRule="exact"/>
        <w:rPr>
          <w:rFonts w:ascii="Times New Roman" w:hAnsi="Times New Roman" w:cs="Times New Roman"/>
          <w:color w:val="auto"/>
          <w:highlight w:val="none"/>
          <w:lang w:eastAsia="zh-CN"/>
        </w:rPr>
      </w:pPr>
    </w:p>
    <w:p w14:paraId="674C27B5">
      <w:pPr>
        <w:tabs>
          <w:tab w:val="left" w:pos="4860"/>
        </w:tabs>
        <w:spacing w:line="400" w:lineRule="exact"/>
        <w:ind w:right="1560" w:firstLine="640" w:firstLineChars="200"/>
        <w:jc w:val="center"/>
        <w:rPr>
          <w:rFonts w:ascii="Times New Roman" w:hAnsi="Times New Roman" w:cs="Times New Roman"/>
          <w:b/>
          <w:bCs/>
          <w:color w:val="auto"/>
          <w:sz w:val="32"/>
          <w:szCs w:val="32"/>
          <w:highlight w:val="none"/>
          <w:lang w:eastAsia="zh-CN"/>
        </w:rPr>
      </w:pPr>
    </w:p>
    <w:p w14:paraId="6F9C494E">
      <w:pPr>
        <w:tabs>
          <w:tab w:val="left" w:pos="4860"/>
        </w:tabs>
        <w:spacing w:line="400" w:lineRule="exact"/>
        <w:ind w:right="1560" w:firstLine="640" w:firstLineChars="200"/>
        <w:jc w:val="center"/>
        <w:rPr>
          <w:rFonts w:ascii="Times New Roman" w:hAnsi="Times New Roman" w:cs="Times New Roman"/>
          <w:b/>
          <w:bCs/>
          <w:color w:val="auto"/>
          <w:sz w:val="32"/>
          <w:szCs w:val="32"/>
          <w:highlight w:val="none"/>
          <w:lang w:eastAsia="zh-CN"/>
        </w:rPr>
      </w:pPr>
    </w:p>
    <w:p w14:paraId="59B52D85">
      <w:pPr>
        <w:tabs>
          <w:tab w:val="left" w:pos="4860"/>
        </w:tabs>
        <w:spacing w:line="400" w:lineRule="exact"/>
        <w:rPr>
          <w:rFonts w:ascii="Times New Roman" w:hAnsi="Times New Roman" w:cs="Times New Roman"/>
          <w:color w:val="auto"/>
          <w:sz w:val="30"/>
          <w:szCs w:val="30"/>
          <w:highlight w:val="none"/>
          <w:lang w:eastAsia="zh-CN"/>
        </w:rPr>
      </w:pPr>
      <w:r>
        <w:rPr>
          <w:rFonts w:hint="eastAsia" w:ascii="Times New Roman" w:hAnsi="Times New Roman" w:cs="Times New Roman"/>
          <w:b/>
          <w:bCs/>
          <w:color w:val="auto"/>
          <w:sz w:val="32"/>
          <w:szCs w:val="32"/>
          <w:highlight w:val="none"/>
          <w:lang w:val="en-US" w:eastAsia="zh-CN"/>
        </w:rPr>
        <w:t>6</w:t>
      </w:r>
      <w:r>
        <w:rPr>
          <w:rFonts w:ascii="Times New Roman" w:hAnsi="Times New Roman" w:cs="Times New Roman"/>
          <w:b/>
          <w:bCs/>
          <w:color w:val="auto"/>
          <w:sz w:val="32"/>
          <w:szCs w:val="32"/>
          <w:highlight w:val="none"/>
          <w:lang w:eastAsia="zh-CN"/>
        </w:rPr>
        <w:t>.供应商可结合本项目的评审办法视自身情况自行提交相关证明材料（如有，请提供）</w:t>
      </w:r>
    </w:p>
    <w:p w14:paraId="16A02EA5">
      <w:pPr>
        <w:tabs>
          <w:tab w:val="left" w:pos="4860"/>
        </w:tabs>
        <w:spacing w:line="400" w:lineRule="exact"/>
        <w:rPr>
          <w:rFonts w:ascii="Times New Roman" w:hAnsi="Times New Roman" w:cs="Times New Roman"/>
          <w:color w:val="auto"/>
          <w:sz w:val="30"/>
          <w:szCs w:val="30"/>
          <w:highlight w:val="none"/>
          <w:lang w:eastAsia="zh-CN"/>
        </w:rPr>
      </w:pPr>
    </w:p>
    <w:p w14:paraId="1A2A35ED">
      <w:pPr>
        <w:widowControl w:val="0"/>
        <w:spacing w:line="400" w:lineRule="exact"/>
        <w:rPr>
          <w:rFonts w:ascii="Times New Roman" w:hAnsi="Times New Roman" w:eastAsia="宋体" w:cs="Times New Roman"/>
          <w:color w:val="auto"/>
          <w:sz w:val="31"/>
          <w:szCs w:val="31"/>
          <w:highlight w:val="none"/>
          <w:lang w:eastAsia="zh-CN"/>
        </w:rPr>
      </w:pPr>
    </w:p>
    <w:sectPr>
      <w:headerReference r:id="rId17" w:type="default"/>
      <w:footerReference r:id="rId18" w:type="default"/>
      <w:pgSz w:w="11906" w:h="16839"/>
      <w:pgMar w:top="1247" w:right="1247" w:bottom="1247" w:left="1247" w:header="0" w:footer="82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B4D8">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0B31B">
    <w:pPr>
      <w:pStyle w:val="13"/>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03BEE">
                          <w:pPr>
                            <w:pStyle w:val="1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73803BEE">
                    <w:pPr>
                      <w:pStyle w:val="13"/>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DB9AC">
    <w:pPr>
      <w:pStyle w:val="13"/>
    </w:pPr>
    <w:r>
      <w:rPr>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C4264">
                          <w:pPr>
                            <w:pStyle w:val="13"/>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125C4264">
                    <w:pPr>
                      <w:pStyle w:val="13"/>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BAD3">
    <w:pPr>
      <w:pStyle w:val="13"/>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CE0AF">
                          <w:pPr>
                            <w:pStyle w:val="13"/>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14:paraId="572CE0AF">
                    <w:pPr>
                      <w:pStyle w:val="13"/>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FCEC6">
    <w:pPr>
      <w:pStyle w:val="13"/>
    </w:pPr>
    <w:r>
      <w:rPr>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BCD23">
                          <w:pPr>
                            <w:pStyle w:val="13"/>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7CBBCD23">
                    <w:pPr>
                      <w:pStyle w:val="1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88CB1">
    <w:pPr>
      <w:pStyle w:val="13"/>
    </w:pPr>
    <w:r>
      <w:rPr>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194AC">
                          <w:pPr>
                            <w:pStyle w:val="13"/>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sRGw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B3TVTqPjpx/fT&#10;z4fTr28EZxCotX6GuHuLyNC9Mx3aZjj3OIy8u8qp+AUjAj/kPV7kFV0gPF6aTqbTHC4O37ABfvZ4&#10;3Tof3gujSDQK6lC/JCs7bHzoQ4eQmE2bdSNlqqHUpC3o1eu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ACxEbCwCAABXBAAADgAAAAAAAAABACAAAAAfAQAAZHJzL2Uyb0RvYy54bWxQSwUGAAAAAAYA&#10;BgBZAQAAvQUAAAAA&#10;">
              <v:fill on="f" focussize="0,0"/>
              <v:stroke on="f" weight="0.5pt"/>
              <v:imagedata o:title=""/>
              <o:lock v:ext="edit" aspectratio="f"/>
              <v:textbox inset="0mm,0mm,0mm,0mm" style="mso-fit-shape-to-text:t;">
                <w:txbxContent>
                  <w:p w14:paraId="2D6194AC">
                    <w:pPr>
                      <w:pStyle w:val="13"/>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9E3C0">
    <w:pPr>
      <w:pStyle w:val="13"/>
    </w:pPr>
    <w:r>
      <w:rPr>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CBB20">
                          <w:pPr>
                            <w:pStyle w:val="13"/>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DPAE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UDPAEtAgAAVwQAAA4AAAAAAAAAAQAgAAAAHwEAAGRycy9lMm9Eb2MueG1sUEsFBgAAAAAG&#10;AAYAWQEAAL4FAAAAAA==&#10;">
              <v:fill on="f" focussize="0,0"/>
              <v:stroke on="f" weight="0.5pt"/>
              <v:imagedata o:title=""/>
              <o:lock v:ext="edit" aspectratio="f"/>
              <v:textbox inset="0mm,0mm,0mm,0mm" style="mso-fit-shape-to-text:t;">
                <w:txbxContent>
                  <w:p w14:paraId="4B4CBB20">
                    <w:pPr>
                      <w:pStyle w:val="13"/>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62CD">
    <w:pPr>
      <w:pStyle w:val="13"/>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FAD4B">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075FAD4B">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8859">
    <w:pPr>
      <w:pStyle w:val="13"/>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4ED39">
                          <w:pPr>
                            <w:pStyle w:val="1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0354ED39">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9DABC">
    <w:pPr>
      <w:pStyle w:val="13"/>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16A4D">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3DD16A4D">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E17F">
    <w:pPr>
      <w:pStyle w:val="13"/>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F94C6">
                          <w:pPr>
                            <w:pStyle w:val="1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490F94C6">
                    <w:pPr>
                      <w:pStyle w:val="1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50CBA">
    <w:pPr>
      <w:pStyle w:val="13"/>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9DC3E">
                          <w:pPr>
                            <w:pStyle w:val="1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12D9DC3E">
                    <w:pPr>
                      <w:pStyle w:val="1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B73A7">
    <w:pPr>
      <w:pStyle w:val="13"/>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A8CDD">
                          <w:pPr>
                            <w:pStyle w:val="13"/>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643A8CDD">
                    <w:pPr>
                      <w:pStyle w:val="13"/>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95724">
    <w:pPr>
      <w:pStyle w:val="13"/>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3F545">
                          <w:pPr>
                            <w:pStyle w:val="13"/>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2DF3F545">
                    <w:pPr>
                      <w:pStyle w:val="13"/>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EDDFD">
    <w:pPr>
      <w:pStyle w:val="13"/>
    </w:pPr>
    <w:r>
      <w:rPr>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58315">
                          <w:pPr>
                            <w:pStyle w:val="13"/>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5F258315">
                    <w:pPr>
                      <w:pStyle w:val="13"/>
                    </w:pPr>
                    <w:r>
                      <w:fldChar w:fldCharType="begin"/>
                    </w:r>
                    <w:r>
                      <w:instrText xml:space="preserve"> PAGE  \* MERGEFORMAT </w:instrText>
                    </w:r>
                    <w:r>
                      <w:fldChar w:fldCharType="separate"/>
                    </w:r>
                    <w:r>
                      <w:t>90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358AE">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C6C7D0"/>
    <w:multiLevelType w:val="singleLevel"/>
    <w:tmpl w:val="A8C6C7D0"/>
    <w:lvl w:ilvl="0" w:tentative="0">
      <w:start w:val="4"/>
      <w:numFmt w:val="decimal"/>
      <w:lvlText w:val="%1."/>
      <w:lvlJc w:val="left"/>
      <w:pPr>
        <w:tabs>
          <w:tab w:val="left" w:pos="312"/>
        </w:tabs>
      </w:pPr>
    </w:lvl>
  </w:abstractNum>
  <w:abstractNum w:abstractNumId="1">
    <w:nsid w:val="B12840F3"/>
    <w:multiLevelType w:val="singleLevel"/>
    <w:tmpl w:val="B12840F3"/>
    <w:lvl w:ilvl="0" w:tentative="0">
      <w:start w:val="1"/>
      <w:numFmt w:val="decimal"/>
      <w:suff w:val="nothing"/>
      <w:lvlText w:val="（%1）"/>
      <w:lvlJc w:val="left"/>
    </w:lvl>
  </w:abstractNum>
  <w:abstractNum w:abstractNumId="2">
    <w:nsid w:val="E585126B"/>
    <w:multiLevelType w:val="singleLevel"/>
    <w:tmpl w:val="E585126B"/>
    <w:lvl w:ilvl="0" w:tentative="0">
      <w:start w:val="3"/>
      <w:numFmt w:val="chineseCounting"/>
      <w:suff w:val="space"/>
      <w:lvlText w:val="第%1章"/>
      <w:lvlJc w:val="left"/>
      <w:rPr>
        <w:rFonts w:hint="eastAsia"/>
      </w:rPr>
    </w:lvl>
  </w:abstractNum>
  <w:abstractNum w:abstractNumId="3">
    <w:nsid w:val="331765BA"/>
    <w:multiLevelType w:val="singleLevel"/>
    <w:tmpl w:val="331765BA"/>
    <w:lvl w:ilvl="0" w:tentative="0">
      <w:start w:val="1"/>
      <w:numFmt w:val="chineseCounting"/>
      <w:suff w:val="space"/>
      <w:lvlText w:val="第%1条"/>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U4YjdlODAwM2I5ZGM3MjMyOGI5Njg5OGNhOTU3YzAifQ=="/>
  </w:docVars>
  <w:rsids>
    <w:rsidRoot w:val="000B6792"/>
    <w:rsid w:val="00057689"/>
    <w:rsid w:val="000B6792"/>
    <w:rsid w:val="0012063E"/>
    <w:rsid w:val="001B7CBD"/>
    <w:rsid w:val="00294959"/>
    <w:rsid w:val="002E27C7"/>
    <w:rsid w:val="0037179E"/>
    <w:rsid w:val="00432ED4"/>
    <w:rsid w:val="004B6FA9"/>
    <w:rsid w:val="005714C6"/>
    <w:rsid w:val="005D59E5"/>
    <w:rsid w:val="006B35C7"/>
    <w:rsid w:val="007743B3"/>
    <w:rsid w:val="008935D6"/>
    <w:rsid w:val="008E7BE6"/>
    <w:rsid w:val="00910C6D"/>
    <w:rsid w:val="00AA1B86"/>
    <w:rsid w:val="017D5F03"/>
    <w:rsid w:val="01BF001A"/>
    <w:rsid w:val="01D34B7C"/>
    <w:rsid w:val="01F84D24"/>
    <w:rsid w:val="02C24BF1"/>
    <w:rsid w:val="030D3B33"/>
    <w:rsid w:val="03231B33"/>
    <w:rsid w:val="032C4E8C"/>
    <w:rsid w:val="03512F88"/>
    <w:rsid w:val="03770A73"/>
    <w:rsid w:val="03791A86"/>
    <w:rsid w:val="05A216B9"/>
    <w:rsid w:val="05A74FC5"/>
    <w:rsid w:val="05C42574"/>
    <w:rsid w:val="06471FDD"/>
    <w:rsid w:val="06693418"/>
    <w:rsid w:val="0701711F"/>
    <w:rsid w:val="08346D03"/>
    <w:rsid w:val="08B576D2"/>
    <w:rsid w:val="0970184A"/>
    <w:rsid w:val="0A2D5AFE"/>
    <w:rsid w:val="0A4729AC"/>
    <w:rsid w:val="0AA8240B"/>
    <w:rsid w:val="0AE55920"/>
    <w:rsid w:val="0BBA6DAD"/>
    <w:rsid w:val="0BE4079C"/>
    <w:rsid w:val="0CAB0443"/>
    <w:rsid w:val="0CE819E3"/>
    <w:rsid w:val="0D321447"/>
    <w:rsid w:val="0D814026"/>
    <w:rsid w:val="0D9563EE"/>
    <w:rsid w:val="0DEF111A"/>
    <w:rsid w:val="0E8420EB"/>
    <w:rsid w:val="0E963B01"/>
    <w:rsid w:val="0F025417"/>
    <w:rsid w:val="101F1C09"/>
    <w:rsid w:val="10305890"/>
    <w:rsid w:val="105F7F23"/>
    <w:rsid w:val="10E36DA6"/>
    <w:rsid w:val="11C16CE3"/>
    <w:rsid w:val="11F36EE9"/>
    <w:rsid w:val="120D4228"/>
    <w:rsid w:val="13E2526D"/>
    <w:rsid w:val="14151024"/>
    <w:rsid w:val="14F33AD1"/>
    <w:rsid w:val="15262851"/>
    <w:rsid w:val="15B91E83"/>
    <w:rsid w:val="15F877BF"/>
    <w:rsid w:val="165C62AE"/>
    <w:rsid w:val="16F91008"/>
    <w:rsid w:val="172872C1"/>
    <w:rsid w:val="17594793"/>
    <w:rsid w:val="17824C23"/>
    <w:rsid w:val="1797673A"/>
    <w:rsid w:val="17E27104"/>
    <w:rsid w:val="181A421F"/>
    <w:rsid w:val="183A3BE7"/>
    <w:rsid w:val="184B0543"/>
    <w:rsid w:val="19137BA5"/>
    <w:rsid w:val="198B7D44"/>
    <w:rsid w:val="1A9A00FE"/>
    <w:rsid w:val="1AFB2F0C"/>
    <w:rsid w:val="1AFD6C76"/>
    <w:rsid w:val="1BF711F2"/>
    <w:rsid w:val="1C5431DC"/>
    <w:rsid w:val="1CAD4584"/>
    <w:rsid w:val="1CD118FC"/>
    <w:rsid w:val="1D00160A"/>
    <w:rsid w:val="1DAB4FA6"/>
    <w:rsid w:val="1DB00010"/>
    <w:rsid w:val="1DEF1254"/>
    <w:rsid w:val="1E2C2D12"/>
    <w:rsid w:val="1E741DD1"/>
    <w:rsid w:val="1E865698"/>
    <w:rsid w:val="1EA02FB0"/>
    <w:rsid w:val="1EF05139"/>
    <w:rsid w:val="1F0D3258"/>
    <w:rsid w:val="1FD955FC"/>
    <w:rsid w:val="201E7211"/>
    <w:rsid w:val="2047766D"/>
    <w:rsid w:val="209A4709"/>
    <w:rsid w:val="20BA039C"/>
    <w:rsid w:val="20F3114C"/>
    <w:rsid w:val="216D6944"/>
    <w:rsid w:val="225B2C40"/>
    <w:rsid w:val="23601CDC"/>
    <w:rsid w:val="23A83C63"/>
    <w:rsid w:val="23D1070E"/>
    <w:rsid w:val="23E546F9"/>
    <w:rsid w:val="24057DF9"/>
    <w:rsid w:val="257D004F"/>
    <w:rsid w:val="271C3FC2"/>
    <w:rsid w:val="27644345"/>
    <w:rsid w:val="2842532D"/>
    <w:rsid w:val="28B5472C"/>
    <w:rsid w:val="28D177B8"/>
    <w:rsid w:val="292E662C"/>
    <w:rsid w:val="298143E7"/>
    <w:rsid w:val="2A0917F0"/>
    <w:rsid w:val="2A8959B1"/>
    <w:rsid w:val="2ACD2AAF"/>
    <w:rsid w:val="2B0D781D"/>
    <w:rsid w:val="2B110340"/>
    <w:rsid w:val="2B2D6293"/>
    <w:rsid w:val="2B391645"/>
    <w:rsid w:val="2B876854"/>
    <w:rsid w:val="2BC41856"/>
    <w:rsid w:val="2C862667"/>
    <w:rsid w:val="2CFE05A2"/>
    <w:rsid w:val="2D406468"/>
    <w:rsid w:val="2E84319F"/>
    <w:rsid w:val="2EBC7DE6"/>
    <w:rsid w:val="2EEA15D4"/>
    <w:rsid w:val="2F7178E6"/>
    <w:rsid w:val="2FDF3200"/>
    <w:rsid w:val="302B1693"/>
    <w:rsid w:val="30CA3877"/>
    <w:rsid w:val="316046D6"/>
    <w:rsid w:val="32DF400A"/>
    <w:rsid w:val="331C310A"/>
    <w:rsid w:val="33274D42"/>
    <w:rsid w:val="335E4122"/>
    <w:rsid w:val="33945FB2"/>
    <w:rsid w:val="33A23909"/>
    <w:rsid w:val="35A83E4D"/>
    <w:rsid w:val="361A2073"/>
    <w:rsid w:val="3627012C"/>
    <w:rsid w:val="365D1316"/>
    <w:rsid w:val="3678231E"/>
    <w:rsid w:val="36E33AD3"/>
    <w:rsid w:val="372413FB"/>
    <w:rsid w:val="37533A8E"/>
    <w:rsid w:val="379C139A"/>
    <w:rsid w:val="383E029A"/>
    <w:rsid w:val="387463B2"/>
    <w:rsid w:val="38B95344"/>
    <w:rsid w:val="38F44EBF"/>
    <w:rsid w:val="39B73D2D"/>
    <w:rsid w:val="3A2C110F"/>
    <w:rsid w:val="3A5F7548"/>
    <w:rsid w:val="3A7A5575"/>
    <w:rsid w:val="3ADE1089"/>
    <w:rsid w:val="3BCD02B3"/>
    <w:rsid w:val="3BDF1D94"/>
    <w:rsid w:val="3C374690"/>
    <w:rsid w:val="3CCA034E"/>
    <w:rsid w:val="3D26523C"/>
    <w:rsid w:val="3D514B7E"/>
    <w:rsid w:val="3DBF1E7D"/>
    <w:rsid w:val="3DEF1F46"/>
    <w:rsid w:val="3E7A2248"/>
    <w:rsid w:val="3E9933B0"/>
    <w:rsid w:val="3EDE519D"/>
    <w:rsid w:val="3F9E7ADA"/>
    <w:rsid w:val="3FEA7B57"/>
    <w:rsid w:val="410F33EC"/>
    <w:rsid w:val="41270465"/>
    <w:rsid w:val="41590C98"/>
    <w:rsid w:val="41676AB4"/>
    <w:rsid w:val="4201680A"/>
    <w:rsid w:val="42134546"/>
    <w:rsid w:val="42804691"/>
    <w:rsid w:val="428D2352"/>
    <w:rsid w:val="4359242C"/>
    <w:rsid w:val="43956DFD"/>
    <w:rsid w:val="439B0C97"/>
    <w:rsid w:val="449F7162"/>
    <w:rsid w:val="44A0122D"/>
    <w:rsid w:val="44D206E8"/>
    <w:rsid w:val="45055140"/>
    <w:rsid w:val="45372CA4"/>
    <w:rsid w:val="45551DD1"/>
    <w:rsid w:val="455827CF"/>
    <w:rsid w:val="45EF0D55"/>
    <w:rsid w:val="47072195"/>
    <w:rsid w:val="4757795B"/>
    <w:rsid w:val="48182BA8"/>
    <w:rsid w:val="48351FF1"/>
    <w:rsid w:val="488937B4"/>
    <w:rsid w:val="489410ED"/>
    <w:rsid w:val="48DB78B4"/>
    <w:rsid w:val="48EA3CA3"/>
    <w:rsid w:val="49F41B75"/>
    <w:rsid w:val="49F70BF1"/>
    <w:rsid w:val="4A2C089A"/>
    <w:rsid w:val="4A3D04B7"/>
    <w:rsid w:val="4A437992"/>
    <w:rsid w:val="4A505585"/>
    <w:rsid w:val="4B1F21AD"/>
    <w:rsid w:val="4B7E4D22"/>
    <w:rsid w:val="4B934057"/>
    <w:rsid w:val="4C481290"/>
    <w:rsid w:val="4C8F6EBF"/>
    <w:rsid w:val="4C9B3AB5"/>
    <w:rsid w:val="4E0E3438"/>
    <w:rsid w:val="4E524648"/>
    <w:rsid w:val="4E7C6769"/>
    <w:rsid w:val="4EB42FEC"/>
    <w:rsid w:val="4F0C71D9"/>
    <w:rsid w:val="4F8F4431"/>
    <w:rsid w:val="4FAB4CF6"/>
    <w:rsid w:val="50355FCF"/>
    <w:rsid w:val="50A3217F"/>
    <w:rsid w:val="50D10C2C"/>
    <w:rsid w:val="51C20936"/>
    <w:rsid w:val="52E361B6"/>
    <w:rsid w:val="52F263F9"/>
    <w:rsid w:val="53D75643"/>
    <w:rsid w:val="549E7AFA"/>
    <w:rsid w:val="54F21EDD"/>
    <w:rsid w:val="561B17C3"/>
    <w:rsid w:val="56644F18"/>
    <w:rsid w:val="56A2566D"/>
    <w:rsid w:val="56BC3646"/>
    <w:rsid w:val="57F93BFB"/>
    <w:rsid w:val="58064780"/>
    <w:rsid w:val="59494D0D"/>
    <w:rsid w:val="597F62A7"/>
    <w:rsid w:val="5980475F"/>
    <w:rsid w:val="59C70AD8"/>
    <w:rsid w:val="59F40CA9"/>
    <w:rsid w:val="5A835261"/>
    <w:rsid w:val="5B695A91"/>
    <w:rsid w:val="5B6F4A8B"/>
    <w:rsid w:val="5B956C23"/>
    <w:rsid w:val="5BB76E03"/>
    <w:rsid w:val="5BD52F25"/>
    <w:rsid w:val="5C2D1AE0"/>
    <w:rsid w:val="5C5123E2"/>
    <w:rsid w:val="5C8A75DB"/>
    <w:rsid w:val="5D6C08D3"/>
    <w:rsid w:val="5E5D0BCB"/>
    <w:rsid w:val="5ED65E9E"/>
    <w:rsid w:val="5EDF74BE"/>
    <w:rsid w:val="5EE15555"/>
    <w:rsid w:val="5F990328"/>
    <w:rsid w:val="5FDD176B"/>
    <w:rsid w:val="60375DC5"/>
    <w:rsid w:val="6072155E"/>
    <w:rsid w:val="60A725D1"/>
    <w:rsid w:val="614E2111"/>
    <w:rsid w:val="62F133AA"/>
    <w:rsid w:val="63827812"/>
    <w:rsid w:val="639E5FFE"/>
    <w:rsid w:val="645657DF"/>
    <w:rsid w:val="64AF4259"/>
    <w:rsid w:val="650A2634"/>
    <w:rsid w:val="6521263D"/>
    <w:rsid w:val="666351EC"/>
    <w:rsid w:val="66EB480B"/>
    <w:rsid w:val="67631FF7"/>
    <w:rsid w:val="67734C82"/>
    <w:rsid w:val="67DF4D79"/>
    <w:rsid w:val="686C2E08"/>
    <w:rsid w:val="68E533EA"/>
    <w:rsid w:val="68EB66C8"/>
    <w:rsid w:val="6971090C"/>
    <w:rsid w:val="698A6279"/>
    <w:rsid w:val="6AE73F2B"/>
    <w:rsid w:val="6B301415"/>
    <w:rsid w:val="6B6932A5"/>
    <w:rsid w:val="6C3109FE"/>
    <w:rsid w:val="6C8D10B0"/>
    <w:rsid w:val="6DA560EA"/>
    <w:rsid w:val="6E657628"/>
    <w:rsid w:val="6F5316A2"/>
    <w:rsid w:val="6F8B35EB"/>
    <w:rsid w:val="6F97284E"/>
    <w:rsid w:val="6FD3327C"/>
    <w:rsid w:val="7000572D"/>
    <w:rsid w:val="702B1B4C"/>
    <w:rsid w:val="70A272B7"/>
    <w:rsid w:val="70CA6520"/>
    <w:rsid w:val="71434964"/>
    <w:rsid w:val="7193176A"/>
    <w:rsid w:val="719D6685"/>
    <w:rsid w:val="72BD0CAF"/>
    <w:rsid w:val="733858B8"/>
    <w:rsid w:val="743B4721"/>
    <w:rsid w:val="75644ADD"/>
    <w:rsid w:val="757F3E21"/>
    <w:rsid w:val="76E92CF5"/>
    <w:rsid w:val="77266587"/>
    <w:rsid w:val="778B00FF"/>
    <w:rsid w:val="783A28CF"/>
    <w:rsid w:val="783A38D3"/>
    <w:rsid w:val="784C1F84"/>
    <w:rsid w:val="790245B3"/>
    <w:rsid w:val="792050C1"/>
    <w:rsid w:val="7964104F"/>
    <w:rsid w:val="79D819B0"/>
    <w:rsid w:val="7A5127F2"/>
    <w:rsid w:val="7AB14F4C"/>
    <w:rsid w:val="7AFE508C"/>
    <w:rsid w:val="7B9C4351"/>
    <w:rsid w:val="7C042B76"/>
    <w:rsid w:val="7C122B9D"/>
    <w:rsid w:val="7C4116D4"/>
    <w:rsid w:val="7D250FF6"/>
    <w:rsid w:val="7D9E2581"/>
    <w:rsid w:val="7DAC40A3"/>
    <w:rsid w:val="7DF764EE"/>
    <w:rsid w:val="7E5D66DD"/>
    <w:rsid w:val="7EE137B6"/>
    <w:rsid w:val="7F014C34"/>
    <w:rsid w:val="EE7FB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widowControl w:val="0"/>
      <w:spacing w:line="360" w:lineRule="auto"/>
      <w:jc w:val="both"/>
      <w:outlineLvl w:val="1"/>
    </w:pPr>
    <w:rPr>
      <w:rFonts w:eastAsia="宋体" w:cs="Times New Roman"/>
      <w:b/>
      <w:kern w:val="2"/>
      <w:sz w:val="24"/>
      <w:szCs w:val="32"/>
      <w:lang w:eastAsia="zh-CN"/>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eastAsia="宋体" w:cs="宋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ind w:left="2940"/>
    </w:pPr>
  </w:style>
  <w:style w:type="paragraph" w:styleId="7">
    <w:name w:val="annotation text"/>
    <w:basedOn w:val="1"/>
    <w:link w:val="35"/>
    <w:qFormat/>
    <w:uiPriority w:val="0"/>
  </w:style>
  <w:style w:type="paragraph" w:styleId="8">
    <w:name w:val="Body Text"/>
    <w:basedOn w:val="1"/>
    <w:semiHidden/>
    <w:qFormat/>
    <w:uiPriority w:val="0"/>
  </w:style>
  <w:style w:type="paragraph" w:styleId="9">
    <w:name w:val="Body Text Indent"/>
    <w:basedOn w:val="1"/>
    <w:next w:val="10"/>
    <w:qFormat/>
    <w:uiPriority w:val="0"/>
    <w:pPr>
      <w:spacing w:after="120"/>
      <w:ind w:left="420" w:leftChars="200"/>
    </w:pPr>
  </w:style>
  <w:style w:type="paragraph" w:styleId="10">
    <w:name w:val="envelope return"/>
    <w:qFormat/>
    <w:uiPriority w:val="0"/>
    <w:pPr>
      <w:widowControl w:val="0"/>
      <w:snapToGrid w:val="0"/>
      <w:spacing w:line="400" w:lineRule="exact"/>
      <w:ind w:firstLine="1044" w:firstLineChars="200"/>
    </w:pPr>
    <w:rPr>
      <w:rFonts w:ascii="Arial" w:hAnsi="Arial" w:eastAsia="宋体" w:cs="Arial"/>
      <w:kern w:val="2"/>
      <w:sz w:val="21"/>
      <w:szCs w:val="24"/>
      <w:lang w:val="en-US" w:eastAsia="zh-CN" w:bidi="ar-SA"/>
    </w:rPr>
  </w:style>
  <w:style w:type="paragraph" w:styleId="11">
    <w:name w:val="Plain Text"/>
    <w:basedOn w:val="1"/>
    <w:qFormat/>
    <w:uiPriority w:val="99"/>
    <w:rPr>
      <w:rFonts w:ascii="宋体" w:hAnsi="Courier New"/>
      <w:szCs w:val="20"/>
    </w:rPr>
  </w:style>
  <w:style w:type="paragraph" w:styleId="12">
    <w:name w:val="Balloon Text"/>
    <w:basedOn w:val="1"/>
    <w:link w:val="37"/>
    <w:qFormat/>
    <w:uiPriority w:val="0"/>
    <w:rPr>
      <w:sz w:val="18"/>
      <w:szCs w:val="18"/>
    </w:rPr>
  </w:style>
  <w:style w:type="paragraph" w:styleId="13">
    <w:name w:val="footer"/>
    <w:basedOn w:val="1"/>
    <w:next w:val="1"/>
    <w:qFormat/>
    <w:uiPriority w:val="0"/>
    <w:pPr>
      <w:tabs>
        <w:tab w:val="center" w:pos="4153"/>
        <w:tab w:val="right" w:pos="8306"/>
      </w:tabs>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5">
    <w:name w:val="toc 1"/>
    <w:basedOn w:val="1"/>
    <w:next w:val="1"/>
    <w:qFormat/>
    <w:uiPriority w:val="0"/>
  </w:style>
  <w:style w:type="paragraph" w:styleId="16">
    <w:name w:val="Normal (Web)"/>
    <w:qFormat/>
    <w:uiPriority w:val="99"/>
    <w:pPr>
      <w:spacing w:before="100" w:beforeAutospacing="1" w:after="100" w:afterAutospacing="1"/>
    </w:pPr>
    <w:rPr>
      <w:rFonts w:ascii="宋体" w:hAnsi="宋体" w:eastAsia="宋体" w:cs="Times New Roman"/>
      <w:sz w:val="24"/>
      <w:lang w:val="en-US" w:eastAsia="zh-CN" w:bidi="ar-SA"/>
    </w:rPr>
  </w:style>
  <w:style w:type="paragraph" w:styleId="17">
    <w:name w:val="index 1"/>
    <w:basedOn w:val="1"/>
    <w:next w:val="1"/>
    <w:semiHidden/>
    <w:qFormat/>
    <w:uiPriority w:val="0"/>
    <w:pPr>
      <w:spacing w:line="400" w:lineRule="exact"/>
      <w:ind w:firstLine="420" w:firstLineChars="200"/>
    </w:pPr>
    <w:rPr>
      <w:rFonts w:ascii="宋体" w:hAnsi="Courier New"/>
      <w:b/>
      <w:szCs w:val="20"/>
    </w:rPr>
  </w:style>
  <w:style w:type="paragraph" w:styleId="18">
    <w:name w:val="Title"/>
    <w:basedOn w:val="1"/>
    <w:next w:val="1"/>
    <w:qFormat/>
    <w:uiPriority w:val="0"/>
    <w:pPr>
      <w:spacing w:before="240" w:after="60"/>
      <w:jc w:val="center"/>
      <w:outlineLvl w:val="0"/>
    </w:pPr>
    <w:rPr>
      <w:rFonts w:ascii="等线 Light" w:hAnsi="等线 Light"/>
      <w:b/>
      <w:bCs/>
      <w:sz w:val="32"/>
      <w:szCs w:val="32"/>
    </w:rPr>
  </w:style>
  <w:style w:type="paragraph" w:styleId="19">
    <w:name w:val="annotation subject"/>
    <w:basedOn w:val="7"/>
    <w:next w:val="7"/>
    <w:link w:val="36"/>
    <w:qFormat/>
    <w:uiPriority w:val="0"/>
    <w:rPr>
      <w:b/>
      <w:bCs/>
    </w:rPr>
  </w:style>
  <w:style w:type="paragraph" w:styleId="20">
    <w:name w:val="Body Text First Indent 2"/>
    <w:basedOn w:val="9"/>
    <w:next w:val="21"/>
    <w:qFormat/>
    <w:uiPriority w:val="0"/>
    <w:pPr>
      <w:ind w:firstLine="420" w:firstLineChars="200"/>
    </w:pPr>
    <w:rPr>
      <w:rFonts w:ascii="Times New Roman" w:eastAsia="宋体"/>
      <w:szCs w:val="24"/>
    </w:rPr>
  </w:style>
  <w:style w:type="paragraph" w:customStyle="1" w:styleId="21">
    <w:name w:val="**正文"/>
    <w:basedOn w:val="1"/>
    <w:qFormat/>
    <w:uiPriority w:val="0"/>
    <w:pPr>
      <w:ind w:firstLine="482"/>
    </w:pPr>
    <w:rPr>
      <w:rFonts w:ascii="宋体" w:hAnsi="宋体"/>
      <w:sz w:val="24"/>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Emphasis"/>
    <w:qFormat/>
    <w:uiPriority w:val="0"/>
    <w:rPr>
      <w:rFonts w:ascii="Times New Roman" w:hAnsi="Times New Roman" w:eastAsia="宋体" w:cs="Times New Roman"/>
      <w:color w:val="CC0000"/>
    </w:rPr>
  </w:style>
  <w:style w:type="character" w:styleId="27">
    <w:name w:val="annotation reference"/>
    <w:basedOn w:val="24"/>
    <w:qFormat/>
    <w:uiPriority w:val="0"/>
    <w:rPr>
      <w:sz w:val="21"/>
      <w:szCs w:val="21"/>
    </w:rPr>
  </w:style>
  <w:style w:type="character" w:styleId="28">
    <w:name w:val="HTML Sample"/>
    <w:basedOn w:val="24"/>
    <w:qFormat/>
    <w:uiPriority w:val="0"/>
    <w:rPr>
      <w:rFonts w:ascii="Courier New" w:hAnsi="Courier New"/>
    </w:rPr>
  </w:style>
  <w:style w:type="paragraph" w:customStyle="1" w:styleId="29">
    <w:name w:val="Default"/>
    <w:basedOn w:val="18"/>
    <w:next w:val="2"/>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0">
    <w:name w:val="样式 正文文本缩进 + 首行缩进:  2 字符 行距: 1.5 倍行距"/>
    <w:basedOn w:val="9"/>
    <w:qFormat/>
    <w:uiPriority w:val="0"/>
    <w:rPr>
      <w:rFonts w:cs="宋体"/>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Table Text"/>
    <w:basedOn w:val="1"/>
    <w:semiHidden/>
    <w:qFormat/>
    <w:uiPriority w:val="0"/>
    <w:rPr>
      <w:rFonts w:ascii="宋体" w:hAnsi="宋体" w:eastAsia="宋体" w:cs="宋体"/>
      <w:sz w:val="20"/>
      <w:szCs w:val="20"/>
    </w:rPr>
  </w:style>
  <w:style w:type="character" w:customStyle="1" w:styleId="33">
    <w:name w:val="font01"/>
    <w:qFormat/>
    <w:uiPriority w:val="0"/>
    <w:rPr>
      <w:rFonts w:hint="eastAsia" w:ascii="等线" w:hAnsi="等线" w:eastAsia="等线" w:cs="等线"/>
      <w:color w:val="000000"/>
      <w:sz w:val="22"/>
      <w:szCs w:val="22"/>
      <w:u w:val="none"/>
    </w:rPr>
  </w:style>
  <w:style w:type="character" w:customStyle="1" w:styleId="34">
    <w:name w:val="NormalCharacter"/>
    <w:qFormat/>
    <w:uiPriority w:val="0"/>
  </w:style>
  <w:style w:type="character" w:customStyle="1" w:styleId="35">
    <w:name w:val="批注文字 字符"/>
    <w:basedOn w:val="24"/>
    <w:link w:val="7"/>
    <w:qFormat/>
    <w:uiPriority w:val="0"/>
    <w:rPr>
      <w:rFonts w:ascii="Arial" w:hAnsi="Arial" w:eastAsia="Arial" w:cs="Arial"/>
      <w:snapToGrid w:val="0"/>
      <w:color w:val="000000"/>
      <w:sz w:val="21"/>
      <w:szCs w:val="21"/>
      <w:lang w:eastAsia="en-US"/>
    </w:rPr>
  </w:style>
  <w:style w:type="character" w:customStyle="1" w:styleId="36">
    <w:name w:val="批注主题 字符"/>
    <w:basedOn w:val="35"/>
    <w:link w:val="19"/>
    <w:qFormat/>
    <w:uiPriority w:val="0"/>
    <w:rPr>
      <w:rFonts w:ascii="Arial" w:hAnsi="Arial" w:eastAsia="Arial" w:cs="Arial"/>
      <w:b/>
      <w:bCs/>
      <w:snapToGrid w:val="0"/>
      <w:color w:val="000000"/>
      <w:sz w:val="21"/>
      <w:szCs w:val="21"/>
      <w:lang w:eastAsia="en-US"/>
    </w:rPr>
  </w:style>
  <w:style w:type="character" w:customStyle="1" w:styleId="37">
    <w:name w:val="批注框文本 字符"/>
    <w:basedOn w:val="24"/>
    <w:link w:val="12"/>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5.xml"/><Relationship Id="rId17" Type="http://schemas.openxmlformats.org/officeDocument/2006/relationships/header" Target="header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89</Pages>
  <Words>6782</Words>
  <Characters>7549</Characters>
  <Lines>699</Lines>
  <Paragraphs>196</Paragraphs>
  <TotalTime>2</TotalTime>
  <ScaleCrop>false</ScaleCrop>
  <LinksUpToDate>false</LinksUpToDate>
  <CharactersWithSpaces>7782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2025-04-11T02:45:00Z</dcterms:created>
  <dc:creator>Administrator</dc:creator>
  <cp:lastModifiedBy>阿炜。</cp:lastModifiedBy>
  <cp:lastPrinted>2026-05-18T23:37:00Z</cp:lastPrinted>
  <dcterms:modified xsi:type="dcterms:W3CDTF">2026-08-17T01:10:31Z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2025-06-20T09:44:10Z</vt:filetime>
  </property>
  <property fmtid="{D5CDD505-2E9C-101B-9397-08002B2CF9AE}" pid="4" name="KSOTemplateDocerSaveRecord">
    <vt:lpwstr>eyJoZGlkIjoiMTdlNTdjYjVhZDQ5NTUwODY1NzliZmViMWMxZjQzNDEiLCJ1c2VySWQiOiIzODEwMDc5NTMifQ==</vt:lpwstr>
  </property>
  <property fmtid="{D5CDD505-2E9C-101B-9397-08002B2CF9AE}" pid="5" name="KSOProductBuildVer">
    <vt:lpwstr>2052-12.1.0.28022</vt:lpwstr>
  </property>
  <property fmtid="{D5CDD505-2E9C-101B-9397-08002B2CF9AE}" pid="6" name="ICV">
    <vt:lpwstr>27D3DDA94CA14F058B234BCCD5792E5A_13</vt:lpwstr>
  </property>
</Properties>
</file>